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Verdana" w:hAnsi="Verdana"/>
          <w:b/>
          <w:bCs/>
          <w:sz w:val="18"/>
          <w:szCs w:val="18"/>
          <w:lang w:val="en-US"/>
        </w:rPr>
        <w:id w:val="387617"/>
        <w:docPartObj>
          <w:docPartGallery w:val="Table of Contents"/>
          <w:docPartUnique/>
        </w:docPartObj>
      </w:sdtPr>
      <w:sdtEndPr>
        <w:rPr>
          <w:b w:val="0"/>
          <w:bCs w:val="0"/>
        </w:rPr>
      </w:sdtEndPr>
      <w:sdtContent>
        <w:p w14:paraId="436C55C3" w14:textId="3FC82A80" w:rsidR="00924035" w:rsidRPr="000C7CFA" w:rsidRDefault="00924035" w:rsidP="00924035">
          <w:pPr>
            <w:pStyle w:val="BodyText"/>
            <w:tabs>
              <w:tab w:val="left" w:pos="1843"/>
            </w:tabs>
            <w:ind w:left="1843" w:hanging="1843"/>
            <w:jc w:val="left"/>
            <w:rPr>
              <w:rFonts w:ascii="Verdana" w:hAnsi="Verdana"/>
              <w:b/>
              <w:bCs/>
              <w:sz w:val="18"/>
              <w:szCs w:val="18"/>
              <w:lang w:eastAsia="en-GB"/>
            </w:rPr>
          </w:pPr>
          <w:r w:rsidRPr="000C7CFA">
            <w:rPr>
              <w:rFonts w:ascii="Verdana" w:hAnsi="Verdana"/>
              <w:b/>
              <w:bCs/>
              <w:sz w:val="18"/>
              <w:szCs w:val="18"/>
              <w:lang w:eastAsia="en-GB"/>
            </w:rPr>
            <w:t xml:space="preserve">Appendix 1 </w:t>
          </w:r>
          <w:r w:rsidRPr="000C7CFA">
            <w:rPr>
              <w:rFonts w:ascii="Verdana" w:hAnsi="Verdana"/>
              <w:b/>
              <w:bCs/>
              <w:sz w:val="18"/>
              <w:szCs w:val="18"/>
              <w:lang w:eastAsia="en-GB"/>
            </w:rPr>
            <w:tab/>
            <w:t>Detailed summaries of data cited in the main report</w:t>
          </w:r>
        </w:p>
        <w:p w14:paraId="6E0A6E97" w14:textId="77777777" w:rsidR="007602A0" w:rsidRPr="000C7CFA" w:rsidRDefault="007602A0">
          <w:pPr>
            <w:pStyle w:val="TOCHeading"/>
            <w:rPr>
              <w:rFonts w:ascii="Verdana" w:hAnsi="Verdana"/>
              <w:sz w:val="18"/>
              <w:szCs w:val="18"/>
            </w:rPr>
          </w:pPr>
          <w:r w:rsidRPr="000C7CFA">
            <w:rPr>
              <w:rFonts w:ascii="Verdana" w:hAnsi="Verdana"/>
              <w:sz w:val="18"/>
              <w:szCs w:val="18"/>
            </w:rPr>
            <w:t>Contents</w:t>
          </w:r>
        </w:p>
        <w:p w14:paraId="19DE3B03" w14:textId="77777777" w:rsidR="00BA2885" w:rsidRPr="000C7CFA" w:rsidRDefault="008C3195">
          <w:pPr>
            <w:pStyle w:val="TOC1"/>
            <w:tabs>
              <w:tab w:val="left" w:pos="480"/>
              <w:tab w:val="right" w:leader="dot" w:pos="8302"/>
            </w:tabs>
            <w:rPr>
              <w:rFonts w:ascii="Verdana" w:eastAsiaTheme="minorEastAsia" w:hAnsi="Verdana" w:cstheme="minorBidi"/>
              <w:noProof/>
              <w:sz w:val="18"/>
              <w:szCs w:val="18"/>
              <w:lang w:val="en-GB" w:eastAsia="en-GB"/>
            </w:rPr>
          </w:pPr>
          <w:r w:rsidRPr="000C7CFA">
            <w:rPr>
              <w:rFonts w:ascii="Verdana" w:hAnsi="Verdana"/>
              <w:sz w:val="18"/>
              <w:szCs w:val="18"/>
            </w:rPr>
            <w:fldChar w:fldCharType="begin"/>
          </w:r>
          <w:r w:rsidR="007602A0" w:rsidRPr="000C7CFA">
            <w:rPr>
              <w:rFonts w:ascii="Verdana" w:hAnsi="Verdana"/>
              <w:sz w:val="18"/>
              <w:szCs w:val="18"/>
            </w:rPr>
            <w:instrText xml:space="preserve"> TOC \o "1-3" \h \z \u </w:instrText>
          </w:r>
          <w:r w:rsidRPr="000C7CFA">
            <w:rPr>
              <w:rFonts w:ascii="Verdana" w:hAnsi="Verdana"/>
              <w:sz w:val="18"/>
              <w:szCs w:val="18"/>
            </w:rPr>
            <w:fldChar w:fldCharType="separate"/>
          </w:r>
          <w:hyperlink w:anchor="_Toc491862758" w:history="1">
            <w:r w:rsidR="00BA2885" w:rsidRPr="000C7CFA">
              <w:rPr>
                <w:rStyle w:val="Hyperlink"/>
                <w:rFonts w:ascii="Verdana" w:hAnsi="Verdana"/>
                <w:noProof/>
                <w:sz w:val="18"/>
                <w:szCs w:val="18"/>
              </w:rPr>
              <w:t>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Identity of the substance and physical and chemical properties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_Toc491862758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4</w:t>
            </w:r>
            <w:r w:rsidR="00BA2885" w:rsidRPr="000C7CFA">
              <w:rPr>
                <w:rFonts w:ascii="Verdana" w:hAnsi="Verdana"/>
                <w:noProof/>
                <w:webHidden/>
                <w:sz w:val="18"/>
                <w:szCs w:val="18"/>
              </w:rPr>
              <w:fldChar w:fldCharType="end"/>
            </w:r>
          </w:hyperlink>
        </w:p>
        <w:p w14:paraId="7D8AA885" w14:textId="77777777" w:rsidR="00BA2885" w:rsidRPr="000C7CFA" w:rsidRDefault="000C7CFA">
          <w:pPr>
            <w:pStyle w:val="TOC1"/>
            <w:tabs>
              <w:tab w:val="left" w:pos="480"/>
              <w:tab w:val="right" w:leader="dot" w:pos="8302"/>
            </w:tabs>
            <w:rPr>
              <w:rFonts w:ascii="Verdana" w:eastAsiaTheme="minorEastAsia" w:hAnsi="Verdana" w:cstheme="minorBidi"/>
              <w:noProof/>
              <w:sz w:val="18"/>
              <w:szCs w:val="18"/>
              <w:lang w:val="en-GB" w:eastAsia="en-GB"/>
            </w:rPr>
          </w:pPr>
          <w:hyperlink w:anchor="_Toc491862759" w:history="1">
            <w:r w:rsidR="00BA2885" w:rsidRPr="000C7CFA">
              <w:rPr>
                <w:rStyle w:val="Hyperlink"/>
                <w:rFonts w:ascii="Verdana" w:hAnsi="Verdana"/>
                <w:noProof/>
                <w:sz w:val="18"/>
                <w:szCs w:val="18"/>
              </w:rPr>
              <w:t>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Classification and labelling</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_Toc491862759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4</w:t>
            </w:r>
            <w:r w:rsidR="00BA2885" w:rsidRPr="000C7CFA">
              <w:rPr>
                <w:rFonts w:ascii="Verdana" w:hAnsi="Verdana"/>
                <w:noProof/>
                <w:webHidden/>
                <w:sz w:val="18"/>
                <w:szCs w:val="18"/>
              </w:rPr>
              <w:fldChar w:fldCharType="end"/>
            </w:r>
          </w:hyperlink>
        </w:p>
        <w:p w14:paraId="4B6FECA1" w14:textId="77777777" w:rsidR="00BA2885" w:rsidRPr="000C7CFA" w:rsidRDefault="000C7CFA">
          <w:pPr>
            <w:pStyle w:val="TOC1"/>
            <w:tabs>
              <w:tab w:val="left" w:pos="480"/>
              <w:tab w:val="right" w:leader="dot" w:pos="8302"/>
            </w:tabs>
            <w:rPr>
              <w:rFonts w:ascii="Verdana" w:eastAsiaTheme="minorEastAsia" w:hAnsi="Verdana" w:cstheme="minorBidi"/>
              <w:noProof/>
              <w:sz w:val="18"/>
              <w:szCs w:val="18"/>
              <w:lang w:val="en-GB" w:eastAsia="en-GB"/>
            </w:rPr>
          </w:pPr>
          <w:hyperlink w:anchor="_Toc491862760" w:history="1">
            <w:r w:rsidR="00BA2885" w:rsidRPr="000C7CFA">
              <w:rPr>
                <w:rStyle w:val="Hyperlink"/>
                <w:rFonts w:ascii="Verdana" w:hAnsi="Verdana"/>
                <w:noProof/>
                <w:sz w:val="18"/>
                <w:szCs w:val="18"/>
              </w:rPr>
              <w:t>3</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Environmental fate properties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_Toc491862760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4</w:t>
            </w:r>
            <w:r w:rsidR="00BA2885" w:rsidRPr="000C7CFA">
              <w:rPr>
                <w:rFonts w:ascii="Verdana" w:hAnsi="Verdana"/>
                <w:noProof/>
                <w:webHidden/>
                <w:sz w:val="18"/>
                <w:szCs w:val="18"/>
              </w:rPr>
              <w:fldChar w:fldCharType="end"/>
            </w:r>
          </w:hyperlink>
        </w:p>
        <w:p w14:paraId="1FD5AF23"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61" w:history="1">
            <w:r w:rsidR="00BA2885" w:rsidRPr="000C7CFA">
              <w:rPr>
                <w:rStyle w:val="Hyperlink"/>
                <w:rFonts w:ascii="Verdana" w:hAnsi="Verdana"/>
                <w:noProof/>
                <w:sz w:val="18"/>
                <w:szCs w:val="18"/>
              </w:rPr>
              <w:t>3.1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Degradation</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_Toc491862761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4</w:t>
            </w:r>
            <w:r w:rsidR="00BA2885" w:rsidRPr="000C7CFA">
              <w:rPr>
                <w:rFonts w:ascii="Verdana" w:hAnsi="Verdana"/>
                <w:noProof/>
                <w:webHidden/>
                <w:sz w:val="18"/>
                <w:szCs w:val="18"/>
              </w:rPr>
              <w:fldChar w:fldCharType="end"/>
            </w:r>
          </w:hyperlink>
        </w:p>
        <w:p w14:paraId="63AC929A"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62" w:history="1">
            <w:r w:rsidR="00BA2885" w:rsidRPr="000C7CFA">
              <w:rPr>
                <w:rStyle w:val="Hyperlink"/>
                <w:rFonts w:ascii="Verdana" w:hAnsi="Verdana"/>
                <w:noProof/>
                <w:sz w:val="18"/>
                <w:szCs w:val="18"/>
              </w:rPr>
              <w:t>3.1.1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Abiotic degradation</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_Toc491862762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4</w:t>
            </w:r>
            <w:r w:rsidR="00BA2885" w:rsidRPr="000C7CFA">
              <w:rPr>
                <w:rFonts w:ascii="Verdana" w:hAnsi="Verdana"/>
                <w:noProof/>
                <w:webHidden/>
                <w:sz w:val="18"/>
                <w:szCs w:val="18"/>
              </w:rPr>
              <w:fldChar w:fldCharType="end"/>
            </w:r>
          </w:hyperlink>
        </w:p>
        <w:p w14:paraId="6E810352"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63" w:history="1">
            <w:r w:rsidR="00BA2885" w:rsidRPr="000C7CFA">
              <w:rPr>
                <w:rStyle w:val="Hyperlink"/>
                <w:rFonts w:ascii="Verdana" w:hAnsi="Verdana"/>
                <w:noProof/>
                <w:sz w:val="18"/>
                <w:szCs w:val="18"/>
              </w:rPr>
              <w:t>3.1.2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Biodegradation</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_Toc491862763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6</w:t>
            </w:r>
            <w:r w:rsidR="00BA2885" w:rsidRPr="000C7CFA">
              <w:rPr>
                <w:rFonts w:ascii="Verdana" w:hAnsi="Verdana"/>
                <w:noProof/>
                <w:webHidden/>
                <w:sz w:val="18"/>
                <w:szCs w:val="18"/>
              </w:rPr>
              <w:fldChar w:fldCharType="end"/>
            </w:r>
          </w:hyperlink>
        </w:p>
        <w:p w14:paraId="666957C6"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64" w:history="1">
            <w:r w:rsidR="00BA2885" w:rsidRPr="000C7CFA">
              <w:rPr>
                <w:rStyle w:val="Hyperlink"/>
                <w:rFonts w:ascii="Verdana" w:hAnsi="Verdana"/>
                <w:noProof/>
                <w:sz w:val="18"/>
                <w:szCs w:val="18"/>
              </w:rPr>
              <w:t>3.2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Environmental distribution</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_Toc491862764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12</w:t>
            </w:r>
            <w:r w:rsidR="00BA2885" w:rsidRPr="000C7CFA">
              <w:rPr>
                <w:rFonts w:ascii="Verdana" w:hAnsi="Verdana"/>
                <w:noProof/>
                <w:webHidden/>
                <w:sz w:val="18"/>
                <w:szCs w:val="18"/>
              </w:rPr>
              <w:fldChar w:fldCharType="end"/>
            </w:r>
          </w:hyperlink>
        </w:p>
        <w:p w14:paraId="725931DA"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65" w:history="1">
            <w:r w:rsidR="00BA2885" w:rsidRPr="000C7CFA">
              <w:rPr>
                <w:rStyle w:val="Hyperlink"/>
                <w:rFonts w:ascii="Verdana" w:hAnsi="Verdana"/>
                <w:noProof/>
                <w:sz w:val="18"/>
                <w:szCs w:val="18"/>
              </w:rPr>
              <w:t>3.2.1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Adsorption/desorption</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_Toc491862765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12</w:t>
            </w:r>
            <w:r w:rsidR="00BA2885" w:rsidRPr="000C7CFA">
              <w:rPr>
                <w:rFonts w:ascii="Verdana" w:hAnsi="Verdana"/>
                <w:noProof/>
                <w:webHidden/>
                <w:sz w:val="18"/>
                <w:szCs w:val="18"/>
              </w:rPr>
              <w:fldChar w:fldCharType="end"/>
            </w:r>
          </w:hyperlink>
        </w:p>
        <w:p w14:paraId="62DA59C0"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66" w:history="1">
            <w:r w:rsidR="00BA2885" w:rsidRPr="000C7CFA">
              <w:rPr>
                <w:rStyle w:val="Hyperlink"/>
                <w:rFonts w:ascii="Verdana" w:hAnsi="Verdana"/>
                <w:noProof/>
                <w:sz w:val="18"/>
                <w:szCs w:val="18"/>
              </w:rPr>
              <w:t>3.2.2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Volatilisation</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_Toc491862766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13</w:t>
            </w:r>
            <w:r w:rsidR="00BA2885" w:rsidRPr="000C7CFA">
              <w:rPr>
                <w:rFonts w:ascii="Verdana" w:hAnsi="Verdana"/>
                <w:noProof/>
                <w:webHidden/>
                <w:sz w:val="18"/>
                <w:szCs w:val="18"/>
              </w:rPr>
              <w:fldChar w:fldCharType="end"/>
            </w:r>
          </w:hyperlink>
        </w:p>
        <w:p w14:paraId="6DB207C5"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67" w:history="1">
            <w:r w:rsidR="00BA2885" w:rsidRPr="000C7CFA">
              <w:rPr>
                <w:rStyle w:val="Hyperlink"/>
                <w:rFonts w:ascii="Verdana" w:hAnsi="Verdana"/>
                <w:noProof/>
                <w:sz w:val="18"/>
                <w:szCs w:val="18"/>
              </w:rPr>
              <w:t>3.3</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Potential for long range transport</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_Toc491862767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13</w:t>
            </w:r>
            <w:r w:rsidR="00BA2885" w:rsidRPr="000C7CFA">
              <w:rPr>
                <w:rFonts w:ascii="Verdana" w:hAnsi="Verdana"/>
                <w:noProof/>
                <w:webHidden/>
                <w:sz w:val="18"/>
                <w:szCs w:val="18"/>
              </w:rPr>
              <w:fldChar w:fldCharType="end"/>
            </w:r>
          </w:hyperlink>
        </w:p>
        <w:p w14:paraId="61E0F56B"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68" w:history="1">
            <w:r w:rsidR="00BA2885" w:rsidRPr="000C7CFA">
              <w:rPr>
                <w:rStyle w:val="Hyperlink"/>
                <w:rFonts w:ascii="Verdana" w:hAnsi="Verdana"/>
                <w:noProof/>
                <w:sz w:val="18"/>
                <w:szCs w:val="18"/>
              </w:rPr>
              <w:t>3.4</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Bioaccumulation</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_Toc491862768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19</w:t>
            </w:r>
            <w:r w:rsidR="00BA2885" w:rsidRPr="000C7CFA">
              <w:rPr>
                <w:rFonts w:ascii="Verdana" w:hAnsi="Verdana"/>
                <w:noProof/>
                <w:webHidden/>
                <w:sz w:val="18"/>
                <w:szCs w:val="18"/>
              </w:rPr>
              <w:fldChar w:fldCharType="end"/>
            </w:r>
          </w:hyperlink>
        </w:p>
        <w:p w14:paraId="0E33F698"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69" w:history="1">
            <w:r w:rsidR="00BA2885" w:rsidRPr="000C7CFA">
              <w:rPr>
                <w:rStyle w:val="Hyperlink"/>
                <w:rFonts w:ascii="Verdana" w:hAnsi="Verdana"/>
                <w:noProof/>
                <w:sz w:val="18"/>
                <w:szCs w:val="18"/>
              </w:rPr>
              <w:t>3.4.1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Bioaccumulation in aquatic organisms (pelagic and sediment organisms)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_Toc491862769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19</w:t>
            </w:r>
            <w:r w:rsidR="00BA2885" w:rsidRPr="000C7CFA">
              <w:rPr>
                <w:rFonts w:ascii="Verdana" w:hAnsi="Verdana"/>
                <w:noProof/>
                <w:webHidden/>
                <w:sz w:val="18"/>
                <w:szCs w:val="18"/>
              </w:rPr>
              <w:fldChar w:fldCharType="end"/>
            </w:r>
          </w:hyperlink>
        </w:p>
        <w:p w14:paraId="7A87EE32"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70" w:history="1">
            <w:r w:rsidR="00BA2885" w:rsidRPr="000C7CFA">
              <w:rPr>
                <w:rStyle w:val="Hyperlink"/>
                <w:rFonts w:ascii="Verdana" w:hAnsi="Verdana"/>
                <w:noProof/>
                <w:sz w:val="18"/>
                <w:szCs w:val="18"/>
              </w:rPr>
              <w:t>3.4.2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Bioaccumulation in terrestrial organisms (soil-dwelling organisms, vertebrates)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_Toc491862770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65</w:t>
            </w:r>
            <w:r w:rsidR="00BA2885" w:rsidRPr="000C7CFA">
              <w:rPr>
                <w:rFonts w:ascii="Verdana" w:hAnsi="Verdana"/>
                <w:noProof/>
                <w:webHidden/>
                <w:sz w:val="18"/>
                <w:szCs w:val="18"/>
              </w:rPr>
              <w:fldChar w:fldCharType="end"/>
            </w:r>
          </w:hyperlink>
        </w:p>
        <w:p w14:paraId="4BC9F138" w14:textId="77777777" w:rsidR="00BA2885" w:rsidRPr="000C7CFA" w:rsidRDefault="000C7CFA">
          <w:pPr>
            <w:pStyle w:val="TOC1"/>
            <w:tabs>
              <w:tab w:val="left" w:pos="480"/>
              <w:tab w:val="right" w:leader="dot" w:pos="8302"/>
            </w:tabs>
            <w:rPr>
              <w:rFonts w:ascii="Verdana" w:eastAsiaTheme="minorEastAsia" w:hAnsi="Verdana" w:cstheme="minorBidi"/>
              <w:noProof/>
              <w:sz w:val="18"/>
              <w:szCs w:val="18"/>
              <w:lang w:val="en-GB" w:eastAsia="en-GB"/>
            </w:rPr>
          </w:pPr>
          <w:hyperlink w:anchor="_Toc491862771" w:history="1">
            <w:r w:rsidR="00BA2885" w:rsidRPr="000C7CFA">
              <w:rPr>
                <w:rStyle w:val="Hyperlink"/>
                <w:rFonts w:ascii="Verdana" w:hAnsi="Verdana"/>
                <w:noProof/>
                <w:sz w:val="18"/>
                <w:szCs w:val="18"/>
              </w:rPr>
              <w:t>4</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Human health hazard assessment relevant for the PBT assessment</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_Toc491862771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82</w:t>
            </w:r>
            <w:r w:rsidR="00BA2885" w:rsidRPr="000C7CFA">
              <w:rPr>
                <w:rFonts w:ascii="Verdana" w:hAnsi="Verdana"/>
                <w:noProof/>
                <w:webHidden/>
                <w:sz w:val="18"/>
                <w:szCs w:val="18"/>
              </w:rPr>
              <w:fldChar w:fldCharType="end"/>
            </w:r>
          </w:hyperlink>
        </w:p>
        <w:p w14:paraId="1D37D154"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72" w:history="1">
            <w:r w:rsidR="00BA2885" w:rsidRPr="000C7CFA">
              <w:rPr>
                <w:rStyle w:val="Hyperlink"/>
                <w:rFonts w:ascii="Verdana" w:hAnsi="Verdana"/>
                <w:noProof/>
                <w:sz w:val="18"/>
                <w:szCs w:val="18"/>
              </w:rPr>
              <w:t>4.1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Toxicokinetics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_Toc491862772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82</w:t>
            </w:r>
            <w:r w:rsidR="00BA2885" w:rsidRPr="000C7CFA">
              <w:rPr>
                <w:rFonts w:ascii="Verdana" w:hAnsi="Verdana"/>
                <w:noProof/>
                <w:webHidden/>
                <w:sz w:val="18"/>
                <w:szCs w:val="18"/>
              </w:rPr>
              <w:fldChar w:fldCharType="end"/>
            </w:r>
          </w:hyperlink>
        </w:p>
        <w:p w14:paraId="01665125"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73" w:history="1">
            <w:r w:rsidR="00BA2885" w:rsidRPr="000C7CFA">
              <w:rPr>
                <w:rStyle w:val="Hyperlink"/>
                <w:rFonts w:ascii="Verdana" w:hAnsi="Verdana"/>
                <w:noProof/>
                <w:sz w:val="18"/>
                <w:szCs w:val="18"/>
              </w:rPr>
              <w:t>4.2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Repeated dose toxicity</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_Toc491862773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82</w:t>
            </w:r>
            <w:r w:rsidR="00BA2885" w:rsidRPr="000C7CFA">
              <w:rPr>
                <w:rFonts w:ascii="Verdana" w:hAnsi="Verdana"/>
                <w:noProof/>
                <w:webHidden/>
                <w:sz w:val="18"/>
                <w:szCs w:val="18"/>
              </w:rPr>
              <w:fldChar w:fldCharType="end"/>
            </w:r>
          </w:hyperlink>
        </w:p>
        <w:p w14:paraId="4D43B2CF"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74" w:history="1">
            <w:r w:rsidR="00BA2885" w:rsidRPr="000C7CFA">
              <w:rPr>
                <w:rStyle w:val="Hyperlink"/>
                <w:rFonts w:ascii="Verdana" w:hAnsi="Verdana"/>
                <w:noProof/>
                <w:sz w:val="18"/>
                <w:szCs w:val="18"/>
              </w:rPr>
              <w:t>4.2.1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Repeated dose toxicity: oral</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_Toc491862774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82</w:t>
            </w:r>
            <w:r w:rsidR="00BA2885" w:rsidRPr="000C7CFA">
              <w:rPr>
                <w:rFonts w:ascii="Verdana" w:hAnsi="Verdana"/>
                <w:noProof/>
                <w:webHidden/>
                <w:sz w:val="18"/>
                <w:szCs w:val="18"/>
              </w:rPr>
              <w:fldChar w:fldCharType="end"/>
            </w:r>
          </w:hyperlink>
        </w:p>
        <w:p w14:paraId="392F9C26"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75" w:history="1">
            <w:r w:rsidR="00BA2885" w:rsidRPr="000C7CFA">
              <w:rPr>
                <w:rStyle w:val="Hyperlink"/>
                <w:rFonts w:ascii="Verdana" w:hAnsi="Verdana"/>
                <w:noProof/>
                <w:sz w:val="18"/>
                <w:szCs w:val="18"/>
              </w:rPr>
              <w:t>4.2.2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Repeated dose toxicity: inhalation</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_Toc491862775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83</w:t>
            </w:r>
            <w:r w:rsidR="00BA2885" w:rsidRPr="000C7CFA">
              <w:rPr>
                <w:rFonts w:ascii="Verdana" w:hAnsi="Verdana"/>
                <w:noProof/>
                <w:webHidden/>
                <w:sz w:val="18"/>
                <w:szCs w:val="18"/>
              </w:rPr>
              <w:fldChar w:fldCharType="end"/>
            </w:r>
          </w:hyperlink>
        </w:p>
        <w:p w14:paraId="728620CA"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76" w:history="1">
            <w:r w:rsidR="00BA2885" w:rsidRPr="000C7CFA">
              <w:rPr>
                <w:rStyle w:val="Hyperlink"/>
                <w:rFonts w:ascii="Verdana" w:hAnsi="Verdana"/>
                <w:noProof/>
                <w:sz w:val="18"/>
                <w:szCs w:val="18"/>
              </w:rPr>
              <w:t>4.2.3</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Repeated dose toxicity: dermal</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_Toc491862776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83</w:t>
            </w:r>
            <w:r w:rsidR="00BA2885" w:rsidRPr="000C7CFA">
              <w:rPr>
                <w:rFonts w:ascii="Verdana" w:hAnsi="Verdana"/>
                <w:noProof/>
                <w:webHidden/>
                <w:sz w:val="18"/>
                <w:szCs w:val="18"/>
              </w:rPr>
              <w:fldChar w:fldCharType="end"/>
            </w:r>
          </w:hyperlink>
        </w:p>
        <w:p w14:paraId="1EA4CE0F"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77" w:history="1">
            <w:r w:rsidR="00BA2885" w:rsidRPr="000C7CFA">
              <w:rPr>
                <w:rStyle w:val="Hyperlink"/>
                <w:rFonts w:ascii="Verdana" w:hAnsi="Verdana"/>
                <w:noProof/>
                <w:sz w:val="18"/>
                <w:szCs w:val="18"/>
              </w:rPr>
              <w:t>4.2.4</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Summary and discussion of repeated dose toxicity</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_Toc491862777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83</w:t>
            </w:r>
            <w:r w:rsidR="00BA2885" w:rsidRPr="000C7CFA">
              <w:rPr>
                <w:rFonts w:ascii="Verdana" w:hAnsi="Verdana"/>
                <w:noProof/>
                <w:webHidden/>
                <w:sz w:val="18"/>
                <w:szCs w:val="18"/>
              </w:rPr>
              <w:fldChar w:fldCharType="end"/>
            </w:r>
          </w:hyperlink>
        </w:p>
        <w:p w14:paraId="3381E5D9"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78" w:history="1">
            <w:r w:rsidR="00BA2885" w:rsidRPr="000C7CFA">
              <w:rPr>
                <w:rStyle w:val="Hyperlink"/>
                <w:rFonts w:ascii="Verdana" w:hAnsi="Verdana"/>
                <w:noProof/>
                <w:sz w:val="18"/>
                <w:szCs w:val="18"/>
              </w:rPr>
              <w:t>4.3</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Mutagenicity</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_Toc491862778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84</w:t>
            </w:r>
            <w:r w:rsidR="00BA2885" w:rsidRPr="000C7CFA">
              <w:rPr>
                <w:rFonts w:ascii="Verdana" w:hAnsi="Verdana"/>
                <w:noProof/>
                <w:webHidden/>
                <w:sz w:val="18"/>
                <w:szCs w:val="18"/>
              </w:rPr>
              <w:fldChar w:fldCharType="end"/>
            </w:r>
          </w:hyperlink>
        </w:p>
        <w:p w14:paraId="195B8BDA"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79" w:history="1">
            <w:r w:rsidR="00BA2885" w:rsidRPr="000C7CFA">
              <w:rPr>
                <w:rStyle w:val="Hyperlink"/>
                <w:rFonts w:ascii="Verdana" w:hAnsi="Verdana"/>
                <w:noProof/>
                <w:sz w:val="18"/>
                <w:szCs w:val="18"/>
              </w:rPr>
              <w:t>4.3.1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i/>
                <w:noProof/>
                <w:sz w:val="18"/>
                <w:szCs w:val="18"/>
              </w:rPr>
              <w:t>In vitro</w:t>
            </w:r>
            <w:r w:rsidR="00BA2885" w:rsidRPr="000C7CFA">
              <w:rPr>
                <w:rStyle w:val="Hyperlink"/>
                <w:rFonts w:ascii="Verdana" w:hAnsi="Verdana"/>
                <w:noProof/>
                <w:sz w:val="18"/>
                <w:szCs w:val="18"/>
              </w:rPr>
              <w:t xml:space="preserve"> data</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_Toc491862779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84</w:t>
            </w:r>
            <w:r w:rsidR="00BA2885" w:rsidRPr="000C7CFA">
              <w:rPr>
                <w:rFonts w:ascii="Verdana" w:hAnsi="Verdana"/>
                <w:noProof/>
                <w:webHidden/>
                <w:sz w:val="18"/>
                <w:szCs w:val="18"/>
              </w:rPr>
              <w:fldChar w:fldCharType="end"/>
            </w:r>
          </w:hyperlink>
        </w:p>
        <w:p w14:paraId="6810F1C0"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80" w:history="1">
            <w:r w:rsidR="00BA2885" w:rsidRPr="000C7CFA">
              <w:rPr>
                <w:rStyle w:val="Hyperlink"/>
                <w:rFonts w:ascii="Verdana" w:hAnsi="Verdana"/>
                <w:noProof/>
                <w:sz w:val="18"/>
                <w:szCs w:val="18"/>
              </w:rPr>
              <w:t>4.3.2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i/>
                <w:noProof/>
                <w:sz w:val="18"/>
                <w:szCs w:val="18"/>
              </w:rPr>
              <w:t>In vivo</w:t>
            </w:r>
            <w:r w:rsidR="00BA2885" w:rsidRPr="000C7CFA">
              <w:rPr>
                <w:rStyle w:val="Hyperlink"/>
                <w:rFonts w:ascii="Verdana" w:hAnsi="Verdana"/>
                <w:noProof/>
                <w:sz w:val="18"/>
                <w:szCs w:val="18"/>
              </w:rPr>
              <w:t xml:space="preserve"> data</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_Toc491862780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84</w:t>
            </w:r>
            <w:r w:rsidR="00BA2885" w:rsidRPr="000C7CFA">
              <w:rPr>
                <w:rFonts w:ascii="Verdana" w:hAnsi="Verdana"/>
                <w:noProof/>
                <w:webHidden/>
                <w:sz w:val="18"/>
                <w:szCs w:val="18"/>
              </w:rPr>
              <w:fldChar w:fldCharType="end"/>
            </w:r>
          </w:hyperlink>
        </w:p>
        <w:p w14:paraId="6D173E7F"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81" w:history="1">
            <w:r w:rsidR="00BA2885" w:rsidRPr="000C7CFA">
              <w:rPr>
                <w:rStyle w:val="Hyperlink"/>
                <w:rFonts w:ascii="Verdana" w:hAnsi="Verdana"/>
                <w:noProof/>
                <w:sz w:val="18"/>
                <w:szCs w:val="18"/>
              </w:rPr>
              <w:t>4.3.3</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Summary and discussion of mutagenicity</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_Toc491862781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84</w:t>
            </w:r>
            <w:r w:rsidR="00BA2885" w:rsidRPr="000C7CFA">
              <w:rPr>
                <w:rFonts w:ascii="Verdana" w:hAnsi="Verdana"/>
                <w:noProof/>
                <w:webHidden/>
                <w:sz w:val="18"/>
                <w:szCs w:val="18"/>
              </w:rPr>
              <w:fldChar w:fldCharType="end"/>
            </w:r>
          </w:hyperlink>
        </w:p>
        <w:p w14:paraId="2FC56F9F"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82" w:history="1">
            <w:r w:rsidR="00BA2885" w:rsidRPr="000C7CFA">
              <w:rPr>
                <w:rStyle w:val="Hyperlink"/>
                <w:rFonts w:ascii="Verdana" w:hAnsi="Verdana"/>
                <w:noProof/>
                <w:sz w:val="18"/>
                <w:szCs w:val="18"/>
              </w:rPr>
              <w:t>4.4</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Carcinogenicity</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_Toc491862782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85</w:t>
            </w:r>
            <w:r w:rsidR="00BA2885" w:rsidRPr="000C7CFA">
              <w:rPr>
                <w:rFonts w:ascii="Verdana" w:hAnsi="Verdana"/>
                <w:noProof/>
                <w:webHidden/>
                <w:sz w:val="18"/>
                <w:szCs w:val="18"/>
              </w:rPr>
              <w:fldChar w:fldCharType="end"/>
            </w:r>
          </w:hyperlink>
        </w:p>
        <w:p w14:paraId="4457E660"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83" w:history="1">
            <w:r w:rsidR="00BA2885" w:rsidRPr="000C7CFA">
              <w:rPr>
                <w:rStyle w:val="Hyperlink"/>
                <w:rFonts w:ascii="Verdana" w:hAnsi="Verdana"/>
                <w:noProof/>
                <w:sz w:val="18"/>
                <w:szCs w:val="18"/>
              </w:rPr>
              <w:t>4.4.1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Summary and discussion of carcinogenicity</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_Toc491862783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85</w:t>
            </w:r>
            <w:r w:rsidR="00BA2885" w:rsidRPr="000C7CFA">
              <w:rPr>
                <w:rFonts w:ascii="Verdana" w:hAnsi="Verdana"/>
                <w:noProof/>
                <w:webHidden/>
                <w:sz w:val="18"/>
                <w:szCs w:val="18"/>
              </w:rPr>
              <w:fldChar w:fldCharType="end"/>
            </w:r>
          </w:hyperlink>
        </w:p>
        <w:p w14:paraId="7B2DD2E1"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84" w:history="1">
            <w:r w:rsidR="00BA2885" w:rsidRPr="000C7CFA">
              <w:rPr>
                <w:rStyle w:val="Hyperlink"/>
                <w:rFonts w:ascii="Verdana" w:hAnsi="Verdana"/>
                <w:noProof/>
                <w:sz w:val="18"/>
                <w:szCs w:val="18"/>
              </w:rPr>
              <w:t>4.5</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Toxicity to reproduction</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_Toc491862784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85</w:t>
            </w:r>
            <w:r w:rsidR="00BA2885" w:rsidRPr="000C7CFA">
              <w:rPr>
                <w:rFonts w:ascii="Verdana" w:hAnsi="Verdana"/>
                <w:noProof/>
                <w:webHidden/>
                <w:sz w:val="18"/>
                <w:szCs w:val="18"/>
              </w:rPr>
              <w:fldChar w:fldCharType="end"/>
            </w:r>
          </w:hyperlink>
        </w:p>
        <w:p w14:paraId="27FFF20F"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85" w:history="1">
            <w:r w:rsidR="00BA2885" w:rsidRPr="000C7CFA">
              <w:rPr>
                <w:rStyle w:val="Hyperlink"/>
                <w:rFonts w:ascii="Verdana" w:hAnsi="Verdana"/>
                <w:noProof/>
                <w:sz w:val="18"/>
                <w:szCs w:val="18"/>
              </w:rPr>
              <w:t>4.5.1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Effects on fertility and development</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_Toc491862785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85</w:t>
            </w:r>
            <w:r w:rsidR="00BA2885" w:rsidRPr="000C7CFA">
              <w:rPr>
                <w:rFonts w:ascii="Verdana" w:hAnsi="Verdana"/>
                <w:noProof/>
                <w:webHidden/>
                <w:sz w:val="18"/>
                <w:szCs w:val="18"/>
              </w:rPr>
              <w:fldChar w:fldCharType="end"/>
            </w:r>
          </w:hyperlink>
        </w:p>
        <w:p w14:paraId="20F5E7B8"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86" w:history="1">
            <w:r w:rsidR="00BA2885" w:rsidRPr="000C7CFA">
              <w:rPr>
                <w:rStyle w:val="Hyperlink"/>
                <w:rFonts w:ascii="Verdana" w:hAnsi="Verdana"/>
                <w:noProof/>
                <w:sz w:val="18"/>
                <w:szCs w:val="18"/>
              </w:rPr>
              <w:t>4.5.2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Summary and discussion of toxicity to reproduction</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_Toc491862786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85</w:t>
            </w:r>
            <w:r w:rsidR="00BA2885" w:rsidRPr="000C7CFA">
              <w:rPr>
                <w:rFonts w:ascii="Verdana" w:hAnsi="Verdana"/>
                <w:noProof/>
                <w:webHidden/>
                <w:sz w:val="18"/>
                <w:szCs w:val="18"/>
              </w:rPr>
              <w:fldChar w:fldCharType="end"/>
            </w:r>
          </w:hyperlink>
        </w:p>
        <w:p w14:paraId="14C72F26"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87" w:history="1">
            <w:r w:rsidR="00BA2885" w:rsidRPr="000C7CFA">
              <w:rPr>
                <w:rStyle w:val="Hyperlink"/>
                <w:rFonts w:ascii="Verdana" w:hAnsi="Verdana"/>
                <w:noProof/>
                <w:sz w:val="18"/>
                <w:szCs w:val="18"/>
              </w:rPr>
              <w:t>4.6</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Summary of mammalian toxicity</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_Toc491862787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85</w:t>
            </w:r>
            <w:r w:rsidR="00BA2885" w:rsidRPr="000C7CFA">
              <w:rPr>
                <w:rFonts w:ascii="Verdana" w:hAnsi="Verdana"/>
                <w:noProof/>
                <w:webHidden/>
                <w:sz w:val="18"/>
                <w:szCs w:val="18"/>
              </w:rPr>
              <w:fldChar w:fldCharType="end"/>
            </w:r>
          </w:hyperlink>
        </w:p>
        <w:p w14:paraId="38688C36" w14:textId="77777777" w:rsidR="00BA2885" w:rsidRPr="000C7CFA" w:rsidRDefault="000C7CFA">
          <w:pPr>
            <w:pStyle w:val="TOC1"/>
            <w:tabs>
              <w:tab w:val="left" w:pos="480"/>
              <w:tab w:val="right" w:leader="dot" w:pos="8302"/>
            </w:tabs>
            <w:rPr>
              <w:rFonts w:ascii="Verdana" w:eastAsiaTheme="minorEastAsia" w:hAnsi="Verdana" w:cstheme="minorBidi"/>
              <w:noProof/>
              <w:sz w:val="18"/>
              <w:szCs w:val="18"/>
              <w:lang w:val="en-GB" w:eastAsia="en-GB"/>
            </w:rPr>
          </w:pPr>
          <w:hyperlink w:anchor="_Toc491862788" w:history="1">
            <w:r w:rsidR="00BA2885" w:rsidRPr="000C7CFA">
              <w:rPr>
                <w:rStyle w:val="Hyperlink"/>
                <w:rFonts w:ascii="Verdana" w:hAnsi="Verdana"/>
                <w:noProof/>
                <w:sz w:val="18"/>
                <w:szCs w:val="18"/>
              </w:rPr>
              <w:t>5</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Environmental hazard assessment</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_Toc491862788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87</w:t>
            </w:r>
            <w:r w:rsidR="00BA2885" w:rsidRPr="000C7CFA">
              <w:rPr>
                <w:rFonts w:ascii="Verdana" w:hAnsi="Verdana"/>
                <w:noProof/>
                <w:webHidden/>
                <w:sz w:val="18"/>
                <w:szCs w:val="18"/>
              </w:rPr>
              <w:fldChar w:fldCharType="end"/>
            </w:r>
          </w:hyperlink>
        </w:p>
        <w:p w14:paraId="1DD7D16E"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89" w:history="1">
            <w:r w:rsidR="00BA2885" w:rsidRPr="000C7CFA">
              <w:rPr>
                <w:rStyle w:val="Hyperlink"/>
                <w:rFonts w:ascii="Verdana" w:hAnsi="Verdana"/>
                <w:noProof/>
                <w:sz w:val="18"/>
                <w:szCs w:val="18"/>
              </w:rPr>
              <w:t>5.1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Aquatic compartment (including sediment)</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_Toc491862789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87</w:t>
            </w:r>
            <w:r w:rsidR="00BA2885" w:rsidRPr="000C7CFA">
              <w:rPr>
                <w:rFonts w:ascii="Verdana" w:hAnsi="Verdana"/>
                <w:noProof/>
                <w:webHidden/>
                <w:sz w:val="18"/>
                <w:szCs w:val="18"/>
              </w:rPr>
              <w:fldChar w:fldCharType="end"/>
            </w:r>
          </w:hyperlink>
        </w:p>
        <w:p w14:paraId="7B8A2C51"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90" w:history="1">
            <w:r w:rsidR="00BA2885" w:rsidRPr="000C7CFA">
              <w:rPr>
                <w:rStyle w:val="Hyperlink"/>
                <w:rFonts w:ascii="Verdana" w:hAnsi="Verdana"/>
                <w:noProof/>
                <w:sz w:val="18"/>
                <w:szCs w:val="18"/>
              </w:rPr>
              <w:t>5.1.1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Pelagic toxicity</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_Toc491862790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87</w:t>
            </w:r>
            <w:r w:rsidR="00BA2885" w:rsidRPr="000C7CFA">
              <w:rPr>
                <w:rFonts w:ascii="Verdana" w:hAnsi="Verdana"/>
                <w:noProof/>
                <w:webHidden/>
                <w:sz w:val="18"/>
                <w:szCs w:val="18"/>
              </w:rPr>
              <w:fldChar w:fldCharType="end"/>
            </w:r>
          </w:hyperlink>
        </w:p>
        <w:p w14:paraId="7ED32AF0"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91" w:history="1">
            <w:r w:rsidR="00BA2885" w:rsidRPr="000C7CFA">
              <w:rPr>
                <w:rStyle w:val="Hyperlink"/>
                <w:rFonts w:ascii="Verdana" w:hAnsi="Verdana"/>
                <w:noProof/>
                <w:sz w:val="18"/>
                <w:szCs w:val="18"/>
              </w:rPr>
              <w:t>5.1.2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Sediment organisms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_Toc491862791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101</w:t>
            </w:r>
            <w:r w:rsidR="00BA2885" w:rsidRPr="000C7CFA">
              <w:rPr>
                <w:rFonts w:ascii="Verdana" w:hAnsi="Verdana"/>
                <w:noProof/>
                <w:webHidden/>
                <w:sz w:val="18"/>
                <w:szCs w:val="18"/>
              </w:rPr>
              <w:fldChar w:fldCharType="end"/>
            </w:r>
          </w:hyperlink>
        </w:p>
        <w:p w14:paraId="062341C9"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92" w:history="1">
            <w:r w:rsidR="00BA2885" w:rsidRPr="000C7CFA">
              <w:rPr>
                <w:rStyle w:val="Hyperlink"/>
                <w:rFonts w:ascii="Verdana" w:hAnsi="Verdana"/>
                <w:noProof/>
                <w:sz w:val="18"/>
                <w:szCs w:val="18"/>
              </w:rPr>
              <w:t>5.2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Terrestrial compartment</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_Toc491862792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101</w:t>
            </w:r>
            <w:r w:rsidR="00BA2885" w:rsidRPr="000C7CFA">
              <w:rPr>
                <w:rFonts w:ascii="Verdana" w:hAnsi="Verdana"/>
                <w:noProof/>
                <w:webHidden/>
                <w:sz w:val="18"/>
                <w:szCs w:val="18"/>
              </w:rPr>
              <w:fldChar w:fldCharType="end"/>
            </w:r>
          </w:hyperlink>
        </w:p>
        <w:p w14:paraId="119F7498"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93" w:history="1">
            <w:r w:rsidR="00BA2885" w:rsidRPr="000C7CFA">
              <w:rPr>
                <w:rStyle w:val="Hyperlink"/>
                <w:rFonts w:ascii="Verdana" w:hAnsi="Verdana"/>
                <w:noProof/>
                <w:sz w:val="18"/>
                <w:szCs w:val="18"/>
              </w:rPr>
              <w:t>5.3</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Atmospheric compartment</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_Toc491862793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105</w:t>
            </w:r>
            <w:r w:rsidR="00BA2885" w:rsidRPr="000C7CFA">
              <w:rPr>
                <w:rFonts w:ascii="Verdana" w:hAnsi="Verdana"/>
                <w:noProof/>
                <w:webHidden/>
                <w:sz w:val="18"/>
                <w:szCs w:val="18"/>
              </w:rPr>
              <w:fldChar w:fldCharType="end"/>
            </w:r>
          </w:hyperlink>
        </w:p>
        <w:p w14:paraId="2D48A404"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94" w:history="1">
            <w:r w:rsidR="00BA2885" w:rsidRPr="000C7CFA">
              <w:rPr>
                <w:rStyle w:val="Hyperlink"/>
                <w:rFonts w:ascii="Verdana" w:hAnsi="Verdana"/>
                <w:noProof/>
                <w:sz w:val="18"/>
                <w:szCs w:val="18"/>
              </w:rPr>
              <w:t>5.4</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Microbiological activity in sewage treatment systems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_Toc491862794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106</w:t>
            </w:r>
            <w:r w:rsidR="00BA2885" w:rsidRPr="000C7CFA">
              <w:rPr>
                <w:rFonts w:ascii="Verdana" w:hAnsi="Verdana"/>
                <w:noProof/>
                <w:webHidden/>
                <w:sz w:val="18"/>
                <w:szCs w:val="18"/>
              </w:rPr>
              <w:fldChar w:fldCharType="end"/>
            </w:r>
          </w:hyperlink>
        </w:p>
        <w:p w14:paraId="56C8FB27"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95" w:history="1">
            <w:r w:rsidR="00BA2885" w:rsidRPr="000C7CFA">
              <w:rPr>
                <w:rStyle w:val="Hyperlink"/>
                <w:rFonts w:ascii="Verdana" w:hAnsi="Verdana"/>
                <w:noProof/>
                <w:sz w:val="18"/>
                <w:szCs w:val="18"/>
              </w:rPr>
              <w:t>5.4.1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Toxicity to aquatic micro-organisms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_Toc491862795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106</w:t>
            </w:r>
            <w:r w:rsidR="00BA2885" w:rsidRPr="000C7CFA">
              <w:rPr>
                <w:rFonts w:ascii="Verdana" w:hAnsi="Verdana"/>
                <w:noProof/>
                <w:webHidden/>
                <w:sz w:val="18"/>
                <w:szCs w:val="18"/>
              </w:rPr>
              <w:fldChar w:fldCharType="end"/>
            </w:r>
          </w:hyperlink>
        </w:p>
        <w:p w14:paraId="7757EEDE" w14:textId="77777777" w:rsidR="00BA2885" w:rsidRPr="000C7CFA" w:rsidRDefault="000C7CFA">
          <w:pPr>
            <w:pStyle w:val="TOC2"/>
            <w:tabs>
              <w:tab w:val="left" w:pos="880"/>
              <w:tab w:val="right" w:leader="dot" w:pos="8302"/>
            </w:tabs>
            <w:rPr>
              <w:rFonts w:ascii="Verdana" w:eastAsiaTheme="minorEastAsia" w:hAnsi="Verdana" w:cstheme="minorBidi"/>
              <w:noProof/>
              <w:sz w:val="18"/>
              <w:szCs w:val="18"/>
              <w:lang w:val="en-GB" w:eastAsia="en-GB"/>
            </w:rPr>
          </w:pPr>
          <w:hyperlink w:anchor="_Toc491862796" w:history="1">
            <w:r w:rsidR="00BA2885" w:rsidRPr="000C7CFA">
              <w:rPr>
                <w:rStyle w:val="Hyperlink"/>
                <w:rFonts w:ascii="Verdana" w:hAnsi="Verdana"/>
                <w:noProof/>
                <w:sz w:val="18"/>
                <w:szCs w:val="18"/>
              </w:rPr>
              <w:t>5.5</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Non compartment specific effects relevant for the food  chain (secondary poisoning)</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_Toc491862796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106</w:t>
            </w:r>
            <w:r w:rsidR="00BA2885" w:rsidRPr="000C7CFA">
              <w:rPr>
                <w:rFonts w:ascii="Verdana" w:hAnsi="Verdana"/>
                <w:noProof/>
                <w:webHidden/>
                <w:sz w:val="18"/>
                <w:szCs w:val="18"/>
              </w:rPr>
              <w:fldChar w:fldCharType="end"/>
            </w:r>
          </w:hyperlink>
        </w:p>
        <w:p w14:paraId="0373A37A"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97" w:history="1">
            <w:r w:rsidR="00BA2885" w:rsidRPr="000C7CFA">
              <w:rPr>
                <w:rStyle w:val="Hyperlink"/>
                <w:rFonts w:ascii="Verdana" w:hAnsi="Verdana"/>
                <w:noProof/>
                <w:sz w:val="18"/>
                <w:szCs w:val="18"/>
              </w:rPr>
              <w:t>5.5.1</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Toxicity to birds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_Toc491862797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106</w:t>
            </w:r>
            <w:r w:rsidR="00BA2885" w:rsidRPr="000C7CFA">
              <w:rPr>
                <w:rFonts w:ascii="Verdana" w:hAnsi="Verdana"/>
                <w:noProof/>
                <w:webHidden/>
                <w:sz w:val="18"/>
                <w:szCs w:val="18"/>
              </w:rPr>
              <w:fldChar w:fldCharType="end"/>
            </w:r>
          </w:hyperlink>
        </w:p>
        <w:p w14:paraId="0653374C" w14:textId="77777777" w:rsidR="00BA2885" w:rsidRPr="000C7CFA" w:rsidRDefault="000C7CFA">
          <w:pPr>
            <w:pStyle w:val="TOC3"/>
            <w:tabs>
              <w:tab w:val="left" w:pos="1540"/>
              <w:tab w:val="right" w:leader="dot" w:pos="8302"/>
            </w:tabs>
            <w:rPr>
              <w:rFonts w:ascii="Verdana" w:eastAsiaTheme="minorEastAsia" w:hAnsi="Verdana" w:cstheme="minorBidi"/>
              <w:noProof/>
              <w:sz w:val="18"/>
              <w:szCs w:val="18"/>
              <w:lang w:val="en-GB" w:eastAsia="en-GB"/>
            </w:rPr>
          </w:pPr>
          <w:hyperlink w:anchor="_Toc491862798" w:history="1">
            <w:r w:rsidR="00BA2885" w:rsidRPr="000C7CFA">
              <w:rPr>
                <w:rStyle w:val="Hyperlink"/>
                <w:rFonts w:ascii="Verdana" w:hAnsi="Verdana"/>
                <w:noProof/>
                <w:sz w:val="18"/>
                <w:szCs w:val="18"/>
              </w:rPr>
              <w:t>5.5.2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Toxicity to mammals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_Toc491862798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108</w:t>
            </w:r>
            <w:r w:rsidR="00BA2885" w:rsidRPr="000C7CFA">
              <w:rPr>
                <w:rFonts w:ascii="Verdana" w:hAnsi="Verdana"/>
                <w:noProof/>
                <w:webHidden/>
                <w:sz w:val="18"/>
                <w:szCs w:val="18"/>
              </w:rPr>
              <w:fldChar w:fldCharType="end"/>
            </w:r>
          </w:hyperlink>
        </w:p>
        <w:p w14:paraId="417D0606" w14:textId="77777777" w:rsidR="00BA2885" w:rsidRPr="000C7CFA" w:rsidRDefault="000C7CFA">
          <w:pPr>
            <w:pStyle w:val="TOC1"/>
            <w:tabs>
              <w:tab w:val="left" w:pos="480"/>
              <w:tab w:val="right" w:leader="dot" w:pos="8302"/>
            </w:tabs>
            <w:rPr>
              <w:rFonts w:ascii="Verdana" w:eastAsiaTheme="minorEastAsia" w:hAnsi="Verdana" w:cstheme="minorBidi"/>
              <w:noProof/>
              <w:sz w:val="18"/>
              <w:szCs w:val="18"/>
              <w:lang w:val="en-GB" w:eastAsia="en-GB"/>
            </w:rPr>
          </w:pPr>
          <w:hyperlink w:anchor="_Toc491862799" w:history="1">
            <w:r w:rsidR="00BA2885" w:rsidRPr="000C7CFA">
              <w:rPr>
                <w:rStyle w:val="Hyperlink"/>
                <w:rFonts w:ascii="Verdana" w:hAnsi="Verdana"/>
                <w:noProof/>
                <w:sz w:val="18"/>
                <w:szCs w:val="18"/>
              </w:rPr>
              <w:t>6</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Monitoring data</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_Toc491862799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109</w:t>
            </w:r>
            <w:r w:rsidR="00BA2885" w:rsidRPr="000C7CFA">
              <w:rPr>
                <w:rFonts w:ascii="Verdana" w:hAnsi="Verdana"/>
                <w:noProof/>
                <w:webHidden/>
                <w:sz w:val="18"/>
                <w:szCs w:val="18"/>
              </w:rPr>
              <w:fldChar w:fldCharType="end"/>
            </w:r>
          </w:hyperlink>
        </w:p>
        <w:p w14:paraId="745CDC7C" w14:textId="77777777" w:rsidR="00BA2885" w:rsidRPr="000C7CFA" w:rsidRDefault="000C7CFA">
          <w:pPr>
            <w:pStyle w:val="TOC1"/>
            <w:tabs>
              <w:tab w:val="left" w:pos="1100"/>
              <w:tab w:val="right" w:leader="dot" w:pos="8302"/>
            </w:tabs>
            <w:rPr>
              <w:rFonts w:ascii="Verdana" w:eastAsiaTheme="minorEastAsia" w:hAnsi="Verdana" w:cstheme="minorBidi"/>
              <w:noProof/>
              <w:sz w:val="18"/>
              <w:szCs w:val="18"/>
              <w:lang w:val="en-GB" w:eastAsia="en-GB"/>
            </w:rPr>
          </w:pPr>
          <w:hyperlink w:anchor="_Toc491862800" w:history="1">
            <w:r w:rsidR="00BA2885" w:rsidRPr="000C7CFA">
              <w:rPr>
                <w:rStyle w:val="Hyperlink"/>
                <w:rFonts w:ascii="Verdana" w:hAnsi="Verdana"/>
                <w:noProof/>
                <w:sz w:val="18"/>
                <w:szCs w:val="18"/>
              </w:rPr>
              <w:t>ANNEX</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Literature search</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_Toc491862800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110</w:t>
            </w:r>
            <w:r w:rsidR="00BA2885" w:rsidRPr="000C7CFA">
              <w:rPr>
                <w:rFonts w:ascii="Verdana" w:hAnsi="Verdana"/>
                <w:noProof/>
                <w:webHidden/>
                <w:sz w:val="18"/>
                <w:szCs w:val="18"/>
              </w:rPr>
              <w:fldChar w:fldCharType="end"/>
            </w:r>
          </w:hyperlink>
        </w:p>
        <w:p w14:paraId="298365C1" w14:textId="77777777" w:rsidR="00BA2885" w:rsidRPr="000C7CFA" w:rsidRDefault="000C7CFA">
          <w:pPr>
            <w:pStyle w:val="TOC1"/>
            <w:tabs>
              <w:tab w:val="left" w:pos="1760"/>
              <w:tab w:val="right" w:leader="dot" w:pos="8302"/>
            </w:tabs>
            <w:rPr>
              <w:rFonts w:ascii="Verdana" w:eastAsiaTheme="minorEastAsia" w:hAnsi="Verdana" w:cstheme="minorBidi"/>
              <w:noProof/>
              <w:sz w:val="18"/>
              <w:szCs w:val="18"/>
              <w:lang w:val="en-GB" w:eastAsia="en-GB"/>
            </w:rPr>
          </w:pPr>
          <w:hyperlink w:anchor="_Toc491862801" w:history="1">
            <w:r w:rsidR="00BA2885" w:rsidRPr="000C7CFA">
              <w:rPr>
                <w:rStyle w:val="Hyperlink"/>
                <w:rFonts w:ascii="Verdana" w:eastAsia="BatangChe" w:hAnsi="Verdana"/>
                <w:noProof/>
                <w:sz w:val="18"/>
                <w:szCs w:val="18"/>
              </w:rPr>
              <w:t>Appendix 2</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eastAsia="BatangChe" w:hAnsi="Verdana"/>
                <w:noProof/>
                <w:sz w:val="18"/>
                <w:szCs w:val="18"/>
              </w:rPr>
              <w:t>Transformation products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_Toc491862801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117</w:t>
            </w:r>
            <w:r w:rsidR="00BA2885" w:rsidRPr="000C7CFA">
              <w:rPr>
                <w:rFonts w:ascii="Verdana" w:hAnsi="Verdana"/>
                <w:noProof/>
                <w:webHidden/>
                <w:sz w:val="18"/>
                <w:szCs w:val="18"/>
              </w:rPr>
              <w:fldChar w:fldCharType="end"/>
            </w:r>
          </w:hyperlink>
        </w:p>
        <w:p w14:paraId="30E35563" w14:textId="77777777" w:rsidR="00BA2885" w:rsidRPr="000C7CFA" w:rsidRDefault="000C7CFA">
          <w:pPr>
            <w:pStyle w:val="TOC1"/>
            <w:tabs>
              <w:tab w:val="left" w:pos="1760"/>
              <w:tab w:val="right" w:leader="dot" w:pos="8302"/>
            </w:tabs>
            <w:rPr>
              <w:rFonts w:ascii="Verdana" w:eastAsiaTheme="minorEastAsia" w:hAnsi="Verdana" w:cstheme="minorBidi"/>
              <w:noProof/>
              <w:sz w:val="18"/>
              <w:szCs w:val="18"/>
              <w:lang w:val="en-GB" w:eastAsia="en-GB"/>
            </w:rPr>
          </w:pPr>
          <w:hyperlink w:anchor="_Toc491862802" w:history="1">
            <w:r w:rsidR="00BA2885" w:rsidRPr="000C7CFA">
              <w:rPr>
                <w:rStyle w:val="Hyperlink"/>
                <w:rFonts w:ascii="Verdana" w:eastAsia="BatangChe" w:hAnsi="Verdana"/>
                <w:noProof/>
                <w:sz w:val="18"/>
                <w:szCs w:val="18"/>
              </w:rPr>
              <w:t>Appendix 3</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eastAsia="BatangChe" w:hAnsi="Verdana"/>
                <w:noProof/>
                <w:sz w:val="18"/>
                <w:szCs w:val="18"/>
              </w:rPr>
              <w:t>Measured concentrations of Dechlorane Plus in biota associated with the aquatic environment</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_Toc491862802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126</w:t>
            </w:r>
            <w:r w:rsidR="00BA2885" w:rsidRPr="000C7CFA">
              <w:rPr>
                <w:rFonts w:ascii="Verdana" w:hAnsi="Verdana"/>
                <w:noProof/>
                <w:webHidden/>
                <w:sz w:val="18"/>
                <w:szCs w:val="18"/>
              </w:rPr>
              <w:fldChar w:fldCharType="end"/>
            </w:r>
          </w:hyperlink>
        </w:p>
        <w:p w14:paraId="1C4F7A41" w14:textId="77777777" w:rsidR="00BA2885" w:rsidRPr="000C7CFA" w:rsidRDefault="000C7CFA">
          <w:pPr>
            <w:pStyle w:val="TOC1"/>
            <w:tabs>
              <w:tab w:val="left" w:pos="1760"/>
              <w:tab w:val="right" w:leader="dot" w:pos="8302"/>
            </w:tabs>
            <w:rPr>
              <w:rFonts w:ascii="Verdana" w:eastAsiaTheme="minorEastAsia" w:hAnsi="Verdana" w:cstheme="minorBidi"/>
              <w:noProof/>
              <w:sz w:val="18"/>
              <w:szCs w:val="18"/>
              <w:lang w:val="en-GB" w:eastAsia="en-GB"/>
            </w:rPr>
          </w:pPr>
          <w:hyperlink w:anchor="_Toc491862803" w:history="1">
            <w:r w:rsidR="00BA2885" w:rsidRPr="000C7CFA">
              <w:rPr>
                <w:rStyle w:val="Hyperlink"/>
                <w:rFonts w:ascii="Verdana" w:eastAsia="BatangChe" w:hAnsi="Verdana"/>
                <w:noProof/>
                <w:sz w:val="18"/>
                <w:szCs w:val="18"/>
              </w:rPr>
              <w:t>Appendix 4</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eastAsia="BatangChe" w:hAnsi="Verdana"/>
                <w:noProof/>
                <w:sz w:val="18"/>
                <w:szCs w:val="18"/>
              </w:rPr>
              <w:t>Measured concentrations of Dechlorane Plus in biota associated with the terrestrial environment</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_Toc491862803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153</w:t>
            </w:r>
            <w:r w:rsidR="00BA2885" w:rsidRPr="000C7CFA">
              <w:rPr>
                <w:rFonts w:ascii="Verdana" w:hAnsi="Verdana"/>
                <w:noProof/>
                <w:webHidden/>
                <w:sz w:val="18"/>
                <w:szCs w:val="18"/>
              </w:rPr>
              <w:fldChar w:fldCharType="end"/>
            </w:r>
          </w:hyperlink>
        </w:p>
        <w:p w14:paraId="3011C770" w14:textId="77777777" w:rsidR="00BA2885" w:rsidRPr="000C7CFA" w:rsidRDefault="000C7CFA">
          <w:pPr>
            <w:pStyle w:val="TOC1"/>
            <w:tabs>
              <w:tab w:val="left" w:pos="1760"/>
              <w:tab w:val="right" w:leader="dot" w:pos="8302"/>
            </w:tabs>
            <w:rPr>
              <w:rFonts w:ascii="Verdana" w:eastAsiaTheme="minorEastAsia" w:hAnsi="Verdana" w:cstheme="minorBidi"/>
              <w:noProof/>
              <w:sz w:val="18"/>
              <w:szCs w:val="18"/>
              <w:lang w:val="en-GB" w:eastAsia="en-GB"/>
            </w:rPr>
          </w:pPr>
          <w:hyperlink w:anchor="_Toc491862804" w:history="1">
            <w:r w:rsidR="00BA2885" w:rsidRPr="000C7CFA">
              <w:rPr>
                <w:rStyle w:val="Hyperlink"/>
                <w:rFonts w:ascii="Verdana" w:eastAsia="BatangChe" w:hAnsi="Verdana"/>
                <w:noProof/>
                <w:sz w:val="18"/>
                <w:szCs w:val="18"/>
              </w:rPr>
              <w:t>Appendix 5</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eastAsia="BatangChe" w:hAnsi="Verdana"/>
                <w:noProof/>
                <w:sz w:val="18"/>
                <w:szCs w:val="18"/>
              </w:rPr>
              <w:t>Other European monitoring studies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_Toc491862804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165</w:t>
            </w:r>
            <w:r w:rsidR="00BA2885" w:rsidRPr="000C7CFA">
              <w:rPr>
                <w:rFonts w:ascii="Verdana" w:hAnsi="Verdana"/>
                <w:noProof/>
                <w:webHidden/>
                <w:sz w:val="18"/>
                <w:szCs w:val="18"/>
              </w:rPr>
              <w:fldChar w:fldCharType="end"/>
            </w:r>
          </w:hyperlink>
        </w:p>
        <w:p w14:paraId="351CD387" w14:textId="77777777" w:rsidR="00BA2885" w:rsidRPr="000C7CFA" w:rsidRDefault="000C7CFA">
          <w:pPr>
            <w:pStyle w:val="TOC1"/>
            <w:tabs>
              <w:tab w:val="left" w:pos="1760"/>
              <w:tab w:val="right" w:leader="dot" w:pos="8302"/>
            </w:tabs>
            <w:rPr>
              <w:rFonts w:ascii="Verdana" w:eastAsiaTheme="minorEastAsia" w:hAnsi="Verdana" w:cstheme="minorBidi"/>
              <w:noProof/>
              <w:sz w:val="18"/>
              <w:szCs w:val="18"/>
              <w:lang w:val="en-GB" w:eastAsia="en-GB"/>
            </w:rPr>
          </w:pPr>
          <w:hyperlink w:anchor="_Toc491862805" w:history="1">
            <w:r w:rsidR="00BA2885" w:rsidRPr="000C7CFA">
              <w:rPr>
                <w:rStyle w:val="Hyperlink"/>
                <w:rFonts w:ascii="Verdana" w:eastAsia="BatangChe" w:hAnsi="Verdana"/>
                <w:noProof/>
                <w:sz w:val="18"/>
                <w:szCs w:val="18"/>
              </w:rPr>
              <w:t>Appendix 6</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eastAsia="BatangChe" w:hAnsi="Verdana"/>
                <w:noProof/>
                <w:sz w:val="18"/>
                <w:szCs w:val="18"/>
              </w:rPr>
              <w:t>Comparison of laboratory bioconcentration data between substances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_Toc491862805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169</w:t>
            </w:r>
            <w:r w:rsidR="00BA2885" w:rsidRPr="000C7CFA">
              <w:rPr>
                <w:rFonts w:ascii="Verdana" w:hAnsi="Verdana"/>
                <w:noProof/>
                <w:webHidden/>
                <w:sz w:val="18"/>
                <w:szCs w:val="18"/>
              </w:rPr>
              <w:fldChar w:fldCharType="end"/>
            </w:r>
          </w:hyperlink>
        </w:p>
        <w:p w14:paraId="2DEBB298" w14:textId="77777777" w:rsidR="00BA2885" w:rsidRPr="000C7CFA" w:rsidRDefault="000C7CFA">
          <w:pPr>
            <w:pStyle w:val="TOC1"/>
            <w:tabs>
              <w:tab w:val="left" w:pos="1760"/>
              <w:tab w:val="right" w:leader="dot" w:pos="8302"/>
            </w:tabs>
            <w:rPr>
              <w:rFonts w:ascii="Verdana" w:eastAsiaTheme="minorEastAsia" w:hAnsi="Verdana" w:cstheme="minorBidi"/>
              <w:noProof/>
              <w:sz w:val="18"/>
              <w:szCs w:val="18"/>
              <w:lang w:val="en-GB" w:eastAsia="en-GB"/>
            </w:rPr>
          </w:pPr>
          <w:hyperlink w:anchor="_Toc491862806" w:history="1">
            <w:r w:rsidR="00BA2885" w:rsidRPr="000C7CFA">
              <w:rPr>
                <w:rStyle w:val="Hyperlink"/>
                <w:rFonts w:ascii="Verdana" w:hAnsi="Verdana"/>
                <w:noProof/>
                <w:sz w:val="18"/>
                <w:szCs w:val="18"/>
              </w:rPr>
              <w:t>Appendix 7</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Benchmarking of bioaccumulation using Polychlorobiphenyls (PCBs)</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_Toc491862806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175</w:t>
            </w:r>
            <w:r w:rsidR="00BA2885" w:rsidRPr="000C7CFA">
              <w:rPr>
                <w:rFonts w:ascii="Verdana" w:hAnsi="Verdana"/>
                <w:noProof/>
                <w:webHidden/>
                <w:sz w:val="18"/>
                <w:szCs w:val="18"/>
              </w:rPr>
              <w:fldChar w:fldCharType="end"/>
            </w:r>
          </w:hyperlink>
        </w:p>
        <w:p w14:paraId="462F2ECF" w14:textId="77777777" w:rsidR="00BA2885" w:rsidRPr="000C7CFA" w:rsidRDefault="000C7CFA">
          <w:pPr>
            <w:pStyle w:val="TOC1"/>
            <w:tabs>
              <w:tab w:val="right" w:leader="dot" w:pos="8302"/>
            </w:tabs>
            <w:rPr>
              <w:rFonts w:ascii="Verdana" w:eastAsiaTheme="minorEastAsia" w:hAnsi="Verdana" w:cstheme="minorBidi"/>
              <w:noProof/>
              <w:sz w:val="18"/>
              <w:szCs w:val="18"/>
              <w:lang w:val="en-GB" w:eastAsia="en-GB"/>
            </w:rPr>
          </w:pPr>
          <w:hyperlink w:anchor="_Toc491862807" w:history="1">
            <w:r w:rsidR="00BA2885" w:rsidRPr="000C7CFA">
              <w:rPr>
                <w:rStyle w:val="Hyperlink"/>
                <w:rFonts w:ascii="Verdana" w:hAnsi="Verdana"/>
                <w:noProof/>
                <w:sz w:val="18"/>
                <w:szCs w:val="18"/>
              </w:rPr>
              <w:t>Appendix 8 Predicted aquatic toxicity of selected Dechlorane Plus analogues using EPISuite v4.11</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_Toc491862807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178</w:t>
            </w:r>
            <w:r w:rsidR="00BA2885" w:rsidRPr="000C7CFA">
              <w:rPr>
                <w:rFonts w:ascii="Verdana" w:hAnsi="Verdana"/>
                <w:noProof/>
                <w:webHidden/>
                <w:sz w:val="18"/>
                <w:szCs w:val="18"/>
              </w:rPr>
              <w:fldChar w:fldCharType="end"/>
            </w:r>
          </w:hyperlink>
        </w:p>
        <w:p w14:paraId="1B23A0E1" w14:textId="77777777" w:rsidR="00BA2885" w:rsidRPr="000C7CFA" w:rsidRDefault="000C7CFA">
          <w:pPr>
            <w:pStyle w:val="TOC1"/>
            <w:tabs>
              <w:tab w:val="left" w:pos="1760"/>
              <w:tab w:val="right" w:leader="dot" w:pos="8302"/>
            </w:tabs>
            <w:rPr>
              <w:rFonts w:ascii="Verdana" w:eastAsiaTheme="minorEastAsia" w:hAnsi="Verdana" w:cstheme="minorBidi"/>
              <w:noProof/>
              <w:sz w:val="18"/>
              <w:szCs w:val="18"/>
              <w:lang w:val="en-GB" w:eastAsia="en-GB"/>
            </w:rPr>
          </w:pPr>
          <w:hyperlink w:anchor="_Toc491862808" w:history="1">
            <w:r w:rsidR="00BA2885" w:rsidRPr="000C7CFA">
              <w:rPr>
                <w:rStyle w:val="Hyperlink"/>
                <w:rFonts w:ascii="Verdana" w:hAnsi="Verdana"/>
                <w:noProof/>
                <w:sz w:val="18"/>
                <w:szCs w:val="18"/>
              </w:rPr>
              <w:t xml:space="preserve">Appendix 9 </w:t>
            </w:r>
            <w:r w:rsidR="00BA2885" w:rsidRPr="000C7CFA">
              <w:rPr>
                <w:rFonts w:ascii="Verdana" w:eastAsiaTheme="minorEastAsia" w:hAnsi="Verdana" w:cstheme="minorBidi"/>
                <w:noProof/>
                <w:sz w:val="18"/>
                <w:szCs w:val="18"/>
                <w:lang w:val="en-GB" w:eastAsia="en-GB"/>
              </w:rPr>
              <w:tab/>
            </w:r>
            <w:r w:rsidR="00BA2885" w:rsidRPr="000C7CFA">
              <w:rPr>
                <w:rStyle w:val="Hyperlink"/>
                <w:rFonts w:ascii="Verdana" w:hAnsi="Verdana"/>
                <w:noProof/>
                <w:sz w:val="18"/>
                <w:szCs w:val="18"/>
              </w:rPr>
              <w:t>Further references that appear relevant but are not included in the assessment</w:t>
            </w:r>
            <w:r w:rsidR="00BA2885" w:rsidRPr="000C7CFA">
              <w:rPr>
                <w:rFonts w:ascii="Verdana" w:hAnsi="Verdana"/>
                <w:noProof/>
                <w:webHidden/>
                <w:sz w:val="18"/>
                <w:szCs w:val="18"/>
              </w:rPr>
              <w:tab/>
            </w:r>
            <w:r w:rsidR="00BA2885" w:rsidRPr="000C7CFA">
              <w:rPr>
                <w:rFonts w:ascii="Verdana" w:hAnsi="Verdana"/>
                <w:noProof/>
                <w:webHidden/>
                <w:sz w:val="18"/>
                <w:szCs w:val="18"/>
              </w:rPr>
              <w:fldChar w:fldCharType="begin"/>
            </w:r>
            <w:r w:rsidR="00BA2885" w:rsidRPr="000C7CFA">
              <w:rPr>
                <w:rFonts w:ascii="Verdana" w:hAnsi="Verdana"/>
                <w:noProof/>
                <w:webHidden/>
                <w:sz w:val="18"/>
                <w:szCs w:val="18"/>
              </w:rPr>
              <w:instrText xml:space="preserve"> PAGEREF _Toc491862808 \h </w:instrText>
            </w:r>
            <w:r w:rsidR="00BA2885" w:rsidRPr="000C7CFA">
              <w:rPr>
                <w:rFonts w:ascii="Verdana" w:hAnsi="Verdana"/>
                <w:noProof/>
                <w:webHidden/>
                <w:sz w:val="18"/>
                <w:szCs w:val="18"/>
              </w:rPr>
            </w:r>
            <w:r w:rsidR="00BA2885" w:rsidRPr="000C7CFA">
              <w:rPr>
                <w:rFonts w:ascii="Verdana" w:hAnsi="Verdana"/>
                <w:noProof/>
                <w:webHidden/>
                <w:sz w:val="18"/>
                <w:szCs w:val="18"/>
              </w:rPr>
              <w:fldChar w:fldCharType="separate"/>
            </w:r>
            <w:r w:rsidR="00BA2885" w:rsidRPr="000C7CFA">
              <w:rPr>
                <w:rFonts w:ascii="Verdana" w:hAnsi="Verdana"/>
                <w:noProof/>
                <w:webHidden/>
                <w:sz w:val="18"/>
                <w:szCs w:val="18"/>
              </w:rPr>
              <w:t>181</w:t>
            </w:r>
            <w:r w:rsidR="00BA2885" w:rsidRPr="000C7CFA">
              <w:rPr>
                <w:rFonts w:ascii="Verdana" w:hAnsi="Verdana"/>
                <w:noProof/>
                <w:webHidden/>
                <w:sz w:val="18"/>
                <w:szCs w:val="18"/>
              </w:rPr>
              <w:fldChar w:fldCharType="end"/>
            </w:r>
          </w:hyperlink>
        </w:p>
        <w:p w14:paraId="7D3FE210" w14:textId="687F5BD9" w:rsidR="007602A0" w:rsidRPr="000C7CFA" w:rsidRDefault="008C3195">
          <w:pPr>
            <w:rPr>
              <w:rFonts w:ascii="Verdana" w:hAnsi="Verdana"/>
              <w:sz w:val="18"/>
              <w:szCs w:val="18"/>
            </w:rPr>
          </w:pPr>
          <w:r w:rsidRPr="000C7CFA">
            <w:rPr>
              <w:rFonts w:ascii="Verdana" w:hAnsi="Verdana"/>
              <w:sz w:val="18"/>
              <w:szCs w:val="18"/>
            </w:rPr>
            <w:fldChar w:fldCharType="end"/>
          </w:r>
        </w:p>
      </w:sdtContent>
    </w:sdt>
    <w:p w14:paraId="04F581D4" w14:textId="5982477B" w:rsidR="00661A8A" w:rsidRPr="000C7CFA" w:rsidRDefault="00661A8A">
      <w:pPr>
        <w:spacing w:after="0"/>
        <w:rPr>
          <w:rFonts w:ascii="Verdana" w:hAnsi="Verdana"/>
          <w:sz w:val="18"/>
          <w:szCs w:val="18"/>
        </w:rPr>
      </w:pPr>
      <w:r w:rsidRPr="000C7CFA">
        <w:rPr>
          <w:rFonts w:ascii="Verdana" w:hAnsi="Verdana"/>
          <w:sz w:val="18"/>
          <w:szCs w:val="18"/>
        </w:rPr>
        <w:br w:type="page"/>
      </w:r>
    </w:p>
    <w:p w14:paraId="7BF5EC0F" w14:textId="61097856" w:rsidR="00661A8A" w:rsidRPr="000C7CFA" w:rsidRDefault="00661A8A" w:rsidP="00661A8A">
      <w:pPr>
        <w:pStyle w:val="TOCHeading"/>
        <w:rPr>
          <w:rFonts w:ascii="Verdana" w:hAnsi="Verdana"/>
          <w:sz w:val="18"/>
          <w:szCs w:val="18"/>
        </w:rPr>
      </w:pPr>
      <w:r w:rsidRPr="000C7CFA">
        <w:rPr>
          <w:rFonts w:ascii="Verdana" w:hAnsi="Verdana"/>
          <w:sz w:val="18"/>
          <w:szCs w:val="18"/>
        </w:rPr>
        <w:lastRenderedPageBreak/>
        <w:t>Tables</w:t>
      </w:r>
    </w:p>
    <w:p w14:paraId="4D00D083" w14:textId="5993A2E8" w:rsidR="00661A8A" w:rsidRPr="000C7CFA" w:rsidRDefault="008C3195">
      <w:pPr>
        <w:pStyle w:val="TableofFigures"/>
        <w:tabs>
          <w:tab w:val="left" w:pos="1320"/>
          <w:tab w:val="right" w:leader="dot" w:pos="8302"/>
        </w:tabs>
        <w:rPr>
          <w:rFonts w:ascii="Verdana" w:eastAsiaTheme="minorEastAsia" w:hAnsi="Verdana" w:cstheme="minorBidi"/>
          <w:noProof/>
          <w:sz w:val="18"/>
          <w:szCs w:val="18"/>
          <w:lang w:val="en-GB" w:eastAsia="en-GB"/>
        </w:rPr>
      </w:pPr>
      <w:r w:rsidRPr="000C7CFA">
        <w:rPr>
          <w:rFonts w:ascii="Verdana" w:hAnsi="Verdana"/>
          <w:sz w:val="18"/>
          <w:szCs w:val="18"/>
        </w:rPr>
        <w:fldChar w:fldCharType="begin"/>
      </w:r>
      <w:r w:rsidR="00172668" w:rsidRPr="000C7CFA">
        <w:rPr>
          <w:rFonts w:ascii="Verdana" w:hAnsi="Verdana"/>
          <w:sz w:val="18"/>
          <w:szCs w:val="18"/>
        </w:rPr>
        <w:instrText xml:space="preserve"> TOC \h \z \c "Table" </w:instrText>
      </w:r>
      <w:r w:rsidRPr="000C7CFA">
        <w:rPr>
          <w:rFonts w:ascii="Verdana" w:hAnsi="Verdana"/>
          <w:sz w:val="18"/>
          <w:szCs w:val="18"/>
        </w:rPr>
        <w:fldChar w:fldCharType="separate"/>
      </w:r>
      <w:hyperlink w:anchor="_Toc489434269" w:history="1">
        <w:r w:rsidR="00661A8A" w:rsidRPr="000C7CFA">
          <w:rPr>
            <w:rStyle w:val="Hyperlink"/>
            <w:rFonts w:ascii="Verdana" w:hAnsi="Verdana"/>
            <w:noProof/>
            <w:sz w:val="18"/>
            <w:szCs w:val="18"/>
          </w:rPr>
          <w:t>Table 1:</w:t>
        </w:r>
        <w:r w:rsidR="000C7CFA">
          <w:rPr>
            <w:rStyle w:val="Hyperlink"/>
            <w:rFonts w:ascii="Verdana" w:hAnsi="Verdana"/>
            <w:noProof/>
            <w:sz w:val="18"/>
            <w:szCs w:val="18"/>
          </w:rPr>
          <w:t xml:space="preserve">  </w:t>
        </w:r>
        <w:r w:rsidR="00661A8A" w:rsidRPr="000C7CFA">
          <w:rPr>
            <w:rStyle w:val="Hyperlink"/>
            <w:rFonts w:ascii="Verdana" w:hAnsi="Verdana"/>
            <w:noProof/>
            <w:sz w:val="18"/>
            <w:szCs w:val="18"/>
          </w:rPr>
          <w:t>Abiotic monitoring data for Dechlorane Plus in remote locations</w:t>
        </w:r>
        <w:r w:rsidR="00661A8A" w:rsidRPr="000C7CFA">
          <w:rPr>
            <w:rFonts w:ascii="Verdana" w:hAnsi="Verdana"/>
            <w:noProof/>
            <w:webHidden/>
            <w:sz w:val="18"/>
            <w:szCs w:val="18"/>
          </w:rPr>
          <w:tab/>
        </w:r>
        <w:r w:rsidR="00661A8A" w:rsidRPr="000C7CFA">
          <w:rPr>
            <w:rFonts w:ascii="Verdana" w:hAnsi="Verdana"/>
            <w:noProof/>
            <w:webHidden/>
            <w:sz w:val="18"/>
            <w:szCs w:val="18"/>
          </w:rPr>
          <w:fldChar w:fldCharType="begin"/>
        </w:r>
        <w:r w:rsidR="00661A8A" w:rsidRPr="000C7CFA">
          <w:rPr>
            <w:rFonts w:ascii="Verdana" w:hAnsi="Verdana"/>
            <w:noProof/>
            <w:webHidden/>
            <w:sz w:val="18"/>
            <w:szCs w:val="18"/>
          </w:rPr>
          <w:instrText xml:space="preserve"> PAGEREF _Toc489434269 \h </w:instrText>
        </w:r>
        <w:r w:rsidR="00661A8A" w:rsidRPr="000C7CFA">
          <w:rPr>
            <w:rFonts w:ascii="Verdana" w:hAnsi="Verdana"/>
            <w:noProof/>
            <w:webHidden/>
            <w:sz w:val="18"/>
            <w:szCs w:val="18"/>
          </w:rPr>
        </w:r>
        <w:r w:rsidR="00661A8A" w:rsidRPr="000C7CFA">
          <w:rPr>
            <w:rFonts w:ascii="Verdana" w:hAnsi="Verdana"/>
            <w:noProof/>
            <w:webHidden/>
            <w:sz w:val="18"/>
            <w:szCs w:val="18"/>
          </w:rPr>
          <w:fldChar w:fldCharType="separate"/>
        </w:r>
        <w:r w:rsidR="00C76545" w:rsidRPr="000C7CFA">
          <w:rPr>
            <w:rFonts w:ascii="Verdana" w:hAnsi="Verdana"/>
            <w:noProof/>
            <w:webHidden/>
            <w:sz w:val="18"/>
            <w:szCs w:val="18"/>
          </w:rPr>
          <w:t>14</w:t>
        </w:r>
        <w:r w:rsidR="00661A8A" w:rsidRPr="000C7CFA">
          <w:rPr>
            <w:rFonts w:ascii="Verdana" w:hAnsi="Verdana"/>
            <w:noProof/>
            <w:webHidden/>
            <w:sz w:val="18"/>
            <w:szCs w:val="18"/>
          </w:rPr>
          <w:fldChar w:fldCharType="end"/>
        </w:r>
      </w:hyperlink>
    </w:p>
    <w:p w14:paraId="334C0F07" w14:textId="77777777" w:rsidR="00661A8A" w:rsidRPr="000C7CFA" w:rsidRDefault="000C7CFA" w:rsidP="000C7CFA">
      <w:pPr>
        <w:pStyle w:val="TableofFigures"/>
        <w:tabs>
          <w:tab w:val="left" w:pos="1320"/>
          <w:tab w:val="right" w:leader="dot" w:pos="8302"/>
        </w:tabs>
        <w:ind w:left="851" w:hanging="851"/>
        <w:rPr>
          <w:rFonts w:ascii="Verdana" w:eastAsiaTheme="minorEastAsia" w:hAnsi="Verdana" w:cstheme="minorBidi"/>
          <w:noProof/>
          <w:sz w:val="18"/>
          <w:szCs w:val="18"/>
          <w:lang w:val="en-GB" w:eastAsia="en-GB"/>
        </w:rPr>
      </w:pPr>
      <w:hyperlink w:anchor="_Toc489434270" w:history="1">
        <w:r w:rsidR="00661A8A" w:rsidRPr="000C7CFA">
          <w:rPr>
            <w:rStyle w:val="Hyperlink"/>
            <w:rFonts w:ascii="Verdana" w:hAnsi="Verdana"/>
            <w:noProof/>
            <w:sz w:val="18"/>
            <w:szCs w:val="18"/>
          </w:rPr>
          <w:t>Table 2:</w:t>
        </w:r>
        <w:r w:rsidR="00661A8A" w:rsidRPr="000C7CFA">
          <w:rPr>
            <w:rFonts w:ascii="Verdana" w:eastAsiaTheme="minorEastAsia" w:hAnsi="Verdana" w:cstheme="minorBidi"/>
            <w:noProof/>
            <w:sz w:val="18"/>
            <w:szCs w:val="18"/>
            <w:lang w:val="en-GB" w:eastAsia="en-GB"/>
          </w:rPr>
          <w:tab/>
        </w:r>
        <w:r w:rsidR="00661A8A" w:rsidRPr="000C7CFA">
          <w:rPr>
            <w:rStyle w:val="Hyperlink"/>
            <w:rFonts w:ascii="Verdana" w:hAnsi="Verdana"/>
            <w:noProof/>
            <w:sz w:val="18"/>
            <w:szCs w:val="18"/>
          </w:rPr>
          <w:t xml:space="preserve">Concentrations of Dechlorane Plus in a Chinese marine food web (from Peng </w:t>
        </w:r>
        <w:r w:rsidR="00661A8A" w:rsidRPr="000C7CFA">
          <w:rPr>
            <w:rStyle w:val="Hyperlink"/>
            <w:rFonts w:ascii="Verdana" w:hAnsi="Verdana"/>
            <w:i/>
            <w:noProof/>
            <w:sz w:val="18"/>
            <w:szCs w:val="18"/>
          </w:rPr>
          <w:t>et al</w:t>
        </w:r>
        <w:r w:rsidR="00661A8A" w:rsidRPr="000C7CFA">
          <w:rPr>
            <w:rStyle w:val="Hyperlink"/>
            <w:rFonts w:ascii="Verdana" w:hAnsi="Verdana"/>
            <w:noProof/>
            <w:sz w:val="18"/>
            <w:szCs w:val="18"/>
          </w:rPr>
          <w:t>., 2014)</w:t>
        </w:r>
        <w:r w:rsidR="00661A8A" w:rsidRPr="000C7CFA">
          <w:rPr>
            <w:rFonts w:ascii="Verdana" w:hAnsi="Verdana"/>
            <w:noProof/>
            <w:webHidden/>
            <w:sz w:val="18"/>
            <w:szCs w:val="18"/>
          </w:rPr>
          <w:tab/>
        </w:r>
        <w:r w:rsidR="00661A8A" w:rsidRPr="000C7CFA">
          <w:rPr>
            <w:rFonts w:ascii="Verdana" w:hAnsi="Verdana"/>
            <w:noProof/>
            <w:webHidden/>
            <w:sz w:val="18"/>
            <w:szCs w:val="18"/>
          </w:rPr>
          <w:fldChar w:fldCharType="begin"/>
        </w:r>
        <w:r w:rsidR="00661A8A" w:rsidRPr="000C7CFA">
          <w:rPr>
            <w:rFonts w:ascii="Verdana" w:hAnsi="Verdana"/>
            <w:noProof/>
            <w:webHidden/>
            <w:sz w:val="18"/>
            <w:szCs w:val="18"/>
          </w:rPr>
          <w:instrText xml:space="preserve"> PAGEREF _Toc489434270 \h </w:instrText>
        </w:r>
        <w:r w:rsidR="00661A8A" w:rsidRPr="000C7CFA">
          <w:rPr>
            <w:rFonts w:ascii="Verdana" w:hAnsi="Verdana"/>
            <w:noProof/>
            <w:webHidden/>
            <w:sz w:val="18"/>
            <w:szCs w:val="18"/>
          </w:rPr>
        </w:r>
        <w:r w:rsidR="00661A8A" w:rsidRPr="000C7CFA">
          <w:rPr>
            <w:rFonts w:ascii="Verdana" w:hAnsi="Verdana"/>
            <w:noProof/>
            <w:webHidden/>
            <w:sz w:val="18"/>
            <w:szCs w:val="18"/>
          </w:rPr>
          <w:fldChar w:fldCharType="separate"/>
        </w:r>
        <w:r w:rsidR="00C76545" w:rsidRPr="000C7CFA">
          <w:rPr>
            <w:rFonts w:ascii="Verdana" w:hAnsi="Verdana"/>
            <w:noProof/>
            <w:webHidden/>
            <w:sz w:val="18"/>
            <w:szCs w:val="18"/>
          </w:rPr>
          <w:t>47</w:t>
        </w:r>
        <w:r w:rsidR="00661A8A" w:rsidRPr="000C7CFA">
          <w:rPr>
            <w:rFonts w:ascii="Verdana" w:hAnsi="Verdana"/>
            <w:noProof/>
            <w:webHidden/>
            <w:sz w:val="18"/>
            <w:szCs w:val="18"/>
          </w:rPr>
          <w:fldChar w:fldCharType="end"/>
        </w:r>
      </w:hyperlink>
    </w:p>
    <w:p w14:paraId="07E9466E" w14:textId="77777777" w:rsidR="00661A8A" w:rsidRPr="000C7CFA" w:rsidRDefault="000C7CFA" w:rsidP="000C7CFA">
      <w:pPr>
        <w:pStyle w:val="TableofFigures"/>
        <w:tabs>
          <w:tab w:val="left" w:pos="1320"/>
          <w:tab w:val="right" w:leader="dot" w:pos="8302"/>
        </w:tabs>
        <w:ind w:left="851" w:hanging="851"/>
        <w:rPr>
          <w:rFonts w:ascii="Verdana" w:eastAsiaTheme="minorEastAsia" w:hAnsi="Verdana" w:cstheme="minorBidi"/>
          <w:noProof/>
          <w:sz w:val="18"/>
          <w:szCs w:val="18"/>
          <w:lang w:val="en-GB" w:eastAsia="en-GB"/>
        </w:rPr>
      </w:pPr>
      <w:hyperlink w:anchor="_Toc489434271" w:history="1">
        <w:r w:rsidR="00661A8A" w:rsidRPr="000C7CFA">
          <w:rPr>
            <w:rStyle w:val="Hyperlink"/>
            <w:rFonts w:ascii="Verdana" w:hAnsi="Verdana"/>
            <w:noProof/>
            <w:sz w:val="18"/>
            <w:szCs w:val="18"/>
          </w:rPr>
          <w:t>Table 3:</w:t>
        </w:r>
        <w:r w:rsidR="00661A8A" w:rsidRPr="000C7CFA">
          <w:rPr>
            <w:rFonts w:ascii="Verdana" w:eastAsiaTheme="minorEastAsia" w:hAnsi="Verdana" w:cstheme="minorBidi"/>
            <w:noProof/>
            <w:sz w:val="18"/>
            <w:szCs w:val="18"/>
            <w:lang w:val="en-GB" w:eastAsia="en-GB"/>
          </w:rPr>
          <w:tab/>
        </w:r>
        <w:r w:rsidR="00661A8A" w:rsidRPr="000C7CFA">
          <w:rPr>
            <w:rStyle w:val="Hyperlink"/>
            <w:rFonts w:ascii="Verdana" w:hAnsi="Verdana"/>
            <w:noProof/>
            <w:sz w:val="18"/>
            <w:szCs w:val="18"/>
          </w:rPr>
          <w:t xml:space="preserve">Concentrations of Dechlorane Plus and potential degradants in a Chinese freshwater food web (from Wang </w:t>
        </w:r>
        <w:r w:rsidR="00661A8A" w:rsidRPr="000C7CFA">
          <w:rPr>
            <w:rStyle w:val="Hyperlink"/>
            <w:rFonts w:ascii="Verdana" w:hAnsi="Verdana"/>
            <w:i/>
            <w:noProof/>
            <w:sz w:val="18"/>
            <w:szCs w:val="18"/>
          </w:rPr>
          <w:t>et al</w:t>
        </w:r>
        <w:r w:rsidR="00661A8A" w:rsidRPr="000C7CFA">
          <w:rPr>
            <w:rStyle w:val="Hyperlink"/>
            <w:rFonts w:ascii="Verdana" w:hAnsi="Verdana"/>
            <w:noProof/>
            <w:sz w:val="18"/>
            <w:szCs w:val="18"/>
          </w:rPr>
          <w:t>., 2015)</w:t>
        </w:r>
        <w:r w:rsidR="00661A8A" w:rsidRPr="000C7CFA">
          <w:rPr>
            <w:rFonts w:ascii="Verdana" w:hAnsi="Verdana"/>
            <w:noProof/>
            <w:webHidden/>
            <w:sz w:val="18"/>
            <w:szCs w:val="18"/>
          </w:rPr>
          <w:tab/>
        </w:r>
        <w:r w:rsidR="00661A8A" w:rsidRPr="000C7CFA">
          <w:rPr>
            <w:rFonts w:ascii="Verdana" w:hAnsi="Verdana"/>
            <w:noProof/>
            <w:webHidden/>
            <w:sz w:val="18"/>
            <w:szCs w:val="18"/>
          </w:rPr>
          <w:fldChar w:fldCharType="begin"/>
        </w:r>
        <w:r w:rsidR="00661A8A" w:rsidRPr="000C7CFA">
          <w:rPr>
            <w:rFonts w:ascii="Verdana" w:hAnsi="Verdana"/>
            <w:noProof/>
            <w:webHidden/>
            <w:sz w:val="18"/>
            <w:szCs w:val="18"/>
          </w:rPr>
          <w:instrText xml:space="preserve"> PAGEREF _Toc489434271 \h </w:instrText>
        </w:r>
        <w:r w:rsidR="00661A8A" w:rsidRPr="000C7CFA">
          <w:rPr>
            <w:rFonts w:ascii="Verdana" w:hAnsi="Verdana"/>
            <w:noProof/>
            <w:webHidden/>
            <w:sz w:val="18"/>
            <w:szCs w:val="18"/>
          </w:rPr>
        </w:r>
        <w:r w:rsidR="00661A8A" w:rsidRPr="000C7CFA">
          <w:rPr>
            <w:rFonts w:ascii="Verdana" w:hAnsi="Verdana"/>
            <w:noProof/>
            <w:webHidden/>
            <w:sz w:val="18"/>
            <w:szCs w:val="18"/>
          </w:rPr>
          <w:fldChar w:fldCharType="separate"/>
        </w:r>
        <w:r w:rsidR="00C76545" w:rsidRPr="000C7CFA">
          <w:rPr>
            <w:rFonts w:ascii="Verdana" w:hAnsi="Verdana"/>
            <w:noProof/>
            <w:webHidden/>
            <w:sz w:val="18"/>
            <w:szCs w:val="18"/>
          </w:rPr>
          <w:t>51</w:t>
        </w:r>
        <w:r w:rsidR="00661A8A" w:rsidRPr="000C7CFA">
          <w:rPr>
            <w:rFonts w:ascii="Verdana" w:hAnsi="Verdana"/>
            <w:noProof/>
            <w:webHidden/>
            <w:sz w:val="18"/>
            <w:szCs w:val="18"/>
          </w:rPr>
          <w:fldChar w:fldCharType="end"/>
        </w:r>
      </w:hyperlink>
    </w:p>
    <w:p w14:paraId="1B3F96FF" w14:textId="77777777" w:rsidR="00661A8A" w:rsidRPr="000C7CFA" w:rsidRDefault="000C7CFA" w:rsidP="000C7CFA">
      <w:pPr>
        <w:pStyle w:val="TableofFigures"/>
        <w:tabs>
          <w:tab w:val="left" w:pos="1320"/>
          <w:tab w:val="right" w:leader="dot" w:pos="8302"/>
        </w:tabs>
        <w:ind w:left="851" w:hanging="851"/>
        <w:rPr>
          <w:rFonts w:ascii="Verdana" w:eastAsiaTheme="minorEastAsia" w:hAnsi="Verdana" w:cstheme="minorBidi"/>
          <w:noProof/>
          <w:sz w:val="18"/>
          <w:szCs w:val="18"/>
          <w:lang w:val="en-GB" w:eastAsia="en-GB"/>
        </w:rPr>
      </w:pPr>
      <w:hyperlink w:anchor="_Toc489434272" w:history="1">
        <w:r w:rsidR="00661A8A" w:rsidRPr="000C7CFA">
          <w:rPr>
            <w:rStyle w:val="Hyperlink"/>
            <w:rFonts w:ascii="Verdana" w:hAnsi="Verdana"/>
            <w:noProof/>
            <w:sz w:val="18"/>
            <w:szCs w:val="18"/>
          </w:rPr>
          <w:t>Table 4:</w:t>
        </w:r>
        <w:r w:rsidR="00661A8A" w:rsidRPr="000C7CFA">
          <w:rPr>
            <w:rFonts w:ascii="Verdana" w:eastAsiaTheme="minorEastAsia" w:hAnsi="Verdana" w:cstheme="minorBidi"/>
            <w:noProof/>
            <w:sz w:val="18"/>
            <w:szCs w:val="18"/>
            <w:lang w:val="en-GB" w:eastAsia="en-GB"/>
          </w:rPr>
          <w:tab/>
        </w:r>
        <w:r w:rsidR="00661A8A" w:rsidRPr="000C7CFA">
          <w:rPr>
            <w:rStyle w:val="Hyperlink"/>
            <w:rFonts w:ascii="Verdana" w:hAnsi="Verdana"/>
            <w:noProof/>
            <w:sz w:val="18"/>
            <w:szCs w:val="18"/>
          </w:rPr>
          <w:t xml:space="preserve">Concentrations of Dechlorane Plus in a Chilean marine food web (from Barón </w:t>
        </w:r>
        <w:r w:rsidR="00661A8A" w:rsidRPr="000C7CFA">
          <w:rPr>
            <w:rStyle w:val="Hyperlink"/>
            <w:rFonts w:ascii="Verdana" w:hAnsi="Verdana"/>
            <w:i/>
            <w:noProof/>
            <w:sz w:val="18"/>
            <w:szCs w:val="18"/>
          </w:rPr>
          <w:t>et al</w:t>
        </w:r>
        <w:r w:rsidR="00661A8A" w:rsidRPr="000C7CFA">
          <w:rPr>
            <w:rStyle w:val="Hyperlink"/>
            <w:rFonts w:ascii="Verdana" w:hAnsi="Verdana"/>
            <w:noProof/>
            <w:sz w:val="18"/>
            <w:szCs w:val="18"/>
          </w:rPr>
          <w:t>., 2013)</w:t>
        </w:r>
        <w:r w:rsidR="00661A8A" w:rsidRPr="000C7CFA">
          <w:rPr>
            <w:rFonts w:ascii="Verdana" w:hAnsi="Verdana"/>
            <w:noProof/>
            <w:webHidden/>
            <w:sz w:val="18"/>
            <w:szCs w:val="18"/>
          </w:rPr>
          <w:tab/>
        </w:r>
        <w:r w:rsidR="00661A8A" w:rsidRPr="000C7CFA">
          <w:rPr>
            <w:rFonts w:ascii="Verdana" w:hAnsi="Verdana"/>
            <w:noProof/>
            <w:webHidden/>
            <w:sz w:val="18"/>
            <w:szCs w:val="18"/>
          </w:rPr>
          <w:fldChar w:fldCharType="begin"/>
        </w:r>
        <w:r w:rsidR="00661A8A" w:rsidRPr="000C7CFA">
          <w:rPr>
            <w:rFonts w:ascii="Verdana" w:hAnsi="Verdana"/>
            <w:noProof/>
            <w:webHidden/>
            <w:sz w:val="18"/>
            <w:szCs w:val="18"/>
          </w:rPr>
          <w:instrText xml:space="preserve"> PAGEREF _Toc489434272 \h </w:instrText>
        </w:r>
        <w:r w:rsidR="00661A8A" w:rsidRPr="000C7CFA">
          <w:rPr>
            <w:rFonts w:ascii="Verdana" w:hAnsi="Verdana"/>
            <w:noProof/>
            <w:webHidden/>
            <w:sz w:val="18"/>
            <w:szCs w:val="18"/>
          </w:rPr>
        </w:r>
        <w:r w:rsidR="00661A8A" w:rsidRPr="000C7CFA">
          <w:rPr>
            <w:rFonts w:ascii="Verdana" w:hAnsi="Verdana"/>
            <w:noProof/>
            <w:webHidden/>
            <w:sz w:val="18"/>
            <w:szCs w:val="18"/>
          </w:rPr>
          <w:fldChar w:fldCharType="separate"/>
        </w:r>
        <w:r w:rsidR="00C76545" w:rsidRPr="000C7CFA">
          <w:rPr>
            <w:rFonts w:ascii="Verdana" w:hAnsi="Verdana"/>
            <w:noProof/>
            <w:webHidden/>
            <w:sz w:val="18"/>
            <w:szCs w:val="18"/>
          </w:rPr>
          <w:t>53</w:t>
        </w:r>
        <w:r w:rsidR="00661A8A" w:rsidRPr="000C7CFA">
          <w:rPr>
            <w:rFonts w:ascii="Verdana" w:hAnsi="Verdana"/>
            <w:noProof/>
            <w:webHidden/>
            <w:sz w:val="18"/>
            <w:szCs w:val="18"/>
          </w:rPr>
          <w:fldChar w:fldCharType="end"/>
        </w:r>
      </w:hyperlink>
    </w:p>
    <w:p w14:paraId="71906E7B" w14:textId="77777777" w:rsidR="00661A8A" w:rsidRPr="000C7CFA" w:rsidRDefault="000C7CFA" w:rsidP="000C7CFA">
      <w:pPr>
        <w:pStyle w:val="TableofFigures"/>
        <w:tabs>
          <w:tab w:val="left" w:pos="1320"/>
          <w:tab w:val="right" w:leader="dot" w:pos="8302"/>
        </w:tabs>
        <w:ind w:left="851" w:hanging="851"/>
        <w:rPr>
          <w:rFonts w:ascii="Verdana" w:eastAsiaTheme="minorEastAsia" w:hAnsi="Verdana" w:cstheme="minorBidi"/>
          <w:noProof/>
          <w:sz w:val="18"/>
          <w:szCs w:val="18"/>
          <w:lang w:val="en-GB" w:eastAsia="en-GB"/>
        </w:rPr>
      </w:pPr>
      <w:hyperlink w:anchor="_Toc489434273" w:history="1">
        <w:r w:rsidR="00661A8A" w:rsidRPr="000C7CFA">
          <w:rPr>
            <w:rStyle w:val="Hyperlink"/>
            <w:rFonts w:ascii="Verdana" w:hAnsi="Verdana"/>
            <w:noProof/>
            <w:sz w:val="18"/>
            <w:szCs w:val="18"/>
          </w:rPr>
          <w:t>Table 5:</w:t>
        </w:r>
        <w:r w:rsidR="00661A8A" w:rsidRPr="000C7CFA">
          <w:rPr>
            <w:rFonts w:ascii="Verdana" w:eastAsiaTheme="minorEastAsia" w:hAnsi="Verdana" w:cstheme="minorBidi"/>
            <w:noProof/>
            <w:sz w:val="18"/>
            <w:szCs w:val="18"/>
            <w:lang w:val="en-GB" w:eastAsia="en-GB"/>
          </w:rPr>
          <w:tab/>
        </w:r>
        <w:r w:rsidR="00661A8A" w:rsidRPr="000C7CFA">
          <w:rPr>
            <w:rStyle w:val="Hyperlink"/>
            <w:rFonts w:ascii="Verdana" w:hAnsi="Verdana"/>
            <w:noProof/>
            <w:sz w:val="18"/>
            <w:szCs w:val="18"/>
          </w:rPr>
          <w:t xml:space="preserve">Dechlorane Plus concentrations in bird egg samples from Spain (from Barón </w:t>
        </w:r>
        <w:r w:rsidR="00661A8A" w:rsidRPr="000C7CFA">
          <w:rPr>
            <w:rStyle w:val="Hyperlink"/>
            <w:rFonts w:ascii="Verdana" w:hAnsi="Verdana"/>
            <w:i/>
            <w:noProof/>
            <w:sz w:val="18"/>
            <w:szCs w:val="18"/>
          </w:rPr>
          <w:t>et al</w:t>
        </w:r>
        <w:r w:rsidR="00661A8A" w:rsidRPr="000C7CFA">
          <w:rPr>
            <w:rStyle w:val="Hyperlink"/>
            <w:rFonts w:ascii="Verdana" w:hAnsi="Verdana"/>
            <w:noProof/>
            <w:sz w:val="18"/>
            <w:szCs w:val="18"/>
          </w:rPr>
          <w:t>., 2014a)</w:t>
        </w:r>
        <w:r w:rsidR="00661A8A" w:rsidRPr="000C7CFA">
          <w:rPr>
            <w:rFonts w:ascii="Verdana" w:hAnsi="Verdana"/>
            <w:noProof/>
            <w:webHidden/>
            <w:sz w:val="18"/>
            <w:szCs w:val="18"/>
          </w:rPr>
          <w:tab/>
        </w:r>
        <w:r w:rsidR="00661A8A" w:rsidRPr="000C7CFA">
          <w:rPr>
            <w:rFonts w:ascii="Verdana" w:hAnsi="Verdana"/>
            <w:noProof/>
            <w:webHidden/>
            <w:sz w:val="18"/>
            <w:szCs w:val="18"/>
          </w:rPr>
          <w:fldChar w:fldCharType="begin"/>
        </w:r>
        <w:r w:rsidR="00661A8A" w:rsidRPr="000C7CFA">
          <w:rPr>
            <w:rFonts w:ascii="Verdana" w:hAnsi="Verdana"/>
            <w:noProof/>
            <w:webHidden/>
            <w:sz w:val="18"/>
            <w:szCs w:val="18"/>
          </w:rPr>
          <w:instrText xml:space="preserve"> PAGEREF _Toc489434273 \h </w:instrText>
        </w:r>
        <w:r w:rsidR="00661A8A" w:rsidRPr="000C7CFA">
          <w:rPr>
            <w:rFonts w:ascii="Verdana" w:hAnsi="Verdana"/>
            <w:noProof/>
            <w:webHidden/>
            <w:sz w:val="18"/>
            <w:szCs w:val="18"/>
          </w:rPr>
        </w:r>
        <w:r w:rsidR="00661A8A" w:rsidRPr="000C7CFA">
          <w:rPr>
            <w:rFonts w:ascii="Verdana" w:hAnsi="Verdana"/>
            <w:noProof/>
            <w:webHidden/>
            <w:sz w:val="18"/>
            <w:szCs w:val="18"/>
          </w:rPr>
          <w:fldChar w:fldCharType="separate"/>
        </w:r>
        <w:r w:rsidR="00C76545" w:rsidRPr="000C7CFA">
          <w:rPr>
            <w:rFonts w:ascii="Verdana" w:hAnsi="Verdana"/>
            <w:noProof/>
            <w:webHidden/>
            <w:sz w:val="18"/>
            <w:szCs w:val="18"/>
          </w:rPr>
          <w:t>69</w:t>
        </w:r>
        <w:r w:rsidR="00661A8A" w:rsidRPr="000C7CFA">
          <w:rPr>
            <w:rFonts w:ascii="Verdana" w:hAnsi="Verdana"/>
            <w:noProof/>
            <w:webHidden/>
            <w:sz w:val="18"/>
            <w:szCs w:val="18"/>
          </w:rPr>
          <w:fldChar w:fldCharType="end"/>
        </w:r>
      </w:hyperlink>
    </w:p>
    <w:p w14:paraId="4CEB4737" w14:textId="77777777" w:rsidR="00661A8A" w:rsidRPr="000C7CFA" w:rsidRDefault="000C7CFA" w:rsidP="000C7CFA">
      <w:pPr>
        <w:pStyle w:val="TableofFigures"/>
        <w:tabs>
          <w:tab w:val="right" w:leader="dot" w:pos="8302"/>
        </w:tabs>
        <w:ind w:left="851" w:hanging="851"/>
        <w:rPr>
          <w:rFonts w:ascii="Verdana" w:eastAsiaTheme="minorEastAsia" w:hAnsi="Verdana" w:cstheme="minorBidi"/>
          <w:noProof/>
          <w:sz w:val="18"/>
          <w:szCs w:val="18"/>
          <w:lang w:val="en-GB" w:eastAsia="en-GB"/>
        </w:rPr>
      </w:pPr>
      <w:hyperlink w:anchor="_Toc489434274" w:history="1">
        <w:r w:rsidR="00661A8A" w:rsidRPr="000C7CFA">
          <w:rPr>
            <w:rStyle w:val="Hyperlink"/>
            <w:rFonts w:ascii="Verdana" w:hAnsi="Verdana"/>
            <w:noProof/>
            <w:sz w:val="18"/>
            <w:szCs w:val="18"/>
          </w:rPr>
          <w:t>Table 6: Summary of fish bioaccumulation data from WHO (1993) where uptake or depuration data are available</w:t>
        </w:r>
        <w:r w:rsidR="00661A8A" w:rsidRPr="000C7CFA">
          <w:rPr>
            <w:rFonts w:ascii="Verdana" w:hAnsi="Verdana"/>
            <w:noProof/>
            <w:webHidden/>
            <w:sz w:val="18"/>
            <w:szCs w:val="18"/>
          </w:rPr>
          <w:tab/>
        </w:r>
        <w:r w:rsidR="00661A8A" w:rsidRPr="000C7CFA">
          <w:rPr>
            <w:rFonts w:ascii="Verdana" w:hAnsi="Verdana"/>
            <w:noProof/>
            <w:webHidden/>
            <w:sz w:val="18"/>
            <w:szCs w:val="18"/>
          </w:rPr>
          <w:fldChar w:fldCharType="begin"/>
        </w:r>
        <w:r w:rsidR="00661A8A" w:rsidRPr="000C7CFA">
          <w:rPr>
            <w:rFonts w:ascii="Verdana" w:hAnsi="Verdana"/>
            <w:noProof/>
            <w:webHidden/>
            <w:sz w:val="18"/>
            <w:szCs w:val="18"/>
          </w:rPr>
          <w:instrText xml:space="preserve"> PAGEREF _Toc489434274 \h </w:instrText>
        </w:r>
        <w:r w:rsidR="00661A8A" w:rsidRPr="000C7CFA">
          <w:rPr>
            <w:rFonts w:ascii="Verdana" w:hAnsi="Verdana"/>
            <w:noProof/>
            <w:webHidden/>
            <w:sz w:val="18"/>
            <w:szCs w:val="18"/>
          </w:rPr>
        </w:r>
        <w:r w:rsidR="00661A8A" w:rsidRPr="000C7CFA">
          <w:rPr>
            <w:rFonts w:ascii="Verdana" w:hAnsi="Verdana"/>
            <w:noProof/>
            <w:webHidden/>
            <w:sz w:val="18"/>
            <w:szCs w:val="18"/>
          </w:rPr>
          <w:fldChar w:fldCharType="separate"/>
        </w:r>
        <w:r w:rsidR="00C76545" w:rsidRPr="000C7CFA">
          <w:rPr>
            <w:rFonts w:ascii="Verdana" w:hAnsi="Verdana"/>
            <w:noProof/>
            <w:webHidden/>
            <w:sz w:val="18"/>
            <w:szCs w:val="18"/>
          </w:rPr>
          <w:t>172</w:t>
        </w:r>
        <w:r w:rsidR="00661A8A" w:rsidRPr="000C7CFA">
          <w:rPr>
            <w:rFonts w:ascii="Verdana" w:hAnsi="Verdana"/>
            <w:noProof/>
            <w:webHidden/>
            <w:sz w:val="18"/>
            <w:szCs w:val="18"/>
          </w:rPr>
          <w:fldChar w:fldCharType="end"/>
        </w:r>
      </w:hyperlink>
    </w:p>
    <w:p w14:paraId="3802459A" w14:textId="77777777" w:rsidR="00172668" w:rsidRPr="000C7CFA" w:rsidRDefault="008C3195">
      <w:pPr>
        <w:rPr>
          <w:rFonts w:ascii="Verdana" w:hAnsi="Verdana"/>
          <w:sz w:val="18"/>
          <w:szCs w:val="18"/>
        </w:rPr>
      </w:pPr>
      <w:r w:rsidRPr="000C7CFA">
        <w:rPr>
          <w:rFonts w:ascii="Verdana" w:hAnsi="Verdana"/>
          <w:sz w:val="18"/>
          <w:szCs w:val="18"/>
        </w:rPr>
        <w:fldChar w:fldCharType="end"/>
      </w:r>
    </w:p>
    <w:p w14:paraId="246DE94C" w14:textId="13ECCB34" w:rsidR="00661A8A" w:rsidRPr="000C7CFA" w:rsidRDefault="00661A8A" w:rsidP="00661A8A">
      <w:pPr>
        <w:pStyle w:val="TOCHeading"/>
        <w:rPr>
          <w:rFonts w:ascii="Verdana" w:hAnsi="Verdana"/>
          <w:sz w:val="18"/>
          <w:szCs w:val="18"/>
        </w:rPr>
      </w:pPr>
      <w:r w:rsidRPr="000C7CFA">
        <w:rPr>
          <w:rFonts w:ascii="Verdana" w:hAnsi="Verdana"/>
          <w:sz w:val="18"/>
          <w:szCs w:val="18"/>
        </w:rPr>
        <w:t>Figures</w:t>
      </w:r>
    </w:p>
    <w:p w14:paraId="4EC57E98" w14:textId="30F64FAE" w:rsidR="00661A8A" w:rsidRPr="000C7CFA" w:rsidRDefault="008C3195" w:rsidP="000C7CFA">
      <w:pPr>
        <w:pStyle w:val="TableofFigures"/>
        <w:tabs>
          <w:tab w:val="left" w:pos="1540"/>
          <w:tab w:val="right" w:leader="dot" w:pos="8302"/>
        </w:tabs>
        <w:ind w:left="851" w:hanging="851"/>
        <w:rPr>
          <w:rFonts w:ascii="Verdana" w:eastAsiaTheme="minorEastAsia" w:hAnsi="Verdana" w:cstheme="minorBidi"/>
          <w:noProof/>
          <w:sz w:val="18"/>
          <w:szCs w:val="18"/>
          <w:lang w:val="en-GB" w:eastAsia="en-GB"/>
        </w:rPr>
      </w:pPr>
      <w:r w:rsidRPr="000C7CFA">
        <w:rPr>
          <w:rFonts w:ascii="Verdana" w:hAnsi="Verdana"/>
          <w:sz w:val="18"/>
          <w:szCs w:val="18"/>
          <w:lang w:val="en-GB"/>
        </w:rPr>
        <w:fldChar w:fldCharType="begin"/>
      </w:r>
      <w:r w:rsidR="00410A2A" w:rsidRPr="000C7CFA">
        <w:rPr>
          <w:rFonts w:ascii="Verdana" w:hAnsi="Verdana"/>
          <w:sz w:val="18"/>
          <w:szCs w:val="18"/>
          <w:lang w:val="en-GB"/>
        </w:rPr>
        <w:instrText xml:space="preserve"> TOC \c "Figure" </w:instrText>
      </w:r>
      <w:r w:rsidRPr="000C7CFA">
        <w:rPr>
          <w:rFonts w:ascii="Verdana" w:hAnsi="Verdana"/>
          <w:sz w:val="18"/>
          <w:szCs w:val="18"/>
          <w:lang w:val="en-GB"/>
        </w:rPr>
        <w:fldChar w:fldCharType="separate"/>
      </w:r>
      <w:r w:rsidR="00661A8A" w:rsidRPr="000C7CFA">
        <w:rPr>
          <w:rFonts w:ascii="Verdana" w:hAnsi="Verdana"/>
          <w:noProof/>
          <w:sz w:val="18"/>
          <w:szCs w:val="18"/>
        </w:rPr>
        <w:t>Figure 1: Regressions between trophic level and concentrations of syn- and anti- isomers in aquatic species at a contaminated site in South China (bars represent ± 1 standard error)</w:t>
      </w:r>
      <w:r w:rsidR="00661A8A" w:rsidRPr="000C7CFA">
        <w:rPr>
          <w:rFonts w:ascii="Verdana" w:hAnsi="Verdana"/>
          <w:noProof/>
          <w:sz w:val="18"/>
          <w:szCs w:val="18"/>
        </w:rPr>
        <w:tab/>
      </w:r>
      <w:r w:rsidR="00661A8A" w:rsidRPr="000C7CFA">
        <w:rPr>
          <w:rFonts w:ascii="Verdana" w:hAnsi="Verdana"/>
          <w:noProof/>
          <w:sz w:val="18"/>
          <w:szCs w:val="18"/>
        </w:rPr>
        <w:fldChar w:fldCharType="begin"/>
      </w:r>
      <w:r w:rsidR="00661A8A" w:rsidRPr="000C7CFA">
        <w:rPr>
          <w:rFonts w:ascii="Verdana" w:hAnsi="Verdana"/>
          <w:noProof/>
          <w:sz w:val="18"/>
          <w:szCs w:val="18"/>
        </w:rPr>
        <w:instrText xml:space="preserve"> PAGEREF _Toc489434275 \h </w:instrText>
      </w:r>
      <w:r w:rsidR="00661A8A" w:rsidRPr="000C7CFA">
        <w:rPr>
          <w:rFonts w:ascii="Verdana" w:hAnsi="Verdana"/>
          <w:noProof/>
          <w:sz w:val="18"/>
          <w:szCs w:val="18"/>
        </w:rPr>
      </w:r>
      <w:r w:rsidR="00661A8A" w:rsidRPr="000C7CFA">
        <w:rPr>
          <w:rFonts w:ascii="Verdana" w:hAnsi="Verdana"/>
          <w:noProof/>
          <w:sz w:val="18"/>
          <w:szCs w:val="18"/>
        </w:rPr>
        <w:fldChar w:fldCharType="separate"/>
      </w:r>
      <w:r w:rsidR="00C76545" w:rsidRPr="000C7CFA">
        <w:rPr>
          <w:rFonts w:ascii="Verdana" w:hAnsi="Verdana"/>
          <w:noProof/>
          <w:sz w:val="18"/>
          <w:szCs w:val="18"/>
        </w:rPr>
        <w:t>33</w:t>
      </w:r>
      <w:r w:rsidR="00661A8A" w:rsidRPr="000C7CFA">
        <w:rPr>
          <w:rFonts w:ascii="Verdana" w:hAnsi="Verdana"/>
          <w:noProof/>
          <w:sz w:val="18"/>
          <w:szCs w:val="18"/>
        </w:rPr>
        <w:fldChar w:fldCharType="end"/>
      </w:r>
    </w:p>
    <w:p w14:paraId="09966410" w14:textId="745B8EF7" w:rsidR="00661A8A" w:rsidRPr="000C7CFA" w:rsidRDefault="00661A8A" w:rsidP="000C7CFA">
      <w:pPr>
        <w:pStyle w:val="TableofFigures"/>
        <w:tabs>
          <w:tab w:val="left" w:pos="1540"/>
          <w:tab w:val="right" w:leader="dot" w:pos="8302"/>
        </w:tabs>
        <w:ind w:left="851" w:hanging="851"/>
        <w:rPr>
          <w:rFonts w:ascii="Verdana" w:eastAsiaTheme="minorEastAsia" w:hAnsi="Verdana" w:cstheme="minorBidi"/>
          <w:noProof/>
          <w:sz w:val="18"/>
          <w:szCs w:val="18"/>
          <w:lang w:val="en-GB" w:eastAsia="en-GB"/>
        </w:rPr>
      </w:pPr>
      <w:r w:rsidRPr="000C7CFA">
        <w:rPr>
          <w:rFonts w:ascii="Verdana" w:hAnsi="Verdana"/>
          <w:noProof/>
          <w:sz w:val="18"/>
          <w:szCs w:val="18"/>
        </w:rPr>
        <w:t>Figure 2: Regression between trophic level and concentrations of the anti- isomer in aquatic species in Lake Winnipeg (error bars represent ± 1 standard error)</w:t>
      </w:r>
      <w:r w:rsidRPr="000C7CFA">
        <w:rPr>
          <w:rFonts w:ascii="Verdana" w:hAnsi="Verdana"/>
          <w:noProof/>
          <w:sz w:val="18"/>
          <w:szCs w:val="18"/>
        </w:rPr>
        <w:tab/>
      </w:r>
      <w:r w:rsidRPr="000C7CFA">
        <w:rPr>
          <w:rFonts w:ascii="Verdana" w:hAnsi="Verdana"/>
          <w:noProof/>
          <w:sz w:val="18"/>
          <w:szCs w:val="18"/>
        </w:rPr>
        <w:fldChar w:fldCharType="begin"/>
      </w:r>
      <w:r w:rsidRPr="000C7CFA">
        <w:rPr>
          <w:rFonts w:ascii="Verdana" w:hAnsi="Verdana"/>
          <w:noProof/>
          <w:sz w:val="18"/>
          <w:szCs w:val="18"/>
        </w:rPr>
        <w:instrText xml:space="preserve"> PAGEREF _Toc489434276 \h </w:instrText>
      </w:r>
      <w:r w:rsidRPr="000C7CFA">
        <w:rPr>
          <w:rFonts w:ascii="Verdana" w:hAnsi="Verdana"/>
          <w:noProof/>
          <w:sz w:val="18"/>
          <w:szCs w:val="18"/>
        </w:rPr>
      </w:r>
      <w:r w:rsidRPr="000C7CFA">
        <w:rPr>
          <w:rFonts w:ascii="Verdana" w:hAnsi="Verdana"/>
          <w:noProof/>
          <w:sz w:val="18"/>
          <w:szCs w:val="18"/>
        </w:rPr>
        <w:fldChar w:fldCharType="separate"/>
      </w:r>
      <w:r w:rsidR="00C76545" w:rsidRPr="000C7CFA">
        <w:rPr>
          <w:rFonts w:ascii="Verdana" w:hAnsi="Verdana"/>
          <w:noProof/>
          <w:sz w:val="18"/>
          <w:szCs w:val="18"/>
        </w:rPr>
        <w:t>37</w:t>
      </w:r>
      <w:r w:rsidRPr="000C7CFA">
        <w:rPr>
          <w:rFonts w:ascii="Verdana" w:hAnsi="Verdana"/>
          <w:noProof/>
          <w:sz w:val="18"/>
          <w:szCs w:val="18"/>
        </w:rPr>
        <w:fldChar w:fldCharType="end"/>
      </w:r>
    </w:p>
    <w:p w14:paraId="6989814B" w14:textId="778881E1" w:rsidR="00661A8A" w:rsidRPr="000C7CFA" w:rsidRDefault="00661A8A" w:rsidP="000C7CFA">
      <w:pPr>
        <w:pStyle w:val="TableofFigures"/>
        <w:tabs>
          <w:tab w:val="left" w:pos="1540"/>
          <w:tab w:val="right" w:leader="dot" w:pos="8302"/>
        </w:tabs>
        <w:ind w:left="851" w:hanging="851"/>
        <w:rPr>
          <w:rFonts w:ascii="Verdana" w:eastAsiaTheme="minorEastAsia" w:hAnsi="Verdana" w:cstheme="minorBidi"/>
          <w:noProof/>
          <w:sz w:val="18"/>
          <w:szCs w:val="18"/>
          <w:lang w:val="en-GB" w:eastAsia="en-GB"/>
        </w:rPr>
      </w:pPr>
      <w:r w:rsidRPr="000C7CFA">
        <w:rPr>
          <w:rFonts w:ascii="Verdana" w:hAnsi="Verdana"/>
          <w:noProof/>
          <w:sz w:val="18"/>
          <w:szCs w:val="18"/>
        </w:rPr>
        <w:t>Figure 3: Relationship between δ</w:t>
      </w:r>
      <w:r w:rsidRPr="000C7CFA">
        <w:rPr>
          <w:rFonts w:ascii="Verdana" w:hAnsi="Verdana"/>
          <w:noProof/>
          <w:sz w:val="18"/>
          <w:szCs w:val="18"/>
          <w:vertAlign w:val="superscript"/>
        </w:rPr>
        <w:t>15</w:t>
      </w:r>
      <w:r w:rsidRPr="000C7CFA">
        <w:rPr>
          <w:rFonts w:ascii="Verdana" w:hAnsi="Verdana"/>
          <w:noProof/>
          <w:sz w:val="18"/>
          <w:szCs w:val="18"/>
        </w:rPr>
        <w:t>N and Dechlorane Plus muscle concentrations in wild birds from South China</w:t>
      </w:r>
      <w:r w:rsidRPr="000C7CFA">
        <w:rPr>
          <w:rFonts w:ascii="Verdana" w:hAnsi="Verdana"/>
          <w:noProof/>
          <w:sz w:val="18"/>
          <w:szCs w:val="18"/>
        </w:rPr>
        <w:tab/>
      </w:r>
      <w:r w:rsidRPr="000C7CFA">
        <w:rPr>
          <w:rFonts w:ascii="Verdana" w:hAnsi="Verdana"/>
          <w:noProof/>
          <w:sz w:val="18"/>
          <w:szCs w:val="18"/>
        </w:rPr>
        <w:fldChar w:fldCharType="begin"/>
      </w:r>
      <w:r w:rsidRPr="000C7CFA">
        <w:rPr>
          <w:rFonts w:ascii="Verdana" w:hAnsi="Verdana"/>
          <w:noProof/>
          <w:sz w:val="18"/>
          <w:szCs w:val="18"/>
        </w:rPr>
        <w:instrText xml:space="preserve"> PAGEREF _Toc489434277 \h </w:instrText>
      </w:r>
      <w:r w:rsidRPr="000C7CFA">
        <w:rPr>
          <w:rFonts w:ascii="Verdana" w:hAnsi="Verdana"/>
          <w:noProof/>
          <w:sz w:val="18"/>
          <w:szCs w:val="18"/>
        </w:rPr>
      </w:r>
      <w:r w:rsidRPr="000C7CFA">
        <w:rPr>
          <w:rFonts w:ascii="Verdana" w:hAnsi="Verdana"/>
          <w:noProof/>
          <w:sz w:val="18"/>
          <w:szCs w:val="18"/>
        </w:rPr>
        <w:fldChar w:fldCharType="separate"/>
      </w:r>
      <w:r w:rsidR="00C76545" w:rsidRPr="000C7CFA">
        <w:rPr>
          <w:rFonts w:ascii="Verdana" w:hAnsi="Verdana"/>
          <w:noProof/>
          <w:sz w:val="18"/>
          <w:szCs w:val="18"/>
        </w:rPr>
        <w:t>44</w:t>
      </w:r>
      <w:r w:rsidRPr="000C7CFA">
        <w:rPr>
          <w:rFonts w:ascii="Verdana" w:hAnsi="Verdana"/>
          <w:noProof/>
          <w:sz w:val="18"/>
          <w:szCs w:val="18"/>
        </w:rPr>
        <w:fldChar w:fldCharType="end"/>
      </w:r>
    </w:p>
    <w:p w14:paraId="5B31FF06" w14:textId="4AEB8129" w:rsidR="00661A8A" w:rsidRPr="000C7CFA" w:rsidRDefault="00661A8A" w:rsidP="000C7CFA">
      <w:pPr>
        <w:pStyle w:val="TableofFigures"/>
        <w:tabs>
          <w:tab w:val="left" w:pos="1540"/>
          <w:tab w:val="right" w:leader="dot" w:pos="8302"/>
        </w:tabs>
        <w:ind w:left="851" w:hanging="851"/>
        <w:rPr>
          <w:rFonts w:ascii="Verdana" w:eastAsiaTheme="minorEastAsia" w:hAnsi="Verdana" w:cstheme="minorBidi"/>
          <w:noProof/>
          <w:sz w:val="18"/>
          <w:szCs w:val="18"/>
          <w:lang w:val="en-GB" w:eastAsia="en-GB"/>
        </w:rPr>
      </w:pPr>
      <w:r w:rsidRPr="000C7CFA">
        <w:rPr>
          <w:rFonts w:ascii="Verdana" w:hAnsi="Verdana"/>
          <w:noProof/>
          <w:sz w:val="18"/>
          <w:szCs w:val="18"/>
        </w:rPr>
        <w:t>Figure 4: Regressions between trophic level and concentrations of anti-Dechlorane Plus in aquatic species in a Chinese marine food web (error bars represent ± 1 standard error)</w:t>
      </w:r>
      <w:r w:rsidRPr="000C7CFA">
        <w:rPr>
          <w:rFonts w:ascii="Verdana" w:hAnsi="Verdana"/>
          <w:noProof/>
          <w:sz w:val="18"/>
          <w:szCs w:val="18"/>
        </w:rPr>
        <w:tab/>
      </w:r>
      <w:r w:rsidRPr="000C7CFA">
        <w:rPr>
          <w:rFonts w:ascii="Verdana" w:hAnsi="Verdana"/>
          <w:noProof/>
          <w:sz w:val="18"/>
          <w:szCs w:val="18"/>
        </w:rPr>
        <w:fldChar w:fldCharType="begin"/>
      </w:r>
      <w:r w:rsidRPr="000C7CFA">
        <w:rPr>
          <w:rFonts w:ascii="Verdana" w:hAnsi="Verdana"/>
          <w:noProof/>
          <w:sz w:val="18"/>
          <w:szCs w:val="18"/>
        </w:rPr>
        <w:instrText xml:space="preserve"> PAGEREF _Toc489434278 \h </w:instrText>
      </w:r>
      <w:r w:rsidRPr="000C7CFA">
        <w:rPr>
          <w:rFonts w:ascii="Verdana" w:hAnsi="Verdana"/>
          <w:noProof/>
          <w:sz w:val="18"/>
          <w:szCs w:val="18"/>
        </w:rPr>
      </w:r>
      <w:r w:rsidRPr="000C7CFA">
        <w:rPr>
          <w:rFonts w:ascii="Verdana" w:hAnsi="Verdana"/>
          <w:noProof/>
          <w:sz w:val="18"/>
          <w:szCs w:val="18"/>
        </w:rPr>
        <w:fldChar w:fldCharType="separate"/>
      </w:r>
      <w:r w:rsidR="00C76545" w:rsidRPr="000C7CFA">
        <w:rPr>
          <w:rFonts w:ascii="Verdana" w:hAnsi="Verdana"/>
          <w:noProof/>
          <w:sz w:val="18"/>
          <w:szCs w:val="18"/>
        </w:rPr>
        <w:t>49</w:t>
      </w:r>
      <w:r w:rsidRPr="000C7CFA">
        <w:rPr>
          <w:rFonts w:ascii="Verdana" w:hAnsi="Verdana"/>
          <w:noProof/>
          <w:sz w:val="18"/>
          <w:szCs w:val="18"/>
        </w:rPr>
        <w:fldChar w:fldCharType="end"/>
      </w:r>
    </w:p>
    <w:p w14:paraId="28116EC9" w14:textId="47C6D570" w:rsidR="00661A8A" w:rsidRPr="000C7CFA" w:rsidRDefault="00661A8A" w:rsidP="000C7CFA">
      <w:pPr>
        <w:pStyle w:val="TableofFigures"/>
        <w:tabs>
          <w:tab w:val="left" w:pos="1540"/>
          <w:tab w:val="right" w:leader="dot" w:pos="8302"/>
        </w:tabs>
        <w:ind w:left="851" w:hanging="851"/>
        <w:rPr>
          <w:rFonts w:ascii="Verdana" w:eastAsiaTheme="minorEastAsia" w:hAnsi="Verdana" w:cstheme="minorBidi"/>
          <w:noProof/>
          <w:sz w:val="18"/>
          <w:szCs w:val="18"/>
          <w:lang w:val="en-GB" w:eastAsia="en-GB"/>
        </w:rPr>
      </w:pPr>
      <w:r w:rsidRPr="000C7CFA">
        <w:rPr>
          <w:rFonts w:ascii="Verdana" w:hAnsi="Verdana"/>
          <w:noProof/>
          <w:sz w:val="18"/>
          <w:szCs w:val="18"/>
        </w:rPr>
        <w:t>Figure 5: Regressions between trophic level and concentrations of Dechlorane Plus (anti- and total isomers) in aquatic species</w:t>
      </w:r>
      <w:r w:rsidRPr="000C7CFA">
        <w:rPr>
          <w:rFonts w:ascii="Verdana" w:hAnsi="Verdana"/>
          <w:noProof/>
          <w:sz w:val="18"/>
          <w:szCs w:val="18"/>
        </w:rPr>
        <w:tab/>
      </w:r>
      <w:r w:rsidRPr="000C7CFA">
        <w:rPr>
          <w:rFonts w:ascii="Verdana" w:hAnsi="Verdana"/>
          <w:noProof/>
          <w:sz w:val="18"/>
          <w:szCs w:val="18"/>
        </w:rPr>
        <w:fldChar w:fldCharType="begin"/>
      </w:r>
      <w:r w:rsidRPr="000C7CFA">
        <w:rPr>
          <w:rFonts w:ascii="Verdana" w:hAnsi="Verdana"/>
          <w:noProof/>
          <w:sz w:val="18"/>
          <w:szCs w:val="18"/>
        </w:rPr>
        <w:instrText xml:space="preserve"> PAGEREF _Toc489434279 \h </w:instrText>
      </w:r>
      <w:r w:rsidRPr="000C7CFA">
        <w:rPr>
          <w:rFonts w:ascii="Verdana" w:hAnsi="Verdana"/>
          <w:noProof/>
          <w:sz w:val="18"/>
          <w:szCs w:val="18"/>
        </w:rPr>
      </w:r>
      <w:r w:rsidRPr="000C7CFA">
        <w:rPr>
          <w:rFonts w:ascii="Verdana" w:hAnsi="Verdana"/>
          <w:noProof/>
          <w:sz w:val="18"/>
          <w:szCs w:val="18"/>
        </w:rPr>
        <w:fldChar w:fldCharType="separate"/>
      </w:r>
      <w:r w:rsidR="00C76545" w:rsidRPr="000C7CFA">
        <w:rPr>
          <w:rFonts w:ascii="Verdana" w:hAnsi="Verdana"/>
          <w:noProof/>
          <w:sz w:val="18"/>
          <w:szCs w:val="18"/>
        </w:rPr>
        <w:t>51</w:t>
      </w:r>
      <w:r w:rsidRPr="000C7CFA">
        <w:rPr>
          <w:rFonts w:ascii="Verdana" w:hAnsi="Verdana"/>
          <w:noProof/>
          <w:sz w:val="18"/>
          <w:szCs w:val="18"/>
        </w:rPr>
        <w:fldChar w:fldCharType="end"/>
      </w:r>
    </w:p>
    <w:p w14:paraId="3FD3D42F" w14:textId="74B36CC3" w:rsidR="00661A8A" w:rsidRPr="000C7CFA" w:rsidRDefault="00661A8A" w:rsidP="000C7CFA">
      <w:pPr>
        <w:pStyle w:val="TableofFigures"/>
        <w:tabs>
          <w:tab w:val="left" w:pos="1540"/>
          <w:tab w:val="right" w:leader="dot" w:pos="8302"/>
        </w:tabs>
        <w:ind w:left="851" w:hanging="851"/>
        <w:rPr>
          <w:rFonts w:ascii="Verdana" w:eastAsiaTheme="minorEastAsia" w:hAnsi="Verdana" w:cstheme="minorBidi"/>
          <w:noProof/>
          <w:sz w:val="18"/>
          <w:szCs w:val="18"/>
          <w:lang w:val="en-GB" w:eastAsia="en-GB"/>
        </w:rPr>
      </w:pPr>
      <w:r w:rsidRPr="000C7CFA">
        <w:rPr>
          <w:rFonts w:ascii="Verdana" w:hAnsi="Verdana"/>
          <w:noProof/>
          <w:sz w:val="18"/>
          <w:szCs w:val="18"/>
        </w:rPr>
        <w:t>Figure 6: Plot of mean total Dechlorane Plus concentrations in falconiform eggs versus δ</w:t>
      </w:r>
      <w:r w:rsidRPr="000C7CFA">
        <w:rPr>
          <w:rFonts w:ascii="Verdana" w:hAnsi="Verdana"/>
          <w:noProof/>
          <w:sz w:val="18"/>
          <w:szCs w:val="18"/>
          <w:vertAlign w:val="superscript"/>
        </w:rPr>
        <w:t>15</w:t>
      </w:r>
      <w:r w:rsidRPr="000C7CFA">
        <w:rPr>
          <w:rFonts w:ascii="Verdana" w:hAnsi="Verdana"/>
          <w:noProof/>
          <w:sz w:val="18"/>
          <w:szCs w:val="18"/>
        </w:rPr>
        <w:t>N</w:t>
      </w:r>
      <w:r w:rsidRPr="000C7CFA">
        <w:rPr>
          <w:rFonts w:ascii="Verdana" w:hAnsi="Verdana"/>
          <w:noProof/>
          <w:sz w:val="18"/>
          <w:szCs w:val="18"/>
        </w:rPr>
        <w:tab/>
      </w:r>
      <w:r w:rsidRPr="000C7CFA">
        <w:rPr>
          <w:rFonts w:ascii="Verdana" w:hAnsi="Verdana"/>
          <w:noProof/>
          <w:sz w:val="18"/>
          <w:szCs w:val="18"/>
        </w:rPr>
        <w:fldChar w:fldCharType="begin"/>
      </w:r>
      <w:r w:rsidRPr="000C7CFA">
        <w:rPr>
          <w:rFonts w:ascii="Verdana" w:hAnsi="Verdana"/>
          <w:noProof/>
          <w:sz w:val="18"/>
          <w:szCs w:val="18"/>
        </w:rPr>
        <w:instrText xml:space="preserve"> PAGEREF _Toc489434280 \h </w:instrText>
      </w:r>
      <w:r w:rsidRPr="000C7CFA">
        <w:rPr>
          <w:rFonts w:ascii="Verdana" w:hAnsi="Verdana"/>
          <w:noProof/>
          <w:sz w:val="18"/>
          <w:szCs w:val="18"/>
        </w:rPr>
      </w:r>
      <w:r w:rsidRPr="000C7CFA">
        <w:rPr>
          <w:rFonts w:ascii="Verdana" w:hAnsi="Verdana"/>
          <w:noProof/>
          <w:sz w:val="18"/>
          <w:szCs w:val="18"/>
        </w:rPr>
        <w:fldChar w:fldCharType="separate"/>
      </w:r>
      <w:r w:rsidR="00C76545" w:rsidRPr="000C7CFA">
        <w:rPr>
          <w:rFonts w:ascii="Verdana" w:hAnsi="Verdana"/>
          <w:noProof/>
          <w:sz w:val="18"/>
          <w:szCs w:val="18"/>
        </w:rPr>
        <w:t>70</w:t>
      </w:r>
      <w:r w:rsidRPr="000C7CFA">
        <w:rPr>
          <w:rFonts w:ascii="Verdana" w:hAnsi="Verdana"/>
          <w:noProof/>
          <w:sz w:val="18"/>
          <w:szCs w:val="18"/>
        </w:rPr>
        <w:fldChar w:fldCharType="end"/>
      </w:r>
    </w:p>
    <w:p w14:paraId="3C7FEDA2" w14:textId="6F5A20AA" w:rsidR="00661A8A" w:rsidRPr="000C7CFA" w:rsidRDefault="00661A8A" w:rsidP="000C7CFA">
      <w:pPr>
        <w:pStyle w:val="TableofFigures"/>
        <w:tabs>
          <w:tab w:val="left" w:pos="1540"/>
          <w:tab w:val="right" w:leader="dot" w:pos="8302"/>
        </w:tabs>
        <w:ind w:left="851" w:hanging="851"/>
        <w:rPr>
          <w:rFonts w:ascii="Verdana" w:eastAsiaTheme="minorEastAsia" w:hAnsi="Verdana" w:cstheme="minorBidi"/>
          <w:noProof/>
          <w:sz w:val="18"/>
          <w:szCs w:val="18"/>
          <w:lang w:val="en-GB" w:eastAsia="en-GB"/>
        </w:rPr>
      </w:pPr>
      <w:r w:rsidRPr="000C7CFA">
        <w:rPr>
          <w:rFonts w:ascii="Verdana" w:hAnsi="Verdana"/>
          <w:noProof/>
          <w:sz w:val="18"/>
          <w:szCs w:val="18"/>
        </w:rPr>
        <w:t>Figure 7: Plot of mean Dechlorane Plus concentrations in passerine muscle versus δ</w:t>
      </w:r>
      <w:r w:rsidRPr="000C7CFA">
        <w:rPr>
          <w:rFonts w:ascii="Verdana" w:hAnsi="Verdana"/>
          <w:noProof/>
          <w:sz w:val="18"/>
          <w:szCs w:val="18"/>
          <w:vertAlign w:val="superscript"/>
        </w:rPr>
        <w:t>15</w:t>
      </w:r>
      <w:r w:rsidRPr="000C7CFA">
        <w:rPr>
          <w:rFonts w:ascii="Verdana" w:hAnsi="Verdana"/>
          <w:noProof/>
          <w:sz w:val="18"/>
          <w:szCs w:val="18"/>
        </w:rPr>
        <w:t>N</w:t>
      </w:r>
      <w:r w:rsidRPr="000C7CFA">
        <w:rPr>
          <w:rFonts w:ascii="Verdana" w:hAnsi="Verdana"/>
          <w:noProof/>
          <w:sz w:val="18"/>
          <w:szCs w:val="18"/>
        </w:rPr>
        <w:tab/>
      </w:r>
      <w:r w:rsidRPr="000C7CFA">
        <w:rPr>
          <w:rFonts w:ascii="Verdana" w:hAnsi="Verdana"/>
          <w:noProof/>
          <w:sz w:val="18"/>
          <w:szCs w:val="18"/>
        </w:rPr>
        <w:fldChar w:fldCharType="begin"/>
      </w:r>
      <w:r w:rsidRPr="000C7CFA">
        <w:rPr>
          <w:rFonts w:ascii="Verdana" w:hAnsi="Verdana"/>
          <w:noProof/>
          <w:sz w:val="18"/>
          <w:szCs w:val="18"/>
        </w:rPr>
        <w:instrText xml:space="preserve"> PAGEREF _Toc489434281 \h </w:instrText>
      </w:r>
      <w:r w:rsidRPr="000C7CFA">
        <w:rPr>
          <w:rFonts w:ascii="Verdana" w:hAnsi="Verdana"/>
          <w:noProof/>
          <w:sz w:val="18"/>
          <w:szCs w:val="18"/>
        </w:rPr>
      </w:r>
      <w:r w:rsidRPr="000C7CFA">
        <w:rPr>
          <w:rFonts w:ascii="Verdana" w:hAnsi="Verdana"/>
          <w:noProof/>
          <w:sz w:val="18"/>
          <w:szCs w:val="18"/>
        </w:rPr>
        <w:fldChar w:fldCharType="separate"/>
      </w:r>
      <w:r w:rsidR="00C76545" w:rsidRPr="000C7CFA">
        <w:rPr>
          <w:rFonts w:ascii="Verdana" w:hAnsi="Verdana"/>
          <w:noProof/>
          <w:sz w:val="18"/>
          <w:szCs w:val="18"/>
        </w:rPr>
        <w:t>72</w:t>
      </w:r>
      <w:r w:rsidRPr="000C7CFA">
        <w:rPr>
          <w:rFonts w:ascii="Verdana" w:hAnsi="Verdana"/>
          <w:noProof/>
          <w:sz w:val="18"/>
          <w:szCs w:val="18"/>
        </w:rPr>
        <w:fldChar w:fldCharType="end"/>
      </w:r>
    </w:p>
    <w:p w14:paraId="43CCFFBB" w14:textId="2A7B7E81" w:rsidR="00A13ECF" w:rsidRPr="000C7CFA" w:rsidRDefault="008C3195" w:rsidP="000C7CFA">
      <w:pPr>
        <w:spacing w:after="0"/>
        <w:ind w:left="851" w:hanging="851"/>
        <w:rPr>
          <w:rFonts w:ascii="Verdana" w:hAnsi="Verdana"/>
          <w:sz w:val="18"/>
          <w:szCs w:val="18"/>
          <w:lang w:val="en-GB"/>
        </w:rPr>
        <w:sectPr w:rsidR="00A13ECF" w:rsidRPr="000C7CFA" w:rsidSect="0058616D">
          <w:headerReference w:type="default" r:id="rId8"/>
          <w:footerReference w:type="even" r:id="rId9"/>
          <w:footerReference w:type="default" r:id="rId10"/>
          <w:pgSz w:w="11906" w:h="16838" w:code="9"/>
          <w:pgMar w:top="1440" w:right="1558" w:bottom="1440" w:left="1797" w:header="709" w:footer="709" w:gutter="0"/>
          <w:pgNumType w:fmt="lowerRoman"/>
          <w:cols w:space="708"/>
          <w:docGrid w:linePitch="360"/>
        </w:sectPr>
      </w:pPr>
      <w:r w:rsidRPr="000C7CFA">
        <w:rPr>
          <w:rFonts w:ascii="Verdana" w:hAnsi="Verdana"/>
          <w:sz w:val="18"/>
          <w:szCs w:val="18"/>
          <w:lang w:val="en-GB"/>
        </w:rPr>
        <w:fldChar w:fldCharType="end"/>
      </w:r>
      <w:r w:rsidR="007602A0" w:rsidRPr="000C7CFA">
        <w:rPr>
          <w:rFonts w:ascii="Verdana" w:hAnsi="Verdana"/>
          <w:sz w:val="18"/>
          <w:szCs w:val="18"/>
          <w:lang w:val="en-GB"/>
        </w:rPr>
        <w:br w:type="page"/>
      </w:r>
    </w:p>
    <w:p w14:paraId="63D73037" w14:textId="2D97E213" w:rsidR="00A13ECF" w:rsidRPr="000C7CFA" w:rsidRDefault="00A63785" w:rsidP="00A13ECF">
      <w:pPr>
        <w:pBdr>
          <w:top w:val="single" w:sz="4" w:space="1" w:color="auto"/>
          <w:left w:val="single" w:sz="4" w:space="4" w:color="auto"/>
          <w:bottom w:val="single" w:sz="4" w:space="1" w:color="auto"/>
          <w:right w:val="single" w:sz="4" w:space="4" w:color="auto"/>
        </w:pBdr>
        <w:rPr>
          <w:rFonts w:ascii="Verdana" w:hAnsi="Verdana"/>
          <w:b/>
          <w:sz w:val="18"/>
          <w:szCs w:val="18"/>
        </w:rPr>
      </w:pPr>
      <w:bookmarkStart w:id="0" w:name="_Toc265765461"/>
      <w:r w:rsidRPr="000C7CFA">
        <w:rPr>
          <w:rFonts w:ascii="Verdana" w:hAnsi="Verdana"/>
          <w:b/>
          <w:sz w:val="18"/>
          <w:szCs w:val="18"/>
        </w:rPr>
        <w:lastRenderedPageBreak/>
        <w:t>Note: References cited in the appendices are included in the reference list of the main report</w:t>
      </w:r>
    </w:p>
    <w:p w14:paraId="7AF9FFCC" w14:textId="77777777" w:rsidR="00A13ECF" w:rsidRPr="000C7CFA" w:rsidRDefault="00A13ECF" w:rsidP="00A13ECF">
      <w:pPr>
        <w:pStyle w:val="Heading1"/>
        <w:numPr>
          <w:ilvl w:val="0"/>
          <w:numId w:val="0"/>
        </w:numPr>
        <w:ind w:left="574"/>
        <w:rPr>
          <w:rFonts w:ascii="Verdana" w:hAnsi="Verdana"/>
          <w:sz w:val="18"/>
          <w:szCs w:val="18"/>
        </w:rPr>
      </w:pPr>
    </w:p>
    <w:p w14:paraId="29CB05CD" w14:textId="2F1DBAC7" w:rsidR="0089163D" w:rsidRPr="000C7CFA" w:rsidRDefault="007602A0" w:rsidP="0089163D">
      <w:pPr>
        <w:pStyle w:val="Heading1"/>
        <w:rPr>
          <w:rFonts w:ascii="Verdana" w:hAnsi="Verdana"/>
          <w:sz w:val="18"/>
          <w:szCs w:val="18"/>
        </w:rPr>
      </w:pPr>
      <w:bookmarkStart w:id="1" w:name="_Toc491862758"/>
      <w:r w:rsidRPr="000C7CFA">
        <w:rPr>
          <w:rFonts w:ascii="Verdana" w:hAnsi="Verdana"/>
          <w:sz w:val="18"/>
          <w:szCs w:val="18"/>
        </w:rPr>
        <w:t>I</w:t>
      </w:r>
      <w:r w:rsidR="0089163D" w:rsidRPr="000C7CFA">
        <w:rPr>
          <w:rFonts w:ascii="Verdana" w:hAnsi="Verdana"/>
          <w:sz w:val="18"/>
          <w:szCs w:val="18"/>
        </w:rPr>
        <w:t>dentity of the substance and physical and chemical properties</w:t>
      </w:r>
      <w:bookmarkEnd w:id="0"/>
      <w:bookmarkEnd w:id="1"/>
    </w:p>
    <w:p w14:paraId="2DA6211B" w14:textId="2B53A490" w:rsidR="00581479" w:rsidRPr="000C7CFA" w:rsidRDefault="002A361D" w:rsidP="00581479">
      <w:pPr>
        <w:pStyle w:val="Heading1"/>
        <w:rPr>
          <w:rFonts w:ascii="Verdana" w:hAnsi="Verdana"/>
          <w:sz w:val="18"/>
          <w:szCs w:val="18"/>
        </w:rPr>
      </w:pPr>
      <w:bookmarkStart w:id="2" w:name="_Toc285710602"/>
      <w:bookmarkStart w:id="3" w:name="_Toc491862759"/>
      <w:r w:rsidRPr="000C7CFA">
        <w:rPr>
          <w:rFonts w:ascii="Verdana" w:hAnsi="Verdana"/>
          <w:sz w:val="18"/>
          <w:szCs w:val="18"/>
        </w:rPr>
        <w:t>C</w:t>
      </w:r>
      <w:r w:rsidR="00DF1FA5" w:rsidRPr="000C7CFA">
        <w:rPr>
          <w:rFonts w:ascii="Verdana" w:hAnsi="Verdana"/>
          <w:sz w:val="18"/>
          <w:szCs w:val="18"/>
        </w:rPr>
        <w:t>lassification and labelling</w:t>
      </w:r>
      <w:bookmarkEnd w:id="2"/>
      <w:bookmarkEnd w:id="3"/>
    </w:p>
    <w:p w14:paraId="1D672EAE" w14:textId="04AB755F" w:rsidR="0089163D" w:rsidRPr="000C7CFA" w:rsidRDefault="002A361D" w:rsidP="0089163D">
      <w:pPr>
        <w:pStyle w:val="Heading1"/>
        <w:rPr>
          <w:rFonts w:ascii="Verdana" w:hAnsi="Verdana"/>
          <w:sz w:val="18"/>
          <w:szCs w:val="18"/>
        </w:rPr>
      </w:pPr>
      <w:bookmarkStart w:id="4" w:name="_Toc265765466"/>
      <w:bookmarkStart w:id="5" w:name="_Toc491862760"/>
      <w:r w:rsidRPr="000C7CFA">
        <w:rPr>
          <w:rFonts w:ascii="Verdana" w:hAnsi="Verdana"/>
          <w:sz w:val="18"/>
          <w:szCs w:val="18"/>
        </w:rPr>
        <w:t>E</w:t>
      </w:r>
      <w:r w:rsidR="00DF1FA5" w:rsidRPr="000C7CFA">
        <w:rPr>
          <w:rFonts w:ascii="Verdana" w:hAnsi="Verdana"/>
          <w:sz w:val="18"/>
          <w:szCs w:val="18"/>
        </w:rPr>
        <w:t>nvironmental fate properties</w:t>
      </w:r>
      <w:bookmarkEnd w:id="4"/>
      <w:bookmarkEnd w:id="5"/>
    </w:p>
    <w:p w14:paraId="1A768827" w14:textId="77777777" w:rsidR="0089163D" w:rsidRPr="000C7CFA" w:rsidRDefault="00DF1FA5" w:rsidP="0089163D">
      <w:pPr>
        <w:pStyle w:val="Heading2"/>
        <w:rPr>
          <w:rFonts w:ascii="Verdana" w:hAnsi="Verdana"/>
          <w:sz w:val="18"/>
          <w:szCs w:val="18"/>
        </w:rPr>
      </w:pPr>
      <w:bookmarkStart w:id="6" w:name="_Toc265765467"/>
      <w:bookmarkStart w:id="7" w:name="_Toc491862761"/>
      <w:r w:rsidRPr="000C7CFA">
        <w:rPr>
          <w:rFonts w:ascii="Verdana" w:hAnsi="Verdana"/>
          <w:sz w:val="18"/>
          <w:szCs w:val="18"/>
        </w:rPr>
        <w:t>Degradation</w:t>
      </w:r>
      <w:bookmarkEnd w:id="6"/>
      <w:bookmarkEnd w:id="7"/>
      <w:r w:rsidRPr="000C7CFA">
        <w:rPr>
          <w:rFonts w:ascii="Verdana" w:hAnsi="Verdana"/>
          <w:sz w:val="18"/>
          <w:szCs w:val="18"/>
        </w:rPr>
        <w:t xml:space="preserve"> </w:t>
      </w:r>
    </w:p>
    <w:p w14:paraId="505209D2" w14:textId="260E058A" w:rsidR="0089163D" w:rsidRPr="000C7CFA" w:rsidRDefault="00DF1FA5" w:rsidP="008F19E3">
      <w:pPr>
        <w:pStyle w:val="Heading3"/>
        <w:ind w:left="851" w:hanging="851"/>
        <w:rPr>
          <w:rFonts w:ascii="Verdana" w:hAnsi="Verdana"/>
          <w:sz w:val="18"/>
          <w:szCs w:val="18"/>
        </w:rPr>
      </w:pPr>
      <w:bookmarkStart w:id="8" w:name="_Toc265765468"/>
      <w:bookmarkStart w:id="9" w:name="_Toc491862762"/>
      <w:r w:rsidRPr="000C7CFA">
        <w:rPr>
          <w:rFonts w:ascii="Verdana" w:hAnsi="Verdana"/>
          <w:sz w:val="18"/>
          <w:szCs w:val="18"/>
        </w:rPr>
        <w:t>Abiotic degradation</w:t>
      </w:r>
      <w:bookmarkEnd w:id="8"/>
      <w:bookmarkEnd w:id="9"/>
    </w:p>
    <w:p w14:paraId="44E20C76" w14:textId="59C59BDD" w:rsidR="00603F59" w:rsidRPr="000C7CFA" w:rsidRDefault="00603F59" w:rsidP="008F19E3">
      <w:pPr>
        <w:pStyle w:val="Heading4"/>
        <w:tabs>
          <w:tab w:val="clear" w:pos="839"/>
          <w:tab w:val="num" w:pos="284"/>
          <w:tab w:val="num" w:pos="1317"/>
        </w:tabs>
        <w:ind w:left="1317" w:hanging="1317"/>
        <w:rPr>
          <w:rFonts w:ascii="Verdana" w:hAnsi="Verdana"/>
          <w:sz w:val="18"/>
          <w:szCs w:val="18"/>
        </w:rPr>
      </w:pPr>
      <w:bookmarkStart w:id="10" w:name="_Toc341888511"/>
      <w:bookmarkStart w:id="11" w:name="_Toc342400365"/>
      <w:bookmarkStart w:id="12" w:name="_Toc202255458"/>
      <w:bookmarkStart w:id="13" w:name="_Toc265765470"/>
      <w:r w:rsidRPr="000C7CFA">
        <w:rPr>
          <w:rFonts w:ascii="Verdana" w:hAnsi="Verdana"/>
          <w:sz w:val="18"/>
          <w:szCs w:val="18"/>
        </w:rPr>
        <w:t>Hydrolysis</w:t>
      </w:r>
      <w:bookmarkEnd w:id="10"/>
      <w:bookmarkEnd w:id="11"/>
    </w:p>
    <w:p w14:paraId="670964FB" w14:textId="0CF94C5F" w:rsidR="00603F59" w:rsidRPr="000C7CFA" w:rsidRDefault="00603F59" w:rsidP="008F19E3">
      <w:pPr>
        <w:pStyle w:val="Heading4"/>
        <w:tabs>
          <w:tab w:val="clear" w:pos="839"/>
          <w:tab w:val="num" w:pos="284"/>
          <w:tab w:val="num" w:pos="1317"/>
        </w:tabs>
        <w:ind w:left="1317" w:hanging="1317"/>
        <w:rPr>
          <w:rFonts w:ascii="Verdana" w:hAnsi="Verdana"/>
          <w:sz w:val="18"/>
          <w:szCs w:val="18"/>
        </w:rPr>
      </w:pPr>
      <w:r w:rsidRPr="000C7CFA">
        <w:rPr>
          <w:rFonts w:ascii="Verdana" w:hAnsi="Verdana"/>
          <w:sz w:val="18"/>
          <w:szCs w:val="18"/>
        </w:rPr>
        <w:t>Oxidation</w:t>
      </w:r>
    </w:p>
    <w:p w14:paraId="4B19DD8C" w14:textId="77777777" w:rsidR="00745253" w:rsidRPr="000C7CFA" w:rsidRDefault="00DF1FA5" w:rsidP="008F19E3">
      <w:pPr>
        <w:pStyle w:val="Heading4"/>
        <w:tabs>
          <w:tab w:val="clear" w:pos="839"/>
          <w:tab w:val="num" w:pos="1317"/>
        </w:tabs>
        <w:ind w:left="1317" w:hanging="1317"/>
        <w:rPr>
          <w:rFonts w:ascii="Verdana" w:hAnsi="Verdana"/>
          <w:sz w:val="18"/>
          <w:szCs w:val="18"/>
        </w:rPr>
      </w:pPr>
      <w:r w:rsidRPr="000C7CFA">
        <w:rPr>
          <w:rFonts w:ascii="Verdana" w:hAnsi="Verdana"/>
          <w:sz w:val="18"/>
          <w:szCs w:val="18"/>
        </w:rPr>
        <w:t>Phototransformation/photolysis</w:t>
      </w:r>
      <w:bookmarkEnd w:id="12"/>
      <w:bookmarkEnd w:id="13"/>
      <w:r w:rsidRPr="000C7CFA">
        <w:rPr>
          <w:rFonts w:ascii="Verdana" w:hAnsi="Verdana"/>
          <w:sz w:val="18"/>
          <w:szCs w:val="18"/>
        </w:rPr>
        <w:t xml:space="preserve"> </w:t>
      </w:r>
    </w:p>
    <w:p w14:paraId="3A552E55" w14:textId="2E550BFE" w:rsidR="0089163D" w:rsidRPr="000C7CFA" w:rsidRDefault="0089163D" w:rsidP="0089163D">
      <w:pPr>
        <w:pStyle w:val="Heading5"/>
        <w:keepNext/>
        <w:tabs>
          <w:tab w:val="num" w:pos="960"/>
          <w:tab w:val="num" w:pos="2083"/>
        </w:tabs>
        <w:spacing w:before="360" w:after="200"/>
        <w:ind w:left="2083" w:hanging="2083"/>
        <w:rPr>
          <w:rFonts w:ascii="Verdana" w:hAnsi="Verdana"/>
          <w:b w:val="0"/>
          <w:sz w:val="18"/>
          <w:szCs w:val="18"/>
          <w:lang w:val="en-GB"/>
        </w:rPr>
      </w:pPr>
      <w:bookmarkStart w:id="14" w:name="_Ref199904973"/>
      <w:bookmarkStart w:id="15" w:name="_Ref199905024"/>
      <w:bookmarkStart w:id="16" w:name="_Toc202255459"/>
      <w:bookmarkStart w:id="17" w:name="_Toc265765471"/>
      <w:r w:rsidRPr="000C7CFA">
        <w:rPr>
          <w:rFonts w:ascii="Verdana" w:hAnsi="Verdana"/>
          <w:b w:val="0"/>
          <w:sz w:val="18"/>
          <w:szCs w:val="18"/>
          <w:lang w:val="en-GB"/>
        </w:rPr>
        <w:t>Phototransformation in air</w:t>
      </w:r>
      <w:bookmarkEnd w:id="14"/>
      <w:bookmarkEnd w:id="15"/>
      <w:bookmarkEnd w:id="16"/>
      <w:bookmarkEnd w:id="17"/>
    </w:p>
    <w:p w14:paraId="70DF50FC" w14:textId="77777777" w:rsidR="000A15AD" w:rsidRPr="000C7CFA" w:rsidRDefault="000A15AD" w:rsidP="000A15AD">
      <w:pPr>
        <w:rPr>
          <w:rFonts w:ascii="Verdana" w:hAnsi="Verdana"/>
          <w:sz w:val="18"/>
          <w:szCs w:val="18"/>
          <w:lang w:val="en-GB"/>
        </w:rPr>
      </w:pPr>
      <w:r w:rsidRPr="000C7CFA">
        <w:rPr>
          <w:rFonts w:ascii="Verdana" w:hAnsi="Verdana"/>
          <w:sz w:val="18"/>
          <w:szCs w:val="18"/>
          <w:lang w:val="en-GB"/>
        </w:rPr>
        <w:t xml:space="preserve">No data </w:t>
      </w:r>
      <w:r w:rsidR="00E00C9D" w:rsidRPr="000C7CFA">
        <w:rPr>
          <w:rFonts w:ascii="Verdana" w:hAnsi="Verdana"/>
          <w:sz w:val="18"/>
          <w:szCs w:val="18"/>
          <w:lang w:val="en-GB"/>
        </w:rPr>
        <w:t xml:space="preserve">are </w:t>
      </w:r>
      <w:r w:rsidRPr="000C7CFA">
        <w:rPr>
          <w:rFonts w:ascii="Verdana" w:hAnsi="Verdana"/>
          <w:sz w:val="18"/>
          <w:szCs w:val="18"/>
          <w:lang w:val="en-GB"/>
        </w:rPr>
        <w:t>reported</w:t>
      </w:r>
      <w:r w:rsidR="00093A67" w:rsidRPr="000C7CFA">
        <w:rPr>
          <w:rFonts w:ascii="Verdana" w:hAnsi="Verdana"/>
          <w:sz w:val="18"/>
          <w:szCs w:val="18"/>
          <w:lang w:val="en-GB"/>
        </w:rPr>
        <w:t xml:space="preserve"> by the </w:t>
      </w:r>
      <w:r w:rsidR="007666BB" w:rsidRPr="000C7CFA">
        <w:rPr>
          <w:rFonts w:ascii="Verdana" w:hAnsi="Verdana"/>
          <w:sz w:val="18"/>
          <w:szCs w:val="18"/>
          <w:lang w:val="en-GB"/>
        </w:rPr>
        <w:t>Registrant</w:t>
      </w:r>
      <w:r w:rsidR="00093A67" w:rsidRPr="000C7CFA">
        <w:rPr>
          <w:rFonts w:ascii="Verdana" w:hAnsi="Verdana"/>
          <w:sz w:val="18"/>
          <w:szCs w:val="18"/>
          <w:lang w:val="en-GB"/>
        </w:rPr>
        <w:t>.</w:t>
      </w:r>
      <w:r w:rsidR="00CD7102" w:rsidRPr="000C7CFA">
        <w:rPr>
          <w:rFonts w:ascii="Verdana" w:hAnsi="Verdana"/>
          <w:sz w:val="18"/>
          <w:szCs w:val="18"/>
          <w:lang w:val="en-GB"/>
        </w:rPr>
        <w:t xml:space="preserve"> </w:t>
      </w:r>
    </w:p>
    <w:p w14:paraId="4232D925" w14:textId="667E89FC" w:rsidR="006E4C22" w:rsidRPr="000C7CFA" w:rsidRDefault="00CE247C" w:rsidP="008E026E">
      <w:pPr>
        <w:jc w:val="both"/>
        <w:rPr>
          <w:rFonts w:ascii="Verdana" w:hAnsi="Verdana"/>
          <w:sz w:val="18"/>
          <w:szCs w:val="18"/>
          <w:lang w:val="en-GB" w:eastAsia="en-GB"/>
        </w:rPr>
      </w:pPr>
      <w:r w:rsidRPr="000C7CFA">
        <w:rPr>
          <w:rFonts w:ascii="Verdana" w:hAnsi="Verdana"/>
          <w:sz w:val="18"/>
          <w:szCs w:val="18"/>
        </w:rPr>
        <w:t>A UV-vis spectrum provided in the REACH registration</w:t>
      </w:r>
      <w:r w:rsidR="003E4ABF" w:rsidRPr="000C7CFA">
        <w:rPr>
          <w:rFonts w:ascii="Verdana" w:hAnsi="Verdana"/>
          <w:sz w:val="18"/>
          <w:szCs w:val="18"/>
        </w:rPr>
        <w:t xml:space="preserve"> dossier in the range 215 – 800 </w:t>
      </w:r>
      <w:r w:rsidRPr="000C7CFA">
        <w:rPr>
          <w:rFonts w:ascii="Verdana" w:hAnsi="Verdana"/>
          <w:sz w:val="18"/>
          <w:szCs w:val="18"/>
        </w:rPr>
        <w:t xml:space="preserve">nm indicates that the substance </w:t>
      </w:r>
      <w:r w:rsidR="00883E29" w:rsidRPr="000C7CFA">
        <w:rPr>
          <w:rFonts w:ascii="Verdana" w:hAnsi="Verdana"/>
          <w:sz w:val="18"/>
          <w:szCs w:val="18"/>
        </w:rPr>
        <w:t>has</w:t>
      </w:r>
      <w:r w:rsidRPr="000C7CFA">
        <w:rPr>
          <w:rFonts w:ascii="Verdana" w:hAnsi="Verdana"/>
          <w:sz w:val="18"/>
          <w:szCs w:val="18"/>
        </w:rPr>
        <w:t xml:space="preserve"> no significant absorbance above about 260 nm (the substance was dissolved in tetrahydrofuran</w:t>
      </w:r>
      <w:r w:rsidR="006E4C22" w:rsidRPr="000C7CFA">
        <w:rPr>
          <w:rFonts w:ascii="Verdana" w:hAnsi="Verdana"/>
          <w:sz w:val="18"/>
          <w:szCs w:val="18"/>
        </w:rPr>
        <w:t>, which is transparent to these wavelengths</w:t>
      </w:r>
      <w:r w:rsidRPr="000C7CFA">
        <w:rPr>
          <w:rFonts w:ascii="Verdana" w:hAnsi="Verdana"/>
          <w:sz w:val="18"/>
          <w:szCs w:val="18"/>
        </w:rPr>
        <w:t>).</w:t>
      </w:r>
      <w:r w:rsidR="006E4C22" w:rsidRPr="000C7CFA">
        <w:rPr>
          <w:rFonts w:ascii="Verdana" w:hAnsi="Verdana"/>
          <w:sz w:val="18"/>
          <w:szCs w:val="18"/>
        </w:rPr>
        <w:t xml:space="preserve"> The </w:t>
      </w:r>
      <w:r w:rsidR="007666BB" w:rsidRPr="000C7CFA">
        <w:rPr>
          <w:rFonts w:ascii="Verdana" w:hAnsi="Verdana"/>
          <w:sz w:val="18"/>
          <w:szCs w:val="18"/>
        </w:rPr>
        <w:t>Registrant</w:t>
      </w:r>
      <w:r w:rsidR="006E4C22" w:rsidRPr="000C7CFA">
        <w:rPr>
          <w:rFonts w:ascii="Verdana" w:hAnsi="Verdana"/>
          <w:sz w:val="18"/>
          <w:szCs w:val="18"/>
        </w:rPr>
        <w:t xml:space="preserve">’s technical manual indicates that Dechlorane Plus has “excellent UV stability” in </w:t>
      </w:r>
      <w:r w:rsidR="00BB3D8A" w:rsidRPr="000C7CFA">
        <w:rPr>
          <w:rFonts w:ascii="Verdana" w:hAnsi="Verdana"/>
          <w:sz w:val="18"/>
          <w:szCs w:val="18"/>
        </w:rPr>
        <w:t>comparison</w:t>
      </w:r>
      <w:r w:rsidR="006E4C22" w:rsidRPr="000C7CFA">
        <w:rPr>
          <w:rFonts w:ascii="Verdana" w:hAnsi="Verdana"/>
          <w:sz w:val="18"/>
          <w:szCs w:val="18"/>
        </w:rPr>
        <w:t xml:space="preserve"> to two common brominated flame </w:t>
      </w:r>
      <w:r w:rsidR="00BB3D8A" w:rsidRPr="000C7CFA">
        <w:rPr>
          <w:rFonts w:ascii="Verdana" w:hAnsi="Verdana"/>
          <w:sz w:val="18"/>
          <w:szCs w:val="18"/>
        </w:rPr>
        <w:t>retardants</w:t>
      </w:r>
      <w:r w:rsidR="006E4C22" w:rsidRPr="000C7CFA">
        <w:rPr>
          <w:rFonts w:ascii="Verdana" w:hAnsi="Verdana"/>
          <w:sz w:val="18"/>
          <w:szCs w:val="18"/>
        </w:rPr>
        <w:t xml:space="preserve"> used in ABS plastic (Oxychem, 2006).</w:t>
      </w:r>
    </w:p>
    <w:p w14:paraId="33C13530" w14:textId="0C483A34" w:rsidR="00D56309" w:rsidRPr="000C7CFA" w:rsidRDefault="00A7471A" w:rsidP="00A7471A">
      <w:pPr>
        <w:jc w:val="both"/>
        <w:rPr>
          <w:rFonts w:ascii="Verdana" w:hAnsi="Verdana"/>
          <w:sz w:val="18"/>
          <w:szCs w:val="18"/>
        </w:rPr>
      </w:pPr>
      <w:r w:rsidRPr="000C7CFA">
        <w:rPr>
          <w:rFonts w:ascii="Verdana" w:hAnsi="Verdana"/>
          <w:sz w:val="18"/>
          <w:szCs w:val="18"/>
          <w:u w:val="single"/>
        </w:rPr>
        <w:t xml:space="preserve">Sverko </w:t>
      </w:r>
      <w:r w:rsidRPr="000C7CFA">
        <w:rPr>
          <w:rFonts w:ascii="Verdana" w:hAnsi="Verdana"/>
          <w:i/>
          <w:sz w:val="18"/>
          <w:szCs w:val="18"/>
          <w:u w:val="single"/>
        </w:rPr>
        <w:t>et al</w:t>
      </w:r>
      <w:r w:rsidRPr="000C7CFA">
        <w:rPr>
          <w:rFonts w:ascii="Verdana" w:hAnsi="Verdana"/>
          <w:sz w:val="18"/>
          <w:szCs w:val="18"/>
          <w:u w:val="single"/>
        </w:rPr>
        <w:t>. (2008)</w:t>
      </w:r>
      <w:r w:rsidRPr="000C7CFA">
        <w:rPr>
          <w:rFonts w:ascii="Verdana" w:hAnsi="Verdana"/>
          <w:sz w:val="18"/>
          <w:szCs w:val="18"/>
        </w:rPr>
        <w:t xml:space="preserve"> irradiated a 100 ng/mL </w:t>
      </w:r>
      <w:r w:rsidR="00082A2A" w:rsidRPr="000C7CFA">
        <w:rPr>
          <w:rFonts w:ascii="Verdana" w:hAnsi="Verdana"/>
          <w:sz w:val="18"/>
          <w:szCs w:val="18"/>
        </w:rPr>
        <w:t xml:space="preserve">[µg/L] </w:t>
      </w:r>
      <w:r w:rsidRPr="000C7CFA">
        <w:rPr>
          <w:rFonts w:ascii="Verdana" w:hAnsi="Verdana"/>
          <w:sz w:val="18"/>
          <w:szCs w:val="18"/>
        </w:rPr>
        <w:t xml:space="preserve">solution of each isomer </w:t>
      </w:r>
      <w:r w:rsidR="00D56309" w:rsidRPr="000C7CFA">
        <w:rPr>
          <w:rFonts w:ascii="Verdana" w:hAnsi="Verdana"/>
          <w:sz w:val="18"/>
          <w:szCs w:val="18"/>
        </w:rPr>
        <w:t xml:space="preserve">in isooctane </w:t>
      </w:r>
      <w:r w:rsidRPr="000C7CFA">
        <w:rPr>
          <w:rFonts w:ascii="Verdana" w:hAnsi="Verdana"/>
          <w:sz w:val="18"/>
          <w:szCs w:val="18"/>
        </w:rPr>
        <w:t>to UV</w:t>
      </w:r>
      <w:r w:rsidRPr="000C7CFA">
        <w:rPr>
          <w:rFonts w:ascii="Verdana" w:hAnsi="Verdana"/>
          <w:sz w:val="18"/>
          <w:szCs w:val="18"/>
        </w:rPr>
        <w:noBreakHyphen/>
        <w:t>A light (λ ≥ 365 nm) at 30 W a</w:t>
      </w:r>
      <w:r w:rsidR="00082A2A" w:rsidRPr="000C7CFA">
        <w:rPr>
          <w:rFonts w:ascii="Verdana" w:hAnsi="Verdana"/>
          <w:sz w:val="18"/>
          <w:szCs w:val="18"/>
        </w:rPr>
        <w:t>nd</w:t>
      </w:r>
      <w:r w:rsidRPr="000C7CFA">
        <w:rPr>
          <w:rFonts w:ascii="Verdana" w:hAnsi="Verdana"/>
          <w:sz w:val="18"/>
          <w:szCs w:val="18"/>
        </w:rPr>
        <w:t xml:space="preserve"> a distance of 20 cm for 24 h per day over 31 days. The parent substance concentration had decreased by 10</w:t>
      </w:r>
      <w:r w:rsidR="00225EB6" w:rsidRPr="000C7CFA">
        <w:rPr>
          <w:rFonts w:ascii="Verdana" w:hAnsi="Verdana"/>
          <w:sz w:val="18"/>
          <w:szCs w:val="18"/>
        </w:rPr>
        <w:t xml:space="preserve"> </w:t>
      </w:r>
      <w:r w:rsidRPr="000C7CFA">
        <w:rPr>
          <w:rFonts w:ascii="Verdana" w:hAnsi="Verdana"/>
          <w:sz w:val="18"/>
          <w:szCs w:val="18"/>
        </w:rPr>
        <w:t xml:space="preserve">% </w:t>
      </w:r>
      <w:r w:rsidR="00082A2A" w:rsidRPr="000C7CFA">
        <w:rPr>
          <w:rFonts w:ascii="Verdana" w:hAnsi="Verdana"/>
          <w:sz w:val="18"/>
          <w:szCs w:val="18"/>
        </w:rPr>
        <w:t>after</w:t>
      </w:r>
      <w:r w:rsidRPr="000C7CFA">
        <w:rPr>
          <w:rFonts w:ascii="Verdana" w:hAnsi="Verdana"/>
          <w:sz w:val="18"/>
          <w:szCs w:val="18"/>
        </w:rPr>
        <w:t xml:space="preserve"> 168 h [7 d] with a further loss of 40</w:t>
      </w:r>
      <w:r w:rsidR="00225EB6" w:rsidRPr="000C7CFA">
        <w:rPr>
          <w:rFonts w:ascii="Verdana" w:hAnsi="Verdana"/>
          <w:sz w:val="18"/>
          <w:szCs w:val="18"/>
        </w:rPr>
        <w:t xml:space="preserve"> </w:t>
      </w:r>
      <w:r w:rsidRPr="000C7CFA">
        <w:rPr>
          <w:rFonts w:ascii="Verdana" w:hAnsi="Verdana"/>
          <w:sz w:val="18"/>
          <w:szCs w:val="18"/>
        </w:rPr>
        <w:t>% at 264 h [11 d] and 6</w:t>
      </w:r>
      <w:r w:rsidR="00AF7606" w:rsidRPr="000C7CFA">
        <w:rPr>
          <w:rFonts w:ascii="Verdana" w:hAnsi="Verdana"/>
          <w:sz w:val="18"/>
          <w:szCs w:val="18"/>
        </w:rPr>
        <w:t>5 %</w:t>
      </w:r>
      <w:r w:rsidRPr="000C7CFA">
        <w:rPr>
          <w:rFonts w:ascii="Verdana" w:hAnsi="Verdana"/>
          <w:sz w:val="18"/>
          <w:szCs w:val="18"/>
        </w:rPr>
        <w:t xml:space="preserve"> at 504 h [21 d]. Anti-DP </w:t>
      </w:r>
      <w:r w:rsidR="002C531F" w:rsidRPr="000C7CFA">
        <w:rPr>
          <w:rFonts w:ascii="Verdana" w:hAnsi="Verdana"/>
          <w:sz w:val="18"/>
          <w:szCs w:val="18"/>
        </w:rPr>
        <w:t>was said</w:t>
      </w:r>
      <w:r w:rsidRPr="000C7CFA">
        <w:rPr>
          <w:rFonts w:ascii="Verdana" w:hAnsi="Verdana"/>
          <w:sz w:val="18"/>
          <w:szCs w:val="18"/>
        </w:rPr>
        <w:t xml:space="preserve"> to degrade more readily than the syn- isomer</w:t>
      </w:r>
      <w:r w:rsidR="002C531F" w:rsidRPr="000C7CFA">
        <w:rPr>
          <w:rFonts w:ascii="Verdana" w:hAnsi="Verdana"/>
          <w:sz w:val="18"/>
          <w:szCs w:val="18"/>
        </w:rPr>
        <w:t>, although no information was provided on relative rates</w:t>
      </w:r>
      <w:r w:rsidR="00082A2A" w:rsidRPr="000C7CFA">
        <w:rPr>
          <w:rFonts w:ascii="Verdana" w:hAnsi="Verdana"/>
          <w:sz w:val="18"/>
          <w:szCs w:val="18"/>
        </w:rPr>
        <w:t>, and degradation products were not identified</w:t>
      </w:r>
      <w:r w:rsidRPr="000C7CFA">
        <w:rPr>
          <w:rFonts w:ascii="Verdana" w:hAnsi="Verdana"/>
          <w:sz w:val="18"/>
          <w:szCs w:val="18"/>
        </w:rPr>
        <w:t xml:space="preserve">. </w:t>
      </w:r>
    </w:p>
    <w:p w14:paraId="688C55E6" w14:textId="23789E67" w:rsidR="00395687" w:rsidRPr="000C7CFA" w:rsidRDefault="00395687" w:rsidP="00395687">
      <w:pPr>
        <w:jc w:val="both"/>
        <w:rPr>
          <w:rFonts w:ascii="Verdana" w:hAnsi="Verdana"/>
          <w:sz w:val="18"/>
          <w:szCs w:val="18"/>
        </w:rPr>
      </w:pPr>
      <w:r w:rsidRPr="000C7CFA">
        <w:rPr>
          <w:rFonts w:ascii="Verdana" w:hAnsi="Verdana"/>
          <w:sz w:val="18"/>
          <w:szCs w:val="18"/>
          <w:u w:val="single"/>
        </w:rPr>
        <w:t xml:space="preserve">Wang </w:t>
      </w:r>
      <w:r w:rsidRPr="000C7CFA">
        <w:rPr>
          <w:rFonts w:ascii="Verdana" w:hAnsi="Verdana"/>
          <w:i/>
          <w:sz w:val="18"/>
          <w:szCs w:val="18"/>
          <w:u w:val="single"/>
        </w:rPr>
        <w:t>et al.</w:t>
      </w:r>
      <w:r w:rsidRPr="000C7CFA">
        <w:rPr>
          <w:rFonts w:ascii="Verdana" w:hAnsi="Verdana"/>
          <w:sz w:val="18"/>
          <w:szCs w:val="18"/>
          <w:u w:val="single"/>
        </w:rPr>
        <w:t xml:space="preserve"> (2011)</w:t>
      </w:r>
      <w:r w:rsidRPr="000C7CFA">
        <w:rPr>
          <w:rFonts w:ascii="Verdana" w:hAnsi="Verdana"/>
          <w:sz w:val="18"/>
          <w:szCs w:val="18"/>
        </w:rPr>
        <w:t xml:space="preserve"> carried out some photodegradation experiments with syn- and anti-DP in isooctane. Solutions of the substance were exposed to UV light from a 125 W high pressure mercury lamp at 20 °C for up to 30 minutes. In both cases the concentration of Dechlorane Plus declined to around </w:t>
      </w:r>
      <w:r w:rsidR="00AF7606" w:rsidRPr="000C7CFA">
        <w:rPr>
          <w:rFonts w:ascii="Verdana" w:hAnsi="Verdana"/>
          <w:sz w:val="18"/>
          <w:szCs w:val="18"/>
        </w:rPr>
        <w:t>3 %</w:t>
      </w:r>
      <w:r w:rsidRPr="000C7CFA">
        <w:rPr>
          <w:rFonts w:ascii="Verdana" w:hAnsi="Verdana"/>
          <w:sz w:val="18"/>
          <w:szCs w:val="18"/>
        </w:rPr>
        <w:t xml:space="preserve"> of its initial value after 15 minutes and the degradation products were mainly the reductive dechlorination products </w:t>
      </w:r>
      <w:r w:rsidRPr="000C7CFA">
        <w:rPr>
          <w:rFonts w:ascii="Verdana" w:hAnsi="Verdana"/>
          <w:sz w:val="18"/>
          <w:szCs w:val="18"/>
          <w:lang w:val="en-GB"/>
        </w:rPr>
        <w:t>DP-1Cl and DP-2Cl</w:t>
      </w:r>
      <w:r w:rsidRPr="000C7CFA">
        <w:rPr>
          <w:rFonts w:ascii="Verdana" w:hAnsi="Verdana"/>
          <w:sz w:val="18"/>
          <w:szCs w:val="18"/>
        </w:rPr>
        <w:t>. The half-life was determined to be 2.82 minutes for anti-DP and 2.94 minutes for syn-DP.</w:t>
      </w:r>
    </w:p>
    <w:p w14:paraId="162236A0" w14:textId="77777777" w:rsidR="00D56309" w:rsidRPr="000C7CFA" w:rsidRDefault="009D7D9F" w:rsidP="00A7471A">
      <w:pPr>
        <w:jc w:val="both"/>
        <w:rPr>
          <w:rFonts w:ascii="Verdana" w:hAnsi="Verdana"/>
          <w:sz w:val="18"/>
          <w:szCs w:val="18"/>
        </w:rPr>
      </w:pPr>
      <w:r w:rsidRPr="000C7CFA">
        <w:rPr>
          <w:rFonts w:ascii="Verdana" w:hAnsi="Verdana"/>
          <w:sz w:val="18"/>
          <w:szCs w:val="18"/>
          <w:u w:val="single"/>
        </w:rPr>
        <w:t xml:space="preserve">Li </w:t>
      </w:r>
      <w:r w:rsidRPr="000C7CFA">
        <w:rPr>
          <w:rFonts w:ascii="Verdana" w:hAnsi="Verdana"/>
          <w:i/>
          <w:sz w:val="18"/>
          <w:szCs w:val="18"/>
          <w:u w:val="single"/>
        </w:rPr>
        <w:t>et al</w:t>
      </w:r>
      <w:r w:rsidRPr="000C7CFA">
        <w:rPr>
          <w:rFonts w:ascii="Verdana" w:hAnsi="Verdana"/>
          <w:sz w:val="18"/>
          <w:szCs w:val="18"/>
          <w:u w:val="single"/>
        </w:rPr>
        <w:t>. (2013b)</w:t>
      </w:r>
      <w:r w:rsidRPr="000C7CFA">
        <w:rPr>
          <w:rFonts w:ascii="Verdana" w:hAnsi="Verdana"/>
          <w:sz w:val="18"/>
          <w:szCs w:val="18"/>
        </w:rPr>
        <w:t xml:space="preserve"> conducted three photolytic degradation experiments by exposing solutions of the anti- isomer, syn- isomer and a commercial product to UV light. The solvent and conditions are not described. In addition to anti- and syn-DP-1Cl, at least two unknown products </w:t>
      </w:r>
      <w:r w:rsidR="00A7471A" w:rsidRPr="000C7CFA">
        <w:rPr>
          <w:rFonts w:ascii="Verdana" w:hAnsi="Verdana"/>
          <w:sz w:val="18"/>
          <w:szCs w:val="18"/>
        </w:rPr>
        <w:t>w</w:t>
      </w:r>
      <w:r w:rsidRPr="000C7CFA">
        <w:rPr>
          <w:rFonts w:ascii="Verdana" w:hAnsi="Verdana"/>
          <w:sz w:val="18"/>
          <w:szCs w:val="18"/>
        </w:rPr>
        <w:t xml:space="preserve">ere identified in all samples following exposure. </w:t>
      </w:r>
      <w:r w:rsidR="002C531F" w:rsidRPr="000C7CFA">
        <w:rPr>
          <w:rFonts w:ascii="Verdana" w:hAnsi="Verdana"/>
          <w:sz w:val="18"/>
          <w:szCs w:val="18"/>
        </w:rPr>
        <w:t xml:space="preserve">The amounts were not quantified. </w:t>
      </w:r>
    </w:p>
    <w:p w14:paraId="578E5138" w14:textId="1BCC9BD2" w:rsidR="00D56309" w:rsidRPr="000C7CFA" w:rsidRDefault="00D56309" w:rsidP="00D56309">
      <w:pPr>
        <w:jc w:val="both"/>
        <w:rPr>
          <w:rFonts w:ascii="Verdana" w:hAnsi="Verdana"/>
          <w:sz w:val="18"/>
          <w:szCs w:val="18"/>
        </w:rPr>
      </w:pPr>
      <w:r w:rsidRPr="000C7CFA">
        <w:rPr>
          <w:rFonts w:ascii="Verdana" w:hAnsi="Verdana"/>
          <w:sz w:val="18"/>
          <w:szCs w:val="18"/>
          <w:u w:val="single"/>
        </w:rPr>
        <w:t xml:space="preserve">Wang </w:t>
      </w:r>
      <w:r w:rsidRPr="000C7CFA">
        <w:rPr>
          <w:rFonts w:ascii="Verdana" w:hAnsi="Verdana"/>
          <w:i/>
          <w:sz w:val="18"/>
          <w:szCs w:val="18"/>
          <w:u w:val="single"/>
        </w:rPr>
        <w:t>et al.</w:t>
      </w:r>
      <w:r w:rsidRPr="000C7CFA">
        <w:rPr>
          <w:rFonts w:ascii="Verdana" w:hAnsi="Verdana"/>
          <w:sz w:val="18"/>
          <w:szCs w:val="18"/>
          <w:u w:val="single"/>
        </w:rPr>
        <w:t xml:space="preserve"> (2013b)</w:t>
      </w:r>
      <w:r w:rsidRPr="000C7CFA">
        <w:rPr>
          <w:rFonts w:ascii="Verdana" w:hAnsi="Verdana"/>
          <w:sz w:val="18"/>
          <w:szCs w:val="18"/>
        </w:rPr>
        <w:t xml:space="preserve"> carried out photolytic degradation studies with a commercial Dechlorane Plus product in n-nonane using various wavelength ranges between 200 and 750 nm (300 </w:t>
      </w:r>
      <w:r w:rsidRPr="000C7CFA">
        <w:rPr>
          <w:rFonts w:ascii="Verdana" w:hAnsi="Verdana"/>
          <w:sz w:val="18"/>
          <w:szCs w:val="18"/>
        </w:rPr>
        <w:lastRenderedPageBreak/>
        <w:t>W xenon lamp). Photodegradation was found to occur with UV-light. The main transformation products were thought to be lower chlorinated dechloranes formed by reductive dechlorination processes (</w:t>
      </w:r>
      <w:r w:rsidR="0018757F" w:rsidRPr="000C7CFA">
        <w:rPr>
          <w:rFonts w:ascii="Verdana" w:hAnsi="Verdana"/>
          <w:sz w:val="18"/>
          <w:szCs w:val="18"/>
        </w:rPr>
        <w:t xml:space="preserve">with </w:t>
      </w:r>
      <w:r w:rsidRPr="000C7CFA">
        <w:rPr>
          <w:rFonts w:ascii="Verdana" w:hAnsi="Verdana"/>
          <w:sz w:val="18"/>
          <w:szCs w:val="18"/>
        </w:rPr>
        <w:t xml:space="preserve">1 to 4 </w:t>
      </w:r>
      <w:r w:rsidR="0018757F" w:rsidRPr="000C7CFA">
        <w:rPr>
          <w:rFonts w:ascii="Verdana" w:hAnsi="Verdana"/>
          <w:sz w:val="18"/>
          <w:szCs w:val="18"/>
        </w:rPr>
        <w:t>fewer</w:t>
      </w:r>
      <w:r w:rsidRPr="000C7CFA">
        <w:rPr>
          <w:rFonts w:ascii="Verdana" w:hAnsi="Verdana"/>
          <w:sz w:val="18"/>
          <w:szCs w:val="18"/>
        </w:rPr>
        <w:t xml:space="preserve"> chlorine</w:t>
      </w:r>
      <w:r w:rsidR="0018757F" w:rsidRPr="000C7CFA">
        <w:rPr>
          <w:rFonts w:ascii="Verdana" w:hAnsi="Verdana"/>
          <w:sz w:val="18"/>
          <w:szCs w:val="18"/>
        </w:rPr>
        <w:t xml:space="preserve"> atoms per molecule</w:t>
      </w:r>
      <w:r w:rsidRPr="000C7CFA">
        <w:rPr>
          <w:rFonts w:ascii="Verdana" w:hAnsi="Verdana"/>
          <w:sz w:val="18"/>
          <w:szCs w:val="18"/>
        </w:rPr>
        <w:t>). No photoisomerisation products or solvent ad</w:t>
      </w:r>
      <w:r w:rsidR="0018757F" w:rsidRPr="000C7CFA">
        <w:rPr>
          <w:rFonts w:ascii="Verdana" w:hAnsi="Verdana"/>
          <w:sz w:val="18"/>
          <w:szCs w:val="18"/>
        </w:rPr>
        <w:t>d</w:t>
      </w:r>
      <w:r w:rsidRPr="000C7CFA">
        <w:rPr>
          <w:rFonts w:ascii="Verdana" w:hAnsi="Verdana"/>
          <w:sz w:val="18"/>
          <w:szCs w:val="18"/>
        </w:rPr>
        <w:t>ucts were observed. The quantum yields for the reaction at wavelengths between 200-280 nm (UV-C range) were 2-3 orders of magnitude higher than measured at 280-320</w:t>
      </w:r>
      <w:r w:rsidR="0018757F" w:rsidRPr="000C7CFA">
        <w:rPr>
          <w:rFonts w:ascii="Verdana" w:hAnsi="Verdana"/>
          <w:sz w:val="18"/>
          <w:szCs w:val="18"/>
        </w:rPr>
        <w:t> </w:t>
      </w:r>
      <w:r w:rsidRPr="000C7CFA">
        <w:rPr>
          <w:rFonts w:ascii="Verdana" w:hAnsi="Verdana"/>
          <w:sz w:val="18"/>
          <w:szCs w:val="18"/>
        </w:rPr>
        <w:t>nm (UV-B range). The corresponding degradation half-lives were around 3.2-4.1 minutes and 709-950 minutes</w:t>
      </w:r>
      <w:r w:rsidR="0018757F" w:rsidRPr="000C7CFA">
        <w:rPr>
          <w:rFonts w:ascii="Verdana" w:hAnsi="Verdana"/>
          <w:sz w:val="18"/>
          <w:szCs w:val="18"/>
        </w:rPr>
        <w:t>,</w:t>
      </w:r>
      <w:r w:rsidRPr="000C7CFA">
        <w:rPr>
          <w:rFonts w:ascii="Verdana" w:hAnsi="Verdana"/>
          <w:sz w:val="18"/>
          <w:szCs w:val="18"/>
        </w:rPr>
        <w:t xml:space="preserve"> respectively. No quantum yields could be determined at wavelengths betwee</w:t>
      </w:r>
      <w:r w:rsidR="0018757F" w:rsidRPr="000C7CFA">
        <w:rPr>
          <w:rFonts w:ascii="Verdana" w:hAnsi="Verdana"/>
          <w:sz w:val="18"/>
          <w:szCs w:val="18"/>
        </w:rPr>
        <w:t>n</w:t>
      </w:r>
      <w:r w:rsidRPr="000C7CFA">
        <w:rPr>
          <w:rFonts w:ascii="Verdana" w:hAnsi="Verdana"/>
          <w:sz w:val="18"/>
          <w:szCs w:val="18"/>
        </w:rPr>
        <w:t xml:space="preserve"> 320 and 700 nm. The </w:t>
      </w:r>
      <w:proofErr w:type="gramStart"/>
      <w:r w:rsidRPr="000C7CFA">
        <w:rPr>
          <w:rFonts w:ascii="Verdana" w:hAnsi="Verdana"/>
          <w:sz w:val="18"/>
          <w:szCs w:val="18"/>
        </w:rPr>
        <w:t>f</w:t>
      </w:r>
      <w:r w:rsidRPr="000C7CFA">
        <w:rPr>
          <w:rFonts w:ascii="Verdana" w:hAnsi="Verdana"/>
          <w:sz w:val="18"/>
          <w:szCs w:val="18"/>
          <w:vertAlign w:val="subscript"/>
        </w:rPr>
        <w:t>anti</w:t>
      </w:r>
      <w:proofErr w:type="gramEnd"/>
      <w:r w:rsidRPr="000C7CFA">
        <w:rPr>
          <w:rFonts w:ascii="Verdana" w:hAnsi="Verdana"/>
          <w:sz w:val="18"/>
          <w:szCs w:val="18"/>
        </w:rPr>
        <w:t xml:space="preserve"> in the commercial product used was 0.75 and the f</w:t>
      </w:r>
      <w:r w:rsidRPr="000C7CFA">
        <w:rPr>
          <w:rFonts w:ascii="Verdana" w:hAnsi="Verdana"/>
          <w:sz w:val="18"/>
          <w:szCs w:val="18"/>
          <w:vertAlign w:val="subscript"/>
        </w:rPr>
        <w:t>anti</w:t>
      </w:r>
      <w:r w:rsidRPr="000C7CFA">
        <w:rPr>
          <w:rFonts w:ascii="Verdana" w:hAnsi="Verdana"/>
          <w:sz w:val="18"/>
          <w:szCs w:val="18"/>
        </w:rPr>
        <w:t xml:space="preserve"> did not change significantly during the degradation, </w:t>
      </w:r>
      <w:r w:rsidR="00BB3D8A" w:rsidRPr="000C7CFA">
        <w:rPr>
          <w:rFonts w:ascii="Verdana" w:hAnsi="Verdana"/>
          <w:sz w:val="18"/>
          <w:szCs w:val="18"/>
        </w:rPr>
        <w:t>implying</w:t>
      </w:r>
      <w:r w:rsidRPr="000C7CFA">
        <w:rPr>
          <w:rFonts w:ascii="Verdana" w:hAnsi="Verdana"/>
          <w:sz w:val="18"/>
          <w:szCs w:val="18"/>
        </w:rPr>
        <w:t xml:space="preserve"> that both syn- and anti-DP degraded at similar rates.</w:t>
      </w:r>
    </w:p>
    <w:p w14:paraId="6C60097A" w14:textId="5D72BAF7" w:rsidR="00007AC9" w:rsidRPr="000C7CFA" w:rsidRDefault="00007AC9" w:rsidP="00785AD2">
      <w:pPr>
        <w:jc w:val="both"/>
        <w:rPr>
          <w:rFonts w:ascii="Verdana" w:hAnsi="Verdana"/>
          <w:sz w:val="18"/>
          <w:szCs w:val="18"/>
          <w:lang w:val="en-GB"/>
        </w:rPr>
      </w:pPr>
      <w:r w:rsidRPr="000C7CFA">
        <w:rPr>
          <w:rFonts w:ascii="Verdana" w:hAnsi="Verdana"/>
          <w:sz w:val="18"/>
          <w:szCs w:val="18"/>
          <w:u w:val="single"/>
          <w:lang w:val="en-GB"/>
        </w:rPr>
        <w:t xml:space="preserve">Tao </w:t>
      </w:r>
      <w:r w:rsidRPr="000C7CFA">
        <w:rPr>
          <w:rFonts w:ascii="Verdana" w:hAnsi="Verdana"/>
          <w:i/>
          <w:sz w:val="18"/>
          <w:szCs w:val="18"/>
          <w:u w:val="single"/>
          <w:lang w:val="en-GB"/>
        </w:rPr>
        <w:t>et al</w:t>
      </w:r>
      <w:r w:rsidRPr="000C7CFA">
        <w:rPr>
          <w:rFonts w:ascii="Verdana" w:hAnsi="Verdana"/>
          <w:sz w:val="18"/>
          <w:szCs w:val="18"/>
          <w:u w:val="single"/>
          <w:lang w:val="en-GB"/>
        </w:rPr>
        <w:t>. (2015)</w:t>
      </w:r>
      <w:r w:rsidRPr="000C7CFA">
        <w:rPr>
          <w:rFonts w:ascii="Verdana" w:hAnsi="Verdana"/>
          <w:sz w:val="18"/>
          <w:szCs w:val="18"/>
          <w:lang w:val="en-GB"/>
        </w:rPr>
        <w:t xml:space="preserve"> also performed photodegradation experiments for syn- and anti-DP </w:t>
      </w:r>
      <w:r w:rsidR="00785AD2" w:rsidRPr="000C7CFA">
        <w:rPr>
          <w:rFonts w:ascii="Verdana" w:hAnsi="Verdana"/>
          <w:sz w:val="18"/>
          <w:szCs w:val="18"/>
          <w:lang w:val="en-GB"/>
        </w:rPr>
        <w:t xml:space="preserve">dissolved in isooctane </w:t>
      </w:r>
      <w:r w:rsidRPr="000C7CFA">
        <w:rPr>
          <w:rFonts w:ascii="Verdana" w:hAnsi="Verdana"/>
          <w:sz w:val="18"/>
          <w:szCs w:val="18"/>
          <w:lang w:val="en-GB"/>
        </w:rPr>
        <w:t xml:space="preserve">using a high-pressure mercury lamp (350-450 nm) at </w:t>
      </w:r>
      <w:r w:rsidR="006E6BE9" w:rsidRPr="000C7CFA">
        <w:rPr>
          <w:rFonts w:ascii="Verdana" w:hAnsi="Verdana"/>
          <w:sz w:val="18"/>
          <w:szCs w:val="18"/>
        </w:rPr>
        <w:t>20 </w:t>
      </w:r>
      <w:r w:rsidRPr="000C7CFA">
        <w:rPr>
          <w:rFonts w:ascii="Verdana" w:hAnsi="Verdana"/>
          <w:sz w:val="18"/>
          <w:szCs w:val="18"/>
        </w:rPr>
        <w:t>°C for up to 80 minutes</w:t>
      </w:r>
      <w:r w:rsidRPr="000C7CFA">
        <w:rPr>
          <w:rFonts w:ascii="Verdana" w:hAnsi="Verdana"/>
          <w:sz w:val="18"/>
          <w:szCs w:val="18"/>
          <w:lang w:val="en-GB"/>
        </w:rPr>
        <w:t>. No degradation was observed in dark controls.</w:t>
      </w:r>
      <w:r w:rsidR="00785AD2" w:rsidRPr="000C7CFA">
        <w:rPr>
          <w:rFonts w:ascii="Verdana" w:hAnsi="Verdana"/>
          <w:sz w:val="18"/>
          <w:szCs w:val="18"/>
          <w:lang w:val="en-GB"/>
        </w:rPr>
        <w:t xml:space="preserve"> Degradation rate constants </w:t>
      </w:r>
      <w:r w:rsidR="006E4CFF" w:rsidRPr="000C7CFA">
        <w:rPr>
          <w:rFonts w:ascii="Verdana" w:hAnsi="Verdana"/>
          <w:sz w:val="18"/>
          <w:szCs w:val="18"/>
          <w:lang w:val="en-GB"/>
        </w:rPr>
        <w:t xml:space="preserve">and half-lives </w:t>
      </w:r>
      <w:r w:rsidR="00785AD2" w:rsidRPr="000C7CFA">
        <w:rPr>
          <w:rFonts w:ascii="Verdana" w:hAnsi="Verdana"/>
          <w:sz w:val="18"/>
          <w:szCs w:val="18"/>
          <w:lang w:val="en-GB"/>
        </w:rPr>
        <w:t xml:space="preserve">were </w:t>
      </w:r>
      <w:r w:rsidRPr="000C7CFA">
        <w:rPr>
          <w:rFonts w:ascii="Verdana" w:hAnsi="Verdana"/>
          <w:sz w:val="18"/>
          <w:szCs w:val="18"/>
          <w:lang w:val="en-GB"/>
        </w:rPr>
        <w:t>0.014</w:t>
      </w:r>
      <w:r w:rsidR="006E4CFF" w:rsidRPr="000C7CFA">
        <w:rPr>
          <w:rFonts w:ascii="Verdana" w:hAnsi="Verdana"/>
          <w:sz w:val="18"/>
          <w:szCs w:val="18"/>
          <w:lang w:val="en-GB"/>
        </w:rPr>
        <w:t xml:space="preserve"> and 50.96 min</w:t>
      </w:r>
      <w:r w:rsidRPr="000C7CFA">
        <w:rPr>
          <w:rFonts w:ascii="Verdana" w:hAnsi="Verdana"/>
          <w:sz w:val="18"/>
          <w:szCs w:val="18"/>
          <w:lang w:val="en-GB"/>
        </w:rPr>
        <w:t xml:space="preserve"> </w:t>
      </w:r>
      <w:r w:rsidR="006E4CFF" w:rsidRPr="000C7CFA">
        <w:rPr>
          <w:rFonts w:ascii="Verdana" w:hAnsi="Verdana"/>
          <w:sz w:val="18"/>
          <w:szCs w:val="18"/>
          <w:lang w:val="en-GB"/>
        </w:rPr>
        <w:t xml:space="preserve">for the anti- isomer, </w:t>
      </w:r>
      <w:r w:rsidRPr="000C7CFA">
        <w:rPr>
          <w:rFonts w:ascii="Verdana" w:hAnsi="Verdana"/>
          <w:sz w:val="18"/>
          <w:szCs w:val="18"/>
          <w:lang w:val="en-GB"/>
        </w:rPr>
        <w:t>and</w:t>
      </w:r>
      <w:r w:rsidR="00785AD2" w:rsidRPr="000C7CFA">
        <w:rPr>
          <w:rFonts w:ascii="Verdana" w:hAnsi="Verdana"/>
          <w:sz w:val="18"/>
          <w:szCs w:val="18"/>
          <w:lang w:val="en-GB"/>
        </w:rPr>
        <w:t xml:space="preserve"> </w:t>
      </w:r>
      <w:r w:rsidRPr="000C7CFA">
        <w:rPr>
          <w:rFonts w:ascii="Verdana" w:hAnsi="Verdana"/>
          <w:sz w:val="18"/>
          <w:szCs w:val="18"/>
          <w:lang w:val="en-GB"/>
        </w:rPr>
        <w:t>0.013</w:t>
      </w:r>
      <w:r w:rsidR="006E4CFF" w:rsidRPr="000C7CFA">
        <w:rPr>
          <w:rFonts w:ascii="Verdana" w:hAnsi="Verdana"/>
          <w:sz w:val="18"/>
          <w:szCs w:val="18"/>
          <w:lang w:val="en-GB"/>
        </w:rPr>
        <w:t xml:space="preserve"> </w:t>
      </w:r>
      <w:r w:rsidR="00785AD2" w:rsidRPr="000C7CFA">
        <w:rPr>
          <w:rFonts w:ascii="Verdana" w:hAnsi="Verdana"/>
          <w:sz w:val="18"/>
          <w:szCs w:val="18"/>
          <w:lang w:val="en-GB"/>
        </w:rPr>
        <w:t>and 53.72 min</w:t>
      </w:r>
      <w:r w:rsidRPr="000C7CFA">
        <w:rPr>
          <w:rFonts w:ascii="Verdana" w:hAnsi="Verdana"/>
          <w:sz w:val="18"/>
          <w:szCs w:val="18"/>
          <w:lang w:val="en-GB"/>
        </w:rPr>
        <w:t xml:space="preserve"> for</w:t>
      </w:r>
      <w:r w:rsidR="006E4CFF" w:rsidRPr="000C7CFA">
        <w:rPr>
          <w:rFonts w:ascii="Verdana" w:hAnsi="Verdana"/>
          <w:sz w:val="18"/>
          <w:szCs w:val="18"/>
          <w:lang w:val="en-GB"/>
        </w:rPr>
        <w:t xml:space="preserve"> the</w:t>
      </w:r>
      <w:r w:rsidRPr="000C7CFA">
        <w:rPr>
          <w:rFonts w:ascii="Verdana" w:hAnsi="Verdana"/>
          <w:sz w:val="18"/>
          <w:szCs w:val="18"/>
          <w:lang w:val="en-GB"/>
        </w:rPr>
        <w:t xml:space="preserve"> syn-</w:t>
      </w:r>
      <w:r w:rsidR="006E4CFF" w:rsidRPr="000C7CFA">
        <w:rPr>
          <w:rFonts w:ascii="Verdana" w:hAnsi="Verdana"/>
          <w:sz w:val="18"/>
          <w:szCs w:val="18"/>
          <w:lang w:val="en-GB"/>
        </w:rPr>
        <w:t xml:space="preserve"> isomer</w:t>
      </w:r>
      <w:r w:rsidR="00785AD2" w:rsidRPr="000C7CFA">
        <w:rPr>
          <w:rFonts w:ascii="Verdana" w:hAnsi="Verdana"/>
          <w:sz w:val="18"/>
          <w:szCs w:val="18"/>
          <w:lang w:val="en-GB"/>
        </w:rPr>
        <w:t>,</w:t>
      </w:r>
      <w:r w:rsidRPr="000C7CFA">
        <w:rPr>
          <w:rFonts w:ascii="Verdana" w:hAnsi="Verdana"/>
          <w:sz w:val="18"/>
          <w:szCs w:val="18"/>
          <w:lang w:val="en-GB"/>
        </w:rPr>
        <w:t xml:space="preserve"> respectively. </w:t>
      </w:r>
    </w:p>
    <w:p w14:paraId="66C83994" w14:textId="4DF7156F" w:rsidR="0089163D" w:rsidRPr="000C7CFA" w:rsidRDefault="0089163D" w:rsidP="0089163D">
      <w:pPr>
        <w:pStyle w:val="Heading5"/>
        <w:keepNext/>
        <w:tabs>
          <w:tab w:val="num" w:pos="960"/>
          <w:tab w:val="num" w:pos="2083"/>
        </w:tabs>
        <w:spacing w:before="360" w:after="200"/>
        <w:ind w:left="2083" w:hanging="2083"/>
        <w:rPr>
          <w:rFonts w:ascii="Verdana" w:hAnsi="Verdana"/>
          <w:b w:val="0"/>
          <w:sz w:val="18"/>
          <w:szCs w:val="18"/>
          <w:lang w:val="en-GB"/>
        </w:rPr>
      </w:pPr>
      <w:bookmarkStart w:id="18" w:name="_Toc202255460"/>
      <w:bookmarkStart w:id="19" w:name="_Toc265765472"/>
      <w:r w:rsidRPr="000C7CFA">
        <w:rPr>
          <w:rFonts w:ascii="Verdana" w:hAnsi="Verdana"/>
          <w:b w:val="0"/>
          <w:sz w:val="18"/>
          <w:szCs w:val="18"/>
          <w:lang w:val="en-GB"/>
        </w:rPr>
        <w:t>Phototransformation in water</w:t>
      </w:r>
      <w:bookmarkEnd w:id="18"/>
      <w:bookmarkEnd w:id="19"/>
    </w:p>
    <w:p w14:paraId="2A55C5D3" w14:textId="6522E087" w:rsidR="00A70F81" w:rsidRPr="000C7CFA" w:rsidRDefault="000A15AD" w:rsidP="00031622">
      <w:pPr>
        <w:pStyle w:val="NormalWeb"/>
        <w:spacing w:before="0" w:beforeAutospacing="0"/>
        <w:jc w:val="both"/>
        <w:rPr>
          <w:rFonts w:ascii="Verdana" w:hAnsi="Verdana"/>
          <w:sz w:val="18"/>
          <w:szCs w:val="18"/>
        </w:rPr>
      </w:pPr>
      <w:r w:rsidRPr="000C7CFA">
        <w:rPr>
          <w:rFonts w:ascii="Verdana" w:hAnsi="Verdana"/>
          <w:sz w:val="18"/>
          <w:szCs w:val="18"/>
        </w:rPr>
        <w:t>A single</w:t>
      </w:r>
      <w:r w:rsidR="006E4C22" w:rsidRPr="000C7CFA">
        <w:rPr>
          <w:rFonts w:ascii="Verdana" w:hAnsi="Verdana"/>
          <w:sz w:val="18"/>
          <w:szCs w:val="18"/>
        </w:rPr>
        <w:t xml:space="preserve"> non-guideline</w:t>
      </w:r>
      <w:r w:rsidRPr="000C7CFA">
        <w:rPr>
          <w:rFonts w:ascii="Verdana" w:hAnsi="Verdana"/>
          <w:sz w:val="18"/>
          <w:szCs w:val="18"/>
        </w:rPr>
        <w:t xml:space="preserve"> </w:t>
      </w:r>
      <w:r w:rsidR="005128B9" w:rsidRPr="000C7CFA">
        <w:rPr>
          <w:rFonts w:ascii="Verdana" w:hAnsi="Verdana"/>
          <w:sz w:val="18"/>
          <w:szCs w:val="18"/>
        </w:rPr>
        <w:t>study</w:t>
      </w:r>
      <w:r w:rsidR="006E4C22" w:rsidRPr="000C7CFA">
        <w:rPr>
          <w:rFonts w:ascii="Verdana" w:hAnsi="Verdana"/>
          <w:sz w:val="18"/>
          <w:szCs w:val="18"/>
        </w:rPr>
        <w:t xml:space="preserve"> was summarised in the</w:t>
      </w:r>
      <w:r w:rsidR="006E6BE9" w:rsidRPr="000C7CFA">
        <w:rPr>
          <w:rFonts w:ascii="Verdana" w:hAnsi="Verdana"/>
          <w:sz w:val="18"/>
          <w:szCs w:val="18"/>
        </w:rPr>
        <w:t xml:space="preserve"> registration</w:t>
      </w:r>
      <w:r w:rsidR="006E4C22" w:rsidRPr="000C7CFA">
        <w:rPr>
          <w:rFonts w:ascii="Verdana" w:hAnsi="Verdana"/>
          <w:sz w:val="18"/>
          <w:szCs w:val="18"/>
        </w:rPr>
        <w:t xml:space="preserve"> dossier</w:t>
      </w:r>
      <w:r w:rsidR="00DF4CDF" w:rsidRPr="000C7CFA">
        <w:rPr>
          <w:rFonts w:ascii="Verdana" w:hAnsi="Verdana"/>
          <w:sz w:val="18"/>
          <w:szCs w:val="18"/>
        </w:rPr>
        <w:t>,</w:t>
      </w:r>
      <w:r w:rsidR="00171E49" w:rsidRPr="000C7CFA">
        <w:rPr>
          <w:rFonts w:ascii="Verdana" w:hAnsi="Verdana"/>
          <w:sz w:val="18"/>
          <w:szCs w:val="18"/>
        </w:rPr>
        <w:t xml:space="preserve"> assigned reliability 2 by the </w:t>
      </w:r>
      <w:r w:rsidR="007666BB" w:rsidRPr="000C7CFA">
        <w:rPr>
          <w:rFonts w:ascii="Verdana" w:hAnsi="Verdana"/>
          <w:sz w:val="18"/>
          <w:szCs w:val="18"/>
        </w:rPr>
        <w:t>Registrant</w:t>
      </w:r>
      <w:r w:rsidRPr="000C7CFA">
        <w:rPr>
          <w:rFonts w:ascii="Verdana" w:hAnsi="Verdana"/>
          <w:sz w:val="18"/>
          <w:szCs w:val="18"/>
        </w:rPr>
        <w:t xml:space="preserve">. </w:t>
      </w:r>
      <w:r w:rsidR="00171E49" w:rsidRPr="000C7CFA">
        <w:rPr>
          <w:rFonts w:ascii="Verdana" w:hAnsi="Verdana"/>
          <w:sz w:val="18"/>
          <w:szCs w:val="18"/>
          <w:u w:val="single"/>
        </w:rPr>
        <w:t xml:space="preserve">Chou </w:t>
      </w:r>
      <w:r w:rsidR="00171E49" w:rsidRPr="000C7CFA">
        <w:rPr>
          <w:rFonts w:ascii="Verdana" w:hAnsi="Verdana"/>
          <w:i/>
          <w:sz w:val="18"/>
          <w:szCs w:val="18"/>
          <w:u w:val="single"/>
        </w:rPr>
        <w:t>et al</w:t>
      </w:r>
      <w:r w:rsidR="001E2EC6" w:rsidRPr="000C7CFA">
        <w:rPr>
          <w:rFonts w:ascii="Verdana" w:hAnsi="Verdana"/>
          <w:i/>
          <w:sz w:val="18"/>
          <w:szCs w:val="18"/>
          <w:u w:val="single"/>
        </w:rPr>
        <w:t>.</w:t>
      </w:r>
      <w:r w:rsidR="00171E49" w:rsidRPr="000C7CFA">
        <w:rPr>
          <w:rFonts w:ascii="Verdana" w:hAnsi="Verdana"/>
          <w:sz w:val="18"/>
          <w:szCs w:val="18"/>
          <w:u w:val="single"/>
        </w:rPr>
        <w:t xml:space="preserve"> (1979)</w:t>
      </w:r>
      <w:r w:rsidR="006E4C22" w:rsidRPr="000C7CFA">
        <w:rPr>
          <w:rFonts w:ascii="Verdana" w:hAnsi="Verdana"/>
          <w:sz w:val="18"/>
          <w:szCs w:val="18"/>
        </w:rPr>
        <w:t xml:space="preserve"> measured the</w:t>
      </w:r>
      <w:r w:rsidR="00171E49" w:rsidRPr="000C7CFA">
        <w:rPr>
          <w:rFonts w:ascii="Verdana" w:hAnsi="Verdana"/>
          <w:sz w:val="18"/>
          <w:szCs w:val="18"/>
        </w:rPr>
        <w:t xml:space="preserve"> p</w:t>
      </w:r>
      <w:r w:rsidRPr="000C7CFA">
        <w:rPr>
          <w:rFonts w:ascii="Verdana" w:hAnsi="Verdana"/>
          <w:sz w:val="18"/>
          <w:szCs w:val="18"/>
        </w:rPr>
        <w:t xml:space="preserve">hototransformation of </w:t>
      </w:r>
      <w:r w:rsidR="006E4C22" w:rsidRPr="000C7CFA">
        <w:rPr>
          <w:rFonts w:ascii="Verdana" w:hAnsi="Verdana"/>
          <w:sz w:val="18"/>
          <w:szCs w:val="18"/>
        </w:rPr>
        <w:t>Dechlorane Plus</w:t>
      </w:r>
      <w:r w:rsidRPr="000C7CFA">
        <w:rPr>
          <w:rFonts w:ascii="Verdana" w:hAnsi="Verdana"/>
          <w:sz w:val="18"/>
          <w:szCs w:val="18"/>
        </w:rPr>
        <w:t xml:space="preserve"> in aqueous solution with </w:t>
      </w:r>
      <w:r w:rsidR="00AF7606" w:rsidRPr="000C7CFA">
        <w:rPr>
          <w:rFonts w:ascii="Verdana" w:hAnsi="Verdana"/>
          <w:sz w:val="18"/>
          <w:szCs w:val="18"/>
        </w:rPr>
        <w:t>5 %</w:t>
      </w:r>
      <w:r w:rsidRPr="000C7CFA">
        <w:rPr>
          <w:rFonts w:ascii="Verdana" w:hAnsi="Verdana"/>
          <w:sz w:val="18"/>
          <w:szCs w:val="18"/>
        </w:rPr>
        <w:t xml:space="preserve"> acetonitrile </w:t>
      </w:r>
      <w:r w:rsidR="006E4C22" w:rsidRPr="000C7CFA">
        <w:rPr>
          <w:rFonts w:ascii="Verdana" w:hAnsi="Verdana"/>
          <w:sz w:val="18"/>
          <w:szCs w:val="18"/>
        </w:rPr>
        <w:t>using</w:t>
      </w:r>
      <w:r w:rsidRPr="000C7CFA">
        <w:rPr>
          <w:rFonts w:ascii="Verdana" w:hAnsi="Verdana"/>
          <w:sz w:val="18"/>
          <w:szCs w:val="18"/>
        </w:rPr>
        <w:t xml:space="preserve"> a mercury lamp emitting wavelength</w:t>
      </w:r>
      <w:r w:rsidR="00031622" w:rsidRPr="000C7CFA">
        <w:rPr>
          <w:rFonts w:ascii="Verdana" w:hAnsi="Verdana"/>
          <w:sz w:val="18"/>
          <w:szCs w:val="18"/>
        </w:rPr>
        <w:t>s</w:t>
      </w:r>
      <w:r w:rsidRPr="000C7CFA">
        <w:rPr>
          <w:rFonts w:ascii="Verdana" w:hAnsi="Verdana"/>
          <w:sz w:val="18"/>
          <w:szCs w:val="18"/>
        </w:rPr>
        <w:t xml:space="preserve"> &gt;290 nm for 168 h</w:t>
      </w:r>
      <w:r w:rsidR="006E4C22" w:rsidRPr="000C7CFA">
        <w:rPr>
          <w:rFonts w:ascii="Verdana" w:hAnsi="Verdana"/>
          <w:sz w:val="18"/>
          <w:szCs w:val="18"/>
        </w:rPr>
        <w:t xml:space="preserve">ours. This </w:t>
      </w:r>
      <w:r w:rsidRPr="000C7CFA">
        <w:rPr>
          <w:rFonts w:ascii="Verdana" w:hAnsi="Verdana"/>
          <w:sz w:val="18"/>
          <w:szCs w:val="18"/>
        </w:rPr>
        <w:t xml:space="preserve">was compared with a similar solution kept in the dark </w:t>
      </w:r>
      <w:r w:rsidR="006E4C22" w:rsidRPr="000C7CFA">
        <w:rPr>
          <w:rFonts w:ascii="Verdana" w:hAnsi="Verdana"/>
          <w:sz w:val="18"/>
          <w:szCs w:val="18"/>
        </w:rPr>
        <w:t xml:space="preserve">as a </w:t>
      </w:r>
      <w:r w:rsidRPr="000C7CFA">
        <w:rPr>
          <w:rFonts w:ascii="Verdana" w:hAnsi="Verdana"/>
          <w:sz w:val="18"/>
          <w:szCs w:val="18"/>
        </w:rPr>
        <w:t xml:space="preserve">control. </w:t>
      </w:r>
      <w:r w:rsidR="006E4C22" w:rsidRPr="000C7CFA">
        <w:rPr>
          <w:rFonts w:ascii="Verdana" w:hAnsi="Verdana"/>
          <w:sz w:val="18"/>
          <w:szCs w:val="18"/>
        </w:rPr>
        <w:t>The initial concentration was 1 ppm [1 mg/L]</w:t>
      </w:r>
      <w:r w:rsidR="00D84C7B" w:rsidRPr="000C7CFA">
        <w:rPr>
          <w:rFonts w:ascii="Verdana" w:hAnsi="Verdana"/>
          <w:sz w:val="18"/>
          <w:szCs w:val="18"/>
        </w:rPr>
        <w:t>, which is significantly greater than the reported solubility in pure water</w:t>
      </w:r>
      <w:r w:rsidR="006E4C22" w:rsidRPr="000C7CFA">
        <w:rPr>
          <w:rFonts w:ascii="Verdana" w:hAnsi="Verdana"/>
          <w:sz w:val="18"/>
          <w:szCs w:val="18"/>
        </w:rPr>
        <w:t xml:space="preserve">. </w:t>
      </w:r>
      <w:r w:rsidRPr="000C7CFA">
        <w:rPr>
          <w:rFonts w:ascii="Verdana" w:hAnsi="Verdana"/>
          <w:sz w:val="18"/>
          <w:szCs w:val="18"/>
        </w:rPr>
        <w:t xml:space="preserve">Both solutions were </w:t>
      </w:r>
      <w:r w:rsidR="006E4C22" w:rsidRPr="000C7CFA">
        <w:rPr>
          <w:rFonts w:ascii="Verdana" w:hAnsi="Verdana"/>
          <w:sz w:val="18"/>
          <w:szCs w:val="18"/>
        </w:rPr>
        <w:t xml:space="preserve">extracted with methylene chloride and hexane, and the extract reduced in an evaporator before </w:t>
      </w:r>
      <w:r w:rsidRPr="000C7CFA">
        <w:rPr>
          <w:rFonts w:ascii="Verdana" w:hAnsi="Verdana"/>
          <w:sz w:val="18"/>
          <w:szCs w:val="18"/>
        </w:rPr>
        <w:t>analys</w:t>
      </w:r>
      <w:r w:rsidR="006E4C22" w:rsidRPr="000C7CFA">
        <w:rPr>
          <w:rFonts w:ascii="Verdana" w:hAnsi="Verdana"/>
          <w:sz w:val="18"/>
          <w:szCs w:val="18"/>
        </w:rPr>
        <w:t>is</w:t>
      </w:r>
      <w:r w:rsidRPr="000C7CFA">
        <w:rPr>
          <w:rFonts w:ascii="Verdana" w:hAnsi="Verdana"/>
          <w:sz w:val="18"/>
          <w:szCs w:val="18"/>
        </w:rPr>
        <w:t xml:space="preserve"> using GC with electron capture. </w:t>
      </w:r>
      <w:r w:rsidR="00031622" w:rsidRPr="000C7CFA">
        <w:rPr>
          <w:rFonts w:ascii="Verdana" w:hAnsi="Verdana"/>
          <w:sz w:val="18"/>
          <w:szCs w:val="18"/>
        </w:rPr>
        <w:t>The evaporat</w:t>
      </w:r>
      <w:r w:rsidR="00B0146F" w:rsidRPr="000C7CFA">
        <w:rPr>
          <w:rFonts w:ascii="Verdana" w:hAnsi="Verdana"/>
          <w:sz w:val="18"/>
          <w:szCs w:val="18"/>
        </w:rPr>
        <w:t>ion step had</w:t>
      </w:r>
      <w:r w:rsidR="0018757F" w:rsidRPr="000C7CFA">
        <w:rPr>
          <w:rFonts w:ascii="Verdana" w:hAnsi="Verdana"/>
          <w:sz w:val="18"/>
          <w:szCs w:val="18"/>
        </w:rPr>
        <w:t xml:space="preserve"> </w:t>
      </w:r>
      <w:r w:rsidR="00031622" w:rsidRPr="000C7CFA">
        <w:rPr>
          <w:rFonts w:ascii="Verdana" w:hAnsi="Verdana"/>
          <w:sz w:val="18"/>
          <w:szCs w:val="18"/>
        </w:rPr>
        <w:t>a</w:t>
      </w:r>
      <w:r w:rsidR="00B0146F" w:rsidRPr="000C7CFA">
        <w:rPr>
          <w:rFonts w:ascii="Verdana" w:hAnsi="Verdana"/>
          <w:sz w:val="18"/>
          <w:szCs w:val="18"/>
        </w:rPr>
        <w:t>n</w:t>
      </w:r>
      <w:r w:rsidR="00031622" w:rsidRPr="000C7CFA">
        <w:rPr>
          <w:rFonts w:ascii="Verdana" w:hAnsi="Verdana"/>
          <w:sz w:val="18"/>
          <w:szCs w:val="18"/>
        </w:rPr>
        <w:t xml:space="preserve"> </w:t>
      </w:r>
      <w:r w:rsidR="00B0146F" w:rsidRPr="000C7CFA">
        <w:rPr>
          <w:rFonts w:ascii="Verdana" w:hAnsi="Verdana"/>
          <w:sz w:val="18"/>
          <w:szCs w:val="18"/>
        </w:rPr>
        <w:t>“</w:t>
      </w:r>
      <w:r w:rsidR="00031622" w:rsidRPr="000C7CFA">
        <w:rPr>
          <w:rFonts w:ascii="Verdana" w:hAnsi="Verdana"/>
          <w:sz w:val="18"/>
          <w:szCs w:val="18"/>
        </w:rPr>
        <w:t>uncertainty</w:t>
      </w:r>
      <w:r w:rsidR="00B0146F" w:rsidRPr="000C7CFA">
        <w:rPr>
          <w:rFonts w:ascii="Verdana" w:hAnsi="Verdana"/>
          <w:sz w:val="18"/>
          <w:szCs w:val="18"/>
        </w:rPr>
        <w:t>”</w:t>
      </w:r>
      <w:r w:rsidR="00031622" w:rsidRPr="000C7CFA">
        <w:rPr>
          <w:rFonts w:ascii="Verdana" w:hAnsi="Verdana"/>
          <w:sz w:val="18"/>
          <w:szCs w:val="18"/>
        </w:rPr>
        <w:t xml:space="preserve"> of 10%</w:t>
      </w:r>
      <w:r w:rsidR="00B0146F" w:rsidRPr="000C7CFA">
        <w:rPr>
          <w:rFonts w:ascii="Verdana" w:hAnsi="Verdana"/>
          <w:sz w:val="18"/>
          <w:szCs w:val="18"/>
        </w:rPr>
        <w:t>, and this was reported as the “</w:t>
      </w:r>
      <w:r w:rsidR="00031622" w:rsidRPr="000C7CFA">
        <w:rPr>
          <w:rFonts w:ascii="Verdana" w:hAnsi="Verdana"/>
          <w:sz w:val="18"/>
          <w:szCs w:val="18"/>
        </w:rPr>
        <w:t>internal error</w:t>
      </w:r>
      <w:r w:rsidR="00B0146F" w:rsidRPr="000C7CFA">
        <w:rPr>
          <w:rFonts w:ascii="Verdana" w:hAnsi="Verdana"/>
          <w:sz w:val="18"/>
          <w:szCs w:val="18"/>
        </w:rPr>
        <w:t>” of</w:t>
      </w:r>
      <w:r w:rsidR="00031622" w:rsidRPr="000C7CFA">
        <w:rPr>
          <w:rFonts w:ascii="Verdana" w:hAnsi="Verdana"/>
          <w:sz w:val="18"/>
          <w:szCs w:val="18"/>
        </w:rPr>
        <w:t xml:space="preserve"> the test system. One </w:t>
      </w:r>
      <w:r w:rsidR="00D84C7B" w:rsidRPr="000C7CFA">
        <w:rPr>
          <w:rFonts w:ascii="Verdana" w:hAnsi="Verdana"/>
          <w:sz w:val="18"/>
          <w:szCs w:val="18"/>
        </w:rPr>
        <w:t xml:space="preserve">unidentified </w:t>
      </w:r>
      <w:r w:rsidR="00031622" w:rsidRPr="000C7CFA">
        <w:rPr>
          <w:rFonts w:ascii="Verdana" w:hAnsi="Verdana"/>
          <w:sz w:val="18"/>
          <w:szCs w:val="18"/>
        </w:rPr>
        <w:t>photolysis product was detected at less than 10% of the total concentration</w:t>
      </w:r>
      <w:r w:rsidR="00A70F81" w:rsidRPr="000C7CFA">
        <w:rPr>
          <w:rFonts w:ascii="Verdana" w:hAnsi="Verdana"/>
          <w:sz w:val="18"/>
          <w:szCs w:val="18"/>
        </w:rPr>
        <w:t>.</w:t>
      </w:r>
      <w:r w:rsidRPr="000C7CFA">
        <w:rPr>
          <w:rFonts w:ascii="Verdana" w:hAnsi="Verdana"/>
          <w:sz w:val="18"/>
          <w:szCs w:val="18"/>
        </w:rPr>
        <w:t xml:space="preserve"> Th</w:t>
      </w:r>
      <w:r w:rsidR="005128B9" w:rsidRPr="000C7CFA">
        <w:rPr>
          <w:rFonts w:ascii="Verdana" w:hAnsi="Verdana"/>
          <w:sz w:val="18"/>
          <w:szCs w:val="18"/>
        </w:rPr>
        <w:t>e</w:t>
      </w:r>
      <w:r w:rsidRPr="000C7CFA">
        <w:rPr>
          <w:rFonts w:ascii="Verdana" w:hAnsi="Verdana"/>
          <w:sz w:val="18"/>
          <w:szCs w:val="18"/>
        </w:rPr>
        <w:t xml:space="preserve"> amount detected was within the internal error of the method</w:t>
      </w:r>
      <w:r w:rsidR="00A70F81" w:rsidRPr="000C7CFA">
        <w:rPr>
          <w:rFonts w:ascii="Verdana" w:hAnsi="Verdana"/>
          <w:sz w:val="18"/>
          <w:szCs w:val="18"/>
        </w:rPr>
        <w:t xml:space="preserve"> of analysis</w:t>
      </w:r>
      <w:r w:rsidR="00D84C7B" w:rsidRPr="000C7CFA">
        <w:rPr>
          <w:rFonts w:ascii="Verdana" w:hAnsi="Verdana"/>
          <w:sz w:val="18"/>
          <w:szCs w:val="18"/>
        </w:rPr>
        <w:t>, so the result can only be considered indicative</w:t>
      </w:r>
      <w:r w:rsidR="00A70F81" w:rsidRPr="000C7CFA">
        <w:rPr>
          <w:rFonts w:ascii="Verdana" w:hAnsi="Verdana"/>
          <w:sz w:val="18"/>
          <w:szCs w:val="18"/>
        </w:rPr>
        <w:t>.</w:t>
      </w:r>
      <w:r w:rsidRPr="000C7CFA">
        <w:rPr>
          <w:rFonts w:ascii="Verdana" w:hAnsi="Verdana"/>
          <w:sz w:val="18"/>
          <w:szCs w:val="18"/>
        </w:rPr>
        <w:t xml:space="preserve"> </w:t>
      </w:r>
      <w:r w:rsidR="00A70F81" w:rsidRPr="000C7CFA">
        <w:rPr>
          <w:rFonts w:ascii="Verdana" w:hAnsi="Verdana"/>
          <w:sz w:val="18"/>
          <w:szCs w:val="18"/>
        </w:rPr>
        <w:t xml:space="preserve">The </w:t>
      </w:r>
      <w:r w:rsidR="00B0146F" w:rsidRPr="000C7CFA">
        <w:rPr>
          <w:rFonts w:ascii="Verdana" w:hAnsi="Verdana"/>
          <w:sz w:val="18"/>
          <w:szCs w:val="18"/>
        </w:rPr>
        <w:t xml:space="preserve">rate constant for </w:t>
      </w:r>
      <w:r w:rsidR="00A70F81" w:rsidRPr="000C7CFA">
        <w:rPr>
          <w:rFonts w:ascii="Verdana" w:hAnsi="Verdana"/>
          <w:sz w:val="18"/>
          <w:szCs w:val="18"/>
        </w:rPr>
        <w:t xml:space="preserve">phototransformation in water </w:t>
      </w:r>
      <w:r w:rsidR="00031622" w:rsidRPr="000C7CFA">
        <w:rPr>
          <w:rFonts w:ascii="Verdana" w:hAnsi="Verdana"/>
          <w:sz w:val="18"/>
          <w:szCs w:val="18"/>
        </w:rPr>
        <w:t>wa</w:t>
      </w:r>
      <w:r w:rsidR="00A70F81" w:rsidRPr="000C7CFA">
        <w:rPr>
          <w:rFonts w:ascii="Verdana" w:hAnsi="Verdana"/>
          <w:sz w:val="18"/>
          <w:szCs w:val="18"/>
        </w:rPr>
        <w:t xml:space="preserve">s calculated as &lt;6 </w:t>
      </w:r>
      <w:r w:rsidR="006E4C22" w:rsidRPr="000C7CFA">
        <w:rPr>
          <w:rFonts w:ascii="Verdana" w:hAnsi="Verdana"/>
          <w:sz w:val="18"/>
          <w:szCs w:val="18"/>
        </w:rPr>
        <w:t>×</w:t>
      </w:r>
      <w:r w:rsidR="00A70F81" w:rsidRPr="000C7CFA">
        <w:rPr>
          <w:rFonts w:ascii="Verdana" w:hAnsi="Verdana"/>
          <w:sz w:val="18"/>
          <w:szCs w:val="18"/>
        </w:rPr>
        <w:t xml:space="preserve"> 10</w:t>
      </w:r>
      <w:r w:rsidR="00A70F81" w:rsidRPr="000C7CFA">
        <w:rPr>
          <w:rFonts w:ascii="Verdana" w:hAnsi="Verdana"/>
          <w:sz w:val="18"/>
          <w:szCs w:val="18"/>
          <w:vertAlign w:val="superscript"/>
        </w:rPr>
        <w:t>-4</w:t>
      </w:r>
      <w:r w:rsidR="00A70F81" w:rsidRPr="000C7CFA">
        <w:rPr>
          <w:rFonts w:ascii="Verdana" w:hAnsi="Verdana"/>
          <w:sz w:val="18"/>
          <w:szCs w:val="18"/>
        </w:rPr>
        <w:t xml:space="preserve"> h</w:t>
      </w:r>
      <w:r w:rsidR="00A70F81" w:rsidRPr="000C7CFA">
        <w:rPr>
          <w:rFonts w:ascii="Verdana" w:hAnsi="Verdana"/>
          <w:sz w:val="18"/>
          <w:szCs w:val="18"/>
          <w:vertAlign w:val="superscript"/>
        </w:rPr>
        <w:t>-1</w:t>
      </w:r>
      <w:r w:rsidR="00A70F81" w:rsidRPr="000C7CFA">
        <w:rPr>
          <w:rFonts w:ascii="Verdana" w:hAnsi="Verdana"/>
          <w:sz w:val="18"/>
          <w:szCs w:val="18"/>
        </w:rPr>
        <w:t>, equivalent to a half-life of &gt;48 d</w:t>
      </w:r>
      <w:r w:rsidR="00341C91" w:rsidRPr="000C7CFA">
        <w:rPr>
          <w:rFonts w:ascii="Verdana" w:hAnsi="Verdana"/>
          <w:sz w:val="18"/>
          <w:szCs w:val="18"/>
        </w:rPr>
        <w:t>ays</w:t>
      </w:r>
      <w:r w:rsidR="00A70F81" w:rsidRPr="000C7CFA">
        <w:rPr>
          <w:rFonts w:ascii="Verdana" w:hAnsi="Verdana"/>
          <w:sz w:val="18"/>
          <w:szCs w:val="18"/>
        </w:rPr>
        <w:t>.</w:t>
      </w:r>
      <w:r w:rsidRPr="000C7CFA">
        <w:rPr>
          <w:rFonts w:ascii="Verdana" w:hAnsi="Verdana"/>
          <w:sz w:val="18"/>
          <w:szCs w:val="18"/>
        </w:rPr>
        <w:t xml:space="preserve"> </w:t>
      </w:r>
    </w:p>
    <w:p w14:paraId="3792E813" w14:textId="77777777" w:rsidR="000D0494" w:rsidRPr="000C7CFA" w:rsidRDefault="000D0494" w:rsidP="000D0494">
      <w:pPr>
        <w:pStyle w:val="NormalWeb"/>
        <w:spacing w:before="0" w:beforeAutospacing="0"/>
        <w:jc w:val="both"/>
        <w:rPr>
          <w:rFonts w:ascii="Verdana" w:hAnsi="Verdana"/>
          <w:sz w:val="18"/>
          <w:szCs w:val="18"/>
        </w:rPr>
      </w:pPr>
      <w:r w:rsidRPr="000C7CFA">
        <w:rPr>
          <w:rFonts w:ascii="Verdana" w:hAnsi="Verdana"/>
          <w:sz w:val="18"/>
          <w:szCs w:val="18"/>
        </w:rPr>
        <w:t>An analogous substance, chlorendic acid, has been shown to be degradable in UV light (WHO, 1996), with a half-life of 5 days in water, 16 days in air, and 140 and 280 days in soil using two different concentrations. No other experimental details are provided, and the degradants are not specified. The reference in the IPCS assessment is to a proprietary study and so it is not possible to obtain further information</w:t>
      </w:r>
      <w:r w:rsidRPr="000C7CFA">
        <w:rPr>
          <w:rStyle w:val="FootnoteReference"/>
          <w:rFonts w:ascii="Verdana" w:hAnsi="Verdana"/>
          <w:sz w:val="18"/>
          <w:szCs w:val="18"/>
        </w:rPr>
        <w:footnoteReference w:id="1"/>
      </w:r>
      <w:r w:rsidRPr="000C7CFA">
        <w:rPr>
          <w:rFonts w:ascii="Verdana" w:hAnsi="Verdana"/>
          <w:sz w:val="18"/>
          <w:szCs w:val="18"/>
        </w:rPr>
        <w:t xml:space="preserve">.  The results suggest rapid degradation, but without further information, the results should be treated with caution. </w:t>
      </w:r>
    </w:p>
    <w:p w14:paraId="19DDF221" w14:textId="77777777" w:rsidR="006529D0" w:rsidRPr="000C7CFA" w:rsidRDefault="006529D0" w:rsidP="006529D0">
      <w:pPr>
        <w:pStyle w:val="BodyText"/>
        <w:rPr>
          <w:rFonts w:ascii="Verdana" w:hAnsi="Verdana"/>
          <w:b/>
          <w:i/>
          <w:sz w:val="18"/>
          <w:szCs w:val="18"/>
        </w:rPr>
      </w:pPr>
      <w:r w:rsidRPr="000C7CFA">
        <w:rPr>
          <w:rFonts w:ascii="Verdana" w:hAnsi="Verdana"/>
          <w:b/>
          <w:i/>
          <w:sz w:val="18"/>
          <w:szCs w:val="18"/>
        </w:rPr>
        <w:t>Discussion</w:t>
      </w:r>
    </w:p>
    <w:p w14:paraId="729E8B91" w14:textId="77777777" w:rsidR="00386B32" w:rsidRPr="000C7CFA" w:rsidRDefault="00386B32" w:rsidP="000A15AD">
      <w:pPr>
        <w:jc w:val="both"/>
        <w:rPr>
          <w:rFonts w:ascii="Verdana" w:hAnsi="Verdana"/>
          <w:sz w:val="18"/>
          <w:szCs w:val="18"/>
        </w:rPr>
      </w:pPr>
      <w:r w:rsidRPr="000C7CFA">
        <w:rPr>
          <w:rFonts w:ascii="Verdana" w:hAnsi="Verdana"/>
          <w:sz w:val="18"/>
          <w:szCs w:val="18"/>
          <w:lang w:val="en-GB"/>
        </w:rPr>
        <w:t xml:space="preserve">Although the study of Chou </w:t>
      </w:r>
      <w:r w:rsidRPr="000C7CFA">
        <w:rPr>
          <w:rFonts w:ascii="Verdana" w:hAnsi="Verdana"/>
          <w:i/>
          <w:sz w:val="18"/>
          <w:szCs w:val="18"/>
          <w:lang w:val="en-GB"/>
        </w:rPr>
        <w:t>et al</w:t>
      </w:r>
      <w:r w:rsidRPr="000C7CFA">
        <w:rPr>
          <w:rFonts w:ascii="Verdana" w:hAnsi="Verdana"/>
          <w:sz w:val="18"/>
          <w:szCs w:val="18"/>
          <w:lang w:val="en-GB"/>
        </w:rPr>
        <w:t xml:space="preserve">. (1979) suggests that photolytic degradation in water is a possibility, </w:t>
      </w:r>
      <w:r w:rsidR="00644EE2" w:rsidRPr="000C7CFA">
        <w:rPr>
          <w:rFonts w:ascii="Verdana" w:hAnsi="Verdana"/>
          <w:sz w:val="18"/>
          <w:szCs w:val="18"/>
        </w:rPr>
        <w:t>the findings cannot be related to the aquatic environment</w:t>
      </w:r>
      <w:r w:rsidR="00644EE2" w:rsidRPr="000C7CFA">
        <w:rPr>
          <w:rFonts w:ascii="Verdana" w:hAnsi="Verdana"/>
          <w:sz w:val="18"/>
          <w:szCs w:val="18"/>
          <w:lang w:val="en-GB"/>
        </w:rPr>
        <w:t xml:space="preserve"> because</w:t>
      </w:r>
      <w:r w:rsidRPr="000C7CFA">
        <w:rPr>
          <w:rFonts w:ascii="Verdana" w:hAnsi="Verdana"/>
          <w:sz w:val="18"/>
          <w:szCs w:val="18"/>
        </w:rPr>
        <w:t xml:space="preserve"> the test solution included acetonitrile and significantly exceeded the reported solubility in pure water by several orders of magnitude.</w:t>
      </w:r>
    </w:p>
    <w:p w14:paraId="55C16471" w14:textId="07E4F3B1" w:rsidR="0089163D" w:rsidRPr="000C7CFA" w:rsidRDefault="0089163D" w:rsidP="008F19E3">
      <w:pPr>
        <w:pStyle w:val="Heading3"/>
        <w:ind w:left="851" w:hanging="851"/>
        <w:rPr>
          <w:rFonts w:ascii="Verdana" w:hAnsi="Verdana"/>
          <w:sz w:val="18"/>
          <w:szCs w:val="18"/>
        </w:rPr>
      </w:pPr>
      <w:bookmarkStart w:id="20" w:name="_Toc202255462"/>
      <w:bookmarkStart w:id="21" w:name="_Toc265765474"/>
      <w:bookmarkStart w:id="22" w:name="_Toc491862763"/>
      <w:r w:rsidRPr="000C7CFA">
        <w:rPr>
          <w:rFonts w:ascii="Verdana" w:hAnsi="Verdana"/>
          <w:sz w:val="18"/>
          <w:szCs w:val="18"/>
        </w:rPr>
        <w:lastRenderedPageBreak/>
        <w:t>Biodegradation</w:t>
      </w:r>
      <w:bookmarkEnd w:id="20"/>
      <w:bookmarkEnd w:id="21"/>
      <w:bookmarkEnd w:id="22"/>
    </w:p>
    <w:p w14:paraId="77373371" w14:textId="46A1EE53" w:rsidR="0089163D" w:rsidRPr="000C7CFA" w:rsidRDefault="0089163D" w:rsidP="008F19E3">
      <w:pPr>
        <w:pStyle w:val="Heading4"/>
        <w:tabs>
          <w:tab w:val="clear" w:pos="839"/>
          <w:tab w:val="num" w:pos="1317"/>
        </w:tabs>
        <w:ind w:left="1317" w:hanging="1317"/>
        <w:rPr>
          <w:rFonts w:ascii="Verdana" w:hAnsi="Verdana"/>
          <w:sz w:val="18"/>
          <w:szCs w:val="18"/>
        </w:rPr>
      </w:pPr>
      <w:bookmarkStart w:id="23" w:name="_Toc202255463"/>
      <w:bookmarkStart w:id="24" w:name="_Toc265765475"/>
      <w:r w:rsidRPr="000C7CFA">
        <w:rPr>
          <w:rFonts w:ascii="Verdana" w:hAnsi="Verdana"/>
          <w:sz w:val="18"/>
          <w:szCs w:val="18"/>
        </w:rPr>
        <w:t>Biodegradation in water</w:t>
      </w:r>
      <w:bookmarkEnd w:id="23"/>
      <w:bookmarkEnd w:id="24"/>
    </w:p>
    <w:p w14:paraId="1BBD6193" w14:textId="7EDFF718" w:rsidR="0089163D" w:rsidRPr="000C7CFA" w:rsidRDefault="0089163D" w:rsidP="0089163D">
      <w:pPr>
        <w:pStyle w:val="Heading5"/>
        <w:keepNext/>
        <w:tabs>
          <w:tab w:val="num" w:pos="960"/>
          <w:tab w:val="num" w:pos="2083"/>
        </w:tabs>
        <w:spacing w:before="360" w:after="200"/>
        <w:ind w:left="2083" w:hanging="2083"/>
        <w:rPr>
          <w:rFonts w:ascii="Verdana" w:hAnsi="Verdana"/>
          <w:b w:val="0"/>
          <w:sz w:val="18"/>
          <w:szCs w:val="18"/>
          <w:lang w:val="en-GB"/>
        </w:rPr>
      </w:pPr>
      <w:bookmarkStart w:id="25" w:name="_Toc202255464"/>
      <w:bookmarkStart w:id="26" w:name="_Toc265765476"/>
      <w:bookmarkStart w:id="27" w:name="_Ref428440018"/>
      <w:r w:rsidRPr="000C7CFA">
        <w:rPr>
          <w:rFonts w:ascii="Verdana" w:hAnsi="Verdana"/>
          <w:b w:val="0"/>
          <w:sz w:val="18"/>
          <w:szCs w:val="18"/>
          <w:lang w:val="en-GB"/>
        </w:rPr>
        <w:t>Estimated data</w:t>
      </w:r>
      <w:bookmarkEnd w:id="25"/>
      <w:bookmarkEnd w:id="26"/>
      <w:bookmarkEnd w:id="27"/>
    </w:p>
    <w:p w14:paraId="0B7C9B46"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The aerobic biodegradation potential of the substance can be assessed using BIOWIN v4.10 (U.S. EPA, 2012). It has six different models which have been developed based on expert judgment. The models employ fragment constants developed using regression analysis which are combined with substance molecular weight and defined model coefficients. The predictions for the non-linear model (BIOWIN 2), ultimate biodegradation (BIOWIN 3) and the MITI non-linear model (BIOWIN 6) can be used as a screening assessment of persistence (P) in accordance with the REACH Guidance R.7b (ECHA, 2017b). The following results indicate that a substance may be persistent:</w:t>
      </w:r>
    </w:p>
    <w:p w14:paraId="465D87FF" w14:textId="77777777" w:rsidR="00B57F30" w:rsidRPr="000C7CFA" w:rsidRDefault="00B57F30" w:rsidP="00B57F30">
      <w:pPr>
        <w:rPr>
          <w:rFonts w:ascii="Verdana" w:hAnsi="Verdana"/>
          <w:sz w:val="18"/>
          <w:szCs w:val="18"/>
          <w:lang w:val="en-GB"/>
        </w:rPr>
      </w:pPr>
    </w:p>
    <w:p w14:paraId="0D372AFD"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 xml:space="preserve">BIOWIN 2: Does not biodegrade fast (&lt;0.5) or </w:t>
      </w:r>
    </w:p>
    <w:p w14:paraId="1878EE39"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BIOWIN 3: ≥months (&lt; 2.25 (to 2.75</w:t>
      </w:r>
      <w:proofErr w:type="gramStart"/>
      <w:r w:rsidRPr="000C7CFA">
        <w:rPr>
          <w:rFonts w:ascii="Verdana" w:hAnsi="Verdana"/>
          <w:sz w:val="18"/>
          <w:szCs w:val="18"/>
          <w:lang w:val="en-GB"/>
        </w:rPr>
        <w:t>) )</w:t>
      </w:r>
      <w:proofErr w:type="gramEnd"/>
    </w:p>
    <w:p w14:paraId="7257D107"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 xml:space="preserve">BIOWIN 6: Not readily biodegradable (&lt;0.5) and </w:t>
      </w:r>
    </w:p>
    <w:p w14:paraId="2DFAEEF5" w14:textId="77777777" w:rsidR="00B57F30" w:rsidRPr="000C7CFA" w:rsidRDefault="00B57F30" w:rsidP="00B57F30">
      <w:pPr>
        <w:rPr>
          <w:rFonts w:ascii="Verdana" w:hAnsi="Verdana"/>
          <w:sz w:val="18"/>
          <w:szCs w:val="18"/>
          <w:lang w:val="en-GB"/>
        </w:rPr>
      </w:pPr>
    </w:p>
    <w:p w14:paraId="0EADF8C2"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The predictions for the structure of Dechlorane Plus are BIOWIN 2: 0, BIOWIN 3: -1.60, and BIOWIN 6: 0. These values are all significantly below the cut-off values, indicating that Dechlorane Plus is not expected to be aerobically biodegradable.</w:t>
      </w:r>
    </w:p>
    <w:p w14:paraId="432CF674" w14:textId="77777777" w:rsidR="00B57F30" w:rsidRPr="000C7CFA" w:rsidRDefault="00B57F30" w:rsidP="00B57F30">
      <w:pPr>
        <w:rPr>
          <w:rFonts w:ascii="Verdana" w:hAnsi="Verdana"/>
          <w:sz w:val="18"/>
          <w:szCs w:val="18"/>
          <w:lang w:val="en-GB"/>
        </w:rPr>
      </w:pPr>
    </w:p>
    <w:p w14:paraId="2EF7A106"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These BIOWIN models are based on structural group contributions and there is no defined estimation domain as such. Parameters relating to the validity of each BIOWIN prediction are summarised below.</w:t>
      </w:r>
    </w:p>
    <w:p w14:paraId="6CE937B2" w14:textId="77777777" w:rsidR="00B57F30" w:rsidRPr="000C7CFA" w:rsidRDefault="00B57F30" w:rsidP="00B57F30">
      <w:pPr>
        <w:rPr>
          <w:rFonts w:ascii="Verdana" w:hAnsi="Verdana"/>
          <w:sz w:val="18"/>
          <w:szCs w:val="18"/>
          <w:lang w:val="en-GB"/>
        </w:rPr>
      </w:pPr>
    </w:p>
    <w:p w14:paraId="4A0AA3AC"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BIOWIN 2 uses a combination of fragments and molecular weight to make the prediction. The model is considered to correctly classify 93.2% of substances in the training set (n=295). The molecular weight of substances in the training set is between 31.06 to 697.7 so Dechlorane Plus (Mw = 654) is within the range. The training set contains 36 chemical fragments. The following model fragments are present in the Dechlorane Plus structure:</w:t>
      </w:r>
    </w:p>
    <w:p w14:paraId="1535C8A4"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(a)</w:t>
      </w:r>
      <w:r w:rsidRPr="000C7CFA">
        <w:rPr>
          <w:rFonts w:ascii="Verdana" w:hAnsi="Verdana"/>
          <w:sz w:val="18"/>
          <w:szCs w:val="18"/>
          <w:lang w:val="en-GB"/>
        </w:rPr>
        <w:tab/>
      </w:r>
      <w:proofErr w:type="gramStart"/>
      <w:r w:rsidRPr="000C7CFA">
        <w:rPr>
          <w:rFonts w:ascii="Verdana" w:hAnsi="Verdana"/>
          <w:sz w:val="18"/>
          <w:szCs w:val="18"/>
          <w:lang w:val="en-GB"/>
        </w:rPr>
        <w:t>aliphatic</w:t>
      </w:r>
      <w:proofErr w:type="gramEnd"/>
      <w:r w:rsidRPr="000C7CFA">
        <w:rPr>
          <w:rFonts w:ascii="Verdana" w:hAnsi="Verdana"/>
          <w:sz w:val="18"/>
          <w:szCs w:val="18"/>
          <w:lang w:val="en-GB"/>
        </w:rPr>
        <w:t xml:space="preserve"> chloride x 12</w:t>
      </w:r>
    </w:p>
    <w:p w14:paraId="4B5EF62C"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(b)</w:t>
      </w:r>
      <w:r w:rsidRPr="000C7CFA">
        <w:rPr>
          <w:rFonts w:ascii="Verdana" w:hAnsi="Verdana"/>
          <w:sz w:val="18"/>
          <w:szCs w:val="18"/>
          <w:lang w:val="en-GB"/>
        </w:rPr>
        <w:tab/>
      </w:r>
      <w:proofErr w:type="gramStart"/>
      <w:r w:rsidRPr="000C7CFA">
        <w:rPr>
          <w:rFonts w:ascii="Verdana" w:hAnsi="Verdana"/>
          <w:sz w:val="18"/>
          <w:szCs w:val="18"/>
          <w:lang w:val="en-GB"/>
        </w:rPr>
        <w:t>carbon</w:t>
      </w:r>
      <w:proofErr w:type="gramEnd"/>
      <w:r w:rsidRPr="000C7CFA">
        <w:rPr>
          <w:rFonts w:ascii="Verdana" w:hAnsi="Verdana"/>
          <w:sz w:val="18"/>
          <w:szCs w:val="18"/>
          <w:lang w:val="en-GB"/>
        </w:rPr>
        <w:t xml:space="preserve"> with single bonds and no hydrogens x 6</w:t>
      </w:r>
    </w:p>
    <w:p w14:paraId="1516D17A"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 xml:space="preserve">There is no cycloaliphatic fragment, and so the octyl ring of Dechlorane Plus is not included in the estimate. Reviewing the specific substances in the training set also does not indicate any with the norbornene structure of Dechlorane Plus.  Substances in the training set contain a maximum of 6 and 2 of fragments (a) and (b). This is lower than the 12 aliphatic chloride and 6 single bond carbon fragments in Dechlorane Plus meaning the prediction may be overly conservative. However, BIOWIN 2 still predicts a result of 0 if the number of fragments are set to the training set maximum (i.e. 6 and 2). </w:t>
      </w:r>
    </w:p>
    <w:p w14:paraId="314D0F4A"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 xml:space="preserve">BIOWIN 3 also uses a combination of fragments and molecular weight to make the prediction. The model uses the same 36 chemical fragments and calculation method which is based on expert review of 200 substances. It is indicated to correctly classify 83.5% of substances in the training set (n=200). The molecular weight range for the training set is 53.06 to 697.65 meaning Dechlorane Plus (Mw = 654) is within the range. BIOWIN 3 contains the same relevant model fragments for Dechlorane Plus as BIOWIN 2: aliphatic chloride and carbon with single bonds and no hydrogens. As with BIOWIN 2, the model prediction does not recognise the cycloaliphatic structure within Dechlorane Plus. The </w:t>
      </w:r>
      <w:r w:rsidRPr="000C7CFA">
        <w:rPr>
          <w:rFonts w:ascii="Verdana" w:hAnsi="Verdana"/>
          <w:sz w:val="18"/>
          <w:szCs w:val="18"/>
          <w:lang w:val="en-GB"/>
        </w:rPr>
        <w:lastRenderedPageBreak/>
        <w:t>maximum number of aliphatic chloride fragments (3) and carbon fragments (3) in the BIOWIN 3 training set substances are also is lower than the number in the Dechlorane Plus structure. Applying a similar check as for BIOWIN 2, when the maximum number of fragments are used, BIOWIN 3 predicts a value of 0.598. A final aspect of the model applicability is that the Dechlorane Plus prediction value is outside of the regression plot of the training set substances</w:t>
      </w:r>
      <w:proofErr w:type="gramStart"/>
      <w:r w:rsidRPr="000C7CFA">
        <w:rPr>
          <w:rFonts w:ascii="Verdana" w:hAnsi="Verdana"/>
          <w:sz w:val="18"/>
          <w:szCs w:val="18"/>
          <w:lang w:val="en-GB"/>
        </w:rPr>
        <w:t>,  which</w:t>
      </w:r>
      <w:proofErr w:type="gramEnd"/>
      <w:r w:rsidRPr="000C7CFA">
        <w:rPr>
          <w:rFonts w:ascii="Verdana" w:hAnsi="Verdana"/>
          <w:sz w:val="18"/>
          <w:szCs w:val="18"/>
          <w:lang w:val="en-GB"/>
        </w:rPr>
        <w:t xml:space="preserve"> could also affect the prediction reliability.</w:t>
      </w:r>
    </w:p>
    <w:p w14:paraId="46CA3306"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 xml:space="preserve">BIOWIN 6 uses a model fragment approach and is based on a training set of 884 substances. The model is considered to correctly classify 84.8% of the training set as not readily degradable and 82.3% of the validation set as not readily degradable. The larger training set contains 42 chemical fragments, and includes cyclic –CH2- and cyclic –CH- as well as the fragments used in BIOWIN 2 and BIOWIN 3. The number of each chemical fragment for Dechlorane Plus are within the maximum for the training set and the whole Dechlorane Plus molecule is accounted for within by the model fragments. The molecular weight Dechlorane Plus (Mw = 654) is also within the training set range of 46.07 to 885.46. The training set includes chlordane (CAS: 57-74-9) and heptachlor (CAS: 76-44-8) which contain the hexchloronorbornene moiety of Dechlorane Plus. BIOWIN 6 predicts a value of 0 for each of these substances which is validated by measured biodegradation data showing that they do ‘not biodegrade fast’. </w:t>
      </w:r>
    </w:p>
    <w:p w14:paraId="61E168E7" w14:textId="77777777" w:rsidR="00B57F30" w:rsidRPr="000C7CFA" w:rsidRDefault="00B57F30" w:rsidP="00B57F30">
      <w:pPr>
        <w:rPr>
          <w:rFonts w:ascii="Verdana" w:hAnsi="Verdana"/>
          <w:sz w:val="18"/>
          <w:szCs w:val="18"/>
          <w:lang w:val="en-GB"/>
        </w:rPr>
      </w:pPr>
      <w:r w:rsidRPr="000C7CFA">
        <w:rPr>
          <w:rFonts w:ascii="Verdana" w:hAnsi="Verdana"/>
          <w:sz w:val="18"/>
          <w:szCs w:val="18"/>
          <w:lang w:val="en-GB"/>
        </w:rPr>
        <w:t>For all BIOWIN models, the model authors acknowledge that multiple occurrences of a contributing positive fragment group can sometimes lead to incorrect prediction of rapid degradation. In view of the group fragment values present in Dechlorane Plus, and the prediction of “not biodegradable”, this is not considered to be an issue problem for the substance.</w:t>
      </w:r>
    </w:p>
    <w:p w14:paraId="648F733B" w14:textId="225DD589" w:rsidR="00B57F30" w:rsidRPr="000C7CFA" w:rsidRDefault="00B57F30" w:rsidP="00B57F30">
      <w:pPr>
        <w:rPr>
          <w:rFonts w:ascii="Verdana" w:hAnsi="Verdana"/>
          <w:sz w:val="18"/>
          <w:szCs w:val="18"/>
          <w:lang w:val="en-GB"/>
        </w:rPr>
      </w:pPr>
      <w:r w:rsidRPr="000C7CFA">
        <w:rPr>
          <w:rFonts w:ascii="Verdana" w:hAnsi="Verdana"/>
          <w:sz w:val="18"/>
          <w:szCs w:val="18"/>
          <w:lang w:val="en-GB"/>
        </w:rPr>
        <w:t>Overall the BIOWIN 2 and 3 model estimates have a degree of uncertainty due to i) the lack of fragment coefficients to represent the whole structure and, ii)  the number of identified fragments exceeding the maximum of occurrence in training set subst</w:t>
      </w:r>
      <w:r w:rsidR="00EE4F3B" w:rsidRPr="000C7CFA">
        <w:rPr>
          <w:rFonts w:ascii="Verdana" w:hAnsi="Verdana"/>
          <w:sz w:val="18"/>
          <w:szCs w:val="18"/>
          <w:lang w:val="en-GB"/>
        </w:rPr>
        <w:t xml:space="preserve">ances. The latter issue </w:t>
      </w:r>
      <w:r w:rsidRPr="000C7CFA">
        <w:rPr>
          <w:rFonts w:ascii="Verdana" w:hAnsi="Verdana"/>
          <w:sz w:val="18"/>
          <w:szCs w:val="18"/>
          <w:lang w:val="en-GB"/>
        </w:rPr>
        <w:t xml:space="preserve">does not appear to affect the prediction that Dechlorane Plus is not biodegradable.  For BIOWIN 6, </w:t>
      </w:r>
      <w:r w:rsidR="00EE4F3B" w:rsidRPr="000C7CFA">
        <w:rPr>
          <w:rFonts w:ascii="Verdana" w:hAnsi="Verdana"/>
          <w:sz w:val="18"/>
          <w:szCs w:val="18"/>
          <w:lang w:val="en-GB"/>
        </w:rPr>
        <w:t xml:space="preserve">the </w:t>
      </w:r>
      <w:r w:rsidRPr="000C7CFA">
        <w:rPr>
          <w:rFonts w:ascii="Verdana" w:hAnsi="Verdana"/>
          <w:sz w:val="18"/>
          <w:szCs w:val="18"/>
          <w:lang w:val="en-GB"/>
        </w:rPr>
        <w:t>Dechlorane Plus structure is fully represented by the model fragments. The number of each fragment in the Dechlorane Plus structure is also within the range of the training set. The training set substances include two chemicals, which contain the hexchloronorbornene moiety of Dechlorane Plus. The model predictions for those substances do agree with the measured data. Overall BIOWIN 6 is considered to be a relevant and reliable model for Dechlorane Plus. The model provides support to the BIOWIN 2 and 3 predictions as all three models are consistent in predicting that Dechlorane Plus does not biodegrade fast.</w:t>
      </w:r>
    </w:p>
    <w:p w14:paraId="1A6F2A45" w14:textId="5656499D" w:rsidR="00B57F30" w:rsidRPr="000C7CFA" w:rsidRDefault="00B57F30" w:rsidP="00B57F30">
      <w:pPr>
        <w:rPr>
          <w:rFonts w:ascii="Verdana" w:hAnsi="Verdana"/>
          <w:sz w:val="18"/>
          <w:szCs w:val="18"/>
          <w:lang w:val="en-GB"/>
        </w:rPr>
      </w:pPr>
      <w:r w:rsidRPr="000C7CFA">
        <w:rPr>
          <w:rFonts w:ascii="Verdana" w:hAnsi="Verdana"/>
          <w:sz w:val="18"/>
          <w:szCs w:val="18"/>
          <w:lang w:val="en-GB"/>
        </w:rPr>
        <w:t>It is concluded that based on the estimated data associated uncertainties, that Dechlorane Plus is unlikely to be biodegradable.</w:t>
      </w:r>
    </w:p>
    <w:p w14:paraId="35B5498C" w14:textId="77777777" w:rsidR="00B57F30" w:rsidRPr="000C7CFA" w:rsidRDefault="00B57F30" w:rsidP="00B57F30">
      <w:pPr>
        <w:rPr>
          <w:rFonts w:ascii="Verdana" w:hAnsi="Verdana"/>
          <w:sz w:val="18"/>
          <w:szCs w:val="18"/>
          <w:lang w:val="en-GB"/>
        </w:rPr>
      </w:pPr>
    </w:p>
    <w:p w14:paraId="3E6EDC3C" w14:textId="77777777" w:rsidR="0089163D" w:rsidRPr="000C7CFA" w:rsidRDefault="0089163D" w:rsidP="0089163D">
      <w:pPr>
        <w:pStyle w:val="Heading5"/>
        <w:keepNext/>
        <w:tabs>
          <w:tab w:val="num" w:pos="960"/>
          <w:tab w:val="num" w:pos="2083"/>
        </w:tabs>
        <w:spacing w:before="360" w:after="200"/>
        <w:ind w:left="2083" w:hanging="2083"/>
        <w:rPr>
          <w:rFonts w:ascii="Verdana" w:hAnsi="Verdana"/>
          <w:b w:val="0"/>
          <w:sz w:val="18"/>
          <w:szCs w:val="18"/>
          <w:lang w:val="en-GB"/>
        </w:rPr>
      </w:pPr>
      <w:bookmarkStart w:id="28" w:name="_Toc202255465"/>
      <w:bookmarkStart w:id="29" w:name="_Toc265765477"/>
      <w:r w:rsidRPr="000C7CFA">
        <w:rPr>
          <w:rFonts w:ascii="Verdana" w:hAnsi="Verdana"/>
          <w:b w:val="0"/>
          <w:sz w:val="18"/>
          <w:szCs w:val="18"/>
          <w:lang w:val="en-GB"/>
        </w:rPr>
        <w:t>Screening tests</w:t>
      </w:r>
      <w:bookmarkEnd w:id="28"/>
      <w:bookmarkEnd w:id="29"/>
      <w:r w:rsidR="00211AB1" w:rsidRPr="000C7CFA">
        <w:rPr>
          <w:rFonts w:ascii="Verdana" w:hAnsi="Verdana"/>
          <w:b w:val="0"/>
          <w:sz w:val="18"/>
          <w:szCs w:val="18"/>
          <w:lang w:val="en-GB"/>
        </w:rPr>
        <w:t xml:space="preserve"> </w:t>
      </w:r>
    </w:p>
    <w:p w14:paraId="3E03AD9C" w14:textId="55715642" w:rsidR="00CC5182" w:rsidRPr="000C7CFA" w:rsidRDefault="000A15AD" w:rsidP="000A15AD">
      <w:pPr>
        <w:jc w:val="both"/>
        <w:rPr>
          <w:rFonts w:ascii="Verdana" w:hAnsi="Verdana"/>
          <w:sz w:val="18"/>
          <w:szCs w:val="18"/>
          <w:lang w:val="en-GB"/>
        </w:rPr>
      </w:pPr>
      <w:r w:rsidRPr="000C7CFA">
        <w:rPr>
          <w:rFonts w:ascii="Verdana" w:hAnsi="Verdana"/>
          <w:sz w:val="18"/>
          <w:szCs w:val="18"/>
          <w:lang w:val="en-GB"/>
        </w:rPr>
        <w:t>Two</w:t>
      </w:r>
      <w:r w:rsidR="00323D57" w:rsidRPr="000C7CFA">
        <w:rPr>
          <w:rFonts w:ascii="Verdana" w:hAnsi="Verdana"/>
          <w:sz w:val="18"/>
          <w:szCs w:val="18"/>
          <w:lang w:val="en-GB"/>
        </w:rPr>
        <w:t xml:space="preserve"> old</w:t>
      </w:r>
      <w:r w:rsidRPr="000C7CFA">
        <w:rPr>
          <w:rFonts w:ascii="Verdana" w:hAnsi="Verdana"/>
          <w:sz w:val="18"/>
          <w:szCs w:val="18"/>
          <w:lang w:val="en-GB"/>
        </w:rPr>
        <w:t xml:space="preserve"> </w:t>
      </w:r>
      <w:r w:rsidR="00CC5182" w:rsidRPr="000C7CFA">
        <w:rPr>
          <w:rFonts w:ascii="Verdana" w:hAnsi="Verdana"/>
          <w:sz w:val="18"/>
          <w:szCs w:val="18"/>
          <w:lang w:val="en-GB"/>
        </w:rPr>
        <w:t>biodegradation screening studies</w:t>
      </w:r>
      <w:r w:rsidRPr="000C7CFA">
        <w:rPr>
          <w:rFonts w:ascii="Verdana" w:hAnsi="Verdana"/>
          <w:sz w:val="18"/>
          <w:szCs w:val="18"/>
          <w:lang w:val="en-GB"/>
        </w:rPr>
        <w:t xml:space="preserve"> were </w:t>
      </w:r>
      <w:r w:rsidR="005128B9" w:rsidRPr="000C7CFA">
        <w:rPr>
          <w:rFonts w:ascii="Verdana" w:hAnsi="Verdana"/>
          <w:sz w:val="18"/>
          <w:szCs w:val="18"/>
          <w:lang w:val="en-GB"/>
        </w:rPr>
        <w:t>included in the</w:t>
      </w:r>
      <w:r w:rsidR="00FD1E99" w:rsidRPr="000C7CFA">
        <w:rPr>
          <w:rFonts w:ascii="Verdana" w:hAnsi="Verdana"/>
          <w:sz w:val="18"/>
          <w:szCs w:val="18"/>
          <w:lang w:val="en-GB"/>
        </w:rPr>
        <w:t xml:space="preserve"> registration</w:t>
      </w:r>
      <w:r w:rsidR="005128B9" w:rsidRPr="000C7CFA">
        <w:rPr>
          <w:rFonts w:ascii="Verdana" w:hAnsi="Verdana"/>
          <w:sz w:val="18"/>
          <w:szCs w:val="18"/>
          <w:lang w:val="en-GB"/>
        </w:rPr>
        <w:t xml:space="preserve"> dossier</w:t>
      </w:r>
      <w:r w:rsidR="00FD1E99" w:rsidRPr="000C7CFA">
        <w:rPr>
          <w:rFonts w:ascii="Verdana" w:hAnsi="Verdana"/>
          <w:sz w:val="18"/>
          <w:szCs w:val="18"/>
          <w:lang w:val="en-GB"/>
        </w:rPr>
        <w:t xml:space="preserve"> as key studies</w:t>
      </w:r>
      <w:r w:rsidR="00180A48" w:rsidRPr="000C7CFA">
        <w:rPr>
          <w:rStyle w:val="FootnoteReference"/>
          <w:rFonts w:ascii="Verdana" w:hAnsi="Verdana"/>
          <w:sz w:val="18"/>
          <w:szCs w:val="18"/>
          <w:lang w:val="en-GB"/>
        </w:rPr>
        <w:footnoteReference w:id="2"/>
      </w:r>
      <w:r w:rsidR="00CC5182" w:rsidRPr="000C7CFA">
        <w:rPr>
          <w:rFonts w:ascii="Verdana" w:hAnsi="Verdana"/>
          <w:sz w:val="18"/>
          <w:szCs w:val="18"/>
          <w:lang w:val="en-GB"/>
        </w:rPr>
        <w:t>.</w:t>
      </w:r>
    </w:p>
    <w:p w14:paraId="2E27FBE9" w14:textId="77777777" w:rsidR="000A15AD" w:rsidRPr="000C7CFA" w:rsidRDefault="000A15AD" w:rsidP="000A15AD">
      <w:pPr>
        <w:jc w:val="both"/>
        <w:rPr>
          <w:rFonts w:ascii="Verdana" w:hAnsi="Verdana"/>
          <w:sz w:val="18"/>
          <w:szCs w:val="18"/>
          <w:lang w:val="en-GB"/>
        </w:rPr>
      </w:pPr>
      <w:r w:rsidRPr="000C7CFA">
        <w:rPr>
          <w:rFonts w:ascii="Verdana" w:hAnsi="Verdana"/>
          <w:sz w:val="18"/>
          <w:szCs w:val="18"/>
          <w:u w:val="single"/>
          <w:lang w:val="en-GB"/>
        </w:rPr>
        <w:t xml:space="preserve">Boudreau </w:t>
      </w:r>
      <w:r w:rsidR="00126D93" w:rsidRPr="000C7CFA">
        <w:rPr>
          <w:rFonts w:ascii="Verdana" w:hAnsi="Verdana"/>
          <w:sz w:val="18"/>
          <w:szCs w:val="18"/>
          <w:u w:val="single"/>
          <w:lang w:val="en-GB"/>
        </w:rPr>
        <w:t>(</w:t>
      </w:r>
      <w:r w:rsidRPr="000C7CFA">
        <w:rPr>
          <w:rFonts w:ascii="Verdana" w:hAnsi="Verdana"/>
          <w:sz w:val="18"/>
          <w:szCs w:val="18"/>
          <w:u w:val="single"/>
          <w:lang w:val="en-GB"/>
        </w:rPr>
        <w:t>1973</w:t>
      </w:r>
      <w:r w:rsidR="00126D93" w:rsidRPr="000C7CFA">
        <w:rPr>
          <w:rFonts w:ascii="Verdana" w:hAnsi="Verdana"/>
          <w:sz w:val="18"/>
          <w:szCs w:val="18"/>
          <w:u w:val="single"/>
          <w:lang w:val="en-GB"/>
        </w:rPr>
        <w:t>)</w:t>
      </w:r>
      <w:r w:rsidRPr="000C7CFA">
        <w:rPr>
          <w:rFonts w:ascii="Verdana" w:hAnsi="Verdana"/>
          <w:sz w:val="18"/>
          <w:szCs w:val="18"/>
          <w:lang w:val="en-GB"/>
        </w:rPr>
        <w:t xml:space="preserve"> </w:t>
      </w:r>
      <w:r w:rsidR="00CC5182" w:rsidRPr="000C7CFA">
        <w:rPr>
          <w:rFonts w:ascii="Verdana" w:hAnsi="Verdana"/>
          <w:sz w:val="18"/>
          <w:szCs w:val="18"/>
          <w:lang w:val="en-GB"/>
        </w:rPr>
        <w:t xml:space="preserve">measured the disappearance </w:t>
      </w:r>
      <w:r w:rsidRPr="000C7CFA">
        <w:rPr>
          <w:rFonts w:ascii="Verdana" w:hAnsi="Verdana"/>
          <w:sz w:val="18"/>
          <w:szCs w:val="18"/>
          <w:lang w:val="en-GB"/>
        </w:rPr>
        <w:t xml:space="preserve">of the substance analytically </w:t>
      </w:r>
      <w:r w:rsidR="00CC5182" w:rsidRPr="000C7CFA">
        <w:rPr>
          <w:rFonts w:ascii="Verdana" w:hAnsi="Verdana"/>
          <w:sz w:val="18"/>
          <w:szCs w:val="18"/>
          <w:lang w:val="en-GB"/>
        </w:rPr>
        <w:t xml:space="preserve">over a period of </w:t>
      </w:r>
      <w:r w:rsidRPr="000C7CFA">
        <w:rPr>
          <w:rFonts w:ascii="Verdana" w:hAnsi="Verdana"/>
          <w:sz w:val="18"/>
          <w:szCs w:val="18"/>
          <w:lang w:val="en-GB"/>
        </w:rPr>
        <w:t>21 d</w:t>
      </w:r>
      <w:r w:rsidR="00323D57" w:rsidRPr="000C7CFA">
        <w:rPr>
          <w:rFonts w:ascii="Verdana" w:hAnsi="Verdana"/>
          <w:sz w:val="18"/>
          <w:szCs w:val="18"/>
          <w:lang w:val="en-GB"/>
        </w:rPr>
        <w:t>ays</w:t>
      </w:r>
      <w:r w:rsidRPr="000C7CFA">
        <w:rPr>
          <w:rFonts w:ascii="Verdana" w:hAnsi="Verdana"/>
          <w:sz w:val="18"/>
          <w:szCs w:val="18"/>
          <w:lang w:val="en-GB"/>
        </w:rPr>
        <w:t>. The inoculum used was a domestic activated sludge (non-adapted)</w:t>
      </w:r>
      <w:r w:rsidR="00323D57" w:rsidRPr="000C7CFA">
        <w:rPr>
          <w:rFonts w:ascii="Verdana" w:hAnsi="Verdana"/>
          <w:sz w:val="18"/>
          <w:szCs w:val="18"/>
          <w:lang w:val="en-GB"/>
        </w:rPr>
        <w:t xml:space="preserve"> (no information is available on the inoculum concentration)</w:t>
      </w:r>
      <w:r w:rsidRPr="000C7CFA">
        <w:rPr>
          <w:rFonts w:ascii="Verdana" w:hAnsi="Verdana"/>
          <w:sz w:val="18"/>
          <w:szCs w:val="18"/>
          <w:lang w:val="en-GB"/>
        </w:rPr>
        <w:t xml:space="preserve">. </w:t>
      </w:r>
      <w:r w:rsidR="00CC5182" w:rsidRPr="000C7CFA">
        <w:rPr>
          <w:rFonts w:ascii="Verdana" w:hAnsi="Verdana"/>
          <w:sz w:val="18"/>
          <w:szCs w:val="18"/>
          <w:lang w:val="en-GB"/>
        </w:rPr>
        <w:t xml:space="preserve">Initial </w:t>
      </w:r>
      <w:r w:rsidR="00C548FA" w:rsidRPr="000C7CFA">
        <w:rPr>
          <w:rFonts w:ascii="Verdana" w:hAnsi="Verdana"/>
          <w:sz w:val="18"/>
          <w:szCs w:val="18"/>
          <w:lang w:val="en-GB"/>
        </w:rPr>
        <w:t xml:space="preserve">nominal </w:t>
      </w:r>
      <w:r w:rsidR="00CC5182" w:rsidRPr="000C7CFA">
        <w:rPr>
          <w:rFonts w:ascii="Verdana" w:hAnsi="Verdana"/>
          <w:sz w:val="18"/>
          <w:szCs w:val="18"/>
          <w:lang w:val="en-GB"/>
        </w:rPr>
        <w:t xml:space="preserve">test substance concentrations of </w:t>
      </w:r>
      <w:r w:rsidR="00323D57" w:rsidRPr="000C7CFA">
        <w:rPr>
          <w:rFonts w:ascii="Verdana" w:hAnsi="Verdana"/>
          <w:sz w:val="18"/>
          <w:szCs w:val="18"/>
          <w:lang w:val="en-GB"/>
        </w:rPr>
        <w:lastRenderedPageBreak/>
        <w:t>approximately 0.01</w:t>
      </w:r>
      <w:r w:rsidR="00CC5182" w:rsidRPr="000C7CFA">
        <w:rPr>
          <w:rFonts w:ascii="Verdana" w:hAnsi="Verdana"/>
          <w:sz w:val="18"/>
          <w:szCs w:val="18"/>
          <w:lang w:val="en-GB"/>
        </w:rPr>
        <w:t xml:space="preserve">, </w:t>
      </w:r>
      <w:r w:rsidR="00323D57" w:rsidRPr="000C7CFA">
        <w:rPr>
          <w:rFonts w:ascii="Verdana" w:hAnsi="Verdana"/>
          <w:sz w:val="18"/>
          <w:szCs w:val="18"/>
          <w:lang w:val="en-GB"/>
        </w:rPr>
        <w:t>1</w:t>
      </w:r>
      <w:r w:rsidR="00CC5182" w:rsidRPr="000C7CFA">
        <w:rPr>
          <w:rFonts w:ascii="Verdana" w:hAnsi="Verdana"/>
          <w:sz w:val="18"/>
          <w:szCs w:val="18"/>
          <w:lang w:val="en-GB"/>
        </w:rPr>
        <w:t xml:space="preserve">, 10 and 100 </w:t>
      </w:r>
      <w:r w:rsidR="001C7584" w:rsidRPr="000C7CFA">
        <w:rPr>
          <w:rFonts w:ascii="Verdana" w:hAnsi="Verdana"/>
          <w:sz w:val="18"/>
          <w:szCs w:val="18"/>
          <w:lang w:val="en-GB"/>
        </w:rPr>
        <w:t>mg/L</w:t>
      </w:r>
      <w:r w:rsidR="00CC5182" w:rsidRPr="000C7CFA">
        <w:rPr>
          <w:rFonts w:ascii="Verdana" w:hAnsi="Verdana"/>
          <w:sz w:val="18"/>
          <w:szCs w:val="18"/>
          <w:lang w:val="en-GB"/>
        </w:rPr>
        <w:t xml:space="preserve"> (active ingredient) were used. </w:t>
      </w:r>
      <w:r w:rsidR="00150060" w:rsidRPr="000C7CFA">
        <w:rPr>
          <w:rFonts w:ascii="Verdana" w:hAnsi="Verdana"/>
          <w:sz w:val="18"/>
          <w:szCs w:val="18"/>
          <w:lang w:val="en-GB"/>
        </w:rPr>
        <w:t xml:space="preserve">No positive </w:t>
      </w:r>
      <w:r w:rsidR="00FD1E99" w:rsidRPr="000C7CFA">
        <w:rPr>
          <w:rFonts w:ascii="Verdana" w:hAnsi="Verdana"/>
          <w:sz w:val="18"/>
          <w:szCs w:val="18"/>
          <w:lang w:val="en-GB"/>
        </w:rPr>
        <w:t>or</w:t>
      </w:r>
      <w:r w:rsidR="00150060" w:rsidRPr="000C7CFA">
        <w:rPr>
          <w:rFonts w:ascii="Verdana" w:hAnsi="Verdana"/>
          <w:sz w:val="18"/>
          <w:szCs w:val="18"/>
          <w:lang w:val="en-GB"/>
        </w:rPr>
        <w:t xml:space="preserve"> negative control</w:t>
      </w:r>
      <w:r w:rsidR="00FD1E99" w:rsidRPr="000C7CFA">
        <w:rPr>
          <w:rFonts w:ascii="Verdana" w:hAnsi="Verdana"/>
          <w:sz w:val="18"/>
          <w:szCs w:val="18"/>
          <w:lang w:val="en-GB"/>
        </w:rPr>
        <w:t>s</w:t>
      </w:r>
      <w:r w:rsidR="00150060" w:rsidRPr="000C7CFA">
        <w:rPr>
          <w:rFonts w:ascii="Verdana" w:hAnsi="Verdana"/>
          <w:sz w:val="18"/>
          <w:szCs w:val="18"/>
          <w:lang w:val="en-GB"/>
        </w:rPr>
        <w:t xml:space="preserve"> were included. </w:t>
      </w:r>
      <w:r w:rsidRPr="000C7CFA">
        <w:rPr>
          <w:rFonts w:ascii="Verdana" w:hAnsi="Verdana"/>
          <w:sz w:val="18"/>
          <w:szCs w:val="18"/>
          <w:lang w:val="en-GB"/>
        </w:rPr>
        <w:t xml:space="preserve">Water </w:t>
      </w:r>
      <w:r w:rsidR="00323D57" w:rsidRPr="000C7CFA">
        <w:rPr>
          <w:rFonts w:ascii="Verdana" w:hAnsi="Verdana"/>
          <w:sz w:val="18"/>
          <w:szCs w:val="18"/>
          <w:lang w:val="en-GB"/>
        </w:rPr>
        <w:t xml:space="preserve">was </w:t>
      </w:r>
      <w:r w:rsidRPr="000C7CFA">
        <w:rPr>
          <w:rFonts w:ascii="Verdana" w:hAnsi="Verdana"/>
          <w:sz w:val="18"/>
          <w:szCs w:val="18"/>
          <w:lang w:val="en-GB"/>
        </w:rPr>
        <w:t>sample</w:t>
      </w:r>
      <w:r w:rsidR="00323D57" w:rsidRPr="000C7CFA">
        <w:rPr>
          <w:rFonts w:ascii="Verdana" w:hAnsi="Verdana"/>
          <w:sz w:val="18"/>
          <w:szCs w:val="18"/>
          <w:lang w:val="en-GB"/>
        </w:rPr>
        <w:t>d</w:t>
      </w:r>
      <w:r w:rsidRPr="000C7CFA">
        <w:rPr>
          <w:rFonts w:ascii="Verdana" w:hAnsi="Verdana"/>
          <w:sz w:val="18"/>
          <w:szCs w:val="18"/>
          <w:lang w:val="en-GB"/>
        </w:rPr>
        <w:t xml:space="preserve"> on days 0, 7, 14 and 21. The stock solution of the substance was prepared in acetone, but precipitation was observed</w:t>
      </w:r>
      <w:r w:rsidR="00C548FA" w:rsidRPr="000C7CFA">
        <w:rPr>
          <w:rFonts w:ascii="Verdana" w:hAnsi="Verdana"/>
          <w:sz w:val="18"/>
          <w:szCs w:val="18"/>
          <w:lang w:val="en-GB"/>
        </w:rPr>
        <w:t xml:space="preserve">. Therefore only part of the nominal concentration could be detected analytically in the water samples. Initial analytical concentrations of 0.008 </w:t>
      </w:r>
      <w:r w:rsidR="001C7584" w:rsidRPr="000C7CFA">
        <w:rPr>
          <w:rFonts w:ascii="Verdana" w:hAnsi="Verdana"/>
          <w:sz w:val="18"/>
          <w:szCs w:val="18"/>
          <w:lang w:val="en-GB"/>
        </w:rPr>
        <w:t>mg/L</w:t>
      </w:r>
      <w:r w:rsidR="00C548FA" w:rsidRPr="000C7CFA">
        <w:rPr>
          <w:rFonts w:ascii="Verdana" w:hAnsi="Verdana"/>
          <w:sz w:val="18"/>
          <w:szCs w:val="18"/>
          <w:lang w:val="en-GB"/>
        </w:rPr>
        <w:t xml:space="preserve">, 0.46 </w:t>
      </w:r>
      <w:r w:rsidR="001C7584" w:rsidRPr="000C7CFA">
        <w:rPr>
          <w:rFonts w:ascii="Verdana" w:hAnsi="Verdana"/>
          <w:sz w:val="18"/>
          <w:szCs w:val="18"/>
          <w:lang w:val="en-GB"/>
        </w:rPr>
        <w:t>mg/L</w:t>
      </w:r>
      <w:r w:rsidR="00C548FA" w:rsidRPr="000C7CFA">
        <w:rPr>
          <w:rFonts w:ascii="Verdana" w:hAnsi="Verdana"/>
          <w:sz w:val="18"/>
          <w:szCs w:val="18"/>
          <w:lang w:val="en-GB"/>
        </w:rPr>
        <w:t xml:space="preserve">, 8.0 </w:t>
      </w:r>
      <w:r w:rsidR="001C7584" w:rsidRPr="000C7CFA">
        <w:rPr>
          <w:rFonts w:ascii="Verdana" w:hAnsi="Verdana"/>
          <w:sz w:val="18"/>
          <w:szCs w:val="18"/>
          <w:lang w:val="en-GB"/>
        </w:rPr>
        <w:t>mg/L</w:t>
      </w:r>
      <w:r w:rsidR="00C548FA" w:rsidRPr="000C7CFA">
        <w:rPr>
          <w:rFonts w:ascii="Verdana" w:hAnsi="Verdana"/>
          <w:sz w:val="18"/>
          <w:szCs w:val="18"/>
          <w:lang w:val="en-GB"/>
        </w:rPr>
        <w:t xml:space="preserve"> and 82</w:t>
      </w:r>
      <w:r w:rsidR="00F263FB" w:rsidRPr="000C7CFA">
        <w:rPr>
          <w:rFonts w:ascii="Verdana" w:hAnsi="Verdana"/>
          <w:sz w:val="18"/>
          <w:szCs w:val="18"/>
          <w:lang w:val="en-GB"/>
        </w:rPr>
        <w:t> </w:t>
      </w:r>
      <w:r w:rsidR="001C7584" w:rsidRPr="000C7CFA">
        <w:rPr>
          <w:rFonts w:ascii="Verdana" w:hAnsi="Verdana"/>
          <w:sz w:val="18"/>
          <w:szCs w:val="18"/>
          <w:lang w:val="en-GB"/>
        </w:rPr>
        <w:t>mg/L</w:t>
      </w:r>
      <w:r w:rsidR="00C548FA" w:rsidRPr="000C7CFA">
        <w:rPr>
          <w:rFonts w:ascii="Verdana" w:hAnsi="Verdana"/>
          <w:sz w:val="18"/>
          <w:szCs w:val="18"/>
          <w:lang w:val="en-GB"/>
        </w:rPr>
        <w:t xml:space="preserve"> were determined by GC with electron capture. As the concentrations did not further decrease over the exposure time, this </w:t>
      </w:r>
      <w:r w:rsidR="00126D93" w:rsidRPr="000C7CFA">
        <w:rPr>
          <w:rFonts w:ascii="Verdana" w:hAnsi="Verdana"/>
          <w:sz w:val="18"/>
          <w:szCs w:val="18"/>
          <w:lang w:val="en-GB"/>
        </w:rPr>
        <w:t xml:space="preserve">initial loss </w:t>
      </w:r>
      <w:r w:rsidR="00C548FA" w:rsidRPr="000C7CFA">
        <w:rPr>
          <w:rFonts w:ascii="Verdana" w:hAnsi="Verdana"/>
          <w:sz w:val="18"/>
          <w:szCs w:val="18"/>
          <w:lang w:val="en-GB"/>
        </w:rPr>
        <w:t xml:space="preserve">was not caused by biodegradation but by the </w:t>
      </w:r>
      <w:r w:rsidR="00126D93" w:rsidRPr="000C7CFA">
        <w:rPr>
          <w:rFonts w:ascii="Verdana" w:hAnsi="Verdana"/>
          <w:sz w:val="18"/>
          <w:szCs w:val="18"/>
          <w:lang w:val="en-GB"/>
        </w:rPr>
        <w:t>non-</w:t>
      </w:r>
      <w:r w:rsidR="00C548FA" w:rsidRPr="000C7CFA">
        <w:rPr>
          <w:rFonts w:ascii="Verdana" w:hAnsi="Verdana"/>
          <w:sz w:val="18"/>
          <w:szCs w:val="18"/>
          <w:lang w:val="en-GB"/>
        </w:rPr>
        <w:t xml:space="preserve">homogenous distribution of the test substance in the stock solution. No biodegradation was observed </w:t>
      </w:r>
      <w:r w:rsidR="00323D57" w:rsidRPr="000C7CFA">
        <w:rPr>
          <w:rFonts w:ascii="Verdana" w:hAnsi="Verdana"/>
          <w:sz w:val="18"/>
          <w:szCs w:val="18"/>
          <w:lang w:val="en-GB"/>
        </w:rPr>
        <w:t>over 21 days</w:t>
      </w:r>
      <w:r w:rsidR="00C548FA" w:rsidRPr="000C7CFA">
        <w:rPr>
          <w:rFonts w:ascii="Verdana" w:hAnsi="Verdana"/>
          <w:sz w:val="18"/>
          <w:szCs w:val="18"/>
          <w:lang w:val="en-GB"/>
        </w:rPr>
        <w:t xml:space="preserve">, as determined by </w:t>
      </w:r>
      <w:r w:rsidR="00126D93" w:rsidRPr="000C7CFA">
        <w:rPr>
          <w:rFonts w:ascii="Verdana" w:hAnsi="Verdana"/>
          <w:sz w:val="18"/>
          <w:szCs w:val="18"/>
          <w:lang w:val="en-GB"/>
        </w:rPr>
        <w:t xml:space="preserve">analysis of the </w:t>
      </w:r>
      <w:r w:rsidR="00C548FA" w:rsidRPr="000C7CFA">
        <w:rPr>
          <w:rFonts w:ascii="Verdana" w:hAnsi="Verdana"/>
          <w:sz w:val="18"/>
          <w:szCs w:val="18"/>
          <w:lang w:val="en-GB"/>
        </w:rPr>
        <w:t>test substance.</w:t>
      </w:r>
      <w:r w:rsidR="00137C24" w:rsidRPr="000C7CFA">
        <w:rPr>
          <w:rFonts w:ascii="Verdana" w:hAnsi="Verdana"/>
          <w:sz w:val="18"/>
          <w:szCs w:val="18"/>
          <w:lang w:val="en-GB"/>
        </w:rPr>
        <w:t xml:space="preserve"> The </w:t>
      </w:r>
      <w:r w:rsidR="007666BB" w:rsidRPr="000C7CFA">
        <w:rPr>
          <w:rFonts w:ascii="Verdana" w:hAnsi="Verdana"/>
          <w:sz w:val="18"/>
          <w:szCs w:val="18"/>
          <w:lang w:val="en-GB"/>
        </w:rPr>
        <w:t>Registrant</w:t>
      </w:r>
      <w:r w:rsidR="00137C24" w:rsidRPr="000C7CFA">
        <w:rPr>
          <w:rFonts w:ascii="Verdana" w:hAnsi="Verdana"/>
          <w:sz w:val="18"/>
          <w:szCs w:val="18"/>
          <w:lang w:val="en-GB"/>
        </w:rPr>
        <w:t xml:space="preserve"> assigned a reliability code of 2 (reliable with restrictions) to this study.</w:t>
      </w:r>
    </w:p>
    <w:p w14:paraId="4EF7E300" w14:textId="49046716" w:rsidR="00C85CD0" w:rsidRPr="000C7CFA" w:rsidRDefault="000A15AD" w:rsidP="00FD1E99">
      <w:pPr>
        <w:pStyle w:val="NormalWeb"/>
        <w:spacing w:before="0" w:beforeAutospacing="0"/>
        <w:jc w:val="both"/>
        <w:rPr>
          <w:rFonts w:ascii="Verdana" w:hAnsi="Verdana"/>
          <w:sz w:val="18"/>
          <w:szCs w:val="18"/>
        </w:rPr>
      </w:pPr>
      <w:r w:rsidRPr="000C7CFA">
        <w:rPr>
          <w:rFonts w:ascii="Verdana" w:hAnsi="Verdana"/>
          <w:sz w:val="18"/>
          <w:szCs w:val="18"/>
          <w:u w:val="single"/>
        </w:rPr>
        <w:t xml:space="preserve">Chou </w:t>
      </w:r>
      <w:r w:rsidRPr="000C7CFA">
        <w:rPr>
          <w:rFonts w:ascii="Verdana" w:hAnsi="Verdana"/>
          <w:i/>
          <w:sz w:val="18"/>
          <w:szCs w:val="18"/>
          <w:u w:val="single"/>
        </w:rPr>
        <w:t>et al</w:t>
      </w:r>
      <w:r w:rsidR="008E3119" w:rsidRPr="000C7CFA">
        <w:rPr>
          <w:rFonts w:ascii="Verdana" w:hAnsi="Verdana"/>
          <w:i/>
          <w:sz w:val="18"/>
          <w:szCs w:val="18"/>
          <w:u w:val="single"/>
        </w:rPr>
        <w:t>.</w:t>
      </w:r>
      <w:r w:rsidRPr="000C7CFA">
        <w:rPr>
          <w:rFonts w:ascii="Verdana" w:hAnsi="Verdana"/>
          <w:sz w:val="18"/>
          <w:szCs w:val="18"/>
          <w:u w:val="single"/>
        </w:rPr>
        <w:t xml:space="preserve"> </w:t>
      </w:r>
      <w:r w:rsidR="00CE49D5" w:rsidRPr="000C7CFA">
        <w:rPr>
          <w:rFonts w:ascii="Verdana" w:hAnsi="Verdana"/>
          <w:sz w:val="18"/>
          <w:szCs w:val="18"/>
          <w:u w:val="single"/>
        </w:rPr>
        <w:t>(</w:t>
      </w:r>
      <w:r w:rsidRPr="000C7CFA">
        <w:rPr>
          <w:rFonts w:ascii="Verdana" w:hAnsi="Verdana"/>
          <w:sz w:val="18"/>
          <w:szCs w:val="18"/>
          <w:u w:val="single"/>
        </w:rPr>
        <w:t>1979)</w:t>
      </w:r>
      <w:r w:rsidRPr="000C7CFA">
        <w:rPr>
          <w:rFonts w:ascii="Verdana" w:hAnsi="Verdana"/>
          <w:sz w:val="18"/>
          <w:szCs w:val="18"/>
        </w:rPr>
        <w:t xml:space="preserve"> </w:t>
      </w:r>
      <w:r w:rsidR="006229E8" w:rsidRPr="000C7CFA">
        <w:rPr>
          <w:rFonts w:ascii="Verdana" w:hAnsi="Verdana"/>
          <w:sz w:val="18"/>
          <w:szCs w:val="18"/>
        </w:rPr>
        <w:t xml:space="preserve">performed </w:t>
      </w:r>
      <w:r w:rsidR="00811AE3" w:rsidRPr="000C7CFA">
        <w:rPr>
          <w:rFonts w:ascii="Verdana" w:hAnsi="Verdana"/>
          <w:sz w:val="18"/>
          <w:szCs w:val="18"/>
        </w:rPr>
        <w:t>a biodegradation</w:t>
      </w:r>
      <w:r w:rsidR="00CE49D5" w:rsidRPr="000C7CFA">
        <w:rPr>
          <w:rFonts w:ascii="Verdana" w:hAnsi="Verdana"/>
          <w:sz w:val="18"/>
          <w:szCs w:val="18"/>
        </w:rPr>
        <w:t xml:space="preserve"> </w:t>
      </w:r>
      <w:r w:rsidRPr="000C7CFA">
        <w:rPr>
          <w:rFonts w:ascii="Verdana" w:hAnsi="Verdana"/>
          <w:sz w:val="18"/>
          <w:szCs w:val="18"/>
        </w:rPr>
        <w:t xml:space="preserve">study using radiolabelled </w:t>
      </w:r>
      <w:r w:rsidR="00207085" w:rsidRPr="000C7CFA">
        <w:rPr>
          <w:rFonts w:ascii="Verdana" w:hAnsi="Verdana"/>
          <w:sz w:val="18"/>
          <w:szCs w:val="18"/>
        </w:rPr>
        <w:t>Dechlorane Plus</w:t>
      </w:r>
      <w:r w:rsidR="00137C24" w:rsidRPr="000C7CFA">
        <w:rPr>
          <w:rFonts w:ascii="Verdana" w:hAnsi="Verdana"/>
          <w:sz w:val="18"/>
          <w:szCs w:val="18"/>
        </w:rPr>
        <w:t>.</w:t>
      </w:r>
      <w:r w:rsidR="004009B2" w:rsidRPr="000C7CFA">
        <w:rPr>
          <w:rFonts w:ascii="Verdana" w:hAnsi="Verdana"/>
          <w:sz w:val="18"/>
          <w:szCs w:val="18"/>
        </w:rPr>
        <w:t xml:space="preserve"> The position of the radiolabel is not reported.</w:t>
      </w:r>
      <w:r w:rsidR="00137C24" w:rsidRPr="000C7CFA">
        <w:rPr>
          <w:rFonts w:ascii="Verdana" w:hAnsi="Verdana"/>
          <w:sz w:val="18"/>
          <w:szCs w:val="18"/>
        </w:rPr>
        <w:t xml:space="preserve"> </w:t>
      </w:r>
      <w:r w:rsidR="006229E8" w:rsidRPr="000C7CFA">
        <w:rPr>
          <w:rFonts w:ascii="Verdana" w:hAnsi="Verdana"/>
          <w:sz w:val="18"/>
          <w:szCs w:val="18"/>
        </w:rPr>
        <w:t>The r</w:t>
      </w:r>
      <w:r w:rsidR="00137C24" w:rsidRPr="000C7CFA">
        <w:rPr>
          <w:rFonts w:ascii="Verdana" w:hAnsi="Verdana"/>
          <w:sz w:val="18"/>
          <w:szCs w:val="18"/>
        </w:rPr>
        <w:t xml:space="preserve">adiolabelled </w:t>
      </w:r>
      <w:r w:rsidR="006229E8" w:rsidRPr="000C7CFA">
        <w:rPr>
          <w:rFonts w:ascii="Verdana" w:hAnsi="Verdana"/>
          <w:sz w:val="18"/>
          <w:szCs w:val="18"/>
        </w:rPr>
        <w:t>test item</w:t>
      </w:r>
      <w:r w:rsidR="00CE49D5" w:rsidRPr="000C7CFA">
        <w:rPr>
          <w:rFonts w:ascii="Verdana" w:hAnsi="Verdana"/>
          <w:sz w:val="18"/>
          <w:szCs w:val="18"/>
        </w:rPr>
        <w:t xml:space="preserve"> was </w:t>
      </w:r>
      <w:r w:rsidRPr="000C7CFA">
        <w:rPr>
          <w:rFonts w:ascii="Verdana" w:hAnsi="Verdana"/>
          <w:sz w:val="18"/>
          <w:szCs w:val="18"/>
        </w:rPr>
        <w:t xml:space="preserve">incubated with sewage </w:t>
      </w:r>
      <w:r w:rsidR="00137C24" w:rsidRPr="000C7CFA">
        <w:rPr>
          <w:rFonts w:ascii="Verdana" w:hAnsi="Verdana"/>
          <w:sz w:val="18"/>
          <w:szCs w:val="18"/>
        </w:rPr>
        <w:t xml:space="preserve">treatment plant </w:t>
      </w:r>
      <w:r w:rsidRPr="000C7CFA">
        <w:rPr>
          <w:rFonts w:ascii="Verdana" w:hAnsi="Verdana"/>
          <w:sz w:val="18"/>
          <w:szCs w:val="18"/>
        </w:rPr>
        <w:t>sludge under aerobic or anaerobic conditions for 2 or 6 weeks at two nominal concentration</w:t>
      </w:r>
      <w:r w:rsidR="00137C24" w:rsidRPr="000C7CFA">
        <w:rPr>
          <w:rFonts w:ascii="Verdana" w:hAnsi="Verdana"/>
          <w:sz w:val="18"/>
          <w:szCs w:val="18"/>
        </w:rPr>
        <w:t>s</w:t>
      </w:r>
      <w:r w:rsidRPr="000C7CFA">
        <w:rPr>
          <w:rFonts w:ascii="Verdana" w:hAnsi="Verdana"/>
          <w:sz w:val="18"/>
          <w:szCs w:val="18"/>
        </w:rPr>
        <w:t xml:space="preserve"> of 218 and 872 ng/</w:t>
      </w:r>
      <w:r w:rsidR="00A92CFA" w:rsidRPr="000C7CFA">
        <w:rPr>
          <w:rFonts w:ascii="Verdana" w:hAnsi="Verdana"/>
          <w:sz w:val="18"/>
          <w:szCs w:val="18"/>
        </w:rPr>
        <w:t>mL</w:t>
      </w:r>
      <w:r w:rsidRPr="000C7CFA">
        <w:rPr>
          <w:rFonts w:ascii="Verdana" w:hAnsi="Verdana"/>
          <w:sz w:val="18"/>
          <w:szCs w:val="18"/>
        </w:rPr>
        <w:t xml:space="preserve"> </w:t>
      </w:r>
      <w:r w:rsidR="00323D57" w:rsidRPr="000C7CFA">
        <w:rPr>
          <w:rFonts w:ascii="Verdana" w:hAnsi="Verdana"/>
          <w:sz w:val="18"/>
          <w:szCs w:val="18"/>
        </w:rPr>
        <w:t>[</w:t>
      </w:r>
      <w:r w:rsidRPr="000C7CFA">
        <w:rPr>
          <w:rFonts w:ascii="Verdana" w:hAnsi="Verdana"/>
          <w:sz w:val="18"/>
          <w:szCs w:val="18"/>
        </w:rPr>
        <w:t xml:space="preserve">0.218 and 0.872 </w:t>
      </w:r>
      <w:r w:rsidR="001C7584" w:rsidRPr="000C7CFA">
        <w:rPr>
          <w:rFonts w:ascii="Verdana" w:hAnsi="Verdana"/>
          <w:sz w:val="18"/>
          <w:szCs w:val="18"/>
        </w:rPr>
        <w:t>mg/L</w:t>
      </w:r>
      <w:r w:rsidR="00323D57" w:rsidRPr="000C7CFA">
        <w:rPr>
          <w:rFonts w:ascii="Verdana" w:hAnsi="Verdana"/>
          <w:sz w:val="18"/>
          <w:szCs w:val="18"/>
        </w:rPr>
        <w:t>]</w:t>
      </w:r>
      <w:r w:rsidRPr="000C7CFA">
        <w:rPr>
          <w:rFonts w:ascii="Verdana" w:hAnsi="Verdana"/>
          <w:sz w:val="18"/>
          <w:szCs w:val="18"/>
        </w:rPr>
        <w:t xml:space="preserve">. </w:t>
      </w:r>
      <w:r w:rsidR="00FD1E99" w:rsidRPr="000C7CFA">
        <w:rPr>
          <w:rFonts w:ascii="Verdana" w:hAnsi="Verdana"/>
          <w:sz w:val="18"/>
          <w:szCs w:val="18"/>
        </w:rPr>
        <w:t>The total suspended matter concentration was 185 and 3</w:t>
      </w:r>
      <w:r w:rsidR="002D4EB9" w:rsidRPr="000C7CFA">
        <w:rPr>
          <w:rFonts w:ascii="Verdana" w:hAnsi="Verdana"/>
          <w:sz w:val="18"/>
          <w:szCs w:val="18"/>
        </w:rPr>
        <w:t> </w:t>
      </w:r>
      <w:r w:rsidR="00FD1E99" w:rsidRPr="000C7CFA">
        <w:rPr>
          <w:rFonts w:ascii="Verdana" w:hAnsi="Verdana"/>
          <w:sz w:val="18"/>
          <w:szCs w:val="18"/>
        </w:rPr>
        <w:t xml:space="preserve">910 mg/L for the aerobic and anaerobic treatments, respectively. </w:t>
      </w:r>
      <w:r w:rsidR="00137C24" w:rsidRPr="000C7CFA">
        <w:rPr>
          <w:rFonts w:ascii="Verdana" w:hAnsi="Verdana"/>
          <w:sz w:val="18"/>
          <w:szCs w:val="18"/>
        </w:rPr>
        <w:t xml:space="preserve">Parallel cultures were autoclaved to kill the sludge bacteria and served as negative controls. The water samples were extracted, and the radioactivity was determined by liquid scintillation. </w:t>
      </w:r>
      <w:r w:rsidR="008E3119" w:rsidRPr="000C7CFA">
        <w:rPr>
          <w:rFonts w:ascii="Verdana" w:hAnsi="Verdana"/>
          <w:sz w:val="18"/>
          <w:szCs w:val="18"/>
        </w:rPr>
        <w:t>Degradation was determined as loss of radioactivity. No loss of radioactivity was seen after 2</w:t>
      </w:r>
      <w:r w:rsidR="00FE5A71" w:rsidRPr="000C7CFA">
        <w:rPr>
          <w:rFonts w:ascii="Verdana" w:hAnsi="Verdana"/>
          <w:sz w:val="18"/>
          <w:szCs w:val="18"/>
        </w:rPr>
        <w:t> </w:t>
      </w:r>
      <w:r w:rsidR="008E3119" w:rsidRPr="000C7CFA">
        <w:rPr>
          <w:rFonts w:ascii="Verdana" w:hAnsi="Verdana"/>
          <w:sz w:val="18"/>
          <w:szCs w:val="18"/>
        </w:rPr>
        <w:t>weeks</w:t>
      </w:r>
      <w:r w:rsidR="00323D57" w:rsidRPr="000C7CFA">
        <w:rPr>
          <w:rFonts w:ascii="Verdana" w:hAnsi="Verdana"/>
          <w:sz w:val="18"/>
          <w:szCs w:val="18"/>
        </w:rPr>
        <w:t>’</w:t>
      </w:r>
      <w:r w:rsidR="008E3119" w:rsidRPr="000C7CFA">
        <w:rPr>
          <w:rFonts w:ascii="Verdana" w:hAnsi="Verdana"/>
          <w:sz w:val="18"/>
          <w:szCs w:val="18"/>
        </w:rPr>
        <w:t xml:space="preserve"> incubation </w:t>
      </w:r>
      <w:r w:rsidR="00323D57" w:rsidRPr="000C7CFA">
        <w:rPr>
          <w:rFonts w:ascii="Verdana" w:hAnsi="Verdana"/>
          <w:sz w:val="18"/>
          <w:szCs w:val="18"/>
        </w:rPr>
        <w:t>under</w:t>
      </w:r>
      <w:r w:rsidR="008E3119" w:rsidRPr="000C7CFA">
        <w:rPr>
          <w:rFonts w:ascii="Verdana" w:hAnsi="Verdana"/>
          <w:sz w:val="18"/>
          <w:szCs w:val="18"/>
        </w:rPr>
        <w:t xml:space="preserve"> aerobic </w:t>
      </w:r>
      <w:r w:rsidR="00323D57" w:rsidRPr="000C7CFA">
        <w:rPr>
          <w:rFonts w:ascii="Verdana" w:hAnsi="Verdana"/>
          <w:sz w:val="18"/>
          <w:szCs w:val="18"/>
        </w:rPr>
        <w:t>or</w:t>
      </w:r>
      <w:r w:rsidR="008E3119" w:rsidRPr="000C7CFA">
        <w:rPr>
          <w:rFonts w:ascii="Verdana" w:hAnsi="Verdana"/>
          <w:sz w:val="18"/>
          <w:szCs w:val="18"/>
        </w:rPr>
        <w:t xml:space="preserve"> anaerobic conditions. After 6 weeks</w:t>
      </w:r>
      <w:r w:rsidR="00323D57" w:rsidRPr="000C7CFA">
        <w:rPr>
          <w:rFonts w:ascii="Verdana" w:hAnsi="Verdana"/>
          <w:sz w:val="18"/>
          <w:szCs w:val="18"/>
        </w:rPr>
        <w:t>’</w:t>
      </w:r>
      <w:r w:rsidR="008E3119" w:rsidRPr="000C7CFA">
        <w:rPr>
          <w:rFonts w:ascii="Verdana" w:hAnsi="Verdana"/>
          <w:sz w:val="18"/>
          <w:szCs w:val="18"/>
        </w:rPr>
        <w:t xml:space="preserve"> incubation, the recovery of radioactivity </w:t>
      </w:r>
      <w:r w:rsidR="00323D57" w:rsidRPr="000C7CFA">
        <w:rPr>
          <w:rFonts w:ascii="Verdana" w:hAnsi="Verdana"/>
          <w:sz w:val="18"/>
          <w:szCs w:val="18"/>
        </w:rPr>
        <w:t>under</w:t>
      </w:r>
      <w:r w:rsidR="008E3119" w:rsidRPr="000C7CFA">
        <w:rPr>
          <w:rFonts w:ascii="Verdana" w:hAnsi="Verdana"/>
          <w:sz w:val="18"/>
          <w:szCs w:val="18"/>
        </w:rPr>
        <w:t xml:space="preserve"> aerobic conditions was 42.</w:t>
      </w:r>
      <w:r w:rsidR="00AF7606" w:rsidRPr="000C7CFA">
        <w:rPr>
          <w:rFonts w:ascii="Verdana" w:hAnsi="Verdana"/>
          <w:sz w:val="18"/>
          <w:szCs w:val="18"/>
        </w:rPr>
        <w:t>9 %</w:t>
      </w:r>
      <w:r w:rsidR="008E3119" w:rsidRPr="000C7CFA">
        <w:rPr>
          <w:rFonts w:ascii="Verdana" w:hAnsi="Verdana"/>
          <w:sz w:val="18"/>
          <w:szCs w:val="18"/>
        </w:rPr>
        <w:t xml:space="preserve"> at the low concentration and 0.1</w:t>
      </w:r>
      <w:r w:rsidR="00AF7606" w:rsidRPr="000C7CFA">
        <w:rPr>
          <w:rFonts w:ascii="Verdana" w:hAnsi="Verdana"/>
          <w:sz w:val="18"/>
          <w:szCs w:val="18"/>
        </w:rPr>
        <w:t>6 %</w:t>
      </w:r>
      <w:r w:rsidR="008E3119" w:rsidRPr="000C7CFA">
        <w:rPr>
          <w:rFonts w:ascii="Verdana" w:hAnsi="Verdana"/>
          <w:sz w:val="18"/>
          <w:szCs w:val="18"/>
        </w:rPr>
        <w:t xml:space="preserve"> at the high concentration when compared to 92.</w:t>
      </w:r>
      <w:r w:rsidR="00AF7606" w:rsidRPr="000C7CFA">
        <w:rPr>
          <w:rFonts w:ascii="Verdana" w:hAnsi="Verdana"/>
          <w:sz w:val="18"/>
          <w:szCs w:val="18"/>
        </w:rPr>
        <w:t>1 %</w:t>
      </w:r>
      <w:r w:rsidR="008E3119" w:rsidRPr="000C7CFA">
        <w:rPr>
          <w:rFonts w:ascii="Verdana" w:hAnsi="Verdana"/>
          <w:sz w:val="18"/>
          <w:szCs w:val="18"/>
        </w:rPr>
        <w:t xml:space="preserve"> in the sterile negative control at the high concentration. After 6 weeks</w:t>
      </w:r>
      <w:r w:rsidR="00323D57" w:rsidRPr="000C7CFA">
        <w:rPr>
          <w:rFonts w:ascii="Verdana" w:hAnsi="Verdana"/>
          <w:sz w:val="18"/>
          <w:szCs w:val="18"/>
        </w:rPr>
        <w:t>’</w:t>
      </w:r>
      <w:r w:rsidR="008E3119" w:rsidRPr="000C7CFA">
        <w:rPr>
          <w:rFonts w:ascii="Verdana" w:hAnsi="Verdana"/>
          <w:sz w:val="18"/>
          <w:szCs w:val="18"/>
        </w:rPr>
        <w:t xml:space="preserve"> incubation </w:t>
      </w:r>
      <w:r w:rsidR="00323D57" w:rsidRPr="000C7CFA">
        <w:rPr>
          <w:rFonts w:ascii="Verdana" w:hAnsi="Verdana"/>
          <w:sz w:val="18"/>
          <w:szCs w:val="18"/>
        </w:rPr>
        <w:t>under</w:t>
      </w:r>
      <w:r w:rsidR="008E3119" w:rsidRPr="000C7CFA">
        <w:rPr>
          <w:rFonts w:ascii="Verdana" w:hAnsi="Verdana"/>
          <w:sz w:val="18"/>
          <w:szCs w:val="18"/>
        </w:rPr>
        <w:t xml:space="preserve"> anaerobic conditions, the recovery of radioactivity was 87.</w:t>
      </w:r>
      <w:r w:rsidR="00AF7606" w:rsidRPr="000C7CFA">
        <w:rPr>
          <w:rFonts w:ascii="Verdana" w:hAnsi="Verdana"/>
          <w:sz w:val="18"/>
          <w:szCs w:val="18"/>
        </w:rPr>
        <w:t>5 %</w:t>
      </w:r>
      <w:r w:rsidR="008E3119" w:rsidRPr="000C7CFA">
        <w:rPr>
          <w:rFonts w:ascii="Verdana" w:hAnsi="Verdana"/>
          <w:sz w:val="18"/>
          <w:szCs w:val="18"/>
        </w:rPr>
        <w:t xml:space="preserve"> at the low concentration and 84.</w:t>
      </w:r>
      <w:r w:rsidR="00AF7606" w:rsidRPr="000C7CFA">
        <w:rPr>
          <w:rFonts w:ascii="Verdana" w:hAnsi="Verdana"/>
          <w:sz w:val="18"/>
          <w:szCs w:val="18"/>
        </w:rPr>
        <w:t>1 %</w:t>
      </w:r>
      <w:r w:rsidR="008E3119" w:rsidRPr="000C7CFA">
        <w:rPr>
          <w:rFonts w:ascii="Verdana" w:hAnsi="Verdana"/>
          <w:sz w:val="18"/>
          <w:szCs w:val="18"/>
        </w:rPr>
        <w:t xml:space="preserve"> at the high concentration, when compared to 88.</w:t>
      </w:r>
      <w:r w:rsidR="00AF7606" w:rsidRPr="000C7CFA">
        <w:rPr>
          <w:rFonts w:ascii="Verdana" w:hAnsi="Verdana"/>
          <w:sz w:val="18"/>
          <w:szCs w:val="18"/>
        </w:rPr>
        <w:t>4 %</w:t>
      </w:r>
      <w:r w:rsidR="008E3119" w:rsidRPr="000C7CFA">
        <w:rPr>
          <w:rFonts w:ascii="Verdana" w:hAnsi="Verdana"/>
          <w:sz w:val="18"/>
          <w:szCs w:val="18"/>
        </w:rPr>
        <w:t xml:space="preserve"> in the sterile negative control at the high concentration.</w:t>
      </w:r>
      <w:r w:rsidR="0006308F" w:rsidRPr="000C7CFA">
        <w:rPr>
          <w:rFonts w:ascii="Verdana" w:hAnsi="Verdana"/>
          <w:sz w:val="18"/>
          <w:szCs w:val="18"/>
        </w:rPr>
        <w:t xml:space="preserve"> </w:t>
      </w:r>
      <w:r w:rsidR="007531B0" w:rsidRPr="000C7CFA">
        <w:rPr>
          <w:rFonts w:ascii="Verdana" w:hAnsi="Verdana"/>
          <w:sz w:val="18"/>
          <w:szCs w:val="18"/>
        </w:rPr>
        <w:t>It should be noted that different extraction methods were used at the 2- and 6-week analysis points.</w:t>
      </w:r>
      <w:r w:rsidR="007531B0" w:rsidRPr="000C7CFA" w:rsidDel="008E3119">
        <w:rPr>
          <w:rFonts w:ascii="Verdana" w:hAnsi="Verdana"/>
          <w:sz w:val="18"/>
          <w:szCs w:val="18"/>
        </w:rPr>
        <w:t xml:space="preserve"> </w:t>
      </w:r>
      <w:r w:rsidR="00FE5A71" w:rsidRPr="000C7CFA">
        <w:rPr>
          <w:rFonts w:ascii="Verdana" w:hAnsi="Verdana"/>
          <w:sz w:val="18"/>
          <w:szCs w:val="18"/>
        </w:rPr>
        <w:t>A m</w:t>
      </w:r>
      <w:r w:rsidR="007531B0" w:rsidRPr="000C7CFA">
        <w:rPr>
          <w:rFonts w:ascii="Verdana" w:hAnsi="Verdana"/>
          <w:sz w:val="18"/>
          <w:szCs w:val="18"/>
        </w:rPr>
        <w:t xml:space="preserve">ass balance, in terms of </w:t>
      </w:r>
      <w:r w:rsidR="00FE5A71" w:rsidRPr="000C7CFA">
        <w:rPr>
          <w:rFonts w:ascii="Verdana" w:hAnsi="Verdana"/>
          <w:sz w:val="18"/>
          <w:szCs w:val="18"/>
        </w:rPr>
        <w:t xml:space="preserve">assessing </w:t>
      </w:r>
      <w:r w:rsidR="007531B0" w:rsidRPr="000C7CFA">
        <w:rPr>
          <w:rFonts w:ascii="Verdana" w:hAnsi="Verdana"/>
          <w:sz w:val="18"/>
          <w:szCs w:val="18"/>
        </w:rPr>
        <w:t>radioactivity lost from the culture</w:t>
      </w:r>
      <w:r w:rsidR="00FD1E99" w:rsidRPr="000C7CFA">
        <w:rPr>
          <w:rFonts w:ascii="Verdana" w:hAnsi="Verdana"/>
          <w:sz w:val="18"/>
          <w:szCs w:val="18"/>
        </w:rPr>
        <w:t xml:space="preserve"> and extraction efficienc</w:t>
      </w:r>
      <w:r w:rsidR="00FE5A71" w:rsidRPr="000C7CFA">
        <w:rPr>
          <w:rFonts w:ascii="Verdana" w:hAnsi="Verdana"/>
          <w:sz w:val="18"/>
          <w:szCs w:val="18"/>
        </w:rPr>
        <w:t>ies</w:t>
      </w:r>
      <w:r w:rsidR="007531B0" w:rsidRPr="000C7CFA">
        <w:rPr>
          <w:rFonts w:ascii="Verdana" w:hAnsi="Verdana"/>
          <w:sz w:val="18"/>
          <w:szCs w:val="18"/>
        </w:rPr>
        <w:t xml:space="preserve">, was not performed. Thin layer chromatographic (TLC) analysis of all fractions (from both anaerobic and aerobic experiments) at 2 and 6 weeks failed to identify the presence of </w:t>
      </w:r>
      <w:r w:rsidR="00FD1E99" w:rsidRPr="000C7CFA">
        <w:rPr>
          <w:rFonts w:ascii="Verdana" w:hAnsi="Verdana"/>
          <w:sz w:val="18"/>
          <w:szCs w:val="18"/>
        </w:rPr>
        <w:t xml:space="preserve">any </w:t>
      </w:r>
      <w:r w:rsidR="007531B0" w:rsidRPr="000C7CFA">
        <w:rPr>
          <w:rFonts w:ascii="Verdana" w:hAnsi="Verdana"/>
          <w:sz w:val="18"/>
          <w:szCs w:val="18"/>
        </w:rPr>
        <w:t xml:space="preserve">metabolites.   </w:t>
      </w:r>
      <w:r w:rsidR="00C85CD0" w:rsidRPr="000C7CFA">
        <w:rPr>
          <w:rFonts w:ascii="Verdana" w:hAnsi="Verdana"/>
          <w:sz w:val="18"/>
          <w:szCs w:val="18"/>
        </w:rPr>
        <w:t xml:space="preserve">The </w:t>
      </w:r>
      <w:r w:rsidR="007666BB" w:rsidRPr="000C7CFA">
        <w:rPr>
          <w:rFonts w:ascii="Verdana" w:hAnsi="Verdana"/>
          <w:sz w:val="18"/>
          <w:szCs w:val="18"/>
        </w:rPr>
        <w:t>Registrant</w:t>
      </w:r>
      <w:r w:rsidR="00C85CD0" w:rsidRPr="000C7CFA">
        <w:rPr>
          <w:rFonts w:ascii="Verdana" w:hAnsi="Verdana"/>
          <w:sz w:val="18"/>
          <w:szCs w:val="18"/>
        </w:rPr>
        <w:t xml:space="preserve"> assigned a reliability code of 2 (reliable with restrictions) to this study</w:t>
      </w:r>
      <w:r w:rsidR="00FD1E99" w:rsidRPr="000C7CFA">
        <w:rPr>
          <w:rFonts w:ascii="Verdana" w:hAnsi="Verdana"/>
          <w:sz w:val="18"/>
          <w:szCs w:val="18"/>
        </w:rPr>
        <w:t xml:space="preserve">. </w:t>
      </w:r>
      <w:r w:rsidR="00FE5A71" w:rsidRPr="000C7CFA">
        <w:rPr>
          <w:rFonts w:ascii="Verdana" w:hAnsi="Verdana"/>
          <w:sz w:val="18"/>
          <w:szCs w:val="18"/>
        </w:rPr>
        <w:t>However, i</w:t>
      </w:r>
      <w:r w:rsidR="00FD1E99" w:rsidRPr="000C7CFA">
        <w:rPr>
          <w:rFonts w:ascii="Verdana" w:hAnsi="Verdana"/>
          <w:sz w:val="18"/>
          <w:szCs w:val="18"/>
        </w:rPr>
        <w:t xml:space="preserve">n their CSR, the </w:t>
      </w:r>
      <w:r w:rsidR="00A43C45" w:rsidRPr="000C7CFA">
        <w:rPr>
          <w:rFonts w:ascii="Verdana" w:hAnsi="Verdana"/>
          <w:sz w:val="18"/>
          <w:szCs w:val="18"/>
        </w:rPr>
        <w:t xml:space="preserve">Registrant </w:t>
      </w:r>
      <w:r w:rsidR="00FD1E99" w:rsidRPr="000C7CFA">
        <w:rPr>
          <w:rFonts w:ascii="Verdana" w:hAnsi="Verdana"/>
          <w:sz w:val="18"/>
          <w:szCs w:val="18"/>
        </w:rPr>
        <w:t>states that the findings cannot be considered as proof for biodegradation because adsorption to sludge or bacteria cannot be excluded and the position of radiolabelling in the molecule is not described.</w:t>
      </w:r>
    </w:p>
    <w:p w14:paraId="16CC4A2C" w14:textId="295C6494" w:rsidR="0006308F" w:rsidRPr="000C7CFA" w:rsidRDefault="0006308F" w:rsidP="00253A3C">
      <w:pPr>
        <w:pStyle w:val="NormalWeb"/>
        <w:spacing w:before="0" w:beforeAutospacing="0"/>
        <w:jc w:val="both"/>
        <w:rPr>
          <w:rFonts w:ascii="Verdana" w:hAnsi="Verdana"/>
          <w:sz w:val="18"/>
          <w:szCs w:val="18"/>
        </w:rPr>
      </w:pPr>
      <w:r w:rsidRPr="000C7CFA">
        <w:rPr>
          <w:rFonts w:ascii="Verdana" w:hAnsi="Verdana"/>
          <w:sz w:val="18"/>
          <w:szCs w:val="18"/>
        </w:rPr>
        <w:t xml:space="preserve">The </w:t>
      </w:r>
      <w:r w:rsidR="007666BB" w:rsidRPr="000C7CFA">
        <w:rPr>
          <w:rFonts w:ascii="Verdana" w:hAnsi="Verdana"/>
          <w:sz w:val="18"/>
          <w:szCs w:val="18"/>
        </w:rPr>
        <w:t>Registrant</w:t>
      </w:r>
      <w:r w:rsidRPr="000C7CFA">
        <w:rPr>
          <w:rFonts w:ascii="Verdana" w:hAnsi="Verdana"/>
          <w:sz w:val="18"/>
          <w:szCs w:val="18"/>
        </w:rPr>
        <w:t xml:space="preserve"> conclude</w:t>
      </w:r>
      <w:r w:rsidR="001F0370" w:rsidRPr="000C7CFA">
        <w:rPr>
          <w:rFonts w:ascii="Verdana" w:hAnsi="Verdana"/>
          <w:sz w:val="18"/>
          <w:szCs w:val="18"/>
        </w:rPr>
        <w:t>d</w:t>
      </w:r>
      <w:r w:rsidRPr="000C7CFA">
        <w:rPr>
          <w:rFonts w:ascii="Verdana" w:hAnsi="Verdana"/>
          <w:sz w:val="18"/>
          <w:szCs w:val="18"/>
        </w:rPr>
        <w:t xml:space="preserve"> that Dechlorane Plus is </w:t>
      </w:r>
      <w:r w:rsidR="00FD1E99" w:rsidRPr="000C7CFA">
        <w:rPr>
          <w:rFonts w:ascii="Verdana" w:hAnsi="Verdana"/>
          <w:sz w:val="18"/>
          <w:szCs w:val="18"/>
        </w:rPr>
        <w:t>non-biodegradable</w:t>
      </w:r>
      <w:r w:rsidRPr="000C7CFA">
        <w:rPr>
          <w:rFonts w:ascii="Verdana" w:hAnsi="Verdana"/>
          <w:sz w:val="18"/>
          <w:szCs w:val="18"/>
        </w:rPr>
        <w:t>.</w:t>
      </w:r>
    </w:p>
    <w:p w14:paraId="40DCF06A" w14:textId="77777777" w:rsidR="008E3119" w:rsidRPr="000C7CFA" w:rsidRDefault="001A2020" w:rsidP="00FF4CEE">
      <w:pPr>
        <w:pStyle w:val="NormalWeb"/>
        <w:spacing w:before="0" w:beforeAutospacing="0" w:after="120" w:afterAutospacing="0"/>
        <w:jc w:val="both"/>
        <w:rPr>
          <w:rFonts w:ascii="Verdana" w:hAnsi="Verdana"/>
          <w:i/>
          <w:sz w:val="18"/>
          <w:szCs w:val="18"/>
        </w:rPr>
      </w:pPr>
      <w:r w:rsidRPr="000C7CFA">
        <w:rPr>
          <w:rFonts w:ascii="Verdana" w:hAnsi="Verdana"/>
          <w:b/>
          <w:i/>
          <w:sz w:val="18"/>
          <w:szCs w:val="18"/>
        </w:rPr>
        <w:t>Discussion</w:t>
      </w:r>
    </w:p>
    <w:p w14:paraId="76FFE5C0" w14:textId="2F0A1E17" w:rsidR="005158AF" w:rsidRPr="000C7CFA" w:rsidRDefault="000E6D5C" w:rsidP="005158AF">
      <w:pPr>
        <w:pStyle w:val="NormalWeb"/>
        <w:spacing w:before="0" w:beforeAutospacing="0"/>
        <w:jc w:val="both"/>
        <w:rPr>
          <w:rFonts w:ascii="Verdana" w:hAnsi="Verdana"/>
          <w:sz w:val="18"/>
          <w:szCs w:val="18"/>
        </w:rPr>
      </w:pPr>
      <w:r w:rsidRPr="000C7CFA">
        <w:rPr>
          <w:rFonts w:ascii="Verdana" w:hAnsi="Verdana"/>
          <w:sz w:val="18"/>
          <w:szCs w:val="18"/>
        </w:rPr>
        <w:t>N</w:t>
      </w:r>
      <w:r w:rsidR="008E3119" w:rsidRPr="000C7CFA">
        <w:rPr>
          <w:rFonts w:ascii="Verdana" w:hAnsi="Verdana"/>
          <w:sz w:val="18"/>
          <w:szCs w:val="18"/>
        </w:rPr>
        <w:t xml:space="preserve">either of the two biodegradation studies </w:t>
      </w:r>
      <w:r w:rsidR="001F0370" w:rsidRPr="000C7CFA">
        <w:rPr>
          <w:rFonts w:ascii="Verdana" w:hAnsi="Verdana"/>
          <w:sz w:val="18"/>
          <w:szCs w:val="18"/>
        </w:rPr>
        <w:t xml:space="preserve">reported by the </w:t>
      </w:r>
      <w:r w:rsidR="007666BB" w:rsidRPr="000C7CFA">
        <w:rPr>
          <w:rFonts w:ascii="Verdana" w:hAnsi="Verdana"/>
          <w:sz w:val="18"/>
          <w:szCs w:val="18"/>
        </w:rPr>
        <w:t>Registrant</w:t>
      </w:r>
      <w:r w:rsidR="001F0370" w:rsidRPr="000C7CFA">
        <w:rPr>
          <w:rFonts w:ascii="Verdana" w:hAnsi="Verdana"/>
          <w:sz w:val="18"/>
          <w:szCs w:val="18"/>
        </w:rPr>
        <w:t xml:space="preserve"> </w:t>
      </w:r>
      <w:r w:rsidR="00B6239B" w:rsidRPr="000C7CFA">
        <w:rPr>
          <w:rFonts w:ascii="Verdana" w:hAnsi="Verdana"/>
          <w:sz w:val="18"/>
          <w:szCs w:val="18"/>
        </w:rPr>
        <w:t>was</w:t>
      </w:r>
      <w:r w:rsidR="006229E8" w:rsidRPr="000C7CFA">
        <w:rPr>
          <w:rFonts w:ascii="Verdana" w:hAnsi="Verdana"/>
          <w:sz w:val="18"/>
          <w:szCs w:val="18"/>
        </w:rPr>
        <w:t xml:space="preserve"> </w:t>
      </w:r>
      <w:r w:rsidR="008E3119" w:rsidRPr="000C7CFA">
        <w:rPr>
          <w:rFonts w:ascii="Verdana" w:hAnsi="Verdana"/>
          <w:sz w:val="18"/>
          <w:szCs w:val="18"/>
        </w:rPr>
        <w:t xml:space="preserve">performed according to a </w:t>
      </w:r>
      <w:r w:rsidR="00C85CD0" w:rsidRPr="000C7CFA">
        <w:rPr>
          <w:rFonts w:ascii="Verdana" w:hAnsi="Verdana"/>
          <w:sz w:val="18"/>
          <w:szCs w:val="18"/>
        </w:rPr>
        <w:t>standard</w:t>
      </w:r>
      <w:r w:rsidR="008E3119" w:rsidRPr="000C7CFA">
        <w:rPr>
          <w:rFonts w:ascii="Verdana" w:hAnsi="Verdana"/>
          <w:sz w:val="18"/>
          <w:szCs w:val="18"/>
        </w:rPr>
        <w:t xml:space="preserve"> </w:t>
      </w:r>
      <w:r w:rsidRPr="000C7CFA">
        <w:rPr>
          <w:rFonts w:ascii="Verdana" w:hAnsi="Verdana"/>
          <w:sz w:val="18"/>
          <w:szCs w:val="18"/>
        </w:rPr>
        <w:t xml:space="preserve">guideline </w:t>
      </w:r>
      <w:r w:rsidR="008E3119" w:rsidRPr="000C7CFA">
        <w:rPr>
          <w:rFonts w:ascii="Verdana" w:hAnsi="Verdana"/>
          <w:sz w:val="18"/>
          <w:szCs w:val="18"/>
        </w:rPr>
        <w:t>method</w:t>
      </w:r>
      <w:r w:rsidR="005158AF" w:rsidRPr="000C7CFA">
        <w:rPr>
          <w:rFonts w:ascii="Verdana" w:hAnsi="Verdana"/>
          <w:sz w:val="18"/>
          <w:szCs w:val="18"/>
        </w:rPr>
        <w:t>.</w:t>
      </w:r>
      <w:r w:rsidR="00980565" w:rsidRPr="000C7CFA">
        <w:rPr>
          <w:rFonts w:ascii="Verdana" w:hAnsi="Verdana"/>
          <w:sz w:val="18"/>
          <w:szCs w:val="18"/>
        </w:rPr>
        <w:t xml:space="preserve"> </w:t>
      </w:r>
      <w:r w:rsidR="00AF6F20" w:rsidRPr="000C7CFA">
        <w:rPr>
          <w:rFonts w:ascii="Verdana" w:hAnsi="Verdana"/>
          <w:sz w:val="18"/>
          <w:szCs w:val="18"/>
        </w:rPr>
        <w:t xml:space="preserve">The study by Boudreau (1973) included no reference control and no blank control, determinations were not carried out in duplicate and there was no information on the concentration of inoculum. </w:t>
      </w:r>
      <w:r w:rsidR="00980565" w:rsidRPr="000C7CFA">
        <w:rPr>
          <w:rFonts w:ascii="Verdana" w:hAnsi="Verdana"/>
          <w:sz w:val="18"/>
          <w:szCs w:val="18"/>
        </w:rPr>
        <w:t xml:space="preserve">In addition, </w:t>
      </w:r>
      <w:r w:rsidR="00AF6F20" w:rsidRPr="000C7CFA">
        <w:rPr>
          <w:rFonts w:ascii="Verdana" w:hAnsi="Verdana"/>
          <w:sz w:val="18"/>
          <w:szCs w:val="18"/>
        </w:rPr>
        <w:t>both studies</w:t>
      </w:r>
      <w:r w:rsidR="005158AF" w:rsidRPr="000C7CFA">
        <w:rPr>
          <w:rFonts w:ascii="Verdana" w:hAnsi="Verdana"/>
          <w:sz w:val="18"/>
          <w:szCs w:val="18"/>
        </w:rPr>
        <w:t xml:space="preserve"> used </w:t>
      </w:r>
      <w:r w:rsidR="00323D57" w:rsidRPr="000C7CFA">
        <w:rPr>
          <w:rFonts w:ascii="Verdana" w:hAnsi="Verdana"/>
          <w:sz w:val="18"/>
          <w:szCs w:val="18"/>
        </w:rPr>
        <w:t xml:space="preserve">chemical or radiometric </w:t>
      </w:r>
      <w:r w:rsidR="005158AF" w:rsidRPr="000C7CFA">
        <w:rPr>
          <w:rFonts w:ascii="Verdana" w:hAnsi="Verdana"/>
          <w:sz w:val="18"/>
          <w:szCs w:val="18"/>
        </w:rPr>
        <w:t xml:space="preserve">analysis of the test substance to determine the </w:t>
      </w:r>
      <w:r w:rsidR="00323D57" w:rsidRPr="000C7CFA">
        <w:rPr>
          <w:rFonts w:ascii="Verdana" w:hAnsi="Verdana"/>
          <w:sz w:val="18"/>
          <w:szCs w:val="18"/>
        </w:rPr>
        <w:t xml:space="preserve">extent of </w:t>
      </w:r>
      <w:r w:rsidR="005158AF" w:rsidRPr="000C7CFA">
        <w:rPr>
          <w:rFonts w:ascii="Verdana" w:hAnsi="Verdana"/>
          <w:sz w:val="18"/>
          <w:szCs w:val="18"/>
        </w:rPr>
        <w:t xml:space="preserve">biodegradation. The </w:t>
      </w:r>
      <w:r w:rsidR="00844953" w:rsidRPr="000C7CFA">
        <w:rPr>
          <w:rFonts w:ascii="Verdana" w:hAnsi="Verdana"/>
          <w:sz w:val="18"/>
          <w:szCs w:val="18"/>
        </w:rPr>
        <w:t xml:space="preserve">standard </w:t>
      </w:r>
      <w:r w:rsidR="005158AF" w:rsidRPr="000C7CFA">
        <w:rPr>
          <w:rFonts w:ascii="Verdana" w:hAnsi="Verdana"/>
          <w:sz w:val="18"/>
          <w:szCs w:val="18"/>
        </w:rPr>
        <w:t>OECD</w:t>
      </w:r>
      <w:r w:rsidR="001D36E1" w:rsidRPr="000C7CFA">
        <w:rPr>
          <w:rFonts w:ascii="Verdana" w:hAnsi="Verdana"/>
          <w:sz w:val="18"/>
          <w:szCs w:val="18"/>
        </w:rPr>
        <w:t xml:space="preserve"> </w:t>
      </w:r>
      <w:r w:rsidR="00A517C4" w:rsidRPr="000C7CFA">
        <w:rPr>
          <w:rFonts w:ascii="Verdana" w:hAnsi="Verdana"/>
          <w:sz w:val="18"/>
          <w:szCs w:val="18"/>
        </w:rPr>
        <w:t>Test Guideline (</w:t>
      </w:r>
      <w:r w:rsidR="001D36E1" w:rsidRPr="000C7CFA">
        <w:rPr>
          <w:rFonts w:ascii="Verdana" w:hAnsi="Verdana"/>
          <w:sz w:val="18"/>
          <w:szCs w:val="18"/>
        </w:rPr>
        <w:t>TG</w:t>
      </w:r>
      <w:r w:rsidR="00A517C4" w:rsidRPr="000C7CFA">
        <w:rPr>
          <w:rFonts w:ascii="Verdana" w:hAnsi="Verdana"/>
          <w:sz w:val="18"/>
          <w:szCs w:val="18"/>
        </w:rPr>
        <w:t>)</w:t>
      </w:r>
      <w:r w:rsidR="005158AF" w:rsidRPr="000C7CFA">
        <w:rPr>
          <w:rFonts w:ascii="Verdana" w:hAnsi="Verdana"/>
          <w:sz w:val="18"/>
          <w:szCs w:val="18"/>
        </w:rPr>
        <w:t xml:space="preserve"> 301 </w:t>
      </w:r>
      <w:r w:rsidR="00B84B34" w:rsidRPr="000C7CFA">
        <w:rPr>
          <w:rFonts w:ascii="Verdana" w:hAnsi="Verdana"/>
          <w:sz w:val="18"/>
          <w:szCs w:val="18"/>
        </w:rPr>
        <w:t>for r</w:t>
      </w:r>
      <w:r w:rsidR="00844953" w:rsidRPr="000C7CFA">
        <w:rPr>
          <w:rFonts w:ascii="Verdana" w:hAnsi="Verdana"/>
          <w:sz w:val="18"/>
          <w:szCs w:val="18"/>
        </w:rPr>
        <w:t xml:space="preserve">eady biodegradability </w:t>
      </w:r>
      <w:r w:rsidR="005158AF" w:rsidRPr="000C7CFA">
        <w:rPr>
          <w:rFonts w:ascii="Verdana" w:hAnsi="Verdana"/>
          <w:sz w:val="18"/>
          <w:szCs w:val="18"/>
        </w:rPr>
        <w:t xml:space="preserve">advises that the methods that monitor biodegradation via dissolved organic carbon analysis (OECD </w:t>
      </w:r>
      <w:r w:rsidR="009E3EFB" w:rsidRPr="000C7CFA">
        <w:rPr>
          <w:rFonts w:ascii="Verdana" w:hAnsi="Verdana"/>
          <w:sz w:val="18"/>
          <w:szCs w:val="18"/>
        </w:rPr>
        <w:t xml:space="preserve">TG </w:t>
      </w:r>
      <w:r w:rsidR="005158AF" w:rsidRPr="000C7CFA">
        <w:rPr>
          <w:rFonts w:ascii="Verdana" w:hAnsi="Verdana"/>
          <w:sz w:val="18"/>
          <w:szCs w:val="18"/>
        </w:rPr>
        <w:t>301A (DOC Die-Away) and 301E (Modified OECD Screening)) are not suitable for poorly soluble substances</w:t>
      </w:r>
      <w:r w:rsidR="004009B2" w:rsidRPr="000C7CFA">
        <w:rPr>
          <w:rFonts w:ascii="Verdana" w:hAnsi="Verdana"/>
          <w:sz w:val="18"/>
          <w:szCs w:val="18"/>
        </w:rPr>
        <w:t xml:space="preserve">. </w:t>
      </w:r>
      <w:r w:rsidR="00B6239B" w:rsidRPr="000C7CFA">
        <w:rPr>
          <w:rFonts w:ascii="Verdana" w:hAnsi="Verdana"/>
          <w:sz w:val="18"/>
          <w:szCs w:val="18"/>
        </w:rPr>
        <w:t>R</w:t>
      </w:r>
      <w:r w:rsidR="005158AF" w:rsidRPr="000C7CFA">
        <w:rPr>
          <w:rFonts w:ascii="Verdana" w:hAnsi="Verdana"/>
          <w:sz w:val="18"/>
          <w:szCs w:val="18"/>
        </w:rPr>
        <w:t xml:space="preserve">espirometry methods are </w:t>
      </w:r>
      <w:r w:rsidR="0097073D" w:rsidRPr="000C7CFA">
        <w:rPr>
          <w:rFonts w:ascii="Verdana" w:hAnsi="Verdana"/>
          <w:sz w:val="18"/>
          <w:szCs w:val="18"/>
        </w:rPr>
        <w:t>recommended</w:t>
      </w:r>
      <w:r w:rsidR="00B6239B" w:rsidRPr="000C7CFA">
        <w:rPr>
          <w:rFonts w:ascii="Verdana" w:hAnsi="Verdana"/>
          <w:sz w:val="18"/>
          <w:szCs w:val="18"/>
        </w:rPr>
        <w:t xml:space="preserve"> instead</w:t>
      </w:r>
      <w:r w:rsidR="005158AF" w:rsidRPr="000C7CFA">
        <w:rPr>
          <w:rFonts w:ascii="Verdana" w:hAnsi="Verdana"/>
          <w:sz w:val="18"/>
          <w:szCs w:val="18"/>
        </w:rPr>
        <w:t xml:space="preserve">. The OECD </w:t>
      </w:r>
      <w:r w:rsidR="009E3EFB" w:rsidRPr="000C7CFA">
        <w:rPr>
          <w:rFonts w:ascii="Verdana" w:hAnsi="Verdana"/>
          <w:sz w:val="18"/>
          <w:szCs w:val="18"/>
        </w:rPr>
        <w:t xml:space="preserve">TG </w:t>
      </w:r>
      <w:r w:rsidR="005158AF" w:rsidRPr="000C7CFA">
        <w:rPr>
          <w:rFonts w:ascii="Verdana" w:hAnsi="Verdana"/>
          <w:sz w:val="18"/>
          <w:szCs w:val="18"/>
        </w:rPr>
        <w:t>310 method (CO</w:t>
      </w:r>
      <w:r w:rsidR="005158AF" w:rsidRPr="000C7CFA">
        <w:rPr>
          <w:rFonts w:ascii="Verdana" w:hAnsi="Verdana"/>
          <w:sz w:val="18"/>
          <w:szCs w:val="18"/>
          <w:vertAlign w:val="subscript"/>
        </w:rPr>
        <w:t>2</w:t>
      </w:r>
      <w:r w:rsidR="005158AF" w:rsidRPr="000C7CFA">
        <w:rPr>
          <w:rFonts w:ascii="Verdana" w:hAnsi="Verdana"/>
          <w:sz w:val="18"/>
          <w:szCs w:val="18"/>
        </w:rPr>
        <w:t xml:space="preserve"> in sealed vessels) is also </w:t>
      </w:r>
      <w:r w:rsidR="0097073D" w:rsidRPr="000C7CFA">
        <w:rPr>
          <w:rFonts w:ascii="Verdana" w:hAnsi="Verdana"/>
          <w:sz w:val="18"/>
          <w:szCs w:val="18"/>
        </w:rPr>
        <w:t>recommended</w:t>
      </w:r>
      <w:r w:rsidR="005158AF" w:rsidRPr="000C7CFA">
        <w:rPr>
          <w:rFonts w:ascii="Verdana" w:hAnsi="Verdana"/>
          <w:sz w:val="18"/>
          <w:szCs w:val="18"/>
        </w:rPr>
        <w:t xml:space="preserve"> for poorly soluble substances. </w:t>
      </w:r>
      <w:r w:rsidR="0097073D" w:rsidRPr="000C7CFA">
        <w:rPr>
          <w:rFonts w:ascii="Verdana" w:hAnsi="Verdana"/>
          <w:sz w:val="18"/>
          <w:szCs w:val="18"/>
        </w:rPr>
        <w:t>REACH Guidance R.7b (ECHA, 20</w:t>
      </w:r>
      <w:r w:rsidR="008B0C2E" w:rsidRPr="000C7CFA">
        <w:rPr>
          <w:rFonts w:ascii="Verdana" w:hAnsi="Verdana"/>
          <w:sz w:val="18"/>
          <w:szCs w:val="18"/>
        </w:rPr>
        <w:t>17</w:t>
      </w:r>
      <w:r w:rsidR="00A5402F" w:rsidRPr="000C7CFA">
        <w:rPr>
          <w:rFonts w:ascii="Verdana" w:hAnsi="Verdana"/>
          <w:sz w:val="18"/>
          <w:szCs w:val="18"/>
        </w:rPr>
        <w:t>b</w:t>
      </w:r>
      <w:r w:rsidR="0097073D" w:rsidRPr="000C7CFA">
        <w:rPr>
          <w:rFonts w:ascii="Verdana" w:hAnsi="Verdana"/>
          <w:sz w:val="18"/>
          <w:szCs w:val="18"/>
        </w:rPr>
        <w:t>) states that</w:t>
      </w:r>
      <w:r w:rsidR="00B6239B" w:rsidRPr="000C7CFA">
        <w:rPr>
          <w:rFonts w:ascii="Verdana" w:hAnsi="Verdana"/>
          <w:sz w:val="18"/>
          <w:szCs w:val="18"/>
        </w:rPr>
        <w:t xml:space="preserve"> t</w:t>
      </w:r>
      <w:r w:rsidR="005158AF" w:rsidRPr="000C7CFA">
        <w:rPr>
          <w:rFonts w:ascii="Verdana" w:hAnsi="Verdana"/>
          <w:sz w:val="18"/>
          <w:szCs w:val="18"/>
        </w:rPr>
        <w:t>ests using DOC analysis cannot be used to assess the biodegradability of poorly water-soluble substances unless it is measured in addition to another parameter.</w:t>
      </w:r>
      <w:r w:rsidR="00B84B34" w:rsidRPr="000C7CFA">
        <w:rPr>
          <w:rFonts w:ascii="Verdana" w:hAnsi="Verdana"/>
          <w:sz w:val="18"/>
          <w:szCs w:val="18"/>
        </w:rPr>
        <w:t xml:space="preserve"> This is because the substance might be removed from solution via adsorption to the inoculum or test vessel.</w:t>
      </w:r>
    </w:p>
    <w:p w14:paraId="521DEF62" w14:textId="332C63EB" w:rsidR="008472DC" w:rsidRPr="000C7CFA" w:rsidRDefault="005158AF" w:rsidP="001F0370">
      <w:pPr>
        <w:pStyle w:val="NormalWeb"/>
        <w:jc w:val="both"/>
        <w:rPr>
          <w:rFonts w:ascii="Verdana" w:hAnsi="Verdana"/>
          <w:sz w:val="18"/>
          <w:szCs w:val="18"/>
        </w:rPr>
      </w:pPr>
      <w:r w:rsidRPr="000C7CFA">
        <w:rPr>
          <w:rFonts w:ascii="Verdana" w:hAnsi="Verdana"/>
          <w:sz w:val="18"/>
          <w:szCs w:val="18"/>
        </w:rPr>
        <w:t>B</w:t>
      </w:r>
      <w:r w:rsidR="008E3119" w:rsidRPr="000C7CFA">
        <w:rPr>
          <w:rFonts w:ascii="Verdana" w:hAnsi="Verdana"/>
          <w:sz w:val="18"/>
          <w:szCs w:val="18"/>
        </w:rPr>
        <w:t xml:space="preserve">oth </w:t>
      </w:r>
      <w:r w:rsidRPr="000C7CFA">
        <w:rPr>
          <w:rFonts w:ascii="Verdana" w:hAnsi="Verdana"/>
          <w:sz w:val="18"/>
          <w:szCs w:val="18"/>
        </w:rPr>
        <w:t xml:space="preserve">studies </w:t>
      </w:r>
      <w:r w:rsidR="008E3119" w:rsidRPr="000C7CFA">
        <w:rPr>
          <w:rFonts w:ascii="Verdana" w:hAnsi="Verdana"/>
          <w:sz w:val="18"/>
          <w:szCs w:val="18"/>
        </w:rPr>
        <w:t xml:space="preserve">significantly overdosed the test solution </w:t>
      </w:r>
      <w:r w:rsidR="00126D93" w:rsidRPr="000C7CFA">
        <w:rPr>
          <w:rFonts w:ascii="Verdana" w:hAnsi="Verdana"/>
          <w:sz w:val="18"/>
          <w:szCs w:val="18"/>
        </w:rPr>
        <w:t xml:space="preserve">to a level </w:t>
      </w:r>
      <w:r w:rsidR="008E3119" w:rsidRPr="000C7CFA">
        <w:rPr>
          <w:rFonts w:ascii="Verdana" w:hAnsi="Verdana"/>
          <w:sz w:val="18"/>
          <w:szCs w:val="18"/>
        </w:rPr>
        <w:t>well above the water solubility of the test substance</w:t>
      </w:r>
      <w:r w:rsidR="00126D93" w:rsidRPr="000C7CFA">
        <w:rPr>
          <w:rFonts w:ascii="Verdana" w:hAnsi="Verdana"/>
          <w:sz w:val="18"/>
          <w:szCs w:val="18"/>
        </w:rPr>
        <w:t>,</w:t>
      </w:r>
      <w:r w:rsidR="00C85CD0" w:rsidRPr="000C7CFA">
        <w:rPr>
          <w:rFonts w:ascii="Verdana" w:hAnsi="Verdana"/>
          <w:sz w:val="18"/>
          <w:szCs w:val="18"/>
        </w:rPr>
        <w:t xml:space="preserve"> which </w:t>
      </w:r>
      <w:r w:rsidR="00FE5A71" w:rsidRPr="000C7CFA">
        <w:rPr>
          <w:rFonts w:ascii="Verdana" w:hAnsi="Verdana"/>
          <w:sz w:val="18"/>
          <w:szCs w:val="18"/>
        </w:rPr>
        <w:t xml:space="preserve">should </w:t>
      </w:r>
      <w:r w:rsidR="00C85CD0" w:rsidRPr="000C7CFA">
        <w:rPr>
          <w:rFonts w:ascii="Verdana" w:hAnsi="Verdana"/>
          <w:sz w:val="18"/>
          <w:szCs w:val="18"/>
        </w:rPr>
        <w:t xml:space="preserve">have resulted in most of the test substance being </w:t>
      </w:r>
      <w:r w:rsidR="00B84B34" w:rsidRPr="000C7CFA">
        <w:rPr>
          <w:rFonts w:ascii="Verdana" w:hAnsi="Verdana"/>
          <w:sz w:val="18"/>
          <w:szCs w:val="18"/>
        </w:rPr>
        <w:t>unavailable for</w:t>
      </w:r>
      <w:r w:rsidRPr="000C7CFA">
        <w:rPr>
          <w:rFonts w:ascii="Verdana" w:hAnsi="Verdana"/>
          <w:sz w:val="18"/>
          <w:szCs w:val="18"/>
        </w:rPr>
        <w:t xml:space="preserve"> biodegradation. In addition, the suspended substance could re-stock the solution to saturation concentration throughout the test</w:t>
      </w:r>
      <w:r w:rsidR="004A61B1" w:rsidRPr="000C7CFA">
        <w:rPr>
          <w:rFonts w:ascii="Verdana" w:hAnsi="Verdana"/>
          <w:sz w:val="18"/>
          <w:szCs w:val="18"/>
        </w:rPr>
        <w:t>, and thus any biodegradation taking place would not be observed by monitoring the test substance only</w:t>
      </w:r>
      <w:r w:rsidRPr="000C7CFA">
        <w:rPr>
          <w:rFonts w:ascii="Verdana" w:hAnsi="Verdana"/>
          <w:sz w:val="18"/>
          <w:szCs w:val="18"/>
        </w:rPr>
        <w:t xml:space="preserve">. </w:t>
      </w:r>
      <w:r w:rsidR="007531B0" w:rsidRPr="000C7CFA">
        <w:rPr>
          <w:rFonts w:ascii="Verdana" w:hAnsi="Verdana"/>
          <w:sz w:val="18"/>
          <w:szCs w:val="18"/>
        </w:rPr>
        <w:t>T</w:t>
      </w:r>
      <w:r w:rsidR="00831E97" w:rsidRPr="000C7CFA">
        <w:rPr>
          <w:rFonts w:ascii="Verdana" w:hAnsi="Verdana"/>
          <w:sz w:val="18"/>
          <w:szCs w:val="18"/>
        </w:rPr>
        <w:t xml:space="preserve">he losses observed </w:t>
      </w:r>
      <w:r w:rsidR="007531B0" w:rsidRPr="000C7CFA">
        <w:rPr>
          <w:rFonts w:ascii="Verdana" w:hAnsi="Verdana"/>
          <w:sz w:val="18"/>
          <w:szCs w:val="18"/>
        </w:rPr>
        <w:t xml:space="preserve">by Chou </w:t>
      </w:r>
      <w:r w:rsidR="007531B0" w:rsidRPr="000C7CFA">
        <w:rPr>
          <w:rFonts w:ascii="Verdana" w:hAnsi="Verdana"/>
          <w:i/>
          <w:sz w:val="18"/>
          <w:szCs w:val="18"/>
        </w:rPr>
        <w:t>et al</w:t>
      </w:r>
      <w:r w:rsidR="007531B0" w:rsidRPr="000C7CFA">
        <w:rPr>
          <w:rFonts w:ascii="Verdana" w:hAnsi="Verdana"/>
          <w:sz w:val="18"/>
          <w:szCs w:val="18"/>
        </w:rPr>
        <w:t xml:space="preserve">. (1979) </w:t>
      </w:r>
      <w:r w:rsidR="00831E97" w:rsidRPr="000C7CFA">
        <w:rPr>
          <w:rFonts w:ascii="Verdana" w:hAnsi="Verdana"/>
          <w:sz w:val="18"/>
          <w:szCs w:val="18"/>
        </w:rPr>
        <w:t xml:space="preserve">after six weeks of incubation could be the result of </w:t>
      </w:r>
      <w:r w:rsidR="00980565" w:rsidRPr="000C7CFA">
        <w:rPr>
          <w:rFonts w:ascii="Verdana" w:hAnsi="Verdana"/>
          <w:sz w:val="18"/>
          <w:szCs w:val="18"/>
        </w:rPr>
        <w:t xml:space="preserve">volatilisation or </w:t>
      </w:r>
      <w:r w:rsidR="00B84B34" w:rsidRPr="000C7CFA">
        <w:rPr>
          <w:rFonts w:ascii="Verdana" w:hAnsi="Verdana"/>
          <w:sz w:val="18"/>
          <w:szCs w:val="18"/>
        </w:rPr>
        <w:t xml:space="preserve">more likely </w:t>
      </w:r>
      <w:r w:rsidR="00831E97" w:rsidRPr="000C7CFA">
        <w:rPr>
          <w:rFonts w:ascii="Verdana" w:hAnsi="Verdana"/>
          <w:sz w:val="18"/>
          <w:szCs w:val="18"/>
        </w:rPr>
        <w:t>adsorption of the substance to</w:t>
      </w:r>
      <w:r w:rsidR="00FF4CEE" w:rsidRPr="000C7CFA">
        <w:rPr>
          <w:rFonts w:ascii="Verdana" w:hAnsi="Verdana"/>
          <w:sz w:val="18"/>
          <w:szCs w:val="18"/>
        </w:rPr>
        <w:t xml:space="preserve"> the</w:t>
      </w:r>
      <w:r w:rsidR="00831E97" w:rsidRPr="000C7CFA">
        <w:rPr>
          <w:rFonts w:ascii="Verdana" w:hAnsi="Verdana"/>
          <w:sz w:val="18"/>
          <w:szCs w:val="18"/>
        </w:rPr>
        <w:t xml:space="preserve"> test vessel or </w:t>
      </w:r>
      <w:r w:rsidR="00B84B34" w:rsidRPr="000C7CFA">
        <w:rPr>
          <w:rFonts w:ascii="Verdana" w:hAnsi="Verdana"/>
          <w:sz w:val="18"/>
          <w:szCs w:val="18"/>
        </w:rPr>
        <w:t xml:space="preserve">microbial </w:t>
      </w:r>
      <w:r w:rsidR="007531B0" w:rsidRPr="000C7CFA">
        <w:rPr>
          <w:rFonts w:ascii="Verdana" w:hAnsi="Verdana"/>
          <w:sz w:val="18"/>
          <w:szCs w:val="18"/>
        </w:rPr>
        <w:t xml:space="preserve">inoculums – there was no </w:t>
      </w:r>
      <w:r w:rsidR="007531B0" w:rsidRPr="000C7CFA">
        <w:rPr>
          <w:rFonts w:ascii="Verdana" w:hAnsi="Verdana"/>
          <w:sz w:val="18"/>
          <w:szCs w:val="18"/>
        </w:rPr>
        <w:lastRenderedPageBreak/>
        <w:t>mass balance, and TLC analysis of all fractions (from both anaerobic and aerobic experiments) failed to identify the presence of any metabolite</w:t>
      </w:r>
      <w:r w:rsidR="00AF6F20" w:rsidRPr="000C7CFA">
        <w:rPr>
          <w:rFonts w:ascii="Verdana" w:hAnsi="Verdana"/>
          <w:sz w:val="18"/>
          <w:szCs w:val="18"/>
        </w:rPr>
        <w:t>s by the end of the test</w:t>
      </w:r>
      <w:r w:rsidR="00831E97" w:rsidRPr="000C7CFA">
        <w:rPr>
          <w:rFonts w:ascii="Verdana" w:hAnsi="Verdana"/>
          <w:sz w:val="18"/>
          <w:szCs w:val="18"/>
        </w:rPr>
        <w:t>.</w:t>
      </w:r>
      <w:r w:rsidR="008472DC" w:rsidRPr="000C7CFA">
        <w:rPr>
          <w:rFonts w:ascii="Verdana" w:hAnsi="Verdana"/>
          <w:sz w:val="18"/>
          <w:szCs w:val="18"/>
        </w:rPr>
        <w:t xml:space="preserve">  </w:t>
      </w:r>
    </w:p>
    <w:p w14:paraId="61756D86" w14:textId="29D30F8D" w:rsidR="00980565" w:rsidRPr="000C7CFA" w:rsidRDefault="00980565" w:rsidP="008E3119">
      <w:pPr>
        <w:jc w:val="both"/>
        <w:rPr>
          <w:rFonts w:ascii="Verdana" w:hAnsi="Verdana"/>
          <w:sz w:val="18"/>
          <w:szCs w:val="18"/>
          <w:lang w:val="en-GB"/>
        </w:rPr>
      </w:pPr>
      <w:r w:rsidRPr="000C7CFA">
        <w:rPr>
          <w:rFonts w:ascii="Verdana" w:hAnsi="Verdana"/>
          <w:sz w:val="18"/>
          <w:szCs w:val="18"/>
          <w:lang w:val="en-GB"/>
        </w:rPr>
        <w:t>In view of the inappropriate test methods used</w:t>
      </w:r>
      <w:r w:rsidR="0097073D" w:rsidRPr="000C7CFA">
        <w:rPr>
          <w:rFonts w:ascii="Verdana" w:hAnsi="Verdana"/>
          <w:sz w:val="18"/>
          <w:szCs w:val="18"/>
          <w:lang w:val="en-GB"/>
        </w:rPr>
        <w:t>,</w:t>
      </w:r>
      <w:r w:rsidRPr="000C7CFA">
        <w:rPr>
          <w:rFonts w:ascii="Verdana" w:hAnsi="Verdana"/>
          <w:sz w:val="18"/>
          <w:szCs w:val="18"/>
          <w:lang w:val="en-GB"/>
        </w:rPr>
        <w:t xml:space="preserve"> and the additional deficiencies in the studies mentioned above, these </w:t>
      </w:r>
      <w:r w:rsidR="0097073D" w:rsidRPr="000C7CFA">
        <w:rPr>
          <w:rFonts w:ascii="Verdana" w:hAnsi="Verdana"/>
          <w:sz w:val="18"/>
          <w:szCs w:val="18"/>
          <w:lang w:val="en-GB"/>
        </w:rPr>
        <w:t xml:space="preserve">biodegradation screening </w:t>
      </w:r>
      <w:r w:rsidRPr="000C7CFA">
        <w:rPr>
          <w:rFonts w:ascii="Verdana" w:hAnsi="Verdana"/>
          <w:sz w:val="18"/>
          <w:szCs w:val="18"/>
          <w:lang w:val="en-GB"/>
        </w:rPr>
        <w:t>st</w:t>
      </w:r>
      <w:r w:rsidR="0097073D" w:rsidRPr="000C7CFA">
        <w:rPr>
          <w:rFonts w:ascii="Verdana" w:hAnsi="Verdana"/>
          <w:sz w:val="18"/>
          <w:szCs w:val="18"/>
          <w:lang w:val="en-GB"/>
        </w:rPr>
        <w:t xml:space="preserve">udies provide </w:t>
      </w:r>
      <w:r w:rsidR="00AF6F20" w:rsidRPr="000C7CFA">
        <w:rPr>
          <w:rFonts w:ascii="Verdana" w:hAnsi="Verdana"/>
          <w:sz w:val="18"/>
          <w:szCs w:val="18"/>
          <w:lang w:val="en-GB"/>
        </w:rPr>
        <w:t>no reliable</w:t>
      </w:r>
      <w:r w:rsidR="0097073D" w:rsidRPr="000C7CFA">
        <w:rPr>
          <w:rFonts w:ascii="Verdana" w:hAnsi="Verdana"/>
          <w:sz w:val="18"/>
          <w:szCs w:val="18"/>
          <w:lang w:val="en-GB"/>
        </w:rPr>
        <w:t xml:space="preserve"> </w:t>
      </w:r>
      <w:r w:rsidRPr="000C7CFA">
        <w:rPr>
          <w:rFonts w:ascii="Verdana" w:hAnsi="Verdana"/>
          <w:sz w:val="18"/>
          <w:szCs w:val="18"/>
          <w:lang w:val="en-GB"/>
        </w:rPr>
        <w:t>information on the biodegradation potential of the substance</w:t>
      </w:r>
      <w:r w:rsidR="0097073D" w:rsidRPr="000C7CFA">
        <w:rPr>
          <w:rFonts w:ascii="Verdana" w:hAnsi="Verdana"/>
          <w:sz w:val="18"/>
          <w:szCs w:val="18"/>
          <w:lang w:val="en-GB"/>
        </w:rPr>
        <w:t>, and</w:t>
      </w:r>
      <w:r w:rsidRPr="000C7CFA">
        <w:rPr>
          <w:rFonts w:ascii="Verdana" w:hAnsi="Verdana"/>
          <w:sz w:val="18"/>
          <w:szCs w:val="18"/>
          <w:lang w:val="en-GB"/>
        </w:rPr>
        <w:t xml:space="preserve"> </w:t>
      </w:r>
      <w:r w:rsidR="00AE42FF" w:rsidRPr="000C7CFA">
        <w:rPr>
          <w:rFonts w:ascii="Verdana" w:hAnsi="Verdana"/>
          <w:sz w:val="18"/>
          <w:szCs w:val="18"/>
          <w:lang w:val="en-GB"/>
        </w:rPr>
        <w:t>should</w:t>
      </w:r>
      <w:r w:rsidR="0097073D" w:rsidRPr="000C7CFA">
        <w:rPr>
          <w:rFonts w:ascii="Verdana" w:hAnsi="Verdana"/>
          <w:sz w:val="18"/>
          <w:szCs w:val="18"/>
          <w:lang w:val="en-GB"/>
        </w:rPr>
        <w:t xml:space="preserve"> </w:t>
      </w:r>
      <w:r w:rsidR="00DB7F6C" w:rsidRPr="000C7CFA">
        <w:rPr>
          <w:rFonts w:ascii="Verdana" w:hAnsi="Verdana"/>
          <w:sz w:val="18"/>
          <w:szCs w:val="18"/>
          <w:lang w:val="en-GB"/>
        </w:rPr>
        <w:t xml:space="preserve">not </w:t>
      </w:r>
      <w:r w:rsidR="00AE42FF" w:rsidRPr="000C7CFA">
        <w:rPr>
          <w:rFonts w:ascii="Verdana" w:hAnsi="Verdana"/>
          <w:sz w:val="18"/>
          <w:szCs w:val="18"/>
          <w:lang w:val="en-GB"/>
        </w:rPr>
        <w:t xml:space="preserve">be </w:t>
      </w:r>
      <w:r w:rsidR="00FF4CEE" w:rsidRPr="000C7CFA">
        <w:rPr>
          <w:rFonts w:ascii="Verdana" w:hAnsi="Verdana"/>
          <w:sz w:val="18"/>
          <w:szCs w:val="18"/>
          <w:lang w:val="en-GB"/>
        </w:rPr>
        <w:t xml:space="preserve">considered </w:t>
      </w:r>
      <w:r w:rsidR="00DB7F6C" w:rsidRPr="000C7CFA">
        <w:rPr>
          <w:rFonts w:ascii="Verdana" w:hAnsi="Verdana"/>
          <w:sz w:val="18"/>
          <w:szCs w:val="18"/>
          <w:lang w:val="en-GB"/>
        </w:rPr>
        <w:t>valid.</w:t>
      </w:r>
      <w:r w:rsidR="00FE5A71" w:rsidRPr="000C7CFA">
        <w:rPr>
          <w:rFonts w:ascii="Verdana" w:hAnsi="Verdana"/>
          <w:sz w:val="18"/>
          <w:szCs w:val="18"/>
          <w:lang w:val="en-GB"/>
        </w:rPr>
        <w:t xml:space="preserve"> The </w:t>
      </w:r>
      <w:r w:rsidR="00A43C45" w:rsidRPr="000C7CFA">
        <w:rPr>
          <w:rFonts w:ascii="Verdana" w:hAnsi="Verdana"/>
          <w:sz w:val="18"/>
          <w:szCs w:val="18"/>
          <w:lang w:val="en-GB"/>
        </w:rPr>
        <w:t xml:space="preserve">Registrant </w:t>
      </w:r>
      <w:r w:rsidR="00FE5A71" w:rsidRPr="000C7CFA">
        <w:rPr>
          <w:rFonts w:ascii="Verdana" w:hAnsi="Verdana"/>
          <w:sz w:val="18"/>
          <w:szCs w:val="18"/>
          <w:lang w:val="en-GB"/>
        </w:rPr>
        <w:t>draws a similar biodegradability conclusion, although considers the studies to be valid with restrictions.</w:t>
      </w:r>
    </w:p>
    <w:p w14:paraId="643EDDAA" w14:textId="6F3FAC23" w:rsidR="00F975FC" w:rsidRPr="000C7CFA" w:rsidRDefault="000A15AD" w:rsidP="00480C05">
      <w:pPr>
        <w:jc w:val="both"/>
        <w:rPr>
          <w:rFonts w:ascii="Verdana" w:hAnsi="Verdana"/>
          <w:sz w:val="18"/>
          <w:szCs w:val="18"/>
          <w:lang w:val="en-GB"/>
        </w:rPr>
      </w:pPr>
      <w:r w:rsidRPr="000C7CFA">
        <w:rPr>
          <w:rFonts w:ascii="Verdana" w:hAnsi="Verdana"/>
          <w:sz w:val="18"/>
          <w:szCs w:val="18"/>
          <w:lang w:val="en-GB"/>
        </w:rPr>
        <w:t>I</w:t>
      </w:r>
      <w:r w:rsidR="00C85CD0" w:rsidRPr="000C7CFA">
        <w:rPr>
          <w:rFonts w:ascii="Verdana" w:hAnsi="Verdana"/>
          <w:sz w:val="18"/>
          <w:szCs w:val="18"/>
          <w:lang w:val="en-GB"/>
        </w:rPr>
        <w:t xml:space="preserve">t is also relevant to mention that </w:t>
      </w:r>
      <w:r w:rsidRPr="000C7CFA">
        <w:rPr>
          <w:rFonts w:ascii="Verdana" w:hAnsi="Verdana"/>
          <w:sz w:val="18"/>
          <w:szCs w:val="18"/>
          <w:lang w:val="en-GB"/>
        </w:rPr>
        <w:t xml:space="preserve">a </w:t>
      </w:r>
      <w:r w:rsidR="008F15F5" w:rsidRPr="000C7CFA">
        <w:rPr>
          <w:rFonts w:ascii="Verdana" w:hAnsi="Verdana"/>
          <w:sz w:val="18"/>
          <w:szCs w:val="18"/>
          <w:lang w:val="en-GB"/>
        </w:rPr>
        <w:t>screening-level hazard characteri</w:t>
      </w:r>
      <w:r w:rsidR="001F0370" w:rsidRPr="000C7CFA">
        <w:rPr>
          <w:rFonts w:ascii="Verdana" w:hAnsi="Verdana"/>
          <w:sz w:val="18"/>
          <w:szCs w:val="18"/>
          <w:lang w:val="en-GB"/>
        </w:rPr>
        <w:t>s</w:t>
      </w:r>
      <w:r w:rsidR="00AF6F20" w:rsidRPr="000C7CFA">
        <w:rPr>
          <w:rFonts w:ascii="Verdana" w:hAnsi="Verdana"/>
          <w:sz w:val="18"/>
          <w:szCs w:val="18"/>
          <w:lang w:val="en-GB"/>
        </w:rPr>
        <w:t xml:space="preserve">ation </w:t>
      </w:r>
      <w:r w:rsidRPr="000C7CFA">
        <w:rPr>
          <w:rFonts w:ascii="Verdana" w:hAnsi="Verdana"/>
          <w:sz w:val="18"/>
          <w:szCs w:val="18"/>
          <w:lang w:val="en-GB"/>
        </w:rPr>
        <w:t>by the U</w:t>
      </w:r>
      <w:r w:rsidR="0052745F" w:rsidRPr="000C7CFA">
        <w:rPr>
          <w:rFonts w:ascii="Verdana" w:hAnsi="Verdana"/>
          <w:sz w:val="18"/>
          <w:szCs w:val="18"/>
          <w:lang w:val="en-GB"/>
        </w:rPr>
        <w:t>.</w:t>
      </w:r>
      <w:r w:rsidRPr="000C7CFA">
        <w:rPr>
          <w:rFonts w:ascii="Verdana" w:hAnsi="Verdana"/>
          <w:sz w:val="18"/>
          <w:szCs w:val="18"/>
          <w:lang w:val="en-GB"/>
        </w:rPr>
        <w:t>S</w:t>
      </w:r>
      <w:r w:rsidR="0052745F" w:rsidRPr="000C7CFA">
        <w:rPr>
          <w:rFonts w:ascii="Verdana" w:hAnsi="Verdana"/>
          <w:sz w:val="18"/>
          <w:szCs w:val="18"/>
          <w:lang w:val="en-GB"/>
        </w:rPr>
        <w:t>.</w:t>
      </w:r>
      <w:r w:rsidRPr="000C7CFA">
        <w:rPr>
          <w:rFonts w:ascii="Verdana" w:hAnsi="Verdana"/>
          <w:sz w:val="18"/>
          <w:szCs w:val="18"/>
          <w:lang w:val="en-GB"/>
        </w:rPr>
        <w:t xml:space="preserve"> EPA (20</w:t>
      </w:r>
      <w:r w:rsidR="00AF6F20" w:rsidRPr="000C7CFA">
        <w:rPr>
          <w:rFonts w:ascii="Verdana" w:hAnsi="Verdana"/>
          <w:sz w:val="18"/>
          <w:szCs w:val="18"/>
          <w:lang w:val="en-GB"/>
        </w:rPr>
        <w:t>11) cite</w:t>
      </w:r>
      <w:r w:rsidR="00861E6F" w:rsidRPr="000C7CFA">
        <w:rPr>
          <w:rFonts w:ascii="Verdana" w:hAnsi="Verdana"/>
          <w:sz w:val="18"/>
          <w:szCs w:val="18"/>
          <w:lang w:val="en-GB"/>
        </w:rPr>
        <w:t>s a</w:t>
      </w:r>
      <w:r w:rsidR="00480C05" w:rsidRPr="000C7CFA">
        <w:rPr>
          <w:rFonts w:ascii="Verdana" w:hAnsi="Verdana"/>
          <w:sz w:val="18"/>
          <w:szCs w:val="18"/>
          <w:lang w:val="en-GB"/>
        </w:rPr>
        <w:t xml:space="preserve"> </w:t>
      </w:r>
      <w:r w:rsidR="00AF6F20" w:rsidRPr="000C7CFA">
        <w:rPr>
          <w:rFonts w:ascii="Verdana" w:hAnsi="Verdana"/>
          <w:sz w:val="18"/>
          <w:szCs w:val="18"/>
          <w:lang w:val="en-GB"/>
        </w:rPr>
        <w:t xml:space="preserve">Japanese </w:t>
      </w:r>
      <w:r w:rsidR="00480C05" w:rsidRPr="000C7CFA">
        <w:rPr>
          <w:rFonts w:ascii="Verdana" w:hAnsi="Verdana"/>
          <w:sz w:val="18"/>
          <w:szCs w:val="18"/>
          <w:lang w:val="en-GB"/>
        </w:rPr>
        <w:t>biodegradation study where Dechlorane Plus achieved 0.</w:t>
      </w:r>
      <w:r w:rsidR="00AF7606" w:rsidRPr="000C7CFA">
        <w:rPr>
          <w:rFonts w:ascii="Verdana" w:hAnsi="Verdana"/>
          <w:sz w:val="18"/>
          <w:szCs w:val="18"/>
          <w:lang w:val="en-GB"/>
        </w:rPr>
        <w:t>6 %</w:t>
      </w:r>
      <w:r w:rsidR="00480C05" w:rsidRPr="000C7CFA">
        <w:rPr>
          <w:rFonts w:ascii="Verdana" w:hAnsi="Verdana"/>
          <w:sz w:val="18"/>
          <w:szCs w:val="18"/>
          <w:lang w:val="en-GB"/>
        </w:rPr>
        <w:t xml:space="preserve"> of its theoretical biochemical oxygen demand (BOD) in 2 weeks using an activated sludge inoculum and the modified MITI (OECD </w:t>
      </w:r>
      <w:r w:rsidR="009E3EFB" w:rsidRPr="000C7CFA">
        <w:rPr>
          <w:rFonts w:ascii="Verdana" w:hAnsi="Verdana"/>
          <w:sz w:val="18"/>
          <w:szCs w:val="18"/>
          <w:lang w:val="en-GB"/>
        </w:rPr>
        <w:t xml:space="preserve">TG </w:t>
      </w:r>
      <w:r w:rsidR="00480C05" w:rsidRPr="000C7CFA">
        <w:rPr>
          <w:rFonts w:ascii="Verdana" w:hAnsi="Verdana"/>
          <w:sz w:val="18"/>
          <w:szCs w:val="18"/>
          <w:lang w:val="en-GB"/>
        </w:rPr>
        <w:t>301C) test.</w:t>
      </w:r>
      <w:r w:rsidR="00B526C2" w:rsidRPr="000C7CFA">
        <w:rPr>
          <w:rFonts w:ascii="Verdana" w:hAnsi="Verdana"/>
          <w:sz w:val="18"/>
          <w:szCs w:val="18"/>
          <w:lang w:val="en-GB"/>
        </w:rPr>
        <w:t xml:space="preserve"> The reference stated by the U.S EPA for this biodegradation data is the NITE database </w:t>
      </w:r>
      <w:r w:rsidR="00E00C9D" w:rsidRPr="000C7CFA">
        <w:rPr>
          <w:rFonts w:ascii="Verdana" w:hAnsi="Verdana"/>
          <w:sz w:val="18"/>
          <w:szCs w:val="18"/>
          <w:lang w:val="en-GB"/>
        </w:rPr>
        <w:t>“</w:t>
      </w:r>
      <w:r w:rsidR="00B526C2" w:rsidRPr="000C7CFA">
        <w:rPr>
          <w:rFonts w:ascii="Verdana" w:hAnsi="Verdana"/>
          <w:sz w:val="18"/>
          <w:szCs w:val="18"/>
          <w:lang w:val="en-GB"/>
        </w:rPr>
        <w:t>Biodegradation and Bioaccumulation of the Existing Chemical Substances</w:t>
      </w:r>
      <w:r w:rsidR="00E00C9D" w:rsidRPr="000C7CFA">
        <w:rPr>
          <w:rFonts w:ascii="Verdana" w:hAnsi="Verdana"/>
          <w:sz w:val="18"/>
          <w:szCs w:val="18"/>
          <w:lang w:val="en-GB"/>
        </w:rPr>
        <w:t>”</w:t>
      </w:r>
      <w:r w:rsidR="00B526C2" w:rsidRPr="000C7CFA">
        <w:rPr>
          <w:rFonts w:ascii="Verdana" w:hAnsi="Verdana"/>
          <w:sz w:val="18"/>
          <w:szCs w:val="18"/>
          <w:lang w:val="en-GB"/>
        </w:rPr>
        <w:t xml:space="preserve"> under the Chemical Substances Control Law.</w:t>
      </w:r>
      <w:r w:rsidRPr="000C7CFA">
        <w:rPr>
          <w:rFonts w:ascii="Verdana" w:hAnsi="Verdana"/>
          <w:sz w:val="18"/>
          <w:szCs w:val="18"/>
          <w:lang w:val="en-GB"/>
        </w:rPr>
        <w:t xml:space="preserve"> </w:t>
      </w:r>
      <w:r w:rsidR="001A3F5C" w:rsidRPr="000C7CFA">
        <w:rPr>
          <w:rFonts w:ascii="Verdana" w:hAnsi="Verdana"/>
          <w:sz w:val="18"/>
          <w:szCs w:val="18"/>
          <w:lang w:val="en-GB"/>
        </w:rPr>
        <w:t>The test information on the English version of the J-Check website is a very limited summary</w:t>
      </w:r>
      <w:r w:rsidR="00B84B34" w:rsidRPr="000C7CFA">
        <w:rPr>
          <w:rFonts w:ascii="Verdana" w:hAnsi="Verdana"/>
          <w:sz w:val="18"/>
          <w:szCs w:val="18"/>
          <w:lang w:val="en-GB"/>
        </w:rPr>
        <w:t xml:space="preserve"> (NITE, undated)</w:t>
      </w:r>
      <w:r w:rsidR="001A3F5C" w:rsidRPr="000C7CFA">
        <w:rPr>
          <w:rFonts w:ascii="Verdana" w:hAnsi="Verdana"/>
          <w:sz w:val="18"/>
          <w:szCs w:val="18"/>
          <w:lang w:val="en-GB"/>
        </w:rPr>
        <w:t xml:space="preserve">. The test substance concentration was 100 ppm and </w:t>
      </w:r>
      <w:r w:rsidR="00FF4CEE" w:rsidRPr="000C7CFA">
        <w:rPr>
          <w:rFonts w:ascii="Verdana" w:hAnsi="Verdana"/>
          <w:sz w:val="18"/>
          <w:szCs w:val="18"/>
          <w:lang w:val="en-GB"/>
        </w:rPr>
        <w:t xml:space="preserve">the </w:t>
      </w:r>
      <w:r w:rsidR="001A3F5C" w:rsidRPr="000C7CFA">
        <w:rPr>
          <w:rFonts w:ascii="Verdana" w:hAnsi="Verdana"/>
          <w:sz w:val="18"/>
          <w:szCs w:val="18"/>
          <w:lang w:val="en-GB"/>
        </w:rPr>
        <w:t>sludge concentration 30 ppm. As well as the BOD measurement cited by U</w:t>
      </w:r>
      <w:r w:rsidR="00E00C9D" w:rsidRPr="000C7CFA">
        <w:rPr>
          <w:rFonts w:ascii="Verdana" w:hAnsi="Verdana"/>
          <w:sz w:val="18"/>
          <w:szCs w:val="18"/>
          <w:lang w:val="en-GB"/>
        </w:rPr>
        <w:t>.</w:t>
      </w:r>
      <w:r w:rsidR="001A3F5C" w:rsidRPr="000C7CFA">
        <w:rPr>
          <w:rFonts w:ascii="Verdana" w:hAnsi="Verdana"/>
          <w:sz w:val="18"/>
          <w:szCs w:val="18"/>
          <w:lang w:val="en-GB"/>
        </w:rPr>
        <w:t>S</w:t>
      </w:r>
      <w:r w:rsidR="00E00C9D" w:rsidRPr="000C7CFA">
        <w:rPr>
          <w:rFonts w:ascii="Verdana" w:hAnsi="Verdana"/>
          <w:sz w:val="18"/>
          <w:szCs w:val="18"/>
          <w:lang w:val="en-GB"/>
        </w:rPr>
        <w:t>.</w:t>
      </w:r>
      <w:r w:rsidR="001A3F5C" w:rsidRPr="000C7CFA">
        <w:rPr>
          <w:rFonts w:ascii="Verdana" w:hAnsi="Verdana"/>
          <w:sz w:val="18"/>
          <w:szCs w:val="18"/>
          <w:lang w:val="en-GB"/>
        </w:rPr>
        <w:t xml:space="preserve"> EPA</w:t>
      </w:r>
      <w:r w:rsidR="00E00C9D" w:rsidRPr="000C7CFA">
        <w:rPr>
          <w:rFonts w:ascii="Verdana" w:hAnsi="Verdana"/>
          <w:sz w:val="18"/>
          <w:szCs w:val="18"/>
          <w:lang w:val="en-GB"/>
        </w:rPr>
        <w:t xml:space="preserve"> (2011)</w:t>
      </w:r>
      <w:r w:rsidR="001A3F5C" w:rsidRPr="000C7CFA">
        <w:rPr>
          <w:rFonts w:ascii="Verdana" w:hAnsi="Verdana"/>
          <w:sz w:val="18"/>
          <w:szCs w:val="18"/>
          <w:lang w:val="en-GB"/>
        </w:rPr>
        <w:t>, 0.</w:t>
      </w:r>
      <w:r w:rsidR="00AF7606" w:rsidRPr="000C7CFA">
        <w:rPr>
          <w:rFonts w:ascii="Verdana" w:hAnsi="Verdana"/>
          <w:sz w:val="18"/>
          <w:szCs w:val="18"/>
          <w:lang w:val="en-GB"/>
        </w:rPr>
        <w:t>3 %</w:t>
      </w:r>
      <w:r w:rsidR="001A3F5C" w:rsidRPr="000C7CFA">
        <w:rPr>
          <w:rFonts w:ascii="Verdana" w:hAnsi="Verdana"/>
          <w:sz w:val="18"/>
          <w:szCs w:val="18"/>
          <w:lang w:val="en-GB"/>
        </w:rPr>
        <w:t xml:space="preserve"> degradation was determined by </w:t>
      </w:r>
      <w:r w:rsidR="00E00C9D" w:rsidRPr="000C7CFA">
        <w:rPr>
          <w:rFonts w:ascii="Verdana" w:hAnsi="Verdana"/>
          <w:sz w:val="18"/>
          <w:szCs w:val="18"/>
          <w:lang w:val="en-GB"/>
        </w:rPr>
        <w:t>gas chromatography</w:t>
      </w:r>
      <w:r w:rsidR="001A3F5C" w:rsidRPr="000C7CFA">
        <w:rPr>
          <w:rFonts w:ascii="Verdana" w:hAnsi="Verdana"/>
          <w:sz w:val="18"/>
          <w:szCs w:val="18"/>
          <w:lang w:val="en-GB"/>
        </w:rPr>
        <w:t>.</w:t>
      </w:r>
      <w:r w:rsidR="004012C3" w:rsidRPr="000C7CFA">
        <w:rPr>
          <w:rFonts w:ascii="Verdana" w:hAnsi="Verdana"/>
          <w:sz w:val="18"/>
          <w:szCs w:val="18"/>
          <w:lang w:val="en-GB"/>
        </w:rPr>
        <w:t xml:space="preserve"> </w:t>
      </w:r>
      <w:r w:rsidR="007531B0" w:rsidRPr="000C7CFA">
        <w:rPr>
          <w:rFonts w:ascii="Verdana" w:hAnsi="Verdana"/>
          <w:sz w:val="18"/>
          <w:szCs w:val="18"/>
        </w:rPr>
        <w:t>Correspondence with the Japanese Chemicals Evaluation and Research Institute (Yoshida, pers. comm., 2015</w:t>
      </w:r>
      <w:r w:rsidR="007531B0" w:rsidRPr="000C7CFA">
        <w:rPr>
          <w:rFonts w:ascii="Verdana" w:hAnsi="Verdana"/>
          <w:sz w:val="18"/>
          <w:szCs w:val="18"/>
          <w:vertAlign w:val="superscript"/>
        </w:rPr>
        <w:footnoteReference w:id="3"/>
      </w:r>
      <w:r w:rsidR="007531B0" w:rsidRPr="000C7CFA">
        <w:rPr>
          <w:rFonts w:ascii="Verdana" w:hAnsi="Verdana"/>
          <w:sz w:val="18"/>
          <w:szCs w:val="18"/>
        </w:rPr>
        <w:t>) confirmed that this study was actually conducted in</w:t>
      </w:r>
      <w:r w:rsidR="00F975FC" w:rsidRPr="000C7CFA">
        <w:rPr>
          <w:rFonts w:ascii="Verdana" w:hAnsi="Verdana"/>
          <w:sz w:val="18"/>
          <w:szCs w:val="18"/>
        </w:rPr>
        <w:t xml:space="preserve"> 1974 and the report is simple without any raw data.</w:t>
      </w:r>
      <w:r w:rsidR="004012C3" w:rsidRPr="000C7CFA">
        <w:rPr>
          <w:rFonts w:ascii="Verdana" w:hAnsi="Verdana"/>
          <w:sz w:val="18"/>
          <w:szCs w:val="18"/>
        </w:rPr>
        <w:t xml:space="preserve"> </w:t>
      </w:r>
      <w:r w:rsidR="00F975FC" w:rsidRPr="000C7CFA">
        <w:rPr>
          <w:rFonts w:ascii="Verdana" w:hAnsi="Verdana"/>
          <w:sz w:val="18"/>
          <w:szCs w:val="18"/>
        </w:rPr>
        <w:t>There was no information about a reference substance</w:t>
      </w:r>
      <w:r w:rsidR="004012C3" w:rsidRPr="000C7CFA">
        <w:rPr>
          <w:rFonts w:ascii="Verdana" w:hAnsi="Verdana"/>
          <w:sz w:val="18"/>
          <w:szCs w:val="18"/>
        </w:rPr>
        <w:t>, but it is likely to have been aniline</w:t>
      </w:r>
      <w:r w:rsidR="00F975FC" w:rsidRPr="000C7CFA">
        <w:rPr>
          <w:rFonts w:ascii="Verdana" w:hAnsi="Verdana"/>
          <w:sz w:val="18"/>
          <w:szCs w:val="18"/>
        </w:rPr>
        <w:t>.</w:t>
      </w:r>
      <w:r w:rsidR="004012C3" w:rsidRPr="000C7CFA">
        <w:rPr>
          <w:rFonts w:ascii="Verdana" w:hAnsi="Verdana"/>
          <w:sz w:val="18"/>
          <w:szCs w:val="18"/>
        </w:rPr>
        <w:t xml:space="preserve"> </w:t>
      </w:r>
      <w:r w:rsidR="00F975FC" w:rsidRPr="000C7CFA">
        <w:rPr>
          <w:rFonts w:ascii="Verdana" w:hAnsi="Verdana"/>
          <w:sz w:val="18"/>
          <w:szCs w:val="18"/>
        </w:rPr>
        <w:t xml:space="preserve">Cultivation </w:t>
      </w:r>
      <w:r w:rsidR="004012C3" w:rsidRPr="000C7CFA">
        <w:rPr>
          <w:rFonts w:ascii="Verdana" w:hAnsi="Verdana"/>
          <w:sz w:val="18"/>
          <w:szCs w:val="18"/>
        </w:rPr>
        <w:t>was for</w:t>
      </w:r>
      <w:r w:rsidR="00F975FC" w:rsidRPr="000C7CFA">
        <w:rPr>
          <w:rFonts w:ascii="Verdana" w:hAnsi="Verdana"/>
          <w:sz w:val="18"/>
          <w:szCs w:val="18"/>
        </w:rPr>
        <w:t xml:space="preserve"> 14 days</w:t>
      </w:r>
      <w:r w:rsidR="004012C3" w:rsidRPr="000C7CFA">
        <w:rPr>
          <w:rFonts w:ascii="Verdana" w:hAnsi="Verdana"/>
          <w:sz w:val="18"/>
          <w:szCs w:val="18"/>
        </w:rPr>
        <w:t xml:space="preserve"> only</w:t>
      </w:r>
      <w:r w:rsidR="00F975FC" w:rsidRPr="000C7CFA">
        <w:rPr>
          <w:rFonts w:ascii="Verdana" w:hAnsi="Verdana"/>
          <w:sz w:val="18"/>
          <w:szCs w:val="18"/>
        </w:rPr>
        <w:t>.</w:t>
      </w:r>
      <w:r w:rsidR="00FE5A71" w:rsidRPr="000C7CFA">
        <w:rPr>
          <w:rFonts w:ascii="Verdana" w:hAnsi="Verdana"/>
          <w:sz w:val="18"/>
          <w:szCs w:val="18"/>
        </w:rPr>
        <w:t xml:space="preserve"> This study is not mentioned in the REACH registration.</w:t>
      </w:r>
    </w:p>
    <w:p w14:paraId="5ACAC01D" w14:textId="141EF07D" w:rsidR="0089163D" w:rsidRPr="000C7CFA" w:rsidRDefault="0089163D" w:rsidP="0089163D">
      <w:pPr>
        <w:pStyle w:val="Heading5"/>
        <w:keepNext/>
        <w:tabs>
          <w:tab w:val="num" w:pos="960"/>
          <w:tab w:val="num" w:pos="2083"/>
        </w:tabs>
        <w:spacing w:before="360" w:after="200"/>
        <w:ind w:left="2083" w:hanging="2083"/>
        <w:rPr>
          <w:rFonts w:ascii="Verdana" w:hAnsi="Verdana"/>
          <w:b w:val="0"/>
          <w:sz w:val="18"/>
          <w:szCs w:val="18"/>
          <w:lang w:val="en-GB"/>
        </w:rPr>
      </w:pPr>
      <w:bookmarkStart w:id="30" w:name="_Toc202255466"/>
      <w:bookmarkStart w:id="31" w:name="_Toc265765478"/>
      <w:r w:rsidRPr="000C7CFA">
        <w:rPr>
          <w:rFonts w:ascii="Verdana" w:hAnsi="Verdana"/>
          <w:b w:val="0"/>
          <w:sz w:val="18"/>
          <w:szCs w:val="18"/>
          <w:lang w:val="en-GB"/>
        </w:rPr>
        <w:t>Simulation tests</w:t>
      </w:r>
      <w:bookmarkEnd w:id="30"/>
      <w:bookmarkEnd w:id="31"/>
    </w:p>
    <w:p w14:paraId="360D862E" w14:textId="77777777" w:rsidR="00E62188" w:rsidRPr="000C7CFA" w:rsidRDefault="00E62188" w:rsidP="00E62188">
      <w:pPr>
        <w:pStyle w:val="Heading5"/>
        <w:keepNext/>
        <w:tabs>
          <w:tab w:val="num" w:pos="960"/>
          <w:tab w:val="num" w:pos="2083"/>
        </w:tabs>
        <w:spacing w:before="360" w:after="200"/>
        <w:ind w:left="2083" w:hanging="2083"/>
        <w:rPr>
          <w:rFonts w:ascii="Verdana" w:hAnsi="Verdana"/>
          <w:b w:val="0"/>
          <w:sz w:val="18"/>
          <w:szCs w:val="18"/>
          <w:lang w:val="en-GB"/>
        </w:rPr>
      </w:pPr>
      <w:r w:rsidRPr="000C7CFA">
        <w:rPr>
          <w:rFonts w:ascii="Verdana" w:hAnsi="Verdana"/>
          <w:b w:val="0"/>
          <w:sz w:val="18"/>
          <w:szCs w:val="18"/>
          <w:lang w:val="en-GB"/>
        </w:rPr>
        <w:t>Field evidence</w:t>
      </w:r>
    </w:p>
    <w:p w14:paraId="3FE152B3" w14:textId="77777777" w:rsidR="00E62188" w:rsidRPr="000C7CFA" w:rsidRDefault="00E62188" w:rsidP="00235842">
      <w:pPr>
        <w:jc w:val="both"/>
        <w:rPr>
          <w:rFonts w:ascii="Verdana" w:eastAsiaTheme="minorHAnsi" w:hAnsi="Verdana"/>
          <w:sz w:val="18"/>
          <w:szCs w:val="18"/>
          <w:lang w:val="en-GB"/>
        </w:rPr>
      </w:pPr>
      <w:proofErr w:type="gramStart"/>
      <w:r w:rsidRPr="000C7CFA">
        <w:rPr>
          <w:rFonts w:ascii="Verdana" w:eastAsiaTheme="minorHAnsi" w:hAnsi="Verdana"/>
          <w:sz w:val="18"/>
          <w:szCs w:val="18"/>
          <w:u w:val="single"/>
          <w:lang w:val="fr-FR"/>
        </w:rPr>
        <w:t>de</w:t>
      </w:r>
      <w:proofErr w:type="gramEnd"/>
      <w:r w:rsidRPr="000C7CFA">
        <w:rPr>
          <w:rFonts w:ascii="Verdana" w:eastAsiaTheme="minorHAnsi" w:hAnsi="Verdana"/>
          <w:sz w:val="18"/>
          <w:szCs w:val="18"/>
          <w:u w:val="single"/>
          <w:lang w:val="fr-FR"/>
        </w:rPr>
        <w:t xml:space="preserve"> la Torre </w:t>
      </w:r>
      <w:r w:rsidRPr="000C7CFA">
        <w:rPr>
          <w:rFonts w:ascii="Verdana" w:eastAsiaTheme="minorHAnsi" w:hAnsi="Verdana"/>
          <w:i/>
          <w:sz w:val="18"/>
          <w:szCs w:val="18"/>
          <w:u w:val="single"/>
          <w:lang w:val="fr-FR"/>
        </w:rPr>
        <w:t>et al</w:t>
      </w:r>
      <w:r w:rsidRPr="000C7CFA">
        <w:rPr>
          <w:rFonts w:ascii="Verdana" w:eastAsiaTheme="minorHAnsi" w:hAnsi="Verdana"/>
          <w:sz w:val="18"/>
          <w:szCs w:val="18"/>
          <w:u w:val="single"/>
          <w:lang w:val="fr-FR"/>
        </w:rPr>
        <w:t xml:space="preserve">. </w:t>
      </w:r>
      <w:r w:rsidRPr="000C7CFA">
        <w:rPr>
          <w:rFonts w:ascii="Verdana" w:eastAsiaTheme="minorHAnsi" w:hAnsi="Verdana"/>
          <w:sz w:val="18"/>
          <w:szCs w:val="18"/>
          <w:u w:val="single"/>
          <w:lang w:val="en-GB"/>
        </w:rPr>
        <w:t>(2011)</w:t>
      </w:r>
      <w:r w:rsidRPr="000C7CFA">
        <w:rPr>
          <w:rFonts w:ascii="Verdana" w:eastAsiaTheme="minorHAnsi" w:hAnsi="Verdana"/>
          <w:sz w:val="18"/>
          <w:szCs w:val="18"/>
          <w:lang w:val="en-GB"/>
        </w:rPr>
        <w:t xml:space="preserve"> sampled wastewater treatment plant (WWTP) sludge from 31 sites in Spain from April to June 2006. </w:t>
      </w:r>
      <w:r w:rsidR="00235842" w:rsidRPr="000C7CFA">
        <w:rPr>
          <w:rFonts w:ascii="Verdana" w:eastAsiaTheme="minorHAnsi" w:hAnsi="Verdana"/>
          <w:sz w:val="18"/>
          <w:szCs w:val="18"/>
          <w:lang w:val="en-GB"/>
        </w:rPr>
        <w:t>Statistically significant (</w:t>
      </w:r>
      <w:r w:rsidR="00235842" w:rsidRPr="000C7CFA">
        <w:rPr>
          <w:rFonts w:ascii="Verdana" w:eastAsiaTheme="minorHAnsi" w:hAnsi="Verdana"/>
          <w:i/>
          <w:sz w:val="18"/>
          <w:szCs w:val="18"/>
          <w:lang w:val="en-GB"/>
        </w:rPr>
        <w:t>p</w:t>
      </w:r>
      <w:r w:rsidR="00235842" w:rsidRPr="000C7CFA">
        <w:rPr>
          <w:rFonts w:ascii="Verdana" w:eastAsiaTheme="minorHAnsi" w:hAnsi="Verdana"/>
          <w:sz w:val="18"/>
          <w:szCs w:val="18"/>
          <w:lang w:val="en-GB"/>
        </w:rPr>
        <w:t xml:space="preserve"> &lt; 0.05) differences in </w:t>
      </w:r>
      <w:r w:rsidRPr="000C7CFA">
        <w:rPr>
          <w:rFonts w:ascii="Verdana" w:eastAsiaTheme="minorHAnsi" w:hAnsi="Verdana"/>
          <w:sz w:val="18"/>
          <w:szCs w:val="18"/>
          <w:lang w:val="en-GB"/>
        </w:rPr>
        <w:t>Dechlorane Plus concentrations</w:t>
      </w:r>
      <w:r w:rsidR="001862B2" w:rsidRPr="000C7CFA">
        <w:rPr>
          <w:rFonts w:ascii="Verdana" w:eastAsiaTheme="minorHAnsi" w:hAnsi="Verdana"/>
          <w:sz w:val="18"/>
          <w:szCs w:val="18"/>
          <w:lang w:val="en-GB"/>
        </w:rPr>
        <w:t xml:space="preserve"> and </w:t>
      </w:r>
      <w:r w:rsidR="00235842" w:rsidRPr="000C7CFA">
        <w:rPr>
          <w:rFonts w:ascii="Verdana" w:eastAsiaTheme="minorHAnsi" w:hAnsi="Verdana"/>
          <w:sz w:val="18"/>
          <w:szCs w:val="18"/>
          <w:lang w:val="en-GB"/>
        </w:rPr>
        <w:t xml:space="preserve">isomer ratio were found in sludge from WWTP using biological nitrogen and phosphorous elimination compared to sites using biological digestion only. </w:t>
      </w:r>
      <w:r w:rsidR="001862B2" w:rsidRPr="000C7CFA">
        <w:rPr>
          <w:rFonts w:ascii="Verdana" w:eastAsiaTheme="minorHAnsi" w:hAnsi="Verdana"/>
          <w:sz w:val="18"/>
          <w:szCs w:val="18"/>
          <w:lang w:val="en-GB"/>
        </w:rPr>
        <w:t>Th</w:t>
      </w:r>
      <w:r w:rsidR="00235842" w:rsidRPr="000C7CFA">
        <w:rPr>
          <w:rFonts w:ascii="Verdana" w:eastAsiaTheme="minorHAnsi" w:hAnsi="Verdana"/>
          <w:sz w:val="18"/>
          <w:szCs w:val="18"/>
          <w:lang w:val="en-GB"/>
        </w:rPr>
        <w:t>e data</w:t>
      </w:r>
      <w:r w:rsidR="001862B2" w:rsidRPr="000C7CFA">
        <w:rPr>
          <w:rFonts w:ascii="Verdana" w:eastAsiaTheme="minorHAnsi" w:hAnsi="Verdana"/>
          <w:sz w:val="18"/>
          <w:szCs w:val="18"/>
          <w:lang w:val="en-GB"/>
        </w:rPr>
        <w:t xml:space="preserve"> </w:t>
      </w:r>
      <w:r w:rsidRPr="000C7CFA">
        <w:rPr>
          <w:rFonts w:ascii="Verdana" w:eastAsiaTheme="minorHAnsi" w:hAnsi="Verdana"/>
          <w:sz w:val="18"/>
          <w:szCs w:val="18"/>
          <w:lang w:val="en-GB"/>
        </w:rPr>
        <w:t xml:space="preserve">suggest that </w:t>
      </w:r>
      <w:r w:rsidR="001862B2" w:rsidRPr="000C7CFA">
        <w:rPr>
          <w:rFonts w:ascii="Verdana" w:eastAsiaTheme="minorHAnsi" w:hAnsi="Verdana"/>
          <w:sz w:val="18"/>
          <w:szCs w:val="18"/>
          <w:lang w:val="en-GB"/>
        </w:rPr>
        <w:t>Dechlorane Plus might be susceptible to</w:t>
      </w:r>
      <w:r w:rsidRPr="000C7CFA">
        <w:rPr>
          <w:rFonts w:ascii="Verdana" w:eastAsiaTheme="minorHAnsi" w:hAnsi="Verdana"/>
          <w:sz w:val="18"/>
          <w:szCs w:val="18"/>
          <w:lang w:val="en-GB"/>
        </w:rPr>
        <w:t xml:space="preserve"> microbial degradation</w:t>
      </w:r>
      <w:r w:rsidR="001862B2" w:rsidRPr="000C7CFA">
        <w:rPr>
          <w:rFonts w:ascii="Verdana" w:eastAsiaTheme="minorHAnsi" w:hAnsi="Verdana"/>
          <w:sz w:val="18"/>
          <w:szCs w:val="18"/>
          <w:lang w:val="en-GB"/>
        </w:rPr>
        <w:t xml:space="preserve"> </w:t>
      </w:r>
      <w:r w:rsidR="00235842" w:rsidRPr="000C7CFA">
        <w:rPr>
          <w:rFonts w:ascii="Verdana" w:eastAsiaTheme="minorHAnsi" w:hAnsi="Verdana"/>
          <w:sz w:val="18"/>
          <w:szCs w:val="18"/>
          <w:lang w:val="en-GB"/>
        </w:rPr>
        <w:t xml:space="preserve">under some conditions, </w:t>
      </w:r>
      <w:r w:rsidR="001862B2" w:rsidRPr="000C7CFA">
        <w:rPr>
          <w:rFonts w:ascii="Verdana" w:eastAsiaTheme="minorHAnsi" w:hAnsi="Verdana"/>
          <w:sz w:val="18"/>
          <w:szCs w:val="18"/>
          <w:lang w:val="en-GB"/>
        </w:rPr>
        <w:t>with</w:t>
      </w:r>
      <w:r w:rsidRPr="000C7CFA">
        <w:rPr>
          <w:rFonts w:ascii="Verdana" w:eastAsiaTheme="minorHAnsi" w:hAnsi="Verdana"/>
          <w:sz w:val="18"/>
          <w:szCs w:val="18"/>
          <w:lang w:val="en-GB"/>
        </w:rPr>
        <w:t xml:space="preserve"> the anti- isomer </w:t>
      </w:r>
      <w:r w:rsidR="001862B2" w:rsidRPr="000C7CFA">
        <w:rPr>
          <w:rFonts w:ascii="Verdana" w:eastAsiaTheme="minorHAnsi" w:hAnsi="Verdana"/>
          <w:sz w:val="18"/>
          <w:szCs w:val="18"/>
          <w:lang w:val="en-GB"/>
        </w:rPr>
        <w:t>possibly</w:t>
      </w:r>
      <w:r w:rsidRPr="000C7CFA">
        <w:rPr>
          <w:rFonts w:ascii="Verdana" w:eastAsiaTheme="minorHAnsi" w:hAnsi="Verdana"/>
          <w:sz w:val="18"/>
          <w:szCs w:val="18"/>
          <w:lang w:val="en-GB"/>
        </w:rPr>
        <w:t xml:space="preserve"> more degradable</w:t>
      </w:r>
      <w:r w:rsidR="001862B2" w:rsidRPr="000C7CFA">
        <w:rPr>
          <w:rFonts w:ascii="Verdana" w:eastAsiaTheme="minorHAnsi" w:hAnsi="Verdana"/>
          <w:sz w:val="18"/>
          <w:szCs w:val="18"/>
          <w:lang w:val="en-GB"/>
        </w:rPr>
        <w:t xml:space="preserve"> than the syn-</w:t>
      </w:r>
      <w:r w:rsidRPr="000C7CFA">
        <w:rPr>
          <w:rFonts w:ascii="Verdana" w:eastAsiaTheme="minorHAnsi" w:hAnsi="Verdana"/>
          <w:sz w:val="18"/>
          <w:szCs w:val="18"/>
          <w:lang w:val="en-GB"/>
        </w:rPr>
        <w:t xml:space="preserve">. </w:t>
      </w:r>
      <w:r w:rsidR="001862B2" w:rsidRPr="000C7CFA">
        <w:rPr>
          <w:rFonts w:ascii="Verdana" w:eastAsiaTheme="minorHAnsi" w:hAnsi="Verdana"/>
          <w:sz w:val="18"/>
          <w:szCs w:val="18"/>
          <w:lang w:val="en-GB"/>
        </w:rPr>
        <w:t>However,</w:t>
      </w:r>
      <w:r w:rsidR="00235842" w:rsidRPr="000C7CFA">
        <w:rPr>
          <w:rFonts w:ascii="Verdana" w:eastAsiaTheme="minorHAnsi" w:hAnsi="Verdana"/>
          <w:sz w:val="18"/>
          <w:szCs w:val="18"/>
          <w:lang w:val="en-GB"/>
        </w:rPr>
        <w:t xml:space="preserve"> there was significant overlap in concentration and isomer ratio in both types of WWTP, and th</w:t>
      </w:r>
      <w:r w:rsidR="001862B2" w:rsidRPr="000C7CFA">
        <w:rPr>
          <w:rFonts w:ascii="Verdana" w:eastAsiaTheme="minorHAnsi" w:hAnsi="Verdana"/>
          <w:sz w:val="18"/>
          <w:szCs w:val="18"/>
          <w:lang w:val="en-GB"/>
        </w:rPr>
        <w:t>e study provides no information on degradation rates.</w:t>
      </w:r>
    </w:p>
    <w:p w14:paraId="0C452C4E" w14:textId="421110F9" w:rsidR="0089163D" w:rsidRPr="000C7CFA" w:rsidRDefault="0089163D" w:rsidP="008F19E3">
      <w:pPr>
        <w:pStyle w:val="Heading4"/>
        <w:tabs>
          <w:tab w:val="clear" w:pos="839"/>
          <w:tab w:val="num" w:pos="1317"/>
        </w:tabs>
        <w:ind w:left="1317" w:hanging="1317"/>
        <w:rPr>
          <w:rFonts w:ascii="Verdana" w:hAnsi="Verdana"/>
          <w:sz w:val="18"/>
          <w:szCs w:val="18"/>
        </w:rPr>
      </w:pPr>
      <w:bookmarkStart w:id="32" w:name="_Toc202255467"/>
      <w:bookmarkStart w:id="33" w:name="_Toc265765479"/>
      <w:r w:rsidRPr="000C7CFA">
        <w:rPr>
          <w:rFonts w:ascii="Verdana" w:hAnsi="Verdana"/>
          <w:sz w:val="18"/>
          <w:szCs w:val="18"/>
        </w:rPr>
        <w:t>Biodegradation in sediments</w:t>
      </w:r>
      <w:bookmarkEnd w:id="32"/>
      <w:bookmarkEnd w:id="33"/>
    </w:p>
    <w:p w14:paraId="5D3F5D60" w14:textId="1340AF0B" w:rsidR="0089163D" w:rsidRPr="000C7CFA" w:rsidRDefault="0089163D" w:rsidP="008F19E3">
      <w:pPr>
        <w:pStyle w:val="Heading4"/>
        <w:tabs>
          <w:tab w:val="clear" w:pos="839"/>
          <w:tab w:val="num" w:pos="1317"/>
        </w:tabs>
        <w:ind w:left="1317" w:hanging="1317"/>
        <w:rPr>
          <w:rFonts w:ascii="Verdana" w:hAnsi="Verdana"/>
          <w:sz w:val="18"/>
          <w:szCs w:val="18"/>
        </w:rPr>
      </w:pPr>
      <w:bookmarkStart w:id="34" w:name="_Toc202255468"/>
      <w:bookmarkStart w:id="35" w:name="_Toc265765480"/>
      <w:r w:rsidRPr="000C7CFA">
        <w:rPr>
          <w:rFonts w:ascii="Verdana" w:hAnsi="Verdana"/>
          <w:sz w:val="18"/>
          <w:szCs w:val="18"/>
        </w:rPr>
        <w:t>Biodegradation in soil</w:t>
      </w:r>
      <w:bookmarkEnd w:id="34"/>
      <w:bookmarkEnd w:id="35"/>
    </w:p>
    <w:p w14:paraId="62EE1E70" w14:textId="77777777" w:rsidR="0099188E" w:rsidRPr="000C7CFA" w:rsidRDefault="0099188E" w:rsidP="0099188E">
      <w:pPr>
        <w:pStyle w:val="BodyText"/>
        <w:rPr>
          <w:rFonts w:ascii="Verdana" w:hAnsi="Verdana"/>
          <w:sz w:val="18"/>
          <w:szCs w:val="18"/>
        </w:rPr>
      </w:pPr>
      <w:r w:rsidRPr="000C7CFA">
        <w:rPr>
          <w:rFonts w:ascii="Verdana" w:hAnsi="Verdana"/>
          <w:sz w:val="18"/>
          <w:szCs w:val="18"/>
        </w:rPr>
        <w:t xml:space="preserve">The </w:t>
      </w:r>
      <w:r w:rsidR="007666BB" w:rsidRPr="000C7CFA">
        <w:rPr>
          <w:rFonts w:ascii="Verdana" w:hAnsi="Verdana"/>
          <w:sz w:val="18"/>
          <w:szCs w:val="18"/>
        </w:rPr>
        <w:t>Registrant</w:t>
      </w:r>
      <w:r w:rsidRPr="000C7CFA">
        <w:rPr>
          <w:rFonts w:ascii="Verdana" w:hAnsi="Verdana"/>
          <w:sz w:val="18"/>
          <w:szCs w:val="18"/>
        </w:rPr>
        <w:t xml:space="preserve"> has waived the biodegradation in soil simulation test based on considerations that the substance is highly insoluble in water, not hazardous and direct exposure to </w:t>
      </w:r>
      <w:r w:rsidR="00A755A0" w:rsidRPr="000C7CFA">
        <w:rPr>
          <w:rFonts w:ascii="Verdana" w:hAnsi="Verdana"/>
          <w:sz w:val="18"/>
          <w:szCs w:val="18"/>
        </w:rPr>
        <w:t>soil</w:t>
      </w:r>
      <w:r w:rsidRPr="000C7CFA">
        <w:rPr>
          <w:rFonts w:ascii="Verdana" w:hAnsi="Verdana"/>
          <w:sz w:val="18"/>
          <w:szCs w:val="18"/>
        </w:rPr>
        <w:t xml:space="preserve"> is unlikely. </w:t>
      </w:r>
    </w:p>
    <w:p w14:paraId="6412A479" w14:textId="08B6A151" w:rsidR="00D83475" w:rsidRPr="000C7CFA" w:rsidRDefault="00D83475" w:rsidP="00D83475">
      <w:pPr>
        <w:autoSpaceDE w:val="0"/>
        <w:autoSpaceDN w:val="0"/>
        <w:adjustRightInd w:val="0"/>
        <w:spacing w:after="120"/>
        <w:jc w:val="both"/>
        <w:rPr>
          <w:rFonts w:ascii="Verdana" w:hAnsi="Verdana"/>
          <w:sz w:val="18"/>
          <w:szCs w:val="18"/>
        </w:rPr>
      </w:pPr>
      <w:r w:rsidRPr="000C7CFA">
        <w:rPr>
          <w:rFonts w:ascii="Verdana" w:hAnsi="Verdana"/>
          <w:sz w:val="18"/>
          <w:szCs w:val="18"/>
          <w:u w:val="single"/>
        </w:rPr>
        <w:t xml:space="preserve">Wang </w:t>
      </w:r>
      <w:r w:rsidRPr="000C7CFA">
        <w:rPr>
          <w:rFonts w:ascii="Verdana" w:hAnsi="Verdana"/>
          <w:i/>
          <w:sz w:val="18"/>
          <w:szCs w:val="18"/>
          <w:u w:val="single"/>
        </w:rPr>
        <w:t>et al</w:t>
      </w:r>
      <w:r w:rsidRPr="000C7CFA">
        <w:rPr>
          <w:rFonts w:ascii="Verdana" w:hAnsi="Verdana"/>
          <w:sz w:val="18"/>
          <w:szCs w:val="18"/>
          <w:u w:val="single"/>
        </w:rPr>
        <w:t>. (2010)</w:t>
      </w:r>
      <w:r w:rsidRPr="000C7CFA">
        <w:rPr>
          <w:rFonts w:ascii="Verdana" w:hAnsi="Verdana"/>
          <w:sz w:val="18"/>
          <w:szCs w:val="18"/>
        </w:rPr>
        <w:t xml:space="preserve"> reported the vertical distribution of Dechlorane Plus at different soil depths from sampling sites close to the Chinese manufacturing facility. The concentration was highest in surface soil (0-5 cm; 837 µg/kg </w:t>
      </w:r>
      <w:r w:rsidR="0047043A" w:rsidRPr="000C7CFA">
        <w:rPr>
          <w:rFonts w:ascii="Verdana" w:hAnsi="Verdana"/>
          <w:sz w:val="18"/>
          <w:szCs w:val="18"/>
        </w:rPr>
        <w:t>dry weight (</w:t>
      </w:r>
      <w:proofErr w:type="gramStart"/>
      <w:r w:rsidRPr="000C7CFA">
        <w:rPr>
          <w:rFonts w:ascii="Verdana" w:hAnsi="Verdana"/>
          <w:sz w:val="18"/>
          <w:szCs w:val="18"/>
        </w:rPr>
        <w:t>dw</w:t>
      </w:r>
      <w:proofErr w:type="gramEnd"/>
      <w:r w:rsidR="0047043A" w:rsidRPr="000C7CFA">
        <w:rPr>
          <w:rFonts w:ascii="Verdana" w:hAnsi="Verdana"/>
          <w:sz w:val="18"/>
          <w:szCs w:val="18"/>
        </w:rPr>
        <w:t>)</w:t>
      </w:r>
      <w:r w:rsidRPr="000C7CFA">
        <w:rPr>
          <w:rFonts w:ascii="Verdana" w:hAnsi="Verdana"/>
          <w:sz w:val="18"/>
          <w:szCs w:val="18"/>
        </w:rPr>
        <w:t xml:space="preserve">), decreasing to 9.16 µg/kg dw at a depth of 60-70 cm and 3.84 µg/kg dw at a depth of 90-100 cm. The </w:t>
      </w:r>
      <w:proofErr w:type="gramStart"/>
      <w:r w:rsidRPr="000C7CFA">
        <w:rPr>
          <w:rFonts w:ascii="Verdana" w:hAnsi="Verdana"/>
          <w:sz w:val="18"/>
          <w:szCs w:val="18"/>
        </w:rPr>
        <w:t>f</w:t>
      </w:r>
      <w:r w:rsidRPr="000C7CFA">
        <w:rPr>
          <w:rFonts w:ascii="Verdana" w:hAnsi="Verdana"/>
          <w:sz w:val="18"/>
          <w:szCs w:val="18"/>
          <w:vertAlign w:val="subscript"/>
        </w:rPr>
        <w:t>anti</w:t>
      </w:r>
      <w:proofErr w:type="gramEnd"/>
      <w:r w:rsidRPr="000C7CFA">
        <w:rPr>
          <w:rFonts w:ascii="Verdana" w:hAnsi="Verdana"/>
          <w:sz w:val="18"/>
          <w:szCs w:val="18"/>
        </w:rPr>
        <w:t xml:space="preserve"> value varied little with soil depth, but ranged from 0.75 in the surficial layer to 0.67 in the deepest layer (90-100 cm). The study authors make conflicting statements in the paper about the implications. On the one hand, they said that this implied a stereoselective depletion of the syn- isomer in soil (in comparison with the measured </w:t>
      </w:r>
      <w:proofErr w:type="gramStart"/>
      <w:r w:rsidRPr="000C7CFA">
        <w:rPr>
          <w:rFonts w:ascii="Verdana" w:hAnsi="Verdana"/>
          <w:sz w:val="18"/>
          <w:szCs w:val="18"/>
        </w:rPr>
        <w:t>f</w:t>
      </w:r>
      <w:r w:rsidRPr="000C7CFA">
        <w:rPr>
          <w:rFonts w:ascii="Verdana" w:hAnsi="Verdana"/>
          <w:sz w:val="18"/>
          <w:szCs w:val="18"/>
          <w:vertAlign w:val="subscript"/>
        </w:rPr>
        <w:t>anti</w:t>
      </w:r>
      <w:proofErr w:type="gramEnd"/>
      <w:r w:rsidRPr="000C7CFA">
        <w:rPr>
          <w:rFonts w:ascii="Verdana" w:hAnsi="Verdana"/>
          <w:sz w:val="18"/>
          <w:szCs w:val="18"/>
        </w:rPr>
        <w:t xml:space="preserve"> value of the Chinese commercial product, at 0.60), but they also stated that isomer specific microbial degradation or </w:t>
      </w:r>
      <w:r w:rsidRPr="000C7CFA">
        <w:rPr>
          <w:rFonts w:ascii="Verdana" w:hAnsi="Verdana"/>
          <w:sz w:val="18"/>
          <w:szCs w:val="18"/>
        </w:rPr>
        <w:lastRenderedPageBreak/>
        <w:t xml:space="preserve">preferential adsorption does not play a significant role in soil. </w:t>
      </w:r>
      <w:r w:rsidR="0026277F" w:rsidRPr="000C7CFA">
        <w:rPr>
          <w:rFonts w:ascii="Verdana" w:hAnsi="Verdana"/>
          <w:color w:val="000000"/>
          <w:sz w:val="18"/>
          <w:szCs w:val="18"/>
        </w:rPr>
        <w:t>This study is included in the registration dossier and is considered fully reliable by the</w:t>
      </w:r>
      <w:r w:rsidR="00A43C45" w:rsidRPr="000C7CFA">
        <w:rPr>
          <w:rFonts w:ascii="Verdana" w:hAnsi="Verdana"/>
          <w:color w:val="000000"/>
          <w:sz w:val="18"/>
          <w:szCs w:val="18"/>
        </w:rPr>
        <w:t xml:space="preserve"> Registrant</w:t>
      </w:r>
      <w:r w:rsidR="0026277F" w:rsidRPr="000C7CFA">
        <w:rPr>
          <w:rFonts w:ascii="Verdana" w:hAnsi="Verdana"/>
          <w:color w:val="000000"/>
          <w:sz w:val="18"/>
          <w:szCs w:val="18"/>
        </w:rPr>
        <w:t>.</w:t>
      </w:r>
    </w:p>
    <w:p w14:paraId="3A3CA47A" w14:textId="77777777" w:rsidR="001A2020" w:rsidRPr="000C7CFA" w:rsidRDefault="001A2020" w:rsidP="001A2020">
      <w:pPr>
        <w:pStyle w:val="NormalWeb"/>
        <w:spacing w:before="0" w:beforeAutospacing="0" w:after="120" w:afterAutospacing="0"/>
        <w:jc w:val="both"/>
        <w:rPr>
          <w:rFonts w:ascii="Verdana" w:hAnsi="Verdana"/>
          <w:i/>
          <w:sz w:val="18"/>
          <w:szCs w:val="18"/>
        </w:rPr>
      </w:pPr>
      <w:r w:rsidRPr="000C7CFA">
        <w:rPr>
          <w:rFonts w:ascii="Verdana" w:hAnsi="Verdana"/>
          <w:b/>
          <w:i/>
          <w:sz w:val="18"/>
          <w:szCs w:val="18"/>
        </w:rPr>
        <w:t>Discussion</w:t>
      </w:r>
    </w:p>
    <w:p w14:paraId="437EB316" w14:textId="023961E3" w:rsidR="00D83475" w:rsidRPr="000C7CFA" w:rsidRDefault="001A2020" w:rsidP="00FB4BB7">
      <w:pPr>
        <w:pStyle w:val="BodyText"/>
        <w:rPr>
          <w:rFonts w:ascii="Verdana" w:hAnsi="Verdana"/>
          <w:sz w:val="18"/>
          <w:szCs w:val="18"/>
        </w:rPr>
      </w:pPr>
      <w:r w:rsidRPr="000C7CFA">
        <w:rPr>
          <w:rFonts w:ascii="Verdana" w:hAnsi="Verdana"/>
          <w:sz w:val="18"/>
          <w:szCs w:val="18"/>
        </w:rPr>
        <w:t>T</w:t>
      </w:r>
      <w:r w:rsidR="00A805E4" w:rsidRPr="000C7CFA">
        <w:rPr>
          <w:rFonts w:ascii="Verdana" w:hAnsi="Verdana"/>
          <w:sz w:val="18"/>
          <w:szCs w:val="18"/>
        </w:rPr>
        <w:t xml:space="preserve">he data waiver </w:t>
      </w:r>
      <w:r w:rsidR="00DC0942" w:rsidRPr="000C7CFA">
        <w:rPr>
          <w:rFonts w:ascii="Verdana" w:hAnsi="Verdana"/>
          <w:sz w:val="18"/>
          <w:szCs w:val="18"/>
        </w:rPr>
        <w:t>is</w:t>
      </w:r>
      <w:r w:rsidR="00A805E4" w:rsidRPr="000C7CFA">
        <w:rPr>
          <w:rFonts w:ascii="Verdana" w:hAnsi="Verdana"/>
          <w:sz w:val="18"/>
          <w:szCs w:val="18"/>
        </w:rPr>
        <w:t xml:space="preserve"> </w:t>
      </w:r>
      <w:r w:rsidR="00E00C9D" w:rsidRPr="000C7CFA">
        <w:rPr>
          <w:rFonts w:ascii="Verdana" w:hAnsi="Verdana"/>
          <w:sz w:val="18"/>
          <w:szCs w:val="18"/>
        </w:rPr>
        <w:t>in</w:t>
      </w:r>
      <w:r w:rsidR="00A805E4" w:rsidRPr="000C7CFA">
        <w:rPr>
          <w:rFonts w:ascii="Verdana" w:hAnsi="Verdana"/>
          <w:sz w:val="18"/>
          <w:szCs w:val="18"/>
        </w:rPr>
        <w:t>appropriate</w:t>
      </w:r>
      <w:r w:rsidR="00CC4681" w:rsidRPr="000C7CFA">
        <w:rPr>
          <w:rFonts w:ascii="Verdana" w:hAnsi="Verdana"/>
          <w:sz w:val="18"/>
          <w:szCs w:val="18"/>
        </w:rPr>
        <w:t>.</w:t>
      </w:r>
      <w:r w:rsidR="00A805E4" w:rsidRPr="000C7CFA">
        <w:rPr>
          <w:rFonts w:ascii="Verdana" w:hAnsi="Verdana"/>
          <w:sz w:val="18"/>
          <w:szCs w:val="18"/>
        </w:rPr>
        <w:t xml:space="preserve"> Although exposure considerations </w:t>
      </w:r>
      <w:r w:rsidR="00E00C9D" w:rsidRPr="000C7CFA">
        <w:rPr>
          <w:rFonts w:ascii="Verdana" w:hAnsi="Verdana"/>
          <w:sz w:val="18"/>
          <w:szCs w:val="18"/>
        </w:rPr>
        <w:t>are</w:t>
      </w:r>
      <w:r w:rsidR="00A805E4" w:rsidRPr="000C7CFA">
        <w:rPr>
          <w:rFonts w:ascii="Verdana" w:hAnsi="Verdana"/>
          <w:sz w:val="18"/>
          <w:szCs w:val="18"/>
        </w:rPr>
        <w:t xml:space="preserve"> a REACH Annex IX Column 2 adaptation for this endpoint, there is no definitive evidence that </w:t>
      </w:r>
      <w:r w:rsidR="00E00C9D" w:rsidRPr="000C7CFA">
        <w:rPr>
          <w:rFonts w:ascii="Verdana" w:hAnsi="Verdana"/>
          <w:sz w:val="18"/>
          <w:szCs w:val="18"/>
        </w:rPr>
        <w:t>direct or indirect soil</w:t>
      </w:r>
      <w:r w:rsidR="00A805E4" w:rsidRPr="000C7CFA">
        <w:rPr>
          <w:rFonts w:ascii="Verdana" w:hAnsi="Verdana"/>
          <w:sz w:val="18"/>
          <w:szCs w:val="18"/>
        </w:rPr>
        <w:t xml:space="preserve"> exposure is unlikely.</w:t>
      </w:r>
    </w:p>
    <w:p w14:paraId="25B32989" w14:textId="77777777" w:rsidR="0064077A" w:rsidRPr="000C7CFA" w:rsidRDefault="00DF4E18" w:rsidP="008F19E3">
      <w:pPr>
        <w:pStyle w:val="Heading4"/>
        <w:tabs>
          <w:tab w:val="clear" w:pos="839"/>
          <w:tab w:val="num" w:pos="1317"/>
        </w:tabs>
        <w:ind w:left="1317" w:hanging="1317"/>
        <w:rPr>
          <w:rFonts w:ascii="Verdana" w:hAnsi="Verdana"/>
          <w:i/>
          <w:sz w:val="18"/>
          <w:szCs w:val="18"/>
        </w:rPr>
      </w:pPr>
      <w:bookmarkStart w:id="36" w:name="SubSectionNumber:3.2.1"/>
      <w:bookmarkStart w:id="37" w:name="EndSubSectionNumber:3.2.1"/>
      <w:bookmarkStart w:id="38" w:name="SubSectionNumber:3.2.2"/>
      <w:bookmarkStart w:id="39" w:name="EndSubSectionNumber:3.2.2"/>
      <w:bookmarkStart w:id="40" w:name="SubSectionNumber:3.2.3"/>
      <w:bookmarkStart w:id="41" w:name="EndSectionNumber:3.3"/>
      <w:bookmarkStart w:id="42" w:name="SectionNumber:3.4"/>
      <w:bookmarkStart w:id="43" w:name="_Toc265765483"/>
      <w:bookmarkEnd w:id="36"/>
      <w:bookmarkEnd w:id="37"/>
      <w:bookmarkEnd w:id="38"/>
      <w:bookmarkEnd w:id="39"/>
      <w:bookmarkEnd w:id="40"/>
      <w:bookmarkEnd w:id="41"/>
      <w:bookmarkEnd w:id="42"/>
      <w:r w:rsidRPr="000C7CFA">
        <w:rPr>
          <w:rFonts w:ascii="Verdana" w:hAnsi="Verdana"/>
          <w:sz w:val="18"/>
          <w:szCs w:val="18"/>
        </w:rPr>
        <w:t>Analogue</w:t>
      </w:r>
      <w:r w:rsidRPr="000C7CFA">
        <w:rPr>
          <w:rFonts w:ascii="Verdana" w:hAnsi="Verdana"/>
          <w:i/>
          <w:sz w:val="18"/>
          <w:szCs w:val="18"/>
        </w:rPr>
        <w:t xml:space="preserve"> </w:t>
      </w:r>
      <w:r w:rsidRPr="000C7CFA">
        <w:rPr>
          <w:rFonts w:ascii="Verdana" w:hAnsi="Verdana"/>
          <w:sz w:val="18"/>
          <w:szCs w:val="18"/>
        </w:rPr>
        <w:t>data</w:t>
      </w:r>
    </w:p>
    <w:p w14:paraId="50DCA9FB" w14:textId="654D3BE4" w:rsidR="00A35819" w:rsidRPr="000C7CFA" w:rsidRDefault="00A35819" w:rsidP="0064077A">
      <w:pPr>
        <w:rPr>
          <w:rFonts w:ascii="Verdana" w:hAnsi="Verdana"/>
          <w:i/>
          <w:sz w:val="18"/>
          <w:szCs w:val="18"/>
        </w:rPr>
      </w:pPr>
      <w:r w:rsidRPr="000C7CFA">
        <w:rPr>
          <w:rFonts w:ascii="Verdana" w:hAnsi="Verdana"/>
          <w:i/>
          <w:sz w:val="18"/>
          <w:szCs w:val="18"/>
        </w:rPr>
        <w:t>Measured data</w:t>
      </w:r>
    </w:p>
    <w:p w14:paraId="3C71D401" w14:textId="60F20882" w:rsidR="00A35819" w:rsidRPr="000C7CFA" w:rsidRDefault="00A35819" w:rsidP="00A35819">
      <w:pPr>
        <w:pStyle w:val="BodyText"/>
        <w:rPr>
          <w:rFonts w:ascii="Verdana" w:hAnsi="Verdana"/>
          <w:sz w:val="18"/>
          <w:szCs w:val="18"/>
        </w:rPr>
      </w:pPr>
      <w:r w:rsidRPr="000C7CFA">
        <w:rPr>
          <w:rFonts w:ascii="Verdana" w:hAnsi="Verdana"/>
          <w:sz w:val="18"/>
          <w:szCs w:val="18"/>
        </w:rPr>
        <w:t xml:space="preserve">The technical documents that supported the POPs agreements for each substance </w:t>
      </w:r>
      <w:r w:rsidR="004975D9" w:rsidRPr="000C7CFA">
        <w:rPr>
          <w:rFonts w:ascii="Verdana" w:hAnsi="Verdana"/>
          <w:sz w:val="18"/>
          <w:szCs w:val="18"/>
        </w:rPr>
        <w:t>have been</w:t>
      </w:r>
      <w:r w:rsidRPr="000C7CFA">
        <w:rPr>
          <w:rFonts w:ascii="Verdana" w:hAnsi="Verdana"/>
          <w:sz w:val="18"/>
          <w:szCs w:val="18"/>
        </w:rPr>
        <w:t xml:space="preserve"> assess</w:t>
      </w:r>
      <w:r w:rsidR="004975D9" w:rsidRPr="000C7CFA">
        <w:rPr>
          <w:rFonts w:ascii="Verdana" w:hAnsi="Verdana"/>
          <w:sz w:val="18"/>
          <w:szCs w:val="18"/>
        </w:rPr>
        <w:t>ed for</w:t>
      </w:r>
      <w:r w:rsidRPr="000C7CFA">
        <w:rPr>
          <w:rFonts w:ascii="Verdana" w:hAnsi="Verdana"/>
          <w:sz w:val="18"/>
          <w:szCs w:val="18"/>
        </w:rPr>
        <w:t xml:space="preserve"> persistence information relevant to Dechlorane Plus. The data included in IPCS assessment (WHO, 1995) and supporting CICAD or Environmental Health Criteria (EHC) Monographs are summarised below. In some cases the physico-chemical data from these older assessments are different to the more recent values quoted in Section 1.5</w:t>
      </w:r>
      <w:r w:rsidR="00FC761E" w:rsidRPr="000C7CFA">
        <w:rPr>
          <w:rFonts w:ascii="Verdana" w:hAnsi="Verdana"/>
          <w:sz w:val="18"/>
          <w:szCs w:val="18"/>
        </w:rPr>
        <w:t xml:space="preserve"> of the main report</w:t>
      </w:r>
      <w:r w:rsidRPr="000C7CFA">
        <w:rPr>
          <w:rFonts w:ascii="Verdana" w:hAnsi="Verdana"/>
          <w:sz w:val="18"/>
          <w:szCs w:val="18"/>
        </w:rPr>
        <w:t xml:space="preserve">. </w:t>
      </w:r>
    </w:p>
    <w:p w14:paraId="75DF11B0" w14:textId="328D645B" w:rsidR="00A35819" w:rsidRPr="000C7CFA" w:rsidRDefault="00A35819" w:rsidP="00A35819">
      <w:pPr>
        <w:pStyle w:val="BodyText"/>
        <w:ind w:left="284" w:right="374" w:hanging="284"/>
        <w:rPr>
          <w:rFonts w:ascii="Verdana" w:hAnsi="Verdana"/>
          <w:sz w:val="18"/>
          <w:szCs w:val="18"/>
        </w:rPr>
      </w:pPr>
      <w:r w:rsidRPr="000C7CFA">
        <w:rPr>
          <w:rFonts w:ascii="Verdana" w:hAnsi="Verdana"/>
          <w:sz w:val="18"/>
          <w:szCs w:val="18"/>
          <w:u w:val="single"/>
        </w:rPr>
        <w:t>1. Chlordane (CAS no. 57-74-9)</w:t>
      </w:r>
      <w:r w:rsidRPr="000C7CFA">
        <w:rPr>
          <w:rFonts w:ascii="Verdana" w:hAnsi="Verdana"/>
          <w:sz w:val="18"/>
          <w:szCs w:val="18"/>
        </w:rPr>
        <w:t>: Chlordane has a log K</w:t>
      </w:r>
      <w:r w:rsidRPr="000C7CFA">
        <w:rPr>
          <w:rFonts w:ascii="Verdana" w:hAnsi="Verdana"/>
          <w:sz w:val="18"/>
          <w:szCs w:val="18"/>
          <w:vertAlign w:val="subscript"/>
        </w:rPr>
        <w:t>OW</w:t>
      </w:r>
      <w:r w:rsidRPr="000C7CFA">
        <w:rPr>
          <w:rFonts w:ascii="Verdana" w:hAnsi="Verdana"/>
          <w:sz w:val="18"/>
          <w:szCs w:val="18"/>
        </w:rPr>
        <w:t xml:space="preserve"> of 6 and water solubility of 25 µg/L. The IPCS assessment includes one water-sediment degradation study conducted in a freshwater lake (WHO, 1984c). Although a half-life is not included in the assessment, the summary suggests that rapid dissipation to sediment occurs, followed by slow degradation. The mean concentration of chlordane in sediment was 35.29 µg/kg wet wei</w:t>
      </w:r>
      <w:r w:rsidR="003E4ABF" w:rsidRPr="000C7CFA">
        <w:rPr>
          <w:rFonts w:ascii="Verdana" w:hAnsi="Verdana"/>
          <w:sz w:val="18"/>
          <w:szCs w:val="18"/>
        </w:rPr>
        <w:t>ght (ww) after 7 days and 10.31 </w:t>
      </w:r>
      <w:r w:rsidRPr="000C7CFA">
        <w:rPr>
          <w:rFonts w:ascii="Verdana" w:hAnsi="Verdana"/>
          <w:sz w:val="18"/>
          <w:szCs w:val="18"/>
        </w:rPr>
        <w:t xml:space="preserve">µg/kg ww after 421 days (although a half-life is not stated). From the summary it is not clear whether the reduction in the sediment is dissipation or actual degradation. </w:t>
      </w:r>
    </w:p>
    <w:p w14:paraId="09B6794A" w14:textId="77777777" w:rsidR="00235842" w:rsidRPr="000C7CFA" w:rsidRDefault="00235842" w:rsidP="00235842">
      <w:pPr>
        <w:pStyle w:val="BodyText"/>
        <w:ind w:left="284" w:right="374"/>
        <w:rPr>
          <w:rFonts w:ascii="Verdana" w:hAnsi="Verdana"/>
          <w:sz w:val="18"/>
          <w:szCs w:val="18"/>
        </w:rPr>
      </w:pPr>
      <w:r w:rsidRPr="000C7CFA">
        <w:rPr>
          <w:rFonts w:ascii="Verdana" w:hAnsi="Verdana"/>
          <w:sz w:val="18"/>
          <w:szCs w:val="18"/>
        </w:rPr>
        <w:t xml:space="preserve">While residues in soil have been studied, none of the studies can easily be interpreted to provide a soil half-life. The POP overview document states that the half-life of chlordane in soil is approximately one year (UNEP, 1998). While the source of these data is not referenced, this result would be in line with the sediment data. The chemical properties of chlordane – low water solubility, high stability and semi-volatility – are indicated to favour its long-range transport potential (LRTP) (WHO, 1995). The substance has been found in the air, water and organisms in the Arctic (WHO, 1995). </w:t>
      </w:r>
    </w:p>
    <w:p w14:paraId="3857B22C" w14:textId="77777777" w:rsidR="00235842" w:rsidRPr="000C7CFA" w:rsidRDefault="00235842" w:rsidP="00235842">
      <w:pPr>
        <w:pStyle w:val="BodyText"/>
        <w:ind w:left="284" w:right="374" w:hanging="284"/>
        <w:rPr>
          <w:rFonts w:ascii="Verdana" w:hAnsi="Verdana"/>
          <w:sz w:val="18"/>
          <w:szCs w:val="18"/>
        </w:rPr>
      </w:pPr>
      <w:r w:rsidRPr="000C7CFA">
        <w:rPr>
          <w:rFonts w:ascii="Verdana" w:hAnsi="Verdana"/>
          <w:sz w:val="18"/>
          <w:szCs w:val="18"/>
          <w:u w:val="single"/>
        </w:rPr>
        <w:t>2. Heptachlor (CAS no. 76-44-8)</w:t>
      </w:r>
      <w:r w:rsidRPr="000C7CFA">
        <w:rPr>
          <w:rFonts w:ascii="Verdana" w:hAnsi="Verdana"/>
          <w:sz w:val="18"/>
          <w:szCs w:val="18"/>
        </w:rPr>
        <w:t>: Heptachlor has a log K</w:t>
      </w:r>
      <w:r w:rsidRPr="000C7CFA">
        <w:rPr>
          <w:rFonts w:ascii="Verdana" w:hAnsi="Verdana"/>
          <w:sz w:val="18"/>
          <w:szCs w:val="18"/>
          <w:vertAlign w:val="subscript"/>
        </w:rPr>
        <w:t>OW</w:t>
      </w:r>
      <w:r w:rsidRPr="000C7CFA">
        <w:rPr>
          <w:rFonts w:ascii="Verdana" w:hAnsi="Verdana"/>
          <w:sz w:val="18"/>
          <w:szCs w:val="18"/>
        </w:rPr>
        <w:t xml:space="preserve"> of 4.4 – 5.5 and water solubility of 180 µg/L. According to the IPCS assessment, the substance has a half-life of up to two years in soil (WHO, 1984a). This is based on a study performed in 1980, but there is little additional information provided in the assessment. A further study using pesticide application rates determined a half-life of 9-10 months. </w:t>
      </w:r>
    </w:p>
    <w:p w14:paraId="175B14DC" w14:textId="50974A48" w:rsidR="000F7908" w:rsidRPr="000C7CFA" w:rsidRDefault="000F7908" w:rsidP="00750FE4">
      <w:pPr>
        <w:pStyle w:val="BodyText"/>
        <w:ind w:left="284" w:right="374"/>
        <w:rPr>
          <w:rFonts w:ascii="Verdana" w:hAnsi="Verdana"/>
          <w:sz w:val="18"/>
          <w:szCs w:val="18"/>
        </w:rPr>
      </w:pPr>
      <w:r w:rsidRPr="000C7CFA">
        <w:rPr>
          <w:rFonts w:ascii="Verdana" w:hAnsi="Verdana"/>
          <w:sz w:val="18"/>
          <w:szCs w:val="18"/>
        </w:rPr>
        <w:t xml:space="preserve">Another study cited in the IPCS report described the application of heptachlor to grass pasture: after 30 days, </w:t>
      </w:r>
      <w:r w:rsidR="00AF7606" w:rsidRPr="000C7CFA">
        <w:rPr>
          <w:rFonts w:ascii="Verdana" w:hAnsi="Verdana"/>
          <w:sz w:val="18"/>
          <w:szCs w:val="18"/>
        </w:rPr>
        <w:t>4 %</w:t>
      </w:r>
      <w:r w:rsidRPr="000C7CFA">
        <w:rPr>
          <w:rFonts w:ascii="Verdana" w:hAnsi="Verdana"/>
          <w:sz w:val="18"/>
          <w:szCs w:val="18"/>
        </w:rPr>
        <w:t xml:space="preserve"> of the heptachlor remained, which reduced to </w:t>
      </w:r>
      <w:r w:rsidR="00AF7606" w:rsidRPr="000C7CFA">
        <w:rPr>
          <w:rFonts w:ascii="Verdana" w:hAnsi="Verdana"/>
          <w:sz w:val="18"/>
          <w:szCs w:val="18"/>
        </w:rPr>
        <w:t>2 %</w:t>
      </w:r>
      <w:r w:rsidRPr="000C7CFA">
        <w:rPr>
          <w:rFonts w:ascii="Verdana" w:hAnsi="Verdana"/>
          <w:sz w:val="18"/>
          <w:szCs w:val="18"/>
        </w:rPr>
        <w:t xml:space="preserve"> when measured at 15 weeks. However, it is unclear whether this reflects degradation or some other loss process (such as volatilisation, or uptake onto/into the grass).</w:t>
      </w:r>
    </w:p>
    <w:p w14:paraId="1C3BEB5B" w14:textId="6B1A73B2" w:rsidR="00750FE4" w:rsidRPr="000C7CFA" w:rsidRDefault="00750FE4" w:rsidP="00750FE4">
      <w:pPr>
        <w:pStyle w:val="BodyText"/>
        <w:ind w:left="284" w:right="374"/>
        <w:rPr>
          <w:rFonts w:ascii="Verdana" w:hAnsi="Verdana"/>
          <w:sz w:val="18"/>
          <w:szCs w:val="18"/>
        </w:rPr>
      </w:pPr>
      <w:r w:rsidRPr="000C7CFA">
        <w:rPr>
          <w:rFonts w:ascii="Verdana" w:hAnsi="Verdana"/>
          <w:sz w:val="18"/>
          <w:szCs w:val="18"/>
        </w:rPr>
        <w:t xml:space="preserve">Heptachlor is said to hydrolyse rapidly in water (forming 1-hydroxy chlordene), which is then microbially degraded to a further metabolite (WHO, 1984a). Formation of this hydrolysis product has also been observed in moist soil. This specific reaction is unlikely to be relevant to Dechlorane Plus as it does not contain the relevant unsaturated pentyl fragment. A further degradant, heptachlor epoxide has also been observed in soil, which appears to be a result of microbial degradation. The chemical properties of heptachlor – low water solubility, high stability and semi-volatility – are indicated to favour its LRTP (WHO, 1995). </w:t>
      </w:r>
      <w:r w:rsidR="005A4BAA" w:rsidRPr="000C7CFA">
        <w:rPr>
          <w:rFonts w:ascii="Verdana" w:hAnsi="Verdana"/>
          <w:sz w:val="18"/>
          <w:szCs w:val="18"/>
        </w:rPr>
        <w:t xml:space="preserve">EFSA (2007) also highlights that </w:t>
      </w:r>
      <w:r w:rsidR="005A4BAA" w:rsidRPr="000C7CFA">
        <w:rPr>
          <w:rFonts w:ascii="Verdana" w:hAnsi="Verdana"/>
          <w:sz w:val="18"/>
          <w:szCs w:val="18"/>
          <w:lang w:val="en-US"/>
        </w:rPr>
        <w:t>the two break-down products heptachlor epoxide and photoheptachlor are persistent and lipophilic. Heptachlor and its</w:t>
      </w:r>
      <w:r w:rsidRPr="000C7CFA">
        <w:rPr>
          <w:rFonts w:ascii="Verdana" w:hAnsi="Verdana"/>
          <w:sz w:val="18"/>
          <w:szCs w:val="18"/>
        </w:rPr>
        <w:t xml:space="preserve"> epoxide have been found in air, water and organisms in the Arctic (WHO, 1995). </w:t>
      </w:r>
    </w:p>
    <w:p w14:paraId="41C0B4B6" w14:textId="108F98A9" w:rsidR="00DB4D63" w:rsidRPr="000C7CFA" w:rsidRDefault="00DB4D63" w:rsidP="00DF4E18">
      <w:pPr>
        <w:pStyle w:val="BodyText"/>
        <w:ind w:left="284" w:right="374" w:hanging="284"/>
        <w:rPr>
          <w:rFonts w:ascii="Verdana" w:hAnsi="Verdana"/>
          <w:sz w:val="18"/>
          <w:szCs w:val="18"/>
        </w:rPr>
      </w:pPr>
      <w:r w:rsidRPr="000C7CFA">
        <w:rPr>
          <w:rFonts w:ascii="Verdana" w:hAnsi="Verdana"/>
          <w:sz w:val="18"/>
          <w:szCs w:val="18"/>
          <w:u w:val="single"/>
        </w:rPr>
        <w:t>3</w:t>
      </w:r>
      <w:r w:rsidR="00DF4E18" w:rsidRPr="000C7CFA">
        <w:rPr>
          <w:rFonts w:ascii="Verdana" w:hAnsi="Verdana"/>
          <w:sz w:val="18"/>
          <w:szCs w:val="18"/>
          <w:u w:val="single"/>
        </w:rPr>
        <w:t>. Aldrin (CAS no. 309-00-2) / Dieldrin (CAS no. 60-57-1)</w:t>
      </w:r>
      <w:r w:rsidR="00DF4E18" w:rsidRPr="000C7CFA">
        <w:rPr>
          <w:rFonts w:ascii="Verdana" w:hAnsi="Verdana"/>
          <w:sz w:val="18"/>
          <w:szCs w:val="18"/>
        </w:rPr>
        <w:t>: The water solubility is 17-180 µg/L for aldrin and 140 µg/L for dieldrin. The log K</w:t>
      </w:r>
      <w:r w:rsidR="00DF4E18" w:rsidRPr="000C7CFA">
        <w:rPr>
          <w:rFonts w:ascii="Verdana" w:hAnsi="Verdana"/>
          <w:sz w:val="18"/>
          <w:szCs w:val="18"/>
          <w:vertAlign w:val="subscript"/>
        </w:rPr>
        <w:t>OW</w:t>
      </w:r>
      <w:r w:rsidR="00DF4E18" w:rsidRPr="000C7CFA">
        <w:rPr>
          <w:rFonts w:ascii="Verdana" w:hAnsi="Verdana"/>
          <w:sz w:val="18"/>
          <w:szCs w:val="18"/>
        </w:rPr>
        <w:t xml:space="preserve"> of aldrin and dieldrin is 7.4 </w:t>
      </w:r>
      <w:r w:rsidR="00DF4E18" w:rsidRPr="000C7CFA">
        <w:rPr>
          <w:rFonts w:ascii="Verdana" w:hAnsi="Verdana"/>
          <w:sz w:val="18"/>
          <w:szCs w:val="18"/>
        </w:rPr>
        <w:lastRenderedPageBreak/>
        <w:t>and 6.2, respectively. Aldrin is</w:t>
      </w:r>
      <w:r w:rsidR="00BB3D8A" w:rsidRPr="000C7CFA">
        <w:rPr>
          <w:rFonts w:ascii="Verdana" w:hAnsi="Verdana"/>
          <w:sz w:val="18"/>
          <w:szCs w:val="18"/>
        </w:rPr>
        <w:t xml:space="preserve"> converted to dieldrin via epoxi</w:t>
      </w:r>
      <w:r w:rsidR="00DF4E18" w:rsidRPr="000C7CFA">
        <w:rPr>
          <w:rFonts w:ascii="Verdana" w:hAnsi="Verdana"/>
          <w:sz w:val="18"/>
          <w:szCs w:val="18"/>
        </w:rPr>
        <w:t xml:space="preserve">dation by micro-organisms and plants under aerobic conditions in soil (WHO, 1989). Transformation to the dicarboxylic acid is also described, although this appears far less significant. By contrast dieldrin is reported to be much less susceptible to biodegradation, with very little degradation detected in soil. Photodegradation has been studied for both chemicals but is not considered to be significant in the environment. The chemical properties of aldrin and dieldrin – low water solubility, high stability and semi-volatility – are indicated to favour their LRTP. Both aldrin and dieldrin have been found in air, water and organisms in the Arctic (WHO, 1995). </w:t>
      </w:r>
    </w:p>
    <w:p w14:paraId="18E17BDE" w14:textId="77777777" w:rsidR="00DF4E18" w:rsidRPr="000C7CFA" w:rsidRDefault="00DB4D63" w:rsidP="00DB4D63">
      <w:pPr>
        <w:pStyle w:val="BodyText"/>
        <w:ind w:left="284" w:right="374"/>
        <w:rPr>
          <w:rFonts w:ascii="Verdana" w:hAnsi="Verdana"/>
          <w:sz w:val="18"/>
          <w:szCs w:val="18"/>
        </w:rPr>
      </w:pPr>
      <w:r w:rsidRPr="000C7CFA">
        <w:rPr>
          <w:rFonts w:ascii="Verdana" w:hAnsi="Verdana"/>
          <w:sz w:val="18"/>
          <w:szCs w:val="18"/>
        </w:rPr>
        <w:t>The same conclusions also apply to endrin (CAS no. 72-20-8). Biodegradation of endrin occurs under anaerobic conditions, with the major metabolite being the ketone, delta-ketoendrin. Photodegradation can also occur, to form the same degradant, especially where endrin has been applied to crops (WHO, 1992 &amp; 1995).</w:t>
      </w:r>
    </w:p>
    <w:p w14:paraId="1D59ADA5" w14:textId="18F9BB50" w:rsidR="00DF4E18" w:rsidRPr="000C7CFA" w:rsidRDefault="00DB4D63" w:rsidP="00DF4E18">
      <w:pPr>
        <w:pStyle w:val="BodyText"/>
        <w:ind w:left="284" w:right="374" w:hanging="284"/>
        <w:rPr>
          <w:rFonts w:ascii="Verdana" w:hAnsi="Verdana"/>
          <w:sz w:val="18"/>
          <w:szCs w:val="18"/>
        </w:rPr>
      </w:pPr>
      <w:r w:rsidRPr="000C7CFA">
        <w:rPr>
          <w:rFonts w:ascii="Verdana" w:hAnsi="Verdana"/>
          <w:sz w:val="18"/>
          <w:szCs w:val="18"/>
          <w:u w:val="single"/>
        </w:rPr>
        <w:t>4</w:t>
      </w:r>
      <w:r w:rsidR="00DF4E18" w:rsidRPr="000C7CFA">
        <w:rPr>
          <w:rFonts w:ascii="Verdana" w:hAnsi="Verdana"/>
          <w:sz w:val="18"/>
          <w:szCs w:val="18"/>
          <w:u w:val="single"/>
        </w:rPr>
        <w:t>. Endosulfan (CAS no. 115-29-7)</w:t>
      </w:r>
      <w:r w:rsidR="00DF4E18" w:rsidRPr="000C7CFA">
        <w:rPr>
          <w:rFonts w:ascii="Verdana" w:hAnsi="Verdana"/>
          <w:sz w:val="18"/>
          <w:szCs w:val="18"/>
        </w:rPr>
        <w:t>: Endosulfan has a water solubility of 0.33 mg/L and log K</w:t>
      </w:r>
      <w:r w:rsidR="00DF4E18" w:rsidRPr="000C7CFA">
        <w:rPr>
          <w:rFonts w:ascii="Verdana" w:hAnsi="Verdana"/>
          <w:sz w:val="18"/>
          <w:szCs w:val="18"/>
          <w:vertAlign w:val="subscript"/>
        </w:rPr>
        <w:t>OW</w:t>
      </w:r>
      <w:r w:rsidR="00DF4E18" w:rsidRPr="000C7CFA">
        <w:rPr>
          <w:rFonts w:ascii="Verdana" w:hAnsi="Verdana"/>
          <w:sz w:val="18"/>
          <w:szCs w:val="18"/>
        </w:rPr>
        <w:t xml:space="preserve"> of 4.78 - 4.93 (</w:t>
      </w:r>
      <w:proofErr w:type="gramStart"/>
      <w:r w:rsidR="00DF4E18" w:rsidRPr="000C7CFA">
        <w:rPr>
          <w:rFonts w:ascii="Verdana" w:hAnsi="Verdana"/>
          <w:sz w:val="18"/>
          <w:szCs w:val="18"/>
        </w:rPr>
        <w:t>α and</w:t>
      </w:r>
      <w:proofErr w:type="gramEnd"/>
      <w:r w:rsidR="00DF4E18" w:rsidRPr="000C7CFA">
        <w:rPr>
          <w:rFonts w:ascii="Verdana" w:hAnsi="Verdana"/>
          <w:sz w:val="18"/>
          <w:szCs w:val="18"/>
        </w:rPr>
        <w:t xml:space="preserve"> β isomers) (UNEP, 2009). The substance was considered to be photolytically stable (EFSA, unpubl. a). A soil simulation study performed using a range of soils under aerobic conditions determined DT</w:t>
      </w:r>
      <w:r w:rsidR="00DF4E18" w:rsidRPr="000C7CFA">
        <w:rPr>
          <w:rFonts w:ascii="Verdana" w:hAnsi="Verdana"/>
          <w:sz w:val="18"/>
          <w:szCs w:val="18"/>
          <w:vertAlign w:val="subscript"/>
        </w:rPr>
        <w:t>50</w:t>
      </w:r>
      <w:r w:rsidR="00DF4E18" w:rsidRPr="000C7CFA">
        <w:rPr>
          <w:rFonts w:ascii="Verdana" w:hAnsi="Verdana"/>
          <w:sz w:val="18"/>
          <w:szCs w:val="18"/>
        </w:rPr>
        <w:t xml:space="preserve"> values of between 12-39 days and 108-264 days for α- and β-Endosulfan respectively at 21-22°C (EFSA, unpubl. a). A further study conducted at a higher temperature of 28°C found half-lives of 23 and 58 days respectively (EFSA, unpubl. a). The main degradant is endosulfan </w:t>
      </w:r>
      <w:r w:rsidR="00EC1D8A" w:rsidRPr="000C7CFA">
        <w:rPr>
          <w:rFonts w:ascii="Verdana" w:hAnsi="Verdana"/>
          <w:sz w:val="18"/>
          <w:szCs w:val="18"/>
        </w:rPr>
        <w:t>sulf</w:t>
      </w:r>
      <w:r w:rsidR="00DF4E18" w:rsidRPr="000C7CFA">
        <w:rPr>
          <w:rFonts w:ascii="Verdana" w:hAnsi="Verdana"/>
          <w:sz w:val="18"/>
          <w:szCs w:val="18"/>
        </w:rPr>
        <w:t>ate, which is also biologically active, but more persistent with half-lives measured between 123 to 391 days (EFSA, unpubl. b). A number of water-sediment studies are available with rapid dissipation observed in water. The degradation and kinetics in sediment and the total system were complex and affected by pH, but a number of the metabolites were considered to have DT</w:t>
      </w:r>
      <w:r w:rsidR="00DF4E18" w:rsidRPr="000C7CFA">
        <w:rPr>
          <w:rFonts w:ascii="Verdana" w:hAnsi="Verdana"/>
          <w:sz w:val="18"/>
          <w:szCs w:val="18"/>
          <w:vertAlign w:val="subscript"/>
        </w:rPr>
        <w:t>50</w:t>
      </w:r>
      <w:r w:rsidR="00DF4E18" w:rsidRPr="000C7CFA">
        <w:rPr>
          <w:rFonts w:ascii="Verdana" w:hAnsi="Verdana"/>
          <w:sz w:val="18"/>
          <w:szCs w:val="18"/>
        </w:rPr>
        <w:t xml:space="preserve"> values above 120 days. </w:t>
      </w:r>
    </w:p>
    <w:p w14:paraId="14675D0C" w14:textId="30B55139" w:rsidR="00DF4E18" w:rsidRPr="000C7CFA" w:rsidRDefault="00DF4E18" w:rsidP="00DF4E18">
      <w:pPr>
        <w:pStyle w:val="BodyText"/>
        <w:ind w:left="284" w:right="374"/>
        <w:rPr>
          <w:rFonts w:ascii="Verdana" w:hAnsi="Verdana"/>
          <w:sz w:val="18"/>
          <w:szCs w:val="18"/>
        </w:rPr>
      </w:pPr>
      <w:r w:rsidRPr="000C7CFA">
        <w:rPr>
          <w:rFonts w:ascii="Verdana" w:hAnsi="Verdana"/>
          <w:sz w:val="18"/>
          <w:szCs w:val="18"/>
        </w:rPr>
        <w:t xml:space="preserve">All of the metabolites in the degradation pathways observed in soil and water-sediment are a result of the degradation of </w:t>
      </w:r>
      <w:r w:rsidR="00EC1D8A" w:rsidRPr="000C7CFA">
        <w:rPr>
          <w:rFonts w:ascii="Verdana" w:hAnsi="Verdana"/>
          <w:sz w:val="18"/>
          <w:szCs w:val="18"/>
        </w:rPr>
        <w:t>sulf</w:t>
      </w:r>
      <w:r w:rsidRPr="000C7CFA">
        <w:rPr>
          <w:rFonts w:ascii="Verdana" w:hAnsi="Verdana"/>
          <w:sz w:val="18"/>
          <w:szCs w:val="18"/>
        </w:rPr>
        <w:t>onate ring, and so the chlorinated norbornene ring remained intact. Little mineralisation (&lt;</w:t>
      </w:r>
      <w:r w:rsidR="00AF7606" w:rsidRPr="000C7CFA">
        <w:rPr>
          <w:rFonts w:ascii="Verdana" w:hAnsi="Verdana"/>
          <w:sz w:val="18"/>
          <w:szCs w:val="18"/>
        </w:rPr>
        <w:t>5 %</w:t>
      </w:r>
      <w:r w:rsidRPr="000C7CFA">
        <w:rPr>
          <w:rFonts w:ascii="Verdana" w:hAnsi="Verdana"/>
          <w:sz w:val="18"/>
          <w:szCs w:val="18"/>
        </w:rPr>
        <w:t xml:space="preserve">) was observed in any of the studies. </w:t>
      </w:r>
    </w:p>
    <w:p w14:paraId="5C69617C" w14:textId="1FFAF295" w:rsidR="00DF4E18" w:rsidRPr="000C7CFA" w:rsidRDefault="00DB4D63" w:rsidP="00DF4E18">
      <w:pPr>
        <w:pStyle w:val="BodyText"/>
        <w:ind w:left="284" w:right="374" w:hanging="284"/>
        <w:rPr>
          <w:rFonts w:ascii="Verdana" w:hAnsi="Verdana"/>
          <w:sz w:val="18"/>
          <w:szCs w:val="18"/>
        </w:rPr>
      </w:pPr>
      <w:r w:rsidRPr="000C7CFA">
        <w:rPr>
          <w:rFonts w:ascii="Verdana" w:hAnsi="Verdana"/>
          <w:sz w:val="18"/>
          <w:szCs w:val="18"/>
          <w:u w:val="single"/>
        </w:rPr>
        <w:t>5</w:t>
      </w:r>
      <w:r w:rsidR="00DF4E18" w:rsidRPr="000C7CFA">
        <w:rPr>
          <w:rFonts w:ascii="Verdana" w:hAnsi="Verdana"/>
          <w:sz w:val="18"/>
          <w:szCs w:val="18"/>
          <w:u w:val="single"/>
        </w:rPr>
        <w:t xml:space="preserve">. Chlorendic </w:t>
      </w:r>
      <w:r w:rsidR="00DF4E18" w:rsidRPr="000C7CFA">
        <w:rPr>
          <w:rFonts w:ascii="Verdana" w:hAnsi="Verdana"/>
          <w:sz w:val="18"/>
          <w:szCs w:val="18"/>
          <w:u w:val="single"/>
          <w:lang w:val="en-US"/>
        </w:rPr>
        <w:t xml:space="preserve">acid (CAS </w:t>
      </w:r>
      <w:r w:rsidR="00DF4E18" w:rsidRPr="000C7CFA">
        <w:rPr>
          <w:rFonts w:ascii="Verdana" w:hAnsi="Verdana"/>
          <w:sz w:val="18"/>
          <w:szCs w:val="18"/>
          <w:u w:val="single"/>
        </w:rPr>
        <w:t xml:space="preserve">no. </w:t>
      </w:r>
      <w:r w:rsidR="00DF4E18" w:rsidRPr="000C7CFA">
        <w:rPr>
          <w:rFonts w:ascii="Verdana" w:hAnsi="Verdana"/>
          <w:sz w:val="18"/>
          <w:szCs w:val="18"/>
          <w:u w:val="single"/>
          <w:lang w:val="en-US"/>
        </w:rPr>
        <w:t>115-28-6)</w:t>
      </w:r>
      <w:r w:rsidR="00DF4E18" w:rsidRPr="000C7CFA">
        <w:rPr>
          <w:rFonts w:ascii="Verdana" w:hAnsi="Verdana"/>
          <w:sz w:val="18"/>
          <w:szCs w:val="18"/>
        </w:rPr>
        <w:t xml:space="preserve">: Chlorendic </w:t>
      </w:r>
      <w:r w:rsidR="008F19E3" w:rsidRPr="000C7CFA">
        <w:rPr>
          <w:rFonts w:ascii="Verdana" w:hAnsi="Verdana"/>
          <w:sz w:val="18"/>
          <w:szCs w:val="18"/>
        </w:rPr>
        <w:t xml:space="preserve">acid </w:t>
      </w:r>
      <w:r w:rsidR="00DF4E18" w:rsidRPr="000C7CFA">
        <w:rPr>
          <w:rFonts w:ascii="Verdana" w:hAnsi="Verdana"/>
          <w:sz w:val="18"/>
          <w:szCs w:val="18"/>
        </w:rPr>
        <w:t>has a very low log K</w:t>
      </w:r>
      <w:r w:rsidR="00DF4E18" w:rsidRPr="000C7CFA">
        <w:rPr>
          <w:rFonts w:ascii="Verdana" w:hAnsi="Verdana"/>
          <w:sz w:val="18"/>
          <w:szCs w:val="18"/>
          <w:vertAlign w:val="subscript"/>
        </w:rPr>
        <w:t>OW</w:t>
      </w:r>
      <w:r w:rsidR="00DF4E18" w:rsidRPr="000C7CFA">
        <w:rPr>
          <w:rFonts w:ascii="Verdana" w:hAnsi="Verdana"/>
          <w:sz w:val="18"/>
          <w:szCs w:val="18"/>
        </w:rPr>
        <w:t xml:space="preserve"> (-1.59). The water solubility is reported to be </w:t>
      </w:r>
      <w:r w:rsidR="008F19E3" w:rsidRPr="000C7CFA">
        <w:rPr>
          <w:rFonts w:ascii="Verdana" w:hAnsi="Verdana"/>
          <w:sz w:val="18"/>
          <w:szCs w:val="18"/>
        </w:rPr>
        <w:t>499 mg/L</w:t>
      </w:r>
      <w:r w:rsidR="00DF4E18" w:rsidRPr="000C7CFA">
        <w:rPr>
          <w:rFonts w:ascii="Verdana" w:hAnsi="Verdana"/>
          <w:sz w:val="18"/>
          <w:szCs w:val="18"/>
        </w:rPr>
        <w:t>. No mineralisation of the</w:t>
      </w:r>
      <w:r w:rsidR="008F19E3" w:rsidRPr="000C7CFA">
        <w:rPr>
          <w:rFonts w:ascii="Verdana" w:hAnsi="Verdana"/>
          <w:sz w:val="18"/>
          <w:szCs w:val="18"/>
        </w:rPr>
        <w:t xml:space="preserve"> parent</w:t>
      </w:r>
      <w:r w:rsidR="00DF4E18" w:rsidRPr="000C7CFA">
        <w:rPr>
          <w:rFonts w:ascii="Verdana" w:hAnsi="Verdana"/>
          <w:sz w:val="18"/>
          <w:szCs w:val="18"/>
        </w:rPr>
        <w:t xml:space="preserve"> anhydride was observed by day 31 in a ready biodegradation study based on dissolved organic carbon removal. This confirms the lack of an obvious rapid degradation pathway for the chlorinated norbornene moiety. However, without information on primary degradation, it cannot be confirmed that the substance itself is stable from this test. There are no simulation data</w:t>
      </w:r>
      <w:r w:rsidR="008F19E3" w:rsidRPr="000C7CFA">
        <w:rPr>
          <w:rFonts w:ascii="Verdana" w:hAnsi="Verdana"/>
          <w:sz w:val="18"/>
          <w:szCs w:val="18"/>
        </w:rPr>
        <w:t>.</w:t>
      </w:r>
    </w:p>
    <w:p w14:paraId="5D6CD0ED" w14:textId="77777777" w:rsidR="00DF4E18" w:rsidRPr="000C7CFA" w:rsidRDefault="00DF4E18" w:rsidP="00DF4E18">
      <w:pPr>
        <w:spacing w:after="0"/>
        <w:rPr>
          <w:rFonts w:ascii="Verdana" w:hAnsi="Verdana"/>
          <w:sz w:val="18"/>
          <w:szCs w:val="18"/>
          <w:lang w:val="en-GB"/>
        </w:rPr>
      </w:pPr>
    </w:p>
    <w:p w14:paraId="3297EA7E" w14:textId="1263E673" w:rsidR="00DF4E18" w:rsidRPr="000C7CFA" w:rsidRDefault="0050438B" w:rsidP="00DF4E18">
      <w:pPr>
        <w:spacing w:after="120"/>
        <w:jc w:val="both"/>
        <w:rPr>
          <w:rFonts w:ascii="Verdana" w:hAnsi="Verdana"/>
          <w:sz w:val="18"/>
          <w:szCs w:val="18"/>
          <w:u w:val="single"/>
          <w:lang w:val="en-GB"/>
        </w:rPr>
      </w:pPr>
      <w:r w:rsidRPr="000C7CFA">
        <w:rPr>
          <w:rFonts w:ascii="Verdana" w:hAnsi="Verdana"/>
          <w:sz w:val="18"/>
          <w:szCs w:val="18"/>
        </w:rPr>
        <w:t>Based on</w:t>
      </w:r>
      <w:r w:rsidR="00DF4E18" w:rsidRPr="000C7CFA">
        <w:rPr>
          <w:rFonts w:ascii="Verdana" w:hAnsi="Verdana"/>
          <w:sz w:val="18"/>
          <w:szCs w:val="18"/>
        </w:rPr>
        <w:t xml:space="preserve"> the available information above, it appears that the chlorinated norbornene moiety is unlikely to undergo rapid degradation. </w:t>
      </w:r>
    </w:p>
    <w:p w14:paraId="5EA7D1E2" w14:textId="77777777" w:rsidR="00B63ACC" w:rsidRPr="000C7CFA" w:rsidRDefault="00B63ACC" w:rsidP="00B63ACC">
      <w:pPr>
        <w:pStyle w:val="BodyText"/>
        <w:rPr>
          <w:rFonts w:ascii="Verdana" w:hAnsi="Verdana"/>
          <w:sz w:val="18"/>
          <w:szCs w:val="18"/>
        </w:rPr>
      </w:pPr>
    </w:p>
    <w:p w14:paraId="672BBB6B" w14:textId="2B3ABD05" w:rsidR="0089163D" w:rsidRPr="000C7CFA" w:rsidRDefault="0089163D" w:rsidP="0089163D">
      <w:pPr>
        <w:pStyle w:val="Heading2"/>
        <w:rPr>
          <w:rFonts w:ascii="Verdana" w:hAnsi="Verdana"/>
          <w:sz w:val="18"/>
          <w:szCs w:val="18"/>
        </w:rPr>
      </w:pPr>
      <w:bookmarkStart w:id="44" w:name="_Toc491862764"/>
      <w:r w:rsidRPr="000C7CFA">
        <w:rPr>
          <w:rFonts w:ascii="Verdana" w:hAnsi="Verdana"/>
          <w:sz w:val="18"/>
          <w:szCs w:val="18"/>
        </w:rPr>
        <w:t>Environmental distribution</w:t>
      </w:r>
      <w:bookmarkEnd w:id="43"/>
      <w:bookmarkEnd w:id="44"/>
    </w:p>
    <w:p w14:paraId="13C1DC6E" w14:textId="50508C56" w:rsidR="0089163D" w:rsidRPr="000C7CFA" w:rsidRDefault="0089163D" w:rsidP="008F19E3">
      <w:pPr>
        <w:pStyle w:val="Heading3"/>
        <w:tabs>
          <w:tab w:val="clear" w:pos="839"/>
          <w:tab w:val="left" w:pos="851"/>
        </w:tabs>
        <w:ind w:left="851" w:hanging="851"/>
        <w:rPr>
          <w:rFonts w:ascii="Verdana" w:hAnsi="Verdana"/>
          <w:sz w:val="18"/>
          <w:szCs w:val="18"/>
        </w:rPr>
      </w:pPr>
      <w:bookmarkStart w:id="45" w:name="_Toc265765484"/>
      <w:bookmarkStart w:id="46" w:name="_Ref431801242"/>
      <w:bookmarkStart w:id="47" w:name="_Ref431801353"/>
      <w:bookmarkStart w:id="48" w:name="_Toc491862765"/>
      <w:r w:rsidRPr="000C7CFA">
        <w:rPr>
          <w:rFonts w:ascii="Verdana" w:hAnsi="Verdana"/>
          <w:sz w:val="18"/>
          <w:szCs w:val="18"/>
        </w:rPr>
        <w:t>Adsorption/desorption</w:t>
      </w:r>
      <w:bookmarkEnd w:id="45"/>
      <w:bookmarkEnd w:id="46"/>
      <w:bookmarkEnd w:id="47"/>
      <w:bookmarkEnd w:id="48"/>
    </w:p>
    <w:p w14:paraId="0F32124C" w14:textId="77777777" w:rsidR="00C15079" w:rsidRPr="000C7CFA" w:rsidRDefault="00B00890" w:rsidP="001268B8">
      <w:pPr>
        <w:pStyle w:val="BodyText"/>
        <w:rPr>
          <w:rFonts w:ascii="Verdana" w:hAnsi="Verdana"/>
          <w:sz w:val="18"/>
          <w:szCs w:val="18"/>
        </w:rPr>
      </w:pPr>
      <w:r w:rsidRPr="000C7CFA">
        <w:rPr>
          <w:rFonts w:ascii="Verdana" w:hAnsi="Verdana"/>
          <w:sz w:val="18"/>
          <w:szCs w:val="18"/>
        </w:rPr>
        <w:t>A</w:t>
      </w:r>
      <w:r w:rsidR="00DB209B" w:rsidRPr="000C7CFA">
        <w:rPr>
          <w:rFonts w:ascii="Verdana" w:hAnsi="Verdana"/>
          <w:sz w:val="18"/>
          <w:szCs w:val="18"/>
        </w:rPr>
        <w:t>s</w:t>
      </w:r>
      <w:r w:rsidR="00C27D1C" w:rsidRPr="000C7CFA">
        <w:rPr>
          <w:rFonts w:ascii="Verdana" w:hAnsi="Verdana"/>
          <w:sz w:val="18"/>
          <w:szCs w:val="18"/>
        </w:rPr>
        <w:t>sessment of a</w:t>
      </w:r>
      <w:r w:rsidR="00E92B3A" w:rsidRPr="000C7CFA">
        <w:rPr>
          <w:rFonts w:ascii="Verdana" w:hAnsi="Verdana"/>
          <w:sz w:val="18"/>
          <w:szCs w:val="18"/>
        </w:rPr>
        <w:t>dsorption/desorption</w:t>
      </w:r>
      <w:r w:rsidR="00DF1FA5" w:rsidRPr="000C7CFA">
        <w:rPr>
          <w:rFonts w:ascii="Verdana" w:hAnsi="Verdana"/>
          <w:sz w:val="18"/>
          <w:szCs w:val="18"/>
        </w:rPr>
        <w:t xml:space="preserve"> has been waived by the </w:t>
      </w:r>
      <w:r w:rsidR="007666BB" w:rsidRPr="000C7CFA">
        <w:rPr>
          <w:rFonts w:ascii="Verdana" w:hAnsi="Verdana"/>
          <w:sz w:val="18"/>
          <w:szCs w:val="18"/>
        </w:rPr>
        <w:t>Registrant</w:t>
      </w:r>
      <w:r w:rsidR="00DF1FA5" w:rsidRPr="000C7CFA">
        <w:rPr>
          <w:rFonts w:ascii="Verdana" w:hAnsi="Verdana"/>
          <w:sz w:val="18"/>
          <w:szCs w:val="18"/>
        </w:rPr>
        <w:t xml:space="preserve"> based on the low solubility of Dechlorane Plus in water. </w:t>
      </w:r>
    </w:p>
    <w:p w14:paraId="0EF4B924" w14:textId="258A6055" w:rsidR="00C27D1C" w:rsidRPr="000C7CFA" w:rsidRDefault="00DF1FA5" w:rsidP="00E8708B">
      <w:pPr>
        <w:pStyle w:val="BodyText"/>
        <w:rPr>
          <w:rFonts w:ascii="Verdana" w:hAnsi="Verdana"/>
          <w:sz w:val="18"/>
          <w:szCs w:val="18"/>
        </w:rPr>
      </w:pPr>
      <w:r w:rsidRPr="000C7CFA">
        <w:rPr>
          <w:rFonts w:ascii="Verdana" w:hAnsi="Verdana"/>
          <w:sz w:val="18"/>
          <w:szCs w:val="18"/>
        </w:rPr>
        <w:t xml:space="preserve">The </w:t>
      </w:r>
      <w:r w:rsidR="007666BB" w:rsidRPr="000C7CFA">
        <w:rPr>
          <w:rFonts w:ascii="Verdana" w:hAnsi="Verdana"/>
          <w:sz w:val="18"/>
          <w:szCs w:val="18"/>
        </w:rPr>
        <w:t>Registrant</w:t>
      </w:r>
      <w:r w:rsidRPr="000C7CFA">
        <w:rPr>
          <w:rFonts w:ascii="Verdana" w:hAnsi="Verdana"/>
          <w:sz w:val="18"/>
          <w:szCs w:val="18"/>
        </w:rPr>
        <w:t xml:space="preserve"> also reported a study </w:t>
      </w:r>
      <w:r w:rsidR="00644EE2" w:rsidRPr="000C7CFA">
        <w:rPr>
          <w:rFonts w:ascii="Verdana" w:hAnsi="Verdana"/>
          <w:sz w:val="18"/>
          <w:szCs w:val="18"/>
        </w:rPr>
        <w:t xml:space="preserve">by </w:t>
      </w:r>
      <w:r w:rsidR="00644EE2" w:rsidRPr="000C7CFA">
        <w:rPr>
          <w:rFonts w:ascii="Verdana" w:hAnsi="Verdana"/>
          <w:sz w:val="18"/>
          <w:szCs w:val="18"/>
          <w:u w:val="single"/>
        </w:rPr>
        <w:t xml:space="preserve">Chou </w:t>
      </w:r>
      <w:r w:rsidR="00644EE2" w:rsidRPr="000C7CFA">
        <w:rPr>
          <w:rFonts w:ascii="Verdana" w:hAnsi="Verdana"/>
          <w:i/>
          <w:sz w:val="18"/>
          <w:szCs w:val="18"/>
          <w:u w:val="single"/>
        </w:rPr>
        <w:t>et al.</w:t>
      </w:r>
      <w:r w:rsidR="00644EE2" w:rsidRPr="000C7CFA">
        <w:rPr>
          <w:rFonts w:ascii="Verdana" w:hAnsi="Verdana"/>
          <w:sz w:val="18"/>
          <w:szCs w:val="18"/>
          <w:u w:val="single"/>
        </w:rPr>
        <w:t xml:space="preserve"> (1979)</w:t>
      </w:r>
      <w:r w:rsidR="00644EE2" w:rsidRPr="000C7CFA">
        <w:rPr>
          <w:rFonts w:ascii="Verdana" w:hAnsi="Verdana"/>
          <w:sz w:val="18"/>
          <w:szCs w:val="18"/>
        </w:rPr>
        <w:t xml:space="preserve"> </w:t>
      </w:r>
      <w:r w:rsidRPr="000C7CFA">
        <w:rPr>
          <w:rFonts w:ascii="Verdana" w:hAnsi="Verdana"/>
          <w:sz w:val="18"/>
          <w:szCs w:val="18"/>
        </w:rPr>
        <w:t>in Section 5.4.4 (Other distribution data) of the IUCLID dossier</w:t>
      </w:r>
      <w:r w:rsidR="00644EE2" w:rsidRPr="000C7CFA">
        <w:rPr>
          <w:rFonts w:ascii="Verdana" w:hAnsi="Verdana"/>
          <w:sz w:val="18"/>
          <w:szCs w:val="18"/>
        </w:rPr>
        <w:t>. This was an</w:t>
      </w:r>
      <w:r w:rsidRPr="000C7CFA">
        <w:rPr>
          <w:rFonts w:ascii="Verdana" w:hAnsi="Verdana"/>
          <w:sz w:val="18"/>
          <w:szCs w:val="18"/>
        </w:rPr>
        <w:t xml:space="preserve"> investigati</w:t>
      </w:r>
      <w:r w:rsidR="00644EE2" w:rsidRPr="000C7CFA">
        <w:rPr>
          <w:rFonts w:ascii="Verdana" w:hAnsi="Verdana"/>
          <w:sz w:val="18"/>
          <w:szCs w:val="18"/>
        </w:rPr>
        <w:t>o</w:t>
      </w:r>
      <w:r w:rsidRPr="000C7CFA">
        <w:rPr>
          <w:rFonts w:ascii="Verdana" w:hAnsi="Verdana"/>
          <w:sz w:val="18"/>
          <w:szCs w:val="18"/>
        </w:rPr>
        <w:t>n</w:t>
      </w:r>
      <w:r w:rsidR="00644EE2" w:rsidRPr="000C7CFA">
        <w:rPr>
          <w:rFonts w:ascii="Verdana" w:hAnsi="Verdana"/>
          <w:sz w:val="18"/>
          <w:szCs w:val="18"/>
        </w:rPr>
        <w:t xml:space="preserve"> of</w:t>
      </w:r>
      <w:r w:rsidRPr="000C7CFA">
        <w:rPr>
          <w:rFonts w:ascii="Verdana" w:hAnsi="Verdana"/>
          <w:sz w:val="18"/>
          <w:szCs w:val="18"/>
        </w:rPr>
        <w:t xml:space="preserve"> adsorption to sediment</w:t>
      </w:r>
      <w:r w:rsidR="00644EE2" w:rsidRPr="000C7CFA">
        <w:rPr>
          <w:rFonts w:ascii="Verdana" w:hAnsi="Verdana"/>
          <w:sz w:val="18"/>
          <w:szCs w:val="18"/>
        </w:rPr>
        <w:t xml:space="preserve">, and </w:t>
      </w:r>
      <w:r w:rsidRPr="000C7CFA">
        <w:rPr>
          <w:rFonts w:ascii="Verdana" w:hAnsi="Verdana"/>
          <w:sz w:val="18"/>
          <w:szCs w:val="18"/>
        </w:rPr>
        <w:t>was conducted by mixing a saturated water solution with water and about 10% of sediment overnight. Fractions (supernatant and bottom) were extracted separately using 1</w:t>
      </w:r>
      <w:r w:rsidR="00AF7606" w:rsidRPr="000C7CFA">
        <w:rPr>
          <w:rFonts w:ascii="Verdana" w:hAnsi="Verdana"/>
          <w:sz w:val="18"/>
          <w:szCs w:val="18"/>
        </w:rPr>
        <w:t>5 %</w:t>
      </w:r>
      <w:r w:rsidRPr="000C7CFA">
        <w:rPr>
          <w:rFonts w:ascii="Verdana" w:hAnsi="Verdana"/>
          <w:sz w:val="18"/>
          <w:szCs w:val="18"/>
        </w:rPr>
        <w:t xml:space="preserve"> methylene chloride in hexane. The extracts were filtered and analysed using GC with electron capture. Concentrations between about 22 </w:t>
      </w:r>
      <w:r w:rsidR="001C7584" w:rsidRPr="000C7CFA">
        <w:rPr>
          <w:rFonts w:ascii="Verdana" w:hAnsi="Verdana"/>
          <w:sz w:val="18"/>
          <w:szCs w:val="18"/>
        </w:rPr>
        <w:t>ng/L</w:t>
      </w:r>
      <w:r w:rsidRPr="000C7CFA">
        <w:rPr>
          <w:rFonts w:ascii="Verdana" w:hAnsi="Verdana"/>
          <w:sz w:val="18"/>
          <w:szCs w:val="18"/>
        </w:rPr>
        <w:t xml:space="preserve"> and about 44 </w:t>
      </w:r>
      <w:r w:rsidR="001C7584" w:rsidRPr="000C7CFA">
        <w:rPr>
          <w:rFonts w:ascii="Verdana" w:hAnsi="Verdana"/>
          <w:sz w:val="18"/>
          <w:szCs w:val="18"/>
        </w:rPr>
        <w:t>ng/L</w:t>
      </w:r>
      <w:r w:rsidRPr="000C7CFA">
        <w:rPr>
          <w:rFonts w:ascii="Verdana" w:hAnsi="Verdana"/>
          <w:sz w:val="18"/>
          <w:szCs w:val="18"/>
        </w:rPr>
        <w:t xml:space="preserve"> were detected in the supernatant fraction, while the sediment (bottom) fraction contained between 74 and </w:t>
      </w:r>
      <w:r w:rsidRPr="000C7CFA">
        <w:rPr>
          <w:rFonts w:ascii="Verdana" w:hAnsi="Verdana"/>
          <w:sz w:val="18"/>
          <w:szCs w:val="18"/>
        </w:rPr>
        <w:lastRenderedPageBreak/>
        <w:t>136 µg/g (co</w:t>
      </w:r>
      <w:r w:rsidR="006E18DF" w:rsidRPr="000C7CFA">
        <w:rPr>
          <w:rFonts w:ascii="Verdana" w:hAnsi="Verdana"/>
          <w:sz w:val="18"/>
          <w:szCs w:val="18"/>
        </w:rPr>
        <w:t>rresponding to about 74 and 136 </w:t>
      </w:r>
      <w:r w:rsidR="001C7584" w:rsidRPr="000C7CFA">
        <w:rPr>
          <w:rFonts w:ascii="Verdana" w:hAnsi="Verdana"/>
          <w:sz w:val="18"/>
          <w:szCs w:val="18"/>
        </w:rPr>
        <w:t>mg/L</w:t>
      </w:r>
      <w:r w:rsidRPr="000C7CFA">
        <w:rPr>
          <w:rFonts w:ascii="Verdana" w:hAnsi="Verdana"/>
          <w:sz w:val="18"/>
          <w:szCs w:val="18"/>
        </w:rPr>
        <w:t xml:space="preserve">) of Dechlorane Plus. </w:t>
      </w:r>
      <w:r w:rsidR="00E8708B" w:rsidRPr="000C7CFA">
        <w:rPr>
          <w:rFonts w:ascii="Verdana" w:hAnsi="Verdana"/>
          <w:sz w:val="18"/>
          <w:szCs w:val="18"/>
        </w:rPr>
        <w:t>A sorption partition coefficient of 4.5 ± 1.9 ×10</w:t>
      </w:r>
      <w:r w:rsidR="00E8708B" w:rsidRPr="000C7CFA">
        <w:rPr>
          <w:rFonts w:ascii="Verdana" w:hAnsi="Verdana"/>
          <w:sz w:val="18"/>
          <w:szCs w:val="18"/>
          <w:vertAlign w:val="superscript"/>
        </w:rPr>
        <w:t>6</w:t>
      </w:r>
      <w:r w:rsidR="00E8708B" w:rsidRPr="000C7CFA">
        <w:rPr>
          <w:rFonts w:ascii="Verdana" w:hAnsi="Verdana"/>
          <w:sz w:val="18"/>
          <w:szCs w:val="18"/>
        </w:rPr>
        <w:t xml:space="preserve"> was reported (the particulate matter was assessed from the blank control and considered for calculation). </w:t>
      </w:r>
      <w:r w:rsidRPr="000C7CFA">
        <w:rPr>
          <w:rFonts w:ascii="Verdana" w:hAnsi="Verdana"/>
          <w:sz w:val="18"/>
          <w:szCs w:val="18"/>
        </w:rPr>
        <w:t>However, precipitation of Dechlorane Plus in the sediment phase was observed indicating that only a part of the substance concentration in sediment was adsorbed to the sediment.</w:t>
      </w:r>
      <w:r w:rsidR="00E8708B" w:rsidRPr="000C7CFA">
        <w:rPr>
          <w:rFonts w:ascii="Verdana" w:hAnsi="Verdana"/>
          <w:sz w:val="18"/>
          <w:szCs w:val="18"/>
        </w:rPr>
        <w:t xml:space="preserve"> </w:t>
      </w:r>
    </w:p>
    <w:p w14:paraId="12890C0E" w14:textId="77777777" w:rsidR="00FF4CEE" w:rsidRPr="000C7CFA" w:rsidRDefault="00FF4CEE" w:rsidP="00FF4CEE">
      <w:pPr>
        <w:pStyle w:val="NormalWeb"/>
        <w:spacing w:before="0" w:beforeAutospacing="0" w:after="120" w:afterAutospacing="0"/>
        <w:jc w:val="both"/>
        <w:rPr>
          <w:rFonts w:ascii="Verdana" w:hAnsi="Verdana"/>
          <w:i/>
          <w:sz w:val="18"/>
          <w:szCs w:val="18"/>
        </w:rPr>
      </w:pPr>
      <w:r w:rsidRPr="000C7CFA">
        <w:rPr>
          <w:rFonts w:ascii="Verdana" w:hAnsi="Verdana"/>
          <w:b/>
          <w:i/>
          <w:sz w:val="18"/>
          <w:szCs w:val="18"/>
        </w:rPr>
        <w:t>Discussion</w:t>
      </w:r>
    </w:p>
    <w:p w14:paraId="2EA0221F" w14:textId="7B921B43" w:rsidR="00780610" w:rsidRPr="000C7CFA" w:rsidRDefault="00DF1FA5" w:rsidP="00795AF6">
      <w:pPr>
        <w:pStyle w:val="BodyText"/>
        <w:rPr>
          <w:rFonts w:ascii="Verdana" w:hAnsi="Verdana"/>
          <w:sz w:val="18"/>
          <w:szCs w:val="18"/>
        </w:rPr>
      </w:pPr>
      <w:r w:rsidRPr="000C7CFA">
        <w:rPr>
          <w:rFonts w:ascii="Verdana" w:hAnsi="Verdana"/>
          <w:sz w:val="18"/>
          <w:szCs w:val="18"/>
        </w:rPr>
        <w:t>The data waiver for assessment of adsorption/desorption to be inappropriate. Insolubility in water is not a REACH Annex VIII Column 2 adaptation for this endpoint.</w:t>
      </w:r>
    </w:p>
    <w:p w14:paraId="5049B91B" w14:textId="487CF906" w:rsidR="00C8402A" w:rsidRPr="000C7CFA" w:rsidRDefault="00DF1FA5" w:rsidP="00795AF6">
      <w:pPr>
        <w:pStyle w:val="BodyText"/>
        <w:rPr>
          <w:rFonts w:ascii="Verdana" w:hAnsi="Verdana"/>
          <w:sz w:val="18"/>
          <w:szCs w:val="18"/>
        </w:rPr>
      </w:pPr>
      <w:r w:rsidRPr="000C7CFA">
        <w:rPr>
          <w:rFonts w:ascii="Verdana" w:hAnsi="Verdana"/>
          <w:sz w:val="18"/>
          <w:szCs w:val="18"/>
        </w:rPr>
        <w:t xml:space="preserve">The study reported by the </w:t>
      </w:r>
      <w:r w:rsidR="007666BB" w:rsidRPr="000C7CFA">
        <w:rPr>
          <w:rFonts w:ascii="Verdana" w:hAnsi="Verdana"/>
          <w:sz w:val="18"/>
          <w:szCs w:val="18"/>
        </w:rPr>
        <w:t>Registrant</w:t>
      </w:r>
      <w:r w:rsidRPr="000C7CFA">
        <w:rPr>
          <w:rFonts w:ascii="Verdana" w:hAnsi="Verdana"/>
          <w:sz w:val="18"/>
          <w:szCs w:val="18"/>
        </w:rPr>
        <w:t xml:space="preserve"> investigating adsorption to sediment (Chou </w:t>
      </w:r>
      <w:r w:rsidRPr="000C7CFA">
        <w:rPr>
          <w:rFonts w:ascii="Verdana" w:hAnsi="Verdana"/>
          <w:i/>
          <w:sz w:val="18"/>
          <w:szCs w:val="18"/>
        </w:rPr>
        <w:t>et al.</w:t>
      </w:r>
      <w:r w:rsidRPr="000C7CFA">
        <w:rPr>
          <w:rFonts w:ascii="Verdana" w:hAnsi="Verdana"/>
          <w:sz w:val="18"/>
          <w:szCs w:val="18"/>
        </w:rPr>
        <w:t>, 1979) is a non-standard study which is not similar to the OECD test guideline methods for adsorption/desorption, which determine a soil organic carbon-water partition coefficient (K</w:t>
      </w:r>
      <w:r w:rsidR="00A92CFA" w:rsidRPr="000C7CFA">
        <w:rPr>
          <w:rFonts w:ascii="Verdana" w:hAnsi="Verdana"/>
          <w:sz w:val="18"/>
          <w:szCs w:val="18"/>
          <w:vertAlign w:val="subscript"/>
        </w:rPr>
        <w:t>OC</w:t>
      </w:r>
      <w:r w:rsidRPr="000C7CFA">
        <w:rPr>
          <w:rFonts w:ascii="Verdana" w:hAnsi="Verdana"/>
          <w:sz w:val="18"/>
          <w:szCs w:val="18"/>
        </w:rPr>
        <w:t xml:space="preserve">) at adsorption equilibrium. The study gives </w:t>
      </w:r>
      <w:r w:rsidR="00E8708B" w:rsidRPr="000C7CFA">
        <w:rPr>
          <w:rFonts w:ascii="Verdana" w:hAnsi="Verdana"/>
          <w:sz w:val="18"/>
          <w:szCs w:val="18"/>
        </w:rPr>
        <w:t xml:space="preserve">no useable </w:t>
      </w:r>
      <w:r w:rsidRPr="000C7CFA">
        <w:rPr>
          <w:rFonts w:ascii="Verdana" w:hAnsi="Verdana"/>
          <w:sz w:val="18"/>
          <w:szCs w:val="18"/>
        </w:rPr>
        <w:t>information on adsorption</w:t>
      </w:r>
      <w:r w:rsidR="00E8708B" w:rsidRPr="000C7CFA">
        <w:rPr>
          <w:rFonts w:ascii="Verdana" w:hAnsi="Verdana"/>
          <w:sz w:val="18"/>
          <w:szCs w:val="18"/>
        </w:rPr>
        <w:t xml:space="preserve"> behaviour</w:t>
      </w:r>
      <w:r w:rsidRPr="000C7CFA">
        <w:rPr>
          <w:rFonts w:ascii="Verdana" w:hAnsi="Verdana"/>
          <w:sz w:val="18"/>
          <w:szCs w:val="18"/>
        </w:rPr>
        <w:t xml:space="preserve">, </w:t>
      </w:r>
      <w:r w:rsidR="00E8708B" w:rsidRPr="000C7CFA">
        <w:rPr>
          <w:rFonts w:ascii="Verdana" w:hAnsi="Verdana"/>
          <w:sz w:val="18"/>
          <w:szCs w:val="18"/>
        </w:rPr>
        <w:t>as</w:t>
      </w:r>
      <w:r w:rsidRPr="000C7CFA">
        <w:rPr>
          <w:rFonts w:ascii="Verdana" w:hAnsi="Verdana"/>
          <w:sz w:val="18"/>
          <w:szCs w:val="18"/>
        </w:rPr>
        <w:t xml:space="preserve"> the test method </w:t>
      </w:r>
      <w:r w:rsidR="00E8708B" w:rsidRPr="000C7CFA">
        <w:rPr>
          <w:rFonts w:ascii="Verdana" w:hAnsi="Verdana"/>
          <w:sz w:val="18"/>
          <w:szCs w:val="18"/>
        </w:rPr>
        <w:t>was</w:t>
      </w:r>
      <w:r w:rsidRPr="000C7CFA">
        <w:rPr>
          <w:rFonts w:ascii="Verdana" w:hAnsi="Verdana"/>
          <w:sz w:val="18"/>
          <w:szCs w:val="18"/>
        </w:rPr>
        <w:t xml:space="preserve"> very basic and precipitation occurr</w:t>
      </w:r>
      <w:r w:rsidR="00E8708B" w:rsidRPr="000C7CFA">
        <w:rPr>
          <w:rFonts w:ascii="Verdana" w:hAnsi="Verdana"/>
          <w:sz w:val="18"/>
          <w:szCs w:val="18"/>
        </w:rPr>
        <w:t>ed</w:t>
      </w:r>
      <w:r w:rsidRPr="000C7CFA">
        <w:rPr>
          <w:rFonts w:ascii="Verdana" w:hAnsi="Verdana"/>
          <w:sz w:val="18"/>
          <w:szCs w:val="18"/>
        </w:rPr>
        <w:t xml:space="preserve"> in the sediment phase. </w:t>
      </w:r>
    </w:p>
    <w:p w14:paraId="74F0C86F" w14:textId="5E13D9DC" w:rsidR="0089163D" w:rsidRPr="000C7CFA" w:rsidRDefault="00DF1FA5" w:rsidP="008F19E3">
      <w:pPr>
        <w:pStyle w:val="Heading3"/>
        <w:ind w:left="851" w:hanging="851"/>
        <w:rPr>
          <w:rFonts w:ascii="Verdana" w:hAnsi="Verdana"/>
          <w:sz w:val="18"/>
          <w:szCs w:val="18"/>
        </w:rPr>
      </w:pPr>
      <w:bookmarkStart w:id="49" w:name="_Toc265765485"/>
      <w:bookmarkStart w:id="50" w:name="_Toc491862766"/>
      <w:r w:rsidRPr="000C7CFA">
        <w:rPr>
          <w:rFonts w:ascii="Verdana" w:hAnsi="Verdana"/>
          <w:sz w:val="18"/>
          <w:szCs w:val="18"/>
        </w:rPr>
        <w:t>Volatilisation</w:t>
      </w:r>
      <w:bookmarkEnd w:id="49"/>
      <w:bookmarkEnd w:id="50"/>
    </w:p>
    <w:p w14:paraId="257AFA47" w14:textId="3FA0BE57" w:rsidR="005A43B5" w:rsidRPr="000C7CFA" w:rsidRDefault="00DF1FA5" w:rsidP="002D06C9">
      <w:pPr>
        <w:pStyle w:val="BodyText"/>
        <w:rPr>
          <w:rFonts w:ascii="Verdana" w:hAnsi="Verdana"/>
          <w:sz w:val="18"/>
          <w:szCs w:val="18"/>
        </w:rPr>
      </w:pPr>
      <w:r w:rsidRPr="000C7CFA">
        <w:rPr>
          <w:rFonts w:ascii="Verdana" w:hAnsi="Verdana"/>
          <w:sz w:val="18"/>
          <w:szCs w:val="18"/>
        </w:rPr>
        <w:t>The transfer of a substance from the water phase to the gas phase can be estimated by means of the Henry’s Law Constant (HLC). The HLC can be calculated from the ratio of the vapour pressure (VP) to the water solubility (WS).</w:t>
      </w:r>
    </w:p>
    <w:p w14:paraId="79E04F08" w14:textId="77777777" w:rsidR="005A43B5" w:rsidRPr="000C7CFA" w:rsidRDefault="00DF1FA5" w:rsidP="00EA62B5">
      <w:pPr>
        <w:ind w:left="851"/>
        <w:jc w:val="both"/>
        <w:rPr>
          <w:rFonts w:ascii="Verdana" w:hAnsi="Verdana"/>
          <w:sz w:val="18"/>
          <w:szCs w:val="18"/>
          <w:lang w:val="en-GB"/>
        </w:rPr>
      </w:pPr>
      <w:r w:rsidRPr="000C7CFA">
        <w:rPr>
          <w:rFonts w:ascii="Verdana" w:hAnsi="Verdana"/>
          <w:sz w:val="18"/>
          <w:szCs w:val="18"/>
          <w:lang w:val="en-GB"/>
        </w:rPr>
        <w:t xml:space="preserve">HLC = (VP </w:t>
      </w:r>
      <w:r w:rsidR="00BD60E8" w:rsidRPr="000C7CFA">
        <w:rPr>
          <w:rFonts w:ascii="Verdana" w:hAnsi="Verdana"/>
          <w:sz w:val="18"/>
          <w:szCs w:val="18"/>
        </w:rPr>
        <w:t>×</w:t>
      </w:r>
      <w:r w:rsidRPr="000C7CFA">
        <w:rPr>
          <w:rFonts w:ascii="Verdana" w:hAnsi="Verdana"/>
          <w:sz w:val="18"/>
          <w:szCs w:val="18"/>
          <w:lang w:val="en-GB"/>
        </w:rPr>
        <w:t xml:space="preserve"> MW) /</w:t>
      </w:r>
      <w:r w:rsidR="00EA62B5" w:rsidRPr="000C7CFA">
        <w:rPr>
          <w:rFonts w:ascii="Verdana" w:hAnsi="Verdana"/>
          <w:sz w:val="18"/>
          <w:szCs w:val="18"/>
          <w:lang w:val="en-GB"/>
        </w:rPr>
        <w:t xml:space="preserve"> </w:t>
      </w:r>
      <w:r w:rsidRPr="000C7CFA">
        <w:rPr>
          <w:rFonts w:ascii="Verdana" w:hAnsi="Verdana"/>
          <w:sz w:val="18"/>
          <w:szCs w:val="18"/>
          <w:lang w:val="en-GB"/>
        </w:rPr>
        <w:t>WS</w:t>
      </w:r>
    </w:p>
    <w:p w14:paraId="2D44CC8F" w14:textId="77777777" w:rsidR="005A43B5" w:rsidRPr="000C7CFA" w:rsidRDefault="00FF4CEE" w:rsidP="00EA62B5">
      <w:pPr>
        <w:pStyle w:val="BodyText"/>
        <w:ind w:left="851"/>
        <w:rPr>
          <w:rFonts w:ascii="Verdana" w:hAnsi="Verdana"/>
          <w:sz w:val="18"/>
          <w:szCs w:val="18"/>
        </w:rPr>
      </w:pPr>
      <w:proofErr w:type="gramStart"/>
      <w:r w:rsidRPr="000C7CFA">
        <w:rPr>
          <w:rFonts w:ascii="Verdana" w:hAnsi="Verdana"/>
          <w:sz w:val="18"/>
          <w:szCs w:val="18"/>
        </w:rPr>
        <w:t>w</w:t>
      </w:r>
      <w:r w:rsidR="00DF1FA5" w:rsidRPr="000C7CFA">
        <w:rPr>
          <w:rFonts w:ascii="Verdana" w:hAnsi="Verdana"/>
          <w:sz w:val="18"/>
          <w:szCs w:val="18"/>
        </w:rPr>
        <w:t>here</w:t>
      </w:r>
      <w:proofErr w:type="gramEnd"/>
      <w:r w:rsidR="00DF1FA5" w:rsidRPr="000C7CFA">
        <w:rPr>
          <w:rFonts w:ascii="Verdana" w:hAnsi="Verdana"/>
          <w:sz w:val="18"/>
          <w:szCs w:val="18"/>
        </w:rPr>
        <w:t xml:space="preserve"> MW is molecular weight</w:t>
      </w:r>
      <w:r w:rsidR="00EA62B5" w:rsidRPr="000C7CFA">
        <w:rPr>
          <w:rFonts w:ascii="Verdana" w:hAnsi="Verdana"/>
          <w:sz w:val="18"/>
          <w:szCs w:val="18"/>
        </w:rPr>
        <w:t xml:space="preserve"> (g/mol)</w:t>
      </w:r>
      <w:r w:rsidR="00DF1FA5" w:rsidRPr="000C7CFA">
        <w:rPr>
          <w:rFonts w:ascii="Verdana" w:hAnsi="Verdana"/>
          <w:sz w:val="18"/>
          <w:szCs w:val="18"/>
        </w:rPr>
        <w:t>.</w:t>
      </w:r>
    </w:p>
    <w:p w14:paraId="43685E18" w14:textId="403D4157" w:rsidR="0082676E" w:rsidRPr="000C7CFA" w:rsidRDefault="00DF1FA5" w:rsidP="0082676E">
      <w:pPr>
        <w:pStyle w:val="BodyText"/>
        <w:rPr>
          <w:rFonts w:ascii="Verdana" w:hAnsi="Verdana"/>
          <w:sz w:val="18"/>
          <w:szCs w:val="18"/>
        </w:rPr>
      </w:pPr>
      <w:r w:rsidRPr="000C7CFA">
        <w:rPr>
          <w:rFonts w:ascii="Verdana" w:hAnsi="Verdana"/>
          <w:sz w:val="18"/>
          <w:szCs w:val="18"/>
        </w:rPr>
        <w:t xml:space="preserve">The vapour pressure value selected for </w:t>
      </w:r>
      <w:r w:rsidR="004975D9" w:rsidRPr="000C7CFA">
        <w:rPr>
          <w:rFonts w:ascii="Verdana" w:hAnsi="Verdana"/>
          <w:sz w:val="18"/>
          <w:szCs w:val="18"/>
        </w:rPr>
        <w:t xml:space="preserve">the </w:t>
      </w:r>
      <w:r w:rsidRPr="000C7CFA">
        <w:rPr>
          <w:rFonts w:ascii="Verdana" w:hAnsi="Verdana"/>
          <w:sz w:val="18"/>
          <w:szCs w:val="18"/>
        </w:rPr>
        <w:t xml:space="preserve">purposes </w:t>
      </w:r>
      <w:r w:rsidR="004975D9" w:rsidRPr="000C7CFA">
        <w:rPr>
          <w:rFonts w:ascii="Verdana" w:hAnsi="Verdana"/>
          <w:sz w:val="18"/>
          <w:szCs w:val="18"/>
        </w:rPr>
        <w:t xml:space="preserve">of this assessment </w:t>
      </w:r>
      <w:r w:rsidRPr="000C7CFA">
        <w:rPr>
          <w:rFonts w:ascii="Verdana" w:hAnsi="Verdana"/>
          <w:sz w:val="18"/>
          <w:szCs w:val="18"/>
        </w:rPr>
        <w:t xml:space="preserve">is </w:t>
      </w:r>
      <w:r w:rsidRPr="000C7CFA">
        <w:rPr>
          <w:rFonts w:ascii="Verdana" w:hAnsi="Verdana"/>
          <w:sz w:val="18"/>
          <w:szCs w:val="18"/>
        </w:rPr>
        <w:br/>
        <w:t>0.8 Pa 200</w:t>
      </w:r>
      <w:r w:rsidR="00BD60E8" w:rsidRPr="000C7CFA">
        <w:rPr>
          <w:rFonts w:ascii="Verdana" w:hAnsi="Verdana"/>
          <w:sz w:val="18"/>
          <w:szCs w:val="18"/>
        </w:rPr>
        <w:t xml:space="preserve"> </w:t>
      </w:r>
      <w:r w:rsidRPr="000C7CFA">
        <w:rPr>
          <w:rFonts w:ascii="Verdana" w:hAnsi="Verdana"/>
          <w:sz w:val="18"/>
          <w:szCs w:val="18"/>
        </w:rPr>
        <w:t>°C (see Section 1.5</w:t>
      </w:r>
      <w:r w:rsidR="00FC761E" w:rsidRPr="000C7CFA">
        <w:rPr>
          <w:rFonts w:ascii="Verdana" w:hAnsi="Verdana"/>
          <w:sz w:val="18"/>
          <w:szCs w:val="18"/>
        </w:rPr>
        <w:t xml:space="preserve"> of the main report</w:t>
      </w:r>
      <w:r w:rsidRPr="000C7CFA">
        <w:rPr>
          <w:rFonts w:ascii="Verdana" w:hAnsi="Verdana"/>
          <w:sz w:val="18"/>
          <w:szCs w:val="18"/>
        </w:rPr>
        <w:t xml:space="preserve">). </w:t>
      </w:r>
      <w:r w:rsidR="00016EE5" w:rsidRPr="000C7CFA">
        <w:rPr>
          <w:rFonts w:ascii="Verdana" w:hAnsi="Verdana"/>
          <w:sz w:val="18"/>
          <w:szCs w:val="18"/>
        </w:rPr>
        <w:t>The</w:t>
      </w:r>
      <w:r w:rsidRPr="000C7CFA">
        <w:rPr>
          <w:rFonts w:ascii="Verdana" w:hAnsi="Verdana"/>
          <w:sz w:val="18"/>
          <w:szCs w:val="18"/>
        </w:rPr>
        <w:t xml:space="preserve"> corresponding v</w:t>
      </w:r>
      <w:r w:rsidR="002D06C9" w:rsidRPr="000C7CFA">
        <w:rPr>
          <w:rFonts w:ascii="Verdana" w:hAnsi="Verdana"/>
          <w:sz w:val="18"/>
          <w:szCs w:val="18"/>
        </w:rPr>
        <w:t>apour pressure value at 25 </w:t>
      </w:r>
      <w:r w:rsidR="00016EE5" w:rsidRPr="000C7CFA">
        <w:rPr>
          <w:rFonts w:ascii="Verdana" w:hAnsi="Verdana"/>
          <w:sz w:val="18"/>
          <w:szCs w:val="18"/>
        </w:rPr>
        <w:t xml:space="preserve">°C is </w:t>
      </w:r>
      <w:r w:rsidR="00BD60E8" w:rsidRPr="000C7CFA">
        <w:rPr>
          <w:rFonts w:ascii="Verdana" w:hAnsi="Verdana"/>
          <w:sz w:val="18"/>
          <w:szCs w:val="18"/>
        </w:rPr>
        <w:t>4.6×10</w:t>
      </w:r>
      <w:r w:rsidR="00BD60E8" w:rsidRPr="000C7CFA">
        <w:rPr>
          <w:rFonts w:ascii="Verdana" w:hAnsi="Verdana"/>
          <w:sz w:val="18"/>
          <w:szCs w:val="18"/>
          <w:vertAlign w:val="superscript"/>
        </w:rPr>
        <w:noBreakHyphen/>
        <w:t>4</w:t>
      </w:r>
      <w:r w:rsidR="00BD60E8" w:rsidRPr="000C7CFA">
        <w:rPr>
          <w:rFonts w:ascii="Verdana" w:hAnsi="Verdana"/>
          <w:sz w:val="18"/>
          <w:szCs w:val="18"/>
        </w:rPr>
        <w:t> </w:t>
      </w:r>
      <w:r w:rsidRPr="000C7CFA">
        <w:rPr>
          <w:rFonts w:ascii="Verdana" w:hAnsi="Verdana"/>
          <w:sz w:val="18"/>
          <w:szCs w:val="18"/>
        </w:rPr>
        <w:t>Pa</w:t>
      </w:r>
      <w:r w:rsidR="00BD60E8" w:rsidRPr="000C7CFA">
        <w:rPr>
          <w:rFonts w:ascii="Verdana" w:hAnsi="Verdana"/>
          <w:sz w:val="18"/>
          <w:szCs w:val="18"/>
        </w:rPr>
        <w:t>,</w:t>
      </w:r>
      <w:r w:rsidRPr="000C7CFA">
        <w:rPr>
          <w:rFonts w:ascii="Verdana" w:hAnsi="Verdana"/>
          <w:sz w:val="18"/>
          <w:szCs w:val="18"/>
        </w:rPr>
        <w:t xml:space="preserve"> </w:t>
      </w:r>
      <w:r w:rsidR="00016EE5" w:rsidRPr="000C7CFA">
        <w:rPr>
          <w:rFonts w:ascii="Verdana" w:hAnsi="Verdana"/>
          <w:sz w:val="18"/>
          <w:szCs w:val="18"/>
        </w:rPr>
        <w:t>calculated using EUSES v2.1.2</w:t>
      </w:r>
      <w:r w:rsidRPr="000C7CFA">
        <w:rPr>
          <w:rFonts w:ascii="Verdana" w:hAnsi="Verdana"/>
          <w:sz w:val="18"/>
          <w:szCs w:val="18"/>
        </w:rPr>
        <w:t>.</w:t>
      </w:r>
    </w:p>
    <w:p w14:paraId="15EE97E3" w14:textId="09006DDE" w:rsidR="0082676E" w:rsidRPr="000C7CFA" w:rsidRDefault="00DF1FA5" w:rsidP="0082676E">
      <w:pPr>
        <w:pStyle w:val="BodyText"/>
        <w:rPr>
          <w:rFonts w:ascii="Verdana" w:hAnsi="Verdana"/>
          <w:sz w:val="18"/>
          <w:szCs w:val="18"/>
        </w:rPr>
      </w:pPr>
      <w:r w:rsidRPr="000C7CFA">
        <w:rPr>
          <w:rFonts w:ascii="Verdana" w:hAnsi="Verdana"/>
          <w:sz w:val="18"/>
          <w:szCs w:val="18"/>
        </w:rPr>
        <w:t xml:space="preserve">The water solubility value selected </w:t>
      </w:r>
      <w:r w:rsidR="004975D9" w:rsidRPr="000C7CFA">
        <w:rPr>
          <w:rFonts w:ascii="Verdana" w:hAnsi="Verdana"/>
          <w:sz w:val="18"/>
          <w:szCs w:val="18"/>
        </w:rPr>
        <w:t xml:space="preserve">for the purposes of this assessment </w:t>
      </w:r>
      <w:r w:rsidRPr="000C7CFA">
        <w:rPr>
          <w:rFonts w:ascii="Verdana" w:hAnsi="Verdana"/>
          <w:sz w:val="18"/>
          <w:szCs w:val="18"/>
        </w:rPr>
        <w:t xml:space="preserve">is </w:t>
      </w:r>
      <w:r w:rsidRPr="000C7CFA">
        <w:rPr>
          <w:rFonts w:ascii="Verdana" w:hAnsi="Verdana"/>
          <w:sz w:val="18"/>
          <w:szCs w:val="18"/>
        </w:rPr>
        <w:br/>
      </w:r>
      <w:r w:rsidR="00BD60E8" w:rsidRPr="000C7CFA">
        <w:rPr>
          <w:rFonts w:ascii="Verdana" w:hAnsi="Verdana"/>
          <w:sz w:val="18"/>
          <w:szCs w:val="18"/>
        </w:rPr>
        <w:t>≤2×10</w:t>
      </w:r>
      <w:r w:rsidR="00BD60E8" w:rsidRPr="000C7CFA">
        <w:rPr>
          <w:rFonts w:ascii="Verdana" w:hAnsi="Verdana"/>
          <w:sz w:val="18"/>
          <w:szCs w:val="18"/>
          <w:vertAlign w:val="superscript"/>
        </w:rPr>
        <w:t>-6</w:t>
      </w:r>
      <w:r w:rsidR="00BD60E8" w:rsidRPr="000C7CFA">
        <w:rPr>
          <w:rFonts w:ascii="Verdana" w:hAnsi="Verdana"/>
          <w:sz w:val="18"/>
          <w:szCs w:val="18"/>
        </w:rPr>
        <w:t xml:space="preserve"> </w:t>
      </w:r>
      <w:r w:rsidR="001C7584" w:rsidRPr="000C7CFA">
        <w:rPr>
          <w:rFonts w:ascii="Verdana" w:hAnsi="Verdana"/>
          <w:sz w:val="18"/>
          <w:szCs w:val="18"/>
        </w:rPr>
        <w:t>mg/L</w:t>
      </w:r>
      <w:r w:rsidRPr="000C7CFA">
        <w:rPr>
          <w:rFonts w:ascii="Verdana" w:hAnsi="Verdana"/>
          <w:sz w:val="18"/>
          <w:szCs w:val="18"/>
        </w:rPr>
        <w:t xml:space="preserve"> at 2</w:t>
      </w:r>
      <w:r w:rsidR="00A92CFA" w:rsidRPr="000C7CFA">
        <w:rPr>
          <w:rFonts w:ascii="Verdana" w:hAnsi="Verdana"/>
          <w:sz w:val="18"/>
          <w:szCs w:val="18"/>
        </w:rPr>
        <w:t>0</w:t>
      </w:r>
      <w:r w:rsidR="00FF4CEE" w:rsidRPr="000C7CFA">
        <w:rPr>
          <w:rFonts w:ascii="Verdana" w:hAnsi="Verdana"/>
          <w:sz w:val="18"/>
          <w:szCs w:val="18"/>
        </w:rPr>
        <w:t xml:space="preserve"> </w:t>
      </w:r>
      <w:r w:rsidRPr="000C7CFA">
        <w:rPr>
          <w:rFonts w:ascii="Verdana" w:hAnsi="Verdana"/>
          <w:sz w:val="18"/>
          <w:szCs w:val="18"/>
        </w:rPr>
        <w:t>°C (see Section 1.5</w:t>
      </w:r>
      <w:r w:rsidR="00FC761E" w:rsidRPr="000C7CFA">
        <w:rPr>
          <w:rFonts w:ascii="Verdana" w:hAnsi="Verdana"/>
          <w:sz w:val="18"/>
          <w:szCs w:val="18"/>
        </w:rPr>
        <w:t xml:space="preserve"> of the main report</w:t>
      </w:r>
      <w:r w:rsidRPr="000C7CFA">
        <w:rPr>
          <w:rFonts w:ascii="Verdana" w:hAnsi="Verdana"/>
          <w:sz w:val="18"/>
          <w:szCs w:val="18"/>
        </w:rPr>
        <w:t xml:space="preserve">). </w:t>
      </w:r>
      <w:r w:rsidR="00016EE5" w:rsidRPr="000C7CFA">
        <w:rPr>
          <w:rFonts w:ascii="Verdana" w:hAnsi="Verdana"/>
          <w:sz w:val="18"/>
          <w:szCs w:val="18"/>
        </w:rPr>
        <w:t>The</w:t>
      </w:r>
      <w:r w:rsidRPr="000C7CFA">
        <w:rPr>
          <w:rFonts w:ascii="Verdana" w:hAnsi="Verdana"/>
          <w:sz w:val="18"/>
          <w:szCs w:val="18"/>
        </w:rPr>
        <w:t xml:space="preserve"> corresponding water solubility value </w:t>
      </w:r>
      <w:r w:rsidR="00016EE5" w:rsidRPr="000C7CFA">
        <w:rPr>
          <w:rFonts w:ascii="Verdana" w:hAnsi="Verdana"/>
          <w:sz w:val="18"/>
          <w:szCs w:val="18"/>
        </w:rPr>
        <w:t>at 25 °C is</w:t>
      </w:r>
      <w:r w:rsidRPr="000C7CFA">
        <w:rPr>
          <w:rFonts w:ascii="Verdana" w:hAnsi="Verdana"/>
          <w:sz w:val="18"/>
          <w:szCs w:val="18"/>
        </w:rPr>
        <w:t xml:space="preserve"> </w:t>
      </w:r>
      <w:r w:rsidR="00BD60E8" w:rsidRPr="000C7CFA">
        <w:rPr>
          <w:rFonts w:ascii="Verdana" w:hAnsi="Verdana"/>
          <w:sz w:val="18"/>
          <w:szCs w:val="18"/>
        </w:rPr>
        <w:t>≤2.16×10</w:t>
      </w:r>
      <w:r w:rsidR="00BD60E8" w:rsidRPr="000C7CFA">
        <w:rPr>
          <w:rFonts w:ascii="Verdana" w:hAnsi="Verdana"/>
          <w:sz w:val="18"/>
          <w:szCs w:val="18"/>
          <w:vertAlign w:val="superscript"/>
        </w:rPr>
        <w:t>-6</w:t>
      </w:r>
      <w:r w:rsidR="00BD60E8" w:rsidRPr="000C7CFA">
        <w:rPr>
          <w:rFonts w:ascii="Verdana" w:hAnsi="Verdana"/>
          <w:sz w:val="18"/>
          <w:szCs w:val="18"/>
        </w:rPr>
        <w:t xml:space="preserve"> </w:t>
      </w:r>
      <w:r w:rsidR="001C7584" w:rsidRPr="000C7CFA">
        <w:rPr>
          <w:rFonts w:ascii="Verdana" w:hAnsi="Verdana"/>
          <w:sz w:val="18"/>
          <w:szCs w:val="18"/>
        </w:rPr>
        <w:t>mg/L</w:t>
      </w:r>
      <w:r w:rsidR="00BD60E8" w:rsidRPr="000C7CFA">
        <w:rPr>
          <w:rFonts w:ascii="Verdana" w:hAnsi="Verdana"/>
          <w:sz w:val="18"/>
          <w:szCs w:val="18"/>
        </w:rPr>
        <w:t xml:space="preserve">, </w:t>
      </w:r>
      <w:r w:rsidR="00016EE5" w:rsidRPr="000C7CFA">
        <w:rPr>
          <w:rFonts w:ascii="Verdana" w:hAnsi="Verdana"/>
          <w:sz w:val="18"/>
          <w:szCs w:val="18"/>
        </w:rPr>
        <w:t>calculated using EUSES v2.1.2</w:t>
      </w:r>
      <w:r w:rsidRPr="000C7CFA">
        <w:rPr>
          <w:rFonts w:ascii="Verdana" w:hAnsi="Verdana"/>
          <w:sz w:val="18"/>
          <w:szCs w:val="18"/>
        </w:rPr>
        <w:t>.</w:t>
      </w:r>
    </w:p>
    <w:p w14:paraId="7D4598C8" w14:textId="510CF3B6" w:rsidR="004C598B" w:rsidRPr="000C7CFA" w:rsidRDefault="00DF1FA5" w:rsidP="0082676E">
      <w:pPr>
        <w:pStyle w:val="BodyText"/>
        <w:rPr>
          <w:rFonts w:ascii="Verdana" w:hAnsi="Verdana"/>
          <w:sz w:val="18"/>
          <w:szCs w:val="18"/>
        </w:rPr>
      </w:pPr>
      <w:r w:rsidRPr="000C7CFA">
        <w:rPr>
          <w:rFonts w:ascii="Verdana" w:hAnsi="Verdana"/>
          <w:sz w:val="18"/>
          <w:szCs w:val="18"/>
        </w:rPr>
        <w:t>A</w:t>
      </w:r>
      <w:r w:rsidR="00BD60E8" w:rsidRPr="000C7CFA">
        <w:rPr>
          <w:rFonts w:ascii="Verdana" w:hAnsi="Verdana"/>
          <w:sz w:val="18"/>
          <w:szCs w:val="18"/>
        </w:rPr>
        <w:t>n</w:t>
      </w:r>
      <w:r w:rsidRPr="000C7CFA">
        <w:rPr>
          <w:rFonts w:ascii="Verdana" w:hAnsi="Verdana"/>
          <w:sz w:val="18"/>
          <w:szCs w:val="18"/>
        </w:rPr>
        <w:t xml:space="preserve"> </w:t>
      </w:r>
      <w:r w:rsidR="00BD60E8" w:rsidRPr="000C7CFA">
        <w:rPr>
          <w:rFonts w:ascii="Verdana" w:hAnsi="Verdana"/>
          <w:sz w:val="18"/>
          <w:szCs w:val="18"/>
        </w:rPr>
        <w:t>HLC</w:t>
      </w:r>
      <w:r w:rsidRPr="000C7CFA">
        <w:rPr>
          <w:rFonts w:ascii="Verdana" w:hAnsi="Verdana"/>
          <w:sz w:val="18"/>
          <w:szCs w:val="18"/>
        </w:rPr>
        <w:t xml:space="preserve"> of </w:t>
      </w:r>
      <w:r w:rsidR="00BD60E8" w:rsidRPr="000C7CFA">
        <w:rPr>
          <w:rFonts w:ascii="Verdana" w:hAnsi="Verdana"/>
          <w:sz w:val="18"/>
          <w:szCs w:val="18"/>
        </w:rPr>
        <w:t>≥1.39×10</w:t>
      </w:r>
      <w:r w:rsidR="00BD60E8" w:rsidRPr="000C7CFA">
        <w:rPr>
          <w:rFonts w:ascii="Verdana" w:hAnsi="Verdana"/>
          <w:sz w:val="18"/>
          <w:szCs w:val="18"/>
          <w:vertAlign w:val="superscript"/>
        </w:rPr>
        <w:t>5</w:t>
      </w:r>
      <w:r w:rsidR="00BD60E8" w:rsidRPr="000C7CFA">
        <w:rPr>
          <w:rFonts w:ascii="Verdana" w:hAnsi="Verdana"/>
          <w:sz w:val="18"/>
          <w:szCs w:val="18"/>
        </w:rPr>
        <w:t xml:space="preserve"> </w:t>
      </w:r>
      <w:r w:rsidRPr="000C7CFA">
        <w:rPr>
          <w:rFonts w:ascii="Verdana" w:hAnsi="Verdana"/>
          <w:sz w:val="18"/>
          <w:szCs w:val="18"/>
        </w:rPr>
        <w:t>Pa.m</w:t>
      </w:r>
      <w:r w:rsidRPr="000C7CFA">
        <w:rPr>
          <w:rFonts w:ascii="Verdana" w:hAnsi="Verdana"/>
          <w:sz w:val="18"/>
          <w:szCs w:val="18"/>
          <w:vertAlign w:val="superscript"/>
        </w:rPr>
        <w:t>3</w:t>
      </w:r>
      <w:r w:rsidRPr="000C7CFA">
        <w:rPr>
          <w:rFonts w:ascii="Verdana" w:hAnsi="Verdana"/>
          <w:sz w:val="18"/>
          <w:szCs w:val="18"/>
        </w:rPr>
        <w:t>/mol at 25</w:t>
      </w:r>
      <w:r w:rsidR="00A92CFA" w:rsidRPr="000C7CFA">
        <w:rPr>
          <w:rFonts w:ascii="Verdana" w:hAnsi="Verdana"/>
          <w:sz w:val="18"/>
          <w:szCs w:val="18"/>
        </w:rPr>
        <w:t xml:space="preserve"> </w:t>
      </w:r>
      <w:r w:rsidRPr="000C7CFA">
        <w:rPr>
          <w:rFonts w:ascii="Verdana" w:hAnsi="Verdana"/>
          <w:sz w:val="18"/>
          <w:szCs w:val="18"/>
        </w:rPr>
        <w:t xml:space="preserve">°C is calculated for Dechlorane Plus, based on these data. </w:t>
      </w:r>
    </w:p>
    <w:p w14:paraId="7F341C91" w14:textId="411D74CC" w:rsidR="00CA52D0" w:rsidRPr="000C7CFA" w:rsidRDefault="00DF1FA5" w:rsidP="0082676E">
      <w:pPr>
        <w:pStyle w:val="BodyText"/>
        <w:rPr>
          <w:rFonts w:ascii="Verdana" w:hAnsi="Verdana"/>
          <w:sz w:val="18"/>
          <w:szCs w:val="18"/>
        </w:rPr>
      </w:pPr>
      <w:r w:rsidRPr="000C7CFA">
        <w:rPr>
          <w:rFonts w:ascii="Verdana" w:hAnsi="Verdana"/>
          <w:sz w:val="18"/>
          <w:szCs w:val="18"/>
        </w:rPr>
        <w:t>The H</w:t>
      </w:r>
      <w:r w:rsidR="00BD60E8" w:rsidRPr="000C7CFA">
        <w:rPr>
          <w:rFonts w:ascii="Verdana" w:hAnsi="Verdana"/>
          <w:sz w:val="18"/>
          <w:szCs w:val="18"/>
        </w:rPr>
        <w:t>LC</w:t>
      </w:r>
      <w:r w:rsidRPr="000C7CFA">
        <w:rPr>
          <w:rFonts w:ascii="Verdana" w:hAnsi="Verdana"/>
          <w:sz w:val="18"/>
          <w:szCs w:val="18"/>
        </w:rPr>
        <w:t xml:space="preserve"> </w:t>
      </w:r>
      <w:r w:rsidR="00016EE5" w:rsidRPr="000C7CFA">
        <w:rPr>
          <w:rFonts w:ascii="Verdana" w:hAnsi="Verdana"/>
          <w:sz w:val="18"/>
          <w:szCs w:val="18"/>
        </w:rPr>
        <w:t>can</w:t>
      </w:r>
      <w:r w:rsidRPr="000C7CFA">
        <w:rPr>
          <w:rFonts w:ascii="Verdana" w:hAnsi="Verdana"/>
          <w:sz w:val="18"/>
          <w:szCs w:val="18"/>
        </w:rPr>
        <w:t xml:space="preserve"> also</w:t>
      </w:r>
      <w:r w:rsidR="00016EE5" w:rsidRPr="000C7CFA">
        <w:rPr>
          <w:rFonts w:ascii="Verdana" w:hAnsi="Verdana"/>
          <w:sz w:val="18"/>
          <w:szCs w:val="18"/>
        </w:rPr>
        <w:t xml:space="preserve"> be</w:t>
      </w:r>
      <w:r w:rsidRPr="000C7CFA">
        <w:rPr>
          <w:rFonts w:ascii="Verdana" w:hAnsi="Verdana"/>
          <w:sz w:val="18"/>
          <w:szCs w:val="18"/>
        </w:rPr>
        <w:t xml:space="preserve"> calculated using the </w:t>
      </w:r>
      <w:r w:rsidR="00BD60E8" w:rsidRPr="000C7CFA">
        <w:rPr>
          <w:rFonts w:ascii="Verdana" w:hAnsi="Verdana"/>
          <w:sz w:val="18"/>
          <w:szCs w:val="18"/>
        </w:rPr>
        <w:t>‘</w:t>
      </w:r>
      <w:r w:rsidRPr="000C7CFA">
        <w:rPr>
          <w:rFonts w:ascii="Verdana" w:hAnsi="Verdana"/>
          <w:sz w:val="18"/>
          <w:szCs w:val="18"/>
        </w:rPr>
        <w:t>structural fragment</w:t>
      </w:r>
      <w:r w:rsidR="00BD60E8" w:rsidRPr="000C7CFA">
        <w:rPr>
          <w:rFonts w:ascii="Verdana" w:hAnsi="Verdana"/>
          <w:sz w:val="18"/>
          <w:szCs w:val="18"/>
        </w:rPr>
        <w:t>’-</w:t>
      </w:r>
      <w:r w:rsidRPr="000C7CFA">
        <w:rPr>
          <w:rFonts w:ascii="Verdana" w:hAnsi="Verdana"/>
          <w:sz w:val="18"/>
          <w:szCs w:val="18"/>
        </w:rPr>
        <w:t>based</w:t>
      </w:r>
      <w:r w:rsidRPr="000C7CFA">
        <w:rPr>
          <w:rFonts w:ascii="Verdana" w:hAnsi="Verdana"/>
          <w:i/>
          <w:sz w:val="18"/>
          <w:szCs w:val="18"/>
        </w:rPr>
        <w:t xml:space="preserve"> </w:t>
      </w:r>
      <w:r w:rsidRPr="000C7CFA">
        <w:rPr>
          <w:rFonts w:ascii="Verdana" w:hAnsi="Verdana"/>
          <w:sz w:val="18"/>
          <w:szCs w:val="18"/>
        </w:rPr>
        <w:t>QSAR method H</w:t>
      </w:r>
      <w:r w:rsidR="00016EE5" w:rsidRPr="000C7CFA">
        <w:rPr>
          <w:rFonts w:ascii="Verdana" w:hAnsi="Verdana"/>
          <w:sz w:val="18"/>
          <w:szCs w:val="18"/>
        </w:rPr>
        <w:t>ENRYWIN v.3.20 (U.S. EPA, 2012), giving a</w:t>
      </w:r>
      <w:r w:rsidRPr="000C7CFA">
        <w:rPr>
          <w:rFonts w:ascii="Verdana" w:hAnsi="Verdana"/>
          <w:sz w:val="18"/>
          <w:szCs w:val="18"/>
        </w:rPr>
        <w:t xml:space="preserve"> </w:t>
      </w:r>
      <w:r w:rsidR="00BD60E8" w:rsidRPr="000C7CFA">
        <w:rPr>
          <w:rFonts w:ascii="Verdana" w:hAnsi="Verdana"/>
          <w:sz w:val="18"/>
          <w:szCs w:val="18"/>
        </w:rPr>
        <w:t xml:space="preserve">value </w:t>
      </w:r>
      <w:r w:rsidRPr="000C7CFA">
        <w:rPr>
          <w:rFonts w:ascii="Verdana" w:hAnsi="Verdana"/>
          <w:sz w:val="18"/>
          <w:szCs w:val="18"/>
        </w:rPr>
        <w:t xml:space="preserve">of </w:t>
      </w:r>
      <w:r w:rsidR="00BD60E8" w:rsidRPr="000C7CFA">
        <w:rPr>
          <w:rFonts w:ascii="Verdana" w:hAnsi="Verdana"/>
          <w:sz w:val="18"/>
          <w:szCs w:val="18"/>
        </w:rPr>
        <w:t>0.8 </w:t>
      </w:r>
      <w:r w:rsidRPr="000C7CFA">
        <w:rPr>
          <w:rFonts w:ascii="Verdana" w:hAnsi="Verdana"/>
          <w:sz w:val="18"/>
          <w:szCs w:val="18"/>
        </w:rPr>
        <w:t>Pa.m</w:t>
      </w:r>
      <w:r w:rsidRPr="000C7CFA">
        <w:rPr>
          <w:rFonts w:ascii="Verdana" w:hAnsi="Verdana"/>
          <w:sz w:val="18"/>
          <w:szCs w:val="18"/>
          <w:vertAlign w:val="superscript"/>
        </w:rPr>
        <w:t>3</w:t>
      </w:r>
      <w:r w:rsidRPr="000C7CFA">
        <w:rPr>
          <w:rFonts w:ascii="Verdana" w:hAnsi="Verdana"/>
          <w:sz w:val="18"/>
          <w:szCs w:val="18"/>
        </w:rPr>
        <w:t>/mol at 25°C.</w:t>
      </w:r>
      <w:r w:rsidRPr="000C7CFA">
        <w:rPr>
          <w:rFonts w:ascii="Verdana" w:hAnsi="Verdana"/>
          <w:i/>
          <w:sz w:val="18"/>
          <w:szCs w:val="18"/>
        </w:rPr>
        <w:t xml:space="preserve"> </w:t>
      </w:r>
      <w:r w:rsidRPr="000C7CFA">
        <w:rPr>
          <w:rFonts w:ascii="Verdana" w:hAnsi="Verdana"/>
          <w:sz w:val="18"/>
          <w:szCs w:val="18"/>
        </w:rPr>
        <w:t xml:space="preserve">The Bond method training set comprises much smaller molecules than Dechlorane Plus, which are generally much more soluble and of higher vapour pressure than the substance, although the predicted </w:t>
      </w:r>
      <w:r w:rsidR="007666BB" w:rsidRPr="000C7CFA">
        <w:rPr>
          <w:rFonts w:ascii="Verdana" w:hAnsi="Verdana"/>
          <w:sz w:val="18"/>
          <w:szCs w:val="18"/>
        </w:rPr>
        <w:t>HLC value</w:t>
      </w:r>
      <w:r w:rsidRPr="000C7CFA">
        <w:rPr>
          <w:rFonts w:ascii="Verdana" w:hAnsi="Verdana"/>
          <w:sz w:val="18"/>
          <w:szCs w:val="18"/>
        </w:rPr>
        <w:t xml:space="preserve"> is mid-range for the method. The number of C-C and C-Cl fragments in the substance exceeds the maximum occurrences of this fragment in a single compound in the training set. It is therefore difficult to estimate the uncertainty of the predicted value.</w:t>
      </w:r>
    </w:p>
    <w:p w14:paraId="7D7FC713" w14:textId="77777777" w:rsidR="00EF46DD" w:rsidRPr="000C7CFA" w:rsidRDefault="00EF46DD">
      <w:pPr>
        <w:spacing w:after="0"/>
        <w:rPr>
          <w:rFonts w:ascii="Verdana" w:hAnsi="Verdana"/>
          <w:b/>
          <w:sz w:val="18"/>
          <w:szCs w:val="18"/>
          <w:lang w:val="en-GB"/>
        </w:rPr>
      </w:pPr>
      <w:bookmarkStart w:id="51" w:name="_Ref428449911"/>
      <w:bookmarkStart w:id="52" w:name="_Ref428449927"/>
      <w:bookmarkStart w:id="53" w:name="_Toc265765487"/>
    </w:p>
    <w:p w14:paraId="6DC2E856" w14:textId="6DB3A59E" w:rsidR="00F8611A" w:rsidRPr="000C7CFA" w:rsidRDefault="006E5A63" w:rsidP="00795AF6">
      <w:pPr>
        <w:pStyle w:val="Heading2"/>
        <w:rPr>
          <w:rFonts w:ascii="Verdana" w:hAnsi="Verdana"/>
          <w:sz w:val="18"/>
          <w:szCs w:val="18"/>
        </w:rPr>
      </w:pPr>
      <w:bookmarkStart w:id="54" w:name="_Toc491862767"/>
      <w:r w:rsidRPr="000C7CFA">
        <w:rPr>
          <w:rFonts w:ascii="Verdana" w:hAnsi="Verdana"/>
          <w:sz w:val="18"/>
          <w:szCs w:val="18"/>
        </w:rPr>
        <w:t>Potential for long range transport</w:t>
      </w:r>
      <w:bookmarkEnd w:id="51"/>
      <w:bookmarkEnd w:id="52"/>
      <w:bookmarkEnd w:id="54"/>
      <w:r w:rsidR="00BA0ECA" w:rsidRPr="000C7CFA">
        <w:rPr>
          <w:rFonts w:ascii="Verdana" w:hAnsi="Verdana"/>
          <w:sz w:val="18"/>
          <w:szCs w:val="18"/>
        </w:rPr>
        <w:t xml:space="preserve"> </w:t>
      </w:r>
    </w:p>
    <w:p w14:paraId="1106B250" w14:textId="0448FF69" w:rsidR="00C9070D" w:rsidRPr="000C7CFA" w:rsidRDefault="00C9070D" w:rsidP="00EC7843">
      <w:pPr>
        <w:pStyle w:val="BodyText"/>
        <w:spacing w:before="240"/>
        <w:rPr>
          <w:rFonts w:ascii="Verdana" w:hAnsi="Verdana"/>
          <w:sz w:val="18"/>
          <w:szCs w:val="18"/>
        </w:rPr>
      </w:pPr>
      <w:r w:rsidRPr="000C7CFA">
        <w:rPr>
          <w:rFonts w:ascii="Verdana" w:hAnsi="Verdana"/>
          <w:sz w:val="18"/>
          <w:szCs w:val="18"/>
        </w:rPr>
        <w:t>Several studies report Dechlorane Plus levels in remote regions</w:t>
      </w:r>
      <w:r w:rsidR="005D3A2B" w:rsidRPr="000C7CFA">
        <w:rPr>
          <w:rFonts w:ascii="Verdana" w:hAnsi="Verdana"/>
          <w:sz w:val="18"/>
          <w:szCs w:val="18"/>
        </w:rPr>
        <w:t>, including</w:t>
      </w:r>
      <w:r w:rsidRPr="000C7CFA">
        <w:rPr>
          <w:rFonts w:ascii="Verdana" w:hAnsi="Verdana"/>
          <w:sz w:val="18"/>
          <w:szCs w:val="18"/>
        </w:rPr>
        <w:t xml:space="preserve"> the Arctic and Antarctic. These are summarised in </w:t>
      </w:r>
      <w:r w:rsidR="008C3195" w:rsidRPr="000C7CFA">
        <w:rPr>
          <w:rFonts w:ascii="Verdana" w:hAnsi="Verdana"/>
          <w:sz w:val="18"/>
          <w:szCs w:val="18"/>
        </w:rPr>
        <w:fldChar w:fldCharType="begin"/>
      </w:r>
      <w:r w:rsidRPr="000C7CFA">
        <w:rPr>
          <w:rFonts w:ascii="Verdana" w:hAnsi="Verdana"/>
          <w:sz w:val="18"/>
          <w:szCs w:val="18"/>
        </w:rPr>
        <w:instrText xml:space="preserve"> REF _Ref427766663 \h </w:instrText>
      </w:r>
      <w:r w:rsidR="008640CB" w:rsidRPr="000C7CFA">
        <w:rPr>
          <w:rFonts w:ascii="Verdana" w:hAnsi="Verdana"/>
          <w:sz w:val="18"/>
          <w:szCs w:val="18"/>
        </w:rPr>
        <w:instrText xml:space="preserve"> \* MERGEFORMAT </w:instrText>
      </w:r>
      <w:r w:rsidR="008C3195" w:rsidRPr="000C7CFA">
        <w:rPr>
          <w:rFonts w:ascii="Verdana" w:hAnsi="Verdana"/>
          <w:sz w:val="18"/>
          <w:szCs w:val="18"/>
        </w:rPr>
      </w:r>
      <w:r w:rsidR="008C3195" w:rsidRPr="000C7CFA">
        <w:rPr>
          <w:rFonts w:ascii="Verdana" w:hAnsi="Verdana"/>
          <w:sz w:val="18"/>
          <w:szCs w:val="18"/>
        </w:rPr>
        <w:fldChar w:fldCharType="separate"/>
      </w:r>
      <w:r w:rsidR="00BA2885" w:rsidRPr="000C7CFA">
        <w:rPr>
          <w:rFonts w:ascii="Verdana" w:hAnsi="Verdana"/>
          <w:sz w:val="18"/>
          <w:szCs w:val="18"/>
        </w:rPr>
        <w:t xml:space="preserve">Table </w:t>
      </w:r>
      <w:r w:rsidR="00BA2885" w:rsidRPr="000C7CFA">
        <w:rPr>
          <w:rFonts w:ascii="Verdana" w:hAnsi="Verdana"/>
          <w:noProof/>
          <w:sz w:val="18"/>
          <w:szCs w:val="18"/>
        </w:rPr>
        <w:t>1</w:t>
      </w:r>
      <w:r w:rsidR="008C3195" w:rsidRPr="000C7CFA">
        <w:rPr>
          <w:rFonts w:ascii="Verdana" w:hAnsi="Verdana"/>
          <w:sz w:val="18"/>
          <w:szCs w:val="18"/>
        </w:rPr>
        <w:fldChar w:fldCharType="end"/>
      </w:r>
      <w:r w:rsidR="005D3A2B" w:rsidRPr="000C7CFA">
        <w:rPr>
          <w:rFonts w:ascii="Verdana" w:hAnsi="Verdana"/>
          <w:sz w:val="18"/>
          <w:szCs w:val="18"/>
        </w:rPr>
        <w:t xml:space="preserve"> for various environmental compartments (biota concentrations in remote regions are </w:t>
      </w:r>
      <w:r w:rsidR="0000000F" w:rsidRPr="000C7CFA">
        <w:rPr>
          <w:rFonts w:ascii="Verdana" w:hAnsi="Verdana"/>
          <w:sz w:val="18"/>
          <w:szCs w:val="18"/>
        </w:rPr>
        <w:t>reported</w:t>
      </w:r>
      <w:r w:rsidR="005D3A2B" w:rsidRPr="000C7CFA">
        <w:rPr>
          <w:rFonts w:ascii="Verdana" w:hAnsi="Verdana"/>
          <w:sz w:val="18"/>
          <w:szCs w:val="18"/>
        </w:rPr>
        <w:t xml:space="preserve"> in </w:t>
      </w:r>
      <w:r w:rsidR="0000000F" w:rsidRPr="000C7CFA">
        <w:rPr>
          <w:rFonts w:ascii="Verdana" w:hAnsi="Verdana"/>
          <w:sz w:val="18"/>
          <w:szCs w:val="18"/>
        </w:rPr>
        <w:t>Appendix</w:t>
      </w:r>
      <w:r w:rsidR="00FB3AD7" w:rsidRPr="000C7CFA">
        <w:rPr>
          <w:rFonts w:ascii="Verdana" w:hAnsi="Verdana"/>
          <w:sz w:val="18"/>
          <w:szCs w:val="18"/>
        </w:rPr>
        <w:t xml:space="preserve"> 3</w:t>
      </w:r>
      <w:r w:rsidR="0000000F" w:rsidRPr="000C7CFA">
        <w:rPr>
          <w:rFonts w:ascii="Verdana" w:hAnsi="Verdana"/>
          <w:sz w:val="18"/>
          <w:szCs w:val="18"/>
        </w:rPr>
        <w:t xml:space="preserve"> and </w:t>
      </w:r>
      <w:r w:rsidR="00FB3AD7" w:rsidRPr="000C7CFA">
        <w:rPr>
          <w:rFonts w:ascii="Verdana" w:hAnsi="Verdana"/>
          <w:sz w:val="18"/>
          <w:szCs w:val="18"/>
        </w:rPr>
        <w:t>4</w:t>
      </w:r>
      <w:r w:rsidR="005D3A2B" w:rsidRPr="000C7CFA">
        <w:rPr>
          <w:rFonts w:ascii="Verdana" w:hAnsi="Verdana"/>
          <w:sz w:val="18"/>
          <w:szCs w:val="18"/>
        </w:rPr>
        <w:t>)</w:t>
      </w:r>
      <w:r w:rsidRPr="000C7CFA">
        <w:rPr>
          <w:rFonts w:ascii="Verdana" w:hAnsi="Verdana"/>
          <w:sz w:val="18"/>
          <w:szCs w:val="18"/>
        </w:rPr>
        <w:t xml:space="preserve">. From the available information it appears that Dechlorane Plus can routinely be detected in air samples </w:t>
      </w:r>
      <w:r w:rsidR="005D3A2B" w:rsidRPr="000C7CFA">
        <w:rPr>
          <w:rFonts w:ascii="Verdana" w:hAnsi="Verdana"/>
          <w:sz w:val="18"/>
          <w:szCs w:val="18"/>
        </w:rPr>
        <w:t xml:space="preserve">in remote regions </w:t>
      </w:r>
      <w:r w:rsidRPr="000C7CFA">
        <w:rPr>
          <w:rFonts w:ascii="Verdana" w:hAnsi="Verdana"/>
          <w:sz w:val="18"/>
          <w:szCs w:val="18"/>
        </w:rPr>
        <w:t>at levels up to a few tens of pg/m</w:t>
      </w:r>
      <w:r w:rsidRPr="000C7CFA">
        <w:rPr>
          <w:rFonts w:ascii="Verdana" w:hAnsi="Verdana"/>
          <w:sz w:val="18"/>
          <w:szCs w:val="18"/>
          <w:vertAlign w:val="superscript"/>
        </w:rPr>
        <w:t>3</w:t>
      </w:r>
      <w:r w:rsidRPr="000C7CFA">
        <w:rPr>
          <w:rFonts w:ascii="Verdana" w:hAnsi="Verdana"/>
          <w:sz w:val="18"/>
          <w:szCs w:val="18"/>
        </w:rPr>
        <w:t xml:space="preserve">, mainly associated with particulates, and that deposition to surface media occurs with these particulates. </w:t>
      </w:r>
    </w:p>
    <w:p w14:paraId="48F36A20" w14:textId="63C9F786" w:rsidR="00067C73" w:rsidRPr="000C7CFA" w:rsidRDefault="00067C73" w:rsidP="00067C73">
      <w:pPr>
        <w:pStyle w:val="BodyText"/>
        <w:spacing w:before="240"/>
        <w:rPr>
          <w:rFonts w:ascii="Verdana" w:hAnsi="Verdana"/>
          <w:sz w:val="18"/>
          <w:szCs w:val="18"/>
        </w:rPr>
      </w:pPr>
      <w:r w:rsidRPr="000C7CFA">
        <w:rPr>
          <w:rFonts w:ascii="Verdana" w:hAnsi="Verdana"/>
          <w:sz w:val="18"/>
          <w:szCs w:val="18"/>
          <w:u w:val="single"/>
        </w:rPr>
        <w:t xml:space="preserve">Okonski </w:t>
      </w:r>
      <w:r w:rsidRPr="000C7CFA">
        <w:rPr>
          <w:rFonts w:ascii="Verdana" w:hAnsi="Verdana"/>
          <w:i/>
          <w:sz w:val="18"/>
          <w:szCs w:val="18"/>
          <w:u w:val="single"/>
        </w:rPr>
        <w:t>et al</w:t>
      </w:r>
      <w:r w:rsidRPr="000C7CFA">
        <w:rPr>
          <w:rFonts w:ascii="Verdana" w:hAnsi="Verdana"/>
          <w:sz w:val="18"/>
          <w:szCs w:val="18"/>
          <w:u w:val="single"/>
        </w:rPr>
        <w:t>. (2014)</w:t>
      </w:r>
      <w:r w:rsidRPr="000C7CFA">
        <w:rPr>
          <w:rFonts w:ascii="Verdana" w:hAnsi="Verdana"/>
          <w:sz w:val="18"/>
          <w:szCs w:val="18"/>
        </w:rPr>
        <w:t xml:space="preserve"> investigated the distribution of Dechlorane Plus on different size fractions of atmospheric particulates/aerosols in order to better understand the atmospheric transport potential of particle-bound Dechlorane Plus. According to Okonski </w:t>
      </w:r>
      <w:r w:rsidRPr="000C7CFA">
        <w:rPr>
          <w:rFonts w:ascii="Verdana" w:hAnsi="Verdana"/>
          <w:i/>
          <w:sz w:val="18"/>
          <w:szCs w:val="18"/>
        </w:rPr>
        <w:t>et al.</w:t>
      </w:r>
      <w:r w:rsidRPr="000C7CFA">
        <w:rPr>
          <w:rFonts w:ascii="Verdana" w:hAnsi="Verdana"/>
          <w:sz w:val="18"/>
          <w:szCs w:val="18"/>
        </w:rPr>
        <w:t xml:space="preserve"> (2014), particles with an aerodynamic diameter &lt;2 μm are removed less effectively from the </w:t>
      </w:r>
      <w:r w:rsidRPr="000C7CFA">
        <w:rPr>
          <w:rFonts w:ascii="Verdana" w:hAnsi="Verdana"/>
          <w:sz w:val="18"/>
          <w:szCs w:val="18"/>
        </w:rPr>
        <w:lastRenderedPageBreak/>
        <w:t>atmosphere by wet or dry deposition than larger particles and so tend to remain in the atmosphere longer. For the study, samples of ambient outdoor air were collected at two sites in the Czech Republic over a one year period (October 2009 and October 2010). The sites were an urban site in central Brno and a rural site near the village of Telnice. A total of 46 samples were collected at each site, each representing approximately 1 week’s duration, and the concentrations in various size fractions of the atmospheric particles (&lt;0.49 μm, 0.49-0.95 μm, 0.95-1.5 μm, 1.5</w:t>
      </w:r>
      <w:r w:rsidRPr="000C7CFA">
        <w:rPr>
          <w:rFonts w:ascii="Verdana" w:hAnsi="Verdana"/>
          <w:sz w:val="18"/>
          <w:szCs w:val="18"/>
        </w:rPr>
        <w:noBreakHyphen/>
        <w:t>3.0 μm, 3.0-7.2 μm and 7.2-10 μm) were determined. The target chemicals were detectable in approximately 7</w:t>
      </w:r>
      <w:r w:rsidR="00AF7606" w:rsidRPr="000C7CFA">
        <w:rPr>
          <w:rFonts w:ascii="Verdana" w:hAnsi="Verdana"/>
          <w:sz w:val="18"/>
          <w:szCs w:val="18"/>
        </w:rPr>
        <w:t>2 %</w:t>
      </w:r>
      <w:r w:rsidRPr="000C7CFA">
        <w:rPr>
          <w:rFonts w:ascii="Verdana" w:hAnsi="Verdana"/>
          <w:sz w:val="18"/>
          <w:szCs w:val="18"/>
        </w:rPr>
        <w:t xml:space="preserve"> of the samples (including Dechlorane Plus; other chemicals were also included in the study but the detection frequency was given for the total chemicals rather than individual substances). Where the concentration was below the limit of detection (LoD) a value of LoD/2 was used for statistical purposes. </w:t>
      </w:r>
    </w:p>
    <w:p w14:paraId="3D3B16E8" w14:textId="71123D63" w:rsidR="00067C73" w:rsidRPr="000C7CFA" w:rsidRDefault="00067C73" w:rsidP="00067C73">
      <w:pPr>
        <w:pStyle w:val="BodyText"/>
        <w:spacing w:before="240"/>
        <w:rPr>
          <w:rFonts w:ascii="Verdana" w:hAnsi="Verdana"/>
          <w:sz w:val="18"/>
          <w:szCs w:val="18"/>
        </w:rPr>
      </w:pPr>
      <w:r w:rsidRPr="000C7CFA">
        <w:rPr>
          <w:rFonts w:ascii="Verdana" w:hAnsi="Verdana"/>
          <w:sz w:val="18"/>
          <w:szCs w:val="18"/>
        </w:rPr>
        <w:t>The concentration of Dechlorane Plus in the tota</w:t>
      </w:r>
      <w:r w:rsidR="000954E5" w:rsidRPr="000C7CFA">
        <w:rPr>
          <w:rFonts w:ascii="Verdana" w:hAnsi="Verdana"/>
          <w:sz w:val="18"/>
          <w:szCs w:val="18"/>
        </w:rPr>
        <w:t>l atmospheric particulates (&lt;10 </w:t>
      </w:r>
      <w:r w:rsidRPr="000C7CFA">
        <w:rPr>
          <w:rFonts w:ascii="Verdana" w:hAnsi="Verdana"/>
          <w:sz w:val="18"/>
          <w:szCs w:val="18"/>
        </w:rPr>
        <w:t>μm) varied seasonally. For the urban site the levels of anti-DP atmospheric particulates ranged from 0.0696 pg/m</w:t>
      </w:r>
      <w:r w:rsidRPr="000C7CFA">
        <w:rPr>
          <w:rFonts w:ascii="Verdana" w:hAnsi="Verdana"/>
          <w:sz w:val="18"/>
          <w:szCs w:val="18"/>
          <w:vertAlign w:val="superscript"/>
        </w:rPr>
        <w:t>3</w:t>
      </w:r>
      <w:r w:rsidRPr="000C7CFA">
        <w:rPr>
          <w:rFonts w:ascii="Verdana" w:hAnsi="Verdana"/>
          <w:sz w:val="18"/>
          <w:szCs w:val="18"/>
        </w:rPr>
        <w:t xml:space="preserve"> in summer to 0.232 pg/m</w:t>
      </w:r>
      <w:r w:rsidRPr="000C7CFA">
        <w:rPr>
          <w:rFonts w:ascii="Verdana" w:hAnsi="Verdana"/>
          <w:sz w:val="18"/>
          <w:szCs w:val="18"/>
          <w:vertAlign w:val="superscript"/>
        </w:rPr>
        <w:t>3</w:t>
      </w:r>
      <w:r w:rsidRPr="000C7CFA">
        <w:rPr>
          <w:rFonts w:ascii="Verdana" w:hAnsi="Verdana"/>
          <w:sz w:val="18"/>
          <w:szCs w:val="18"/>
        </w:rPr>
        <w:t xml:space="preserve"> in autumn and the levels of syn-DP ranged from 0.503 pg/m</w:t>
      </w:r>
      <w:r w:rsidRPr="000C7CFA">
        <w:rPr>
          <w:rFonts w:ascii="Verdana" w:hAnsi="Verdana"/>
          <w:sz w:val="18"/>
          <w:szCs w:val="18"/>
          <w:vertAlign w:val="superscript"/>
        </w:rPr>
        <w:t>3</w:t>
      </w:r>
      <w:r w:rsidRPr="000C7CFA">
        <w:rPr>
          <w:rFonts w:ascii="Verdana" w:hAnsi="Verdana"/>
          <w:sz w:val="18"/>
          <w:szCs w:val="18"/>
        </w:rPr>
        <w:t xml:space="preserve"> in summer to 0.279 pg/m</w:t>
      </w:r>
      <w:r w:rsidRPr="000C7CFA">
        <w:rPr>
          <w:rFonts w:ascii="Verdana" w:hAnsi="Verdana"/>
          <w:sz w:val="18"/>
          <w:szCs w:val="18"/>
          <w:vertAlign w:val="superscript"/>
        </w:rPr>
        <w:t>3</w:t>
      </w:r>
      <w:r w:rsidRPr="000C7CFA">
        <w:rPr>
          <w:rFonts w:ascii="Verdana" w:hAnsi="Verdana"/>
          <w:sz w:val="18"/>
          <w:szCs w:val="18"/>
        </w:rPr>
        <w:t xml:space="preserve"> in spring. Similarly for the rural site the levels of anti-DP range from 0.0689 pg/m</w:t>
      </w:r>
      <w:r w:rsidRPr="000C7CFA">
        <w:rPr>
          <w:rFonts w:ascii="Verdana" w:hAnsi="Verdana"/>
          <w:sz w:val="18"/>
          <w:szCs w:val="18"/>
          <w:vertAlign w:val="superscript"/>
        </w:rPr>
        <w:t>3</w:t>
      </w:r>
      <w:r w:rsidRPr="000C7CFA">
        <w:rPr>
          <w:rFonts w:ascii="Verdana" w:hAnsi="Verdana"/>
          <w:sz w:val="18"/>
          <w:szCs w:val="18"/>
        </w:rPr>
        <w:t xml:space="preserve"> in summer to 0.267 pg/m</w:t>
      </w:r>
      <w:r w:rsidRPr="000C7CFA">
        <w:rPr>
          <w:rFonts w:ascii="Verdana" w:hAnsi="Verdana"/>
          <w:sz w:val="18"/>
          <w:szCs w:val="18"/>
          <w:vertAlign w:val="superscript"/>
        </w:rPr>
        <w:t>3</w:t>
      </w:r>
      <w:r w:rsidRPr="000C7CFA">
        <w:rPr>
          <w:rFonts w:ascii="Verdana" w:hAnsi="Verdana"/>
          <w:sz w:val="18"/>
          <w:szCs w:val="18"/>
        </w:rPr>
        <w:t xml:space="preserve"> in spring and the levels of syn-DP ranged from 0.113 pg/m</w:t>
      </w:r>
      <w:r w:rsidRPr="000C7CFA">
        <w:rPr>
          <w:rFonts w:ascii="Verdana" w:hAnsi="Verdana"/>
          <w:sz w:val="18"/>
          <w:szCs w:val="18"/>
          <w:vertAlign w:val="superscript"/>
        </w:rPr>
        <w:t>3</w:t>
      </w:r>
      <w:r w:rsidRPr="000C7CFA">
        <w:rPr>
          <w:rFonts w:ascii="Verdana" w:hAnsi="Verdana"/>
          <w:sz w:val="18"/>
          <w:szCs w:val="18"/>
        </w:rPr>
        <w:t xml:space="preserve"> in summer to 0.366 pg/m</w:t>
      </w:r>
      <w:r w:rsidRPr="000C7CFA">
        <w:rPr>
          <w:rFonts w:ascii="Verdana" w:hAnsi="Verdana"/>
          <w:sz w:val="18"/>
          <w:szCs w:val="18"/>
          <w:vertAlign w:val="superscript"/>
        </w:rPr>
        <w:t>3</w:t>
      </w:r>
      <w:r w:rsidRPr="000C7CFA">
        <w:rPr>
          <w:rFonts w:ascii="Verdana" w:hAnsi="Verdana"/>
          <w:sz w:val="18"/>
          <w:szCs w:val="18"/>
        </w:rPr>
        <w:t xml:space="preserve"> in spring. </w:t>
      </w:r>
    </w:p>
    <w:p w14:paraId="1EEA8E7C" w14:textId="44B739A7" w:rsidR="00067C73" w:rsidRPr="000C7CFA" w:rsidRDefault="00067C73" w:rsidP="00067C73">
      <w:pPr>
        <w:pStyle w:val="BodyText"/>
        <w:spacing w:before="240"/>
        <w:rPr>
          <w:rFonts w:ascii="Verdana" w:hAnsi="Verdana"/>
          <w:sz w:val="18"/>
          <w:szCs w:val="18"/>
        </w:rPr>
      </w:pPr>
      <w:r w:rsidRPr="000C7CFA">
        <w:rPr>
          <w:rFonts w:ascii="Verdana" w:hAnsi="Verdana"/>
          <w:sz w:val="18"/>
          <w:szCs w:val="18"/>
        </w:rPr>
        <w:t>At both sites it was found that 33.</w:t>
      </w:r>
      <w:r w:rsidR="00AF7606" w:rsidRPr="000C7CFA">
        <w:rPr>
          <w:rFonts w:ascii="Verdana" w:hAnsi="Verdana"/>
          <w:sz w:val="18"/>
          <w:szCs w:val="18"/>
        </w:rPr>
        <w:t>7 %</w:t>
      </w:r>
      <w:r w:rsidRPr="000C7CFA">
        <w:rPr>
          <w:rFonts w:ascii="Verdana" w:hAnsi="Verdana"/>
          <w:sz w:val="18"/>
          <w:szCs w:val="18"/>
        </w:rPr>
        <w:t>±9.</w:t>
      </w:r>
      <w:r w:rsidR="00AF7606" w:rsidRPr="000C7CFA">
        <w:rPr>
          <w:rFonts w:ascii="Verdana" w:hAnsi="Verdana"/>
          <w:sz w:val="18"/>
          <w:szCs w:val="18"/>
        </w:rPr>
        <w:t>7 %</w:t>
      </w:r>
      <w:r w:rsidRPr="000C7CFA">
        <w:rPr>
          <w:rFonts w:ascii="Verdana" w:hAnsi="Verdana"/>
          <w:sz w:val="18"/>
          <w:szCs w:val="18"/>
        </w:rPr>
        <w:t xml:space="preserve"> (mean±standard deviation) was associated with particles &lt;0.49 μm diameter and 57.</w:t>
      </w:r>
      <w:r w:rsidR="00AF7606" w:rsidRPr="000C7CFA">
        <w:rPr>
          <w:rFonts w:ascii="Verdana" w:hAnsi="Verdana"/>
          <w:sz w:val="18"/>
          <w:szCs w:val="18"/>
        </w:rPr>
        <w:t>4 %</w:t>
      </w:r>
      <w:r w:rsidRPr="000C7CFA">
        <w:rPr>
          <w:rFonts w:ascii="Verdana" w:hAnsi="Verdana"/>
          <w:sz w:val="18"/>
          <w:szCs w:val="18"/>
        </w:rPr>
        <w:t>±7.</w:t>
      </w:r>
      <w:r w:rsidR="00AF7606" w:rsidRPr="000C7CFA">
        <w:rPr>
          <w:rFonts w:ascii="Verdana" w:hAnsi="Verdana"/>
          <w:sz w:val="18"/>
          <w:szCs w:val="18"/>
        </w:rPr>
        <w:t>9 %</w:t>
      </w:r>
      <w:r w:rsidRPr="000C7CFA">
        <w:rPr>
          <w:rFonts w:ascii="Verdana" w:hAnsi="Verdana"/>
          <w:sz w:val="18"/>
          <w:szCs w:val="18"/>
        </w:rPr>
        <w:t xml:space="preserve"> was associated with particles &lt;0.95 μm/diameter. The mass median diameters of the particulates were on average 0.87 μm for the urban site and 0.78 μm for the rural site and did not vary significantly through the year. Both anti- and syn-DP showed variable concentrations across the size fractions investigated, with no strong peak in concentration on the finest fractions (as was found for some of the other substances studied) and there were seasonal differences in the size distribution. It was hypothesised that because Dechlorane Plus has a very low vapour pressure, it enters the atmosphere mainly via abrasion processes rather than volatilisation. </w:t>
      </w:r>
    </w:p>
    <w:p w14:paraId="2768FA79" w14:textId="77777777" w:rsidR="00067C73" w:rsidRPr="000C7CFA" w:rsidRDefault="00067C73" w:rsidP="00067C73">
      <w:pPr>
        <w:pStyle w:val="BodyText"/>
        <w:spacing w:before="240"/>
        <w:rPr>
          <w:rFonts w:ascii="Verdana" w:hAnsi="Verdana"/>
          <w:sz w:val="18"/>
          <w:szCs w:val="18"/>
        </w:rPr>
      </w:pPr>
      <w:r w:rsidRPr="000C7CFA">
        <w:rPr>
          <w:rFonts w:ascii="Verdana" w:hAnsi="Verdana"/>
          <w:sz w:val="18"/>
          <w:szCs w:val="18"/>
        </w:rPr>
        <w:t xml:space="preserve">Okonski </w:t>
      </w:r>
      <w:r w:rsidRPr="000C7CFA">
        <w:rPr>
          <w:rFonts w:ascii="Verdana" w:hAnsi="Verdana"/>
          <w:i/>
          <w:sz w:val="18"/>
          <w:szCs w:val="18"/>
        </w:rPr>
        <w:t>et al.</w:t>
      </w:r>
      <w:r w:rsidRPr="000C7CFA">
        <w:rPr>
          <w:rFonts w:ascii="Verdana" w:hAnsi="Verdana"/>
          <w:sz w:val="18"/>
          <w:szCs w:val="18"/>
        </w:rPr>
        <w:t xml:space="preserve"> (2014) also carried out modelling of wet and dry deposition potential for particle-bound Dechlorane Plus taking into account the different size-fractions of the particulates. This concluded that atmospheric deposition estimates considering different size fractions generally resulted in atmospheric deposition fluxes for Dechlorane Plus around a factor of 1.7 times lower than estimates obtained considering bulk atmospheric particulates only.  This is a result of the high proportion of particles &lt;0.49 μm diameter that may be transported longer distances and are less easily deposited or scavenged than larger particulate fractions.</w:t>
      </w:r>
    </w:p>
    <w:p w14:paraId="04067B4E" w14:textId="77777777" w:rsidR="001C501C" w:rsidRPr="000C7CFA" w:rsidRDefault="001C501C" w:rsidP="002923FD">
      <w:pPr>
        <w:pStyle w:val="BodyText"/>
        <w:rPr>
          <w:rFonts w:ascii="Verdana" w:hAnsi="Verdana"/>
          <w:sz w:val="18"/>
          <w:szCs w:val="18"/>
        </w:rPr>
        <w:sectPr w:rsidR="001C501C" w:rsidRPr="000C7CFA" w:rsidSect="003569B7">
          <w:footerReference w:type="default" r:id="rId11"/>
          <w:pgSz w:w="11906" w:h="16838" w:code="9"/>
          <w:pgMar w:top="1440" w:right="1797" w:bottom="1440" w:left="1797" w:header="709" w:footer="709" w:gutter="0"/>
          <w:cols w:space="708"/>
          <w:docGrid w:linePitch="360"/>
        </w:sectPr>
      </w:pPr>
    </w:p>
    <w:p w14:paraId="07B51FDB" w14:textId="77777777" w:rsidR="00DB432B" w:rsidRPr="000C7CFA" w:rsidRDefault="004B54CA" w:rsidP="003A6BE0">
      <w:pPr>
        <w:pStyle w:val="TableHeading"/>
        <w:rPr>
          <w:rFonts w:ascii="Verdana" w:hAnsi="Verdana"/>
          <w:sz w:val="18"/>
          <w:szCs w:val="18"/>
        </w:rPr>
      </w:pPr>
      <w:bookmarkStart w:id="55" w:name="_Ref427766663"/>
      <w:bookmarkStart w:id="56" w:name="_Toc489434269"/>
      <w:r w:rsidRPr="000C7CFA">
        <w:rPr>
          <w:rFonts w:ascii="Verdana" w:hAnsi="Verdana"/>
          <w:sz w:val="18"/>
          <w:szCs w:val="18"/>
        </w:rPr>
        <w:lastRenderedPageBreak/>
        <w:t xml:space="preserve">Table </w:t>
      </w:r>
      <w:r w:rsidR="008C3195" w:rsidRPr="000C7CFA">
        <w:rPr>
          <w:rFonts w:ascii="Verdana" w:hAnsi="Verdana"/>
          <w:sz w:val="18"/>
          <w:szCs w:val="18"/>
        </w:rPr>
        <w:fldChar w:fldCharType="begin"/>
      </w:r>
      <w:r w:rsidRPr="000C7CFA">
        <w:rPr>
          <w:rFonts w:ascii="Verdana" w:hAnsi="Verdana"/>
          <w:sz w:val="18"/>
          <w:szCs w:val="18"/>
        </w:rPr>
        <w:instrText xml:space="preserve"> SEQ Table \* ARABIC </w:instrText>
      </w:r>
      <w:r w:rsidR="008C3195" w:rsidRPr="000C7CFA">
        <w:rPr>
          <w:rFonts w:ascii="Verdana" w:hAnsi="Verdana"/>
          <w:sz w:val="18"/>
          <w:szCs w:val="18"/>
        </w:rPr>
        <w:fldChar w:fldCharType="separate"/>
      </w:r>
      <w:r w:rsidR="00BA2885" w:rsidRPr="000C7CFA">
        <w:rPr>
          <w:rFonts w:ascii="Verdana" w:hAnsi="Verdana"/>
          <w:noProof/>
          <w:sz w:val="18"/>
          <w:szCs w:val="18"/>
        </w:rPr>
        <w:t>1</w:t>
      </w:r>
      <w:r w:rsidR="008C3195" w:rsidRPr="000C7CFA">
        <w:rPr>
          <w:rFonts w:ascii="Verdana" w:hAnsi="Verdana"/>
          <w:sz w:val="18"/>
          <w:szCs w:val="18"/>
        </w:rPr>
        <w:fldChar w:fldCharType="end"/>
      </w:r>
      <w:bookmarkEnd w:id="55"/>
      <w:r w:rsidR="003A6BE0" w:rsidRPr="000C7CFA">
        <w:rPr>
          <w:rFonts w:ascii="Verdana" w:hAnsi="Verdana"/>
          <w:sz w:val="18"/>
          <w:szCs w:val="18"/>
        </w:rPr>
        <w:t>:</w:t>
      </w:r>
      <w:r w:rsidR="003A6BE0" w:rsidRPr="000C7CFA">
        <w:rPr>
          <w:rFonts w:ascii="Verdana" w:hAnsi="Verdana"/>
          <w:sz w:val="18"/>
          <w:szCs w:val="18"/>
        </w:rPr>
        <w:tab/>
      </w:r>
      <w:r w:rsidR="00A24C70" w:rsidRPr="000C7CFA">
        <w:rPr>
          <w:rFonts w:ascii="Verdana" w:hAnsi="Verdana"/>
          <w:sz w:val="18"/>
          <w:szCs w:val="18"/>
        </w:rPr>
        <w:t>Abiotic m</w:t>
      </w:r>
      <w:r w:rsidR="00103AFD" w:rsidRPr="000C7CFA">
        <w:rPr>
          <w:rFonts w:ascii="Verdana" w:hAnsi="Verdana"/>
          <w:sz w:val="18"/>
          <w:szCs w:val="18"/>
        </w:rPr>
        <w:t xml:space="preserve">onitoring data </w:t>
      </w:r>
      <w:r w:rsidR="00A24C70" w:rsidRPr="000C7CFA">
        <w:rPr>
          <w:rFonts w:ascii="Verdana" w:hAnsi="Verdana"/>
          <w:sz w:val="18"/>
          <w:szCs w:val="18"/>
        </w:rPr>
        <w:t>for</w:t>
      </w:r>
      <w:r w:rsidR="00103AFD" w:rsidRPr="000C7CFA">
        <w:rPr>
          <w:rFonts w:ascii="Verdana" w:hAnsi="Verdana"/>
          <w:sz w:val="18"/>
          <w:szCs w:val="18"/>
        </w:rPr>
        <w:t xml:space="preserve"> Dechlorane Plus </w:t>
      </w:r>
      <w:r w:rsidR="00A24C70" w:rsidRPr="000C7CFA">
        <w:rPr>
          <w:rFonts w:ascii="Verdana" w:hAnsi="Verdana"/>
          <w:sz w:val="18"/>
          <w:szCs w:val="18"/>
        </w:rPr>
        <w:t>in</w:t>
      </w:r>
      <w:r w:rsidR="00103AFD" w:rsidRPr="000C7CFA">
        <w:rPr>
          <w:rFonts w:ascii="Verdana" w:hAnsi="Verdana"/>
          <w:sz w:val="18"/>
          <w:szCs w:val="18"/>
        </w:rPr>
        <w:t xml:space="preserve"> remote locations</w:t>
      </w:r>
      <w:bookmarkEnd w:id="56"/>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81"/>
        <w:gridCol w:w="8647"/>
        <w:gridCol w:w="1275"/>
      </w:tblGrid>
      <w:tr w:rsidR="009E7969" w:rsidRPr="000C7CFA" w14:paraId="157E0E75" w14:textId="77777777" w:rsidTr="00634812">
        <w:trPr>
          <w:cantSplit/>
          <w:tblHead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A93BC3A" w14:textId="77777777" w:rsidR="009E7969" w:rsidRPr="000C7CFA" w:rsidRDefault="009E7969" w:rsidP="006E18DF">
            <w:pPr>
              <w:pStyle w:val="BodyText"/>
              <w:spacing w:after="0"/>
              <w:rPr>
                <w:rFonts w:ascii="Verdana" w:hAnsi="Verdana"/>
                <w:b/>
                <w:sz w:val="18"/>
                <w:szCs w:val="18"/>
              </w:rPr>
            </w:pPr>
            <w:r w:rsidRPr="000C7CFA">
              <w:rPr>
                <w:rFonts w:ascii="Verdana" w:hAnsi="Verdana"/>
                <w:b/>
                <w:sz w:val="18"/>
                <w:szCs w:val="18"/>
              </w:rPr>
              <w:t>Compartment</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20A8E953" w14:textId="77777777" w:rsidR="009E7969" w:rsidRPr="000C7CFA" w:rsidRDefault="009E7969" w:rsidP="006E18DF">
            <w:pPr>
              <w:pStyle w:val="BodyText"/>
              <w:spacing w:after="0"/>
              <w:jc w:val="left"/>
              <w:rPr>
                <w:rFonts w:ascii="Verdana" w:hAnsi="Verdana"/>
                <w:b/>
                <w:sz w:val="18"/>
                <w:szCs w:val="18"/>
              </w:rPr>
            </w:pPr>
            <w:r w:rsidRPr="000C7CFA">
              <w:rPr>
                <w:rFonts w:ascii="Verdana" w:hAnsi="Verdana"/>
                <w:b/>
                <w:sz w:val="18"/>
                <w:szCs w:val="18"/>
              </w:rPr>
              <w:t>Location</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0B0BE28F" w14:textId="77777777" w:rsidR="009E7969" w:rsidRPr="000C7CFA" w:rsidRDefault="00697AE3" w:rsidP="006E18DF">
            <w:pPr>
              <w:pStyle w:val="BodyText"/>
              <w:spacing w:after="0"/>
              <w:rPr>
                <w:rFonts w:ascii="Verdana" w:hAnsi="Verdana"/>
                <w:b/>
                <w:sz w:val="18"/>
                <w:szCs w:val="18"/>
              </w:rPr>
            </w:pPr>
            <w:r w:rsidRPr="000C7CFA">
              <w:rPr>
                <w:rFonts w:ascii="Verdana" w:hAnsi="Verdana"/>
                <w:b/>
                <w:sz w:val="18"/>
                <w:szCs w:val="18"/>
              </w:rPr>
              <w:t>Findings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1FF2D69" w14:textId="77777777" w:rsidR="009E7969" w:rsidRPr="000C7CFA" w:rsidRDefault="009E7969" w:rsidP="006E18DF">
            <w:pPr>
              <w:autoSpaceDE w:val="0"/>
              <w:autoSpaceDN w:val="0"/>
              <w:adjustRightInd w:val="0"/>
              <w:spacing w:after="0"/>
              <w:rPr>
                <w:rFonts w:ascii="Verdana" w:eastAsia="Calibri" w:hAnsi="Verdana"/>
                <w:b/>
                <w:sz w:val="18"/>
                <w:szCs w:val="18"/>
                <w:lang w:val="en-GB"/>
              </w:rPr>
            </w:pPr>
            <w:r w:rsidRPr="000C7CFA">
              <w:rPr>
                <w:rFonts w:ascii="Verdana" w:eastAsia="Calibri" w:hAnsi="Verdana"/>
                <w:b/>
                <w:sz w:val="18"/>
                <w:szCs w:val="18"/>
                <w:lang w:val="en-GB"/>
              </w:rPr>
              <w:t>Reference</w:t>
            </w:r>
          </w:p>
        </w:tc>
      </w:tr>
      <w:tr w:rsidR="0081254E" w:rsidRPr="000C7CFA" w14:paraId="71810901" w14:textId="77777777" w:rsidTr="00634812">
        <w:trPr>
          <w:cantSplit/>
        </w:trPr>
        <w:tc>
          <w:tcPr>
            <w:tcW w:w="1696" w:type="dxa"/>
            <w:vMerge w:val="restart"/>
            <w:tcBorders>
              <w:top w:val="single" w:sz="4" w:space="0" w:color="auto"/>
              <w:left w:val="single" w:sz="4" w:space="0" w:color="auto"/>
              <w:right w:val="single" w:sz="4" w:space="0" w:color="auto"/>
            </w:tcBorders>
            <w:shd w:val="clear" w:color="auto" w:fill="auto"/>
            <w:hideMark/>
          </w:tcPr>
          <w:p w14:paraId="1FFD54E7" w14:textId="77777777" w:rsidR="0081254E" w:rsidRPr="000C7CFA" w:rsidRDefault="0081254E" w:rsidP="006E18DF">
            <w:pPr>
              <w:pStyle w:val="BodyText"/>
              <w:spacing w:after="0"/>
              <w:rPr>
                <w:rFonts w:ascii="Verdana" w:hAnsi="Verdana"/>
                <w:b/>
                <w:sz w:val="18"/>
                <w:szCs w:val="18"/>
              </w:rPr>
            </w:pPr>
            <w:r w:rsidRPr="000C7CFA">
              <w:rPr>
                <w:rFonts w:ascii="Verdana" w:hAnsi="Verdana"/>
                <w:b/>
                <w:sz w:val="18"/>
                <w:szCs w:val="18"/>
              </w:rPr>
              <w:t>Atmosphere</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54AEF6D0" w14:textId="77777777" w:rsidR="0081254E" w:rsidRPr="000C7CFA" w:rsidRDefault="0081254E" w:rsidP="006E18DF">
            <w:pPr>
              <w:pStyle w:val="BodyText"/>
              <w:spacing w:after="0"/>
              <w:jc w:val="left"/>
              <w:rPr>
                <w:rFonts w:ascii="Verdana" w:hAnsi="Verdana"/>
                <w:sz w:val="18"/>
                <w:szCs w:val="18"/>
              </w:rPr>
            </w:pPr>
            <w:r w:rsidRPr="000C7CFA">
              <w:rPr>
                <w:rFonts w:ascii="Verdana" w:hAnsi="Verdana"/>
                <w:sz w:val="18"/>
                <w:szCs w:val="18"/>
              </w:rPr>
              <w:t>Two remote research stations: one in Canadian high Arctic (Alert) and the other in the Tibetan Plateau (Nam Co)</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573F5BAF" w14:textId="77777777" w:rsidR="0081254E" w:rsidRPr="000C7CFA" w:rsidRDefault="000F7908" w:rsidP="005E6EDD">
            <w:pPr>
              <w:pStyle w:val="BodyText"/>
              <w:spacing w:after="0"/>
              <w:jc w:val="left"/>
              <w:rPr>
                <w:rFonts w:ascii="Verdana" w:hAnsi="Verdana"/>
                <w:sz w:val="18"/>
                <w:szCs w:val="18"/>
              </w:rPr>
            </w:pPr>
            <w:r w:rsidRPr="000C7CFA">
              <w:rPr>
                <w:rFonts w:ascii="Verdana" w:hAnsi="Verdana"/>
                <w:sz w:val="18"/>
                <w:szCs w:val="18"/>
              </w:rPr>
              <w:t xml:space="preserve">Sampling dates not explicitly stated for Alert (but appear to be </w:t>
            </w:r>
            <w:r w:rsidR="005E6EDD" w:rsidRPr="000C7CFA">
              <w:rPr>
                <w:rFonts w:ascii="Verdana" w:hAnsi="Verdana"/>
                <w:sz w:val="18"/>
                <w:szCs w:val="18"/>
              </w:rPr>
              <w:t xml:space="preserve">in the period 2006 </w:t>
            </w:r>
            <w:r w:rsidRPr="000C7CFA">
              <w:rPr>
                <w:rFonts w:ascii="Verdana" w:hAnsi="Verdana"/>
                <w:sz w:val="18"/>
                <w:szCs w:val="18"/>
              </w:rPr>
              <w:t>to 200</w:t>
            </w:r>
            <w:r w:rsidR="005E6EDD" w:rsidRPr="000C7CFA">
              <w:rPr>
                <w:rFonts w:ascii="Verdana" w:hAnsi="Verdana"/>
                <w:sz w:val="18"/>
                <w:szCs w:val="18"/>
              </w:rPr>
              <w:t>7</w:t>
            </w:r>
            <w:r w:rsidRPr="000C7CFA">
              <w:rPr>
                <w:rFonts w:ascii="Verdana" w:hAnsi="Verdana"/>
                <w:sz w:val="18"/>
                <w:szCs w:val="18"/>
              </w:rPr>
              <w:t>). Monthly-integrated samples were collected between October 2006 and February 2008 at Nam Co.</w:t>
            </w:r>
            <w:r w:rsidRPr="000C7CFA">
              <w:rPr>
                <w:rFonts w:ascii="Verdana" w:eastAsia="Arial Unicode MS" w:hAnsi="Verdana" w:cs="Arial Unicode MS"/>
                <w:color w:val="2E2E2E"/>
                <w:sz w:val="18"/>
                <w:szCs w:val="18"/>
              </w:rPr>
              <w:t xml:space="preserve"> </w:t>
            </w:r>
            <w:r w:rsidR="0081254E" w:rsidRPr="000C7CFA">
              <w:rPr>
                <w:rFonts w:ascii="Verdana" w:hAnsi="Verdana"/>
                <w:sz w:val="18"/>
                <w:szCs w:val="18"/>
              </w:rPr>
              <w:t>Detected in 11 out of 14 samples at Alert with total DP ranging from &lt;0.05 pg/m</w:t>
            </w:r>
            <w:r w:rsidR="0081254E" w:rsidRPr="000C7CFA">
              <w:rPr>
                <w:rFonts w:ascii="Verdana" w:hAnsi="Verdana"/>
                <w:sz w:val="18"/>
                <w:szCs w:val="18"/>
                <w:vertAlign w:val="superscript"/>
              </w:rPr>
              <w:t xml:space="preserve">3 </w:t>
            </w:r>
            <w:r w:rsidR="0081254E" w:rsidRPr="000C7CFA">
              <w:rPr>
                <w:rFonts w:ascii="Verdana" w:hAnsi="Verdana"/>
                <w:sz w:val="18"/>
                <w:szCs w:val="18"/>
              </w:rPr>
              <w:t>to 2.1 pg/m</w:t>
            </w:r>
            <w:r w:rsidR="0081254E" w:rsidRPr="000C7CFA">
              <w:rPr>
                <w:rFonts w:ascii="Verdana" w:hAnsi="Verdana"/>
                <w:sz w:val="18"/>
                <w:szCs w:val="18"/>
                <w:vertAlign w:val="superscript"/>
              </w:rPr>
              <w:t>3</w:t>
            </w:r>
            <w:r w:rsidR="0081254E" w:rsidRPr="000C7CFA">
              <w:rPr>
                <w:rFonts w:ascii="Verdana" w:hAnsi="Verdana"/>
                <w:sz w:val="18"/>
                <w:szCs w:val="18"/>
              </w:rPr>
              <w:t xml:space="preserve">, primarily associated with particles. Not detected in pre-screening at Nam Co, which is suggested by the </w:t>
            </w:r>
            <w:r w:rsidR="00A24C70" w:rsidRPr="000C7CFA">
              <w:rPr>
                <w:rFonts w:ascii="Verdana" w:hAnsi="Verdana"/>
                <w:sz w:val="18"/>
                <w:szCs w:val="18"/>
              </w:rPr>
              <w:t xml:space="preserve">study </w:t>
            </w:r>
            <w:r w:rsidR="0081254E" w:rsidRPr="000C7CFA">
              <w:rPr>
                <w:rFonts w:ascii="Verdana" w:hAnsi="Verdana"/>
                <w:sz w:val="18"/>
                <w:szCs w:val="18"/>
              </w:rPr>
              <w:t>authors to be due to fewer particulates reaching the station.</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4AD2569" w14:textId="77777777" w:rsidR="0081254E" w:rsidRPr="000C7CFA" w:rsidRDefault="0081254E" w:rsidP="006E18DF">
            <w:pPr>
              <w:autoSpaceDE w:val="0"/>
              <w:autoSpaceDN w:val="0"/>
              <w:adjustRightInd w:val="0"/>
              <w:spacing w:after="0"/>
              <w:rPr>
                <w:rFonts w:ascii="Verdana" w:hAnsi="Verdana" w:cs="AdvOT863180fb"/>
                <w:color w:val="000000"/>
                <w:sz w:val="18"/>
                <w:szCs w:val="18"/>
                <w:lang w:val="en-GB" w:eastAsia="en-GB"/>
              </w:rPr>
            </w:pPr>
            <w:r w:rsidRPr="000C7CFA">
              <w:rPr>
                <w:rFonts w:ascii="Verdana" w:hAnsi="Verdana" w:cs="AdvOT863180fb"/>
                <w:color w:val="000000"/>
                <w:sz w:val="18"/>
                <w:szCs w:val="18"/>
                <w:lang w:val="en-GB" w:eastAsia="en-GB"/>
              </w:rPr>
              <w:t xml:space="preserve">Xiao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2012)</w:t>
            </w:r>
          </w:p>
        </w:tc>
      </w:tr>
      <w:tr w:rsidR="0081254E" w:rsidRPr="000C7CFA" w14:paraId="029724BE" w14:textId="77777777" w:rsidTr="00634812">
        <w:trPr>
          <w:cantSplit/>
        </w:trPr>
        <w:tc>
          <w:tcPr>
            <w:tcW w:w="1696" w:type="dxa"/>
            <w:vMerge/>
            <w:tcBorders>
              <w:left w:val="single" w:sz="4" w:space="0" w:color="auto"/>
              <w:right w:val="single" w:sz="4" w:space="0" w:color="auto"/>
            </w:tcBorders>
            <w:shd w:val="clear" w:color="auto" w:fill="auto"/>
            <w:hideMark/>
          </w:tcPr>
          <w:p w14:paraId="7E435FB9" w14:textId="77777777" w:rsidR="0081254E" w:rsidRPr="000C7CFA" w:rsidRDefault="0081254E" w:rsidP="009E7969">
            <w:pPr>
              <w:pStyle w:val="BodyText"/>
              <w:spacing w:after="0"/>
              <w:rPr>
                <w:rFonts w:ascii="Verdana" w:hAnsi="Verdana"/>
                <w:b/>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79BC3FDA" w14:textId="77777777" w:rsidR="0081254E" w:rsidRPr="000C7CFA" w:rsidRDefault="0081254E" w:rsidP="00697AE3">
            <w:pPr>
              <w:pStyle w:val="BodyText"/>
              <w:spacing w:after="0"/>
              <w:jc w:val="left"/>
              <w:rPr>
                <w:rFonts w:ascii="Verdana" w:hAnsi="Verdana"/>
                <w:sz w:val="18"/>
                <w:szCs w:val="18"/>
              </w:rPr>
            </w:pPr>
            <w:r w:rsidRPr="000C7CFA">
              <w:rPr>
                <w:rFonts w:ascii="Verdana" w:hAnsi="Verdana"/>
                <w:sz w:val="18"/>
                <w:szCs w:val="18"/>
              </w:rPr>
              <w:t>Transects in East Greenland Sea,</w:t>
            </w:r>
            <w:r w:rsidR="00697AE3" w:rsidRPr="000C7CFA">
              <w:rPr>
                <w:rFonts w:ascii="Verdana" w:hAnsi="Verdana"/>
                <w:sz w:val="18"/>
                <w:szCs w:val="18"/>
              </w:rPr>
              <w:t xml:space="preserve"> and</w:t>
            </w:r>
            <w:r w:rsidRPr="000C7CFA">
              <w:rPr>
                <w:rFonts w:ascii="Verdana" w:hAnsi="Verdana"/>
                <w:sz w:val="18"/>
                <w:szCs w:val="18"/>
              </w:rPr>
              <w:t xml:space="preserve"> northern and southern Atlantic Ocean</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45EA93F1" w14:textId="4C1911F0" w:rsidR="0081254E" w:rsidRPr="000C7CFA" w:rsidRDefault="0081254E" w:rsidP="00A24C70">
            <w:pPr>
              <w:autoSpaceDE w:val="0"/>
              <w:autoSpaceDN w:val="0"/>
              <w:adjustRightInd w:val="0"/>
              <w:spacing w:after="0"/>
              <w:rPr>
                <w:rFonts w:ascii="Verdana" w:hAnsi="Verdana"/>
                <w:sz w:val="18"/>
                <w:szCs w:val="18"/>
              </w:rPr>
            </w:pPr>
            <w:r w:rsidRPr="000C7CFA">
              <w:rPr>
                <w:rFonts w:ascii="Verdana" w:hAnsi="Verdana"/>
                <w:sz w:val="18"/>
                <w:szCs w:val="18"/>
              </w:rPr>
              <w:t xml:space="preserve">Sampling </w:t>
            </w:r>
            <w:r w:rsidR="00DB0910" w:rsidRPr="000C7CFA">
              <w:rPr>
                <w:rFonts w:ascii="Verdana" w:hAnsi="Verdana"/>
                <w:sz w:val="18"/>
                <w:szCs w:val="18"/>
              </w:rPr>
              <w:t xml:space="preserve">took place during </w:t>
            </w:r>
            <w:r w:rsidRPr="000C7CFA">
              <w:rPr>
                <w:rFonts w:ascii="Verdana" w:hAnsi="Verdana"/>
                <w:sz w:val="18"/>
                <w:szCs w:val="18"/>
              </w:rPr>
              <w:t>August – September 2009 (Greenland)</w:t>
            </w:r>
            <w:r w:rsidR="00DB0910" w:rsidRPr="000C7CFA">
              <w:rPr>
                <w:rFonts w:ascii="Verdana" w:hAnsi="Verdana"/>
                <w:sz w:val="18"/>
                <w:szCs w:val="18"/>
              </w:rPr>
              <w:t xml:space="preserve"> and November – December 2008</w:t>
            </w:r>
            <w:r w:rsidRPr="000C7CFA">
              <w:rPr>
                <w:rFonts w:ascii="Verdana" w:hAnsi="Verdana"/>
                <w:sz w:val="18"/>
                <w:szCs w:val="18"/>
              </w:rPr>
              <w:t xml:space="preserve"> (</w:t>
            </w:r>
            <w:r w:rsidR="00DB0910" w:rsidRPr="000C7CFA">
              <w:rPr>
                <w:rFonts w:ascii="Verdana" w:hAnsi="Verdana"/>
                <w:sz w:val="18"/>
                <w:szCs w:val="18"/>
              </w:rPr>
              <w:t>Atlantic</w:t>
            </w:r>
            <w:r w:rsidRPr="000C7CFA">
              <w:rPr>
                <w:rFonts w:ascii="Verdana" w:hAnsi="Verdana"/>
                <w:sz w:val="18"/>
                <w:szCs w:val="18"/>
              </w:rPr>
              <w:t>)</w:t>
            </w:r>
            <w:r w:rsidR="00697AE3" w:rsidRPr="000C7CFA">
              <w:rPr>
                <w:rFonts w:ascii="Verdana" w:hAnsi="Verdana"/>
                <w:sz w:val="18"/>
                <w:szCs w:val="18"/>
              </w:rPr>
              <w:t>,</w:t>
            </w:r>
            <w:r w:rsidRPr="000C7CFA">
              <w:rPr>
                <w:rFonts w:ascii="Verdana" w:hAnsi="Verdana"/>
                <w:sz w:val="18"/>
                <w:szCs w:val="18"/>
              </w:rPr>
              <w:t xml:space="preserve"> 10 samples from each transect</w:t>
            </w:r>
            <w:r w:rsidR="00697AE3" w:rsidRPr="000C7CFA">
              <w:rPr>
                <w:rFonts w:ascii="Verdana" w:hAnsi="Verdana"/>
                <w:sz w:val="18"/>
                <w:szCs w:val="18"/>
              </w:rPr>
              <w:t>, with s</w:t>
            </w:r>
            <w:r w:rsidRPr="000C7CFA">
              <w:rPr>
                <w:rFonts w:ascii="Verdana" w:hAnsi="Verdana"/>
                <w:sz w:val="18"/>
                <w:szCs w:val="18"/>
              </w:rPr>
              <w:t>ampling over 2-6 days at 15 m a.s.l. DP was detected in all air samples, at concentrations of 0.05 – 4 pg/m</w:t>
            </w:r>
            <w:r w:rsidRPr="000C7CFA">
              <w:rPr>
                <w:rFonts w:ascii="Verdana" w:hAnsi="Verdana"/>
                <w:sz w:val="18"/>
                <w:szCs w:val="18"/>
                <w:vertAlign w:val="superscript"/>
              </w:rPr>
              <w:t>3</w:t>
            </w:r>
            <w:r w:rsidRPr="000C7CFA">
              <w:rPr>
                <w:rFonts w:ascii="Verdana" w:hAnsi="Verdana"/>
                <w:sz w:val="18"/>
                <w:szCs w:val="18"/>
              </w:rPr>
              <w:t xml:space="preserve">.  DP was mainly detected in the particulate </w:t>
            </w:r>
            <w:r w:rsidR="00BB3D8A" w:rsidRPr="000C7CFA">
              <w:rPr>
                <w:rFonts w:ascii="Verdana" w:hAnsi="Verdana"/>
                <w:sz w:val="18"/>
                <w:szCs w:val="18"/>
              </w:rPr>
              <w:t>phase. In</w:t>
            </w:r>
            <w:r w:rsidR="00697AE3" w:rsidRPr="000C7CFA">
              <w:rPr>
                <w:rFonts w:ascii="Verdana" w:hAnsi="Verdana"/>
                <w:sz w:val="18"/>
                <w:szCs w:val="18"/>
              </w:rPr>
              <w:t xml:space="preserve"> the Atlantic, the highest concentration was observed in the English Channel originating from continental air passing Western Europe. The fractional abundance of syn-DP increased with decreasing northern latitude from 0.37 to ca. 0.67, showing a stereoselective depletion of anti-DP </w:t>
            </w:r>
            <w:r w:rsidR="00A24C70" w:rsidRPr="000C7CFA">
              <w:rPr>
                <w:rFonts w:ascii="Verdana" w:hAnsi="Verdana"/>
                <w:sz w:val="18"/>
                <w:szCs w:val="18"/>
              </w:rPr>
              <w:t>(thought to be</w:t>
            </w:r>
            <w:r w:rsidR="00697AE3" w:rsidRPr="000C7CFA">
              <w:rPr>
                <w:rFonts w:ascii="Verdana" w:hAnsi="Verdana"/>
                <w:sz w:val="18"/>
                <w:szCs w:val="18"/>
              </w:rPr>
              <w:t xml:space="preserve"> caused by UV sunlight</w:t>
            </w:r>
            <w:r w:rsidR="00A24C70" w:rsidRPr="000C7CFA">
              <w:rPr>
                <w:rFonts w:ascii="Verdana" w:hAnsi="Verdana"/>
                <w:sz w:val="18"/>
                <w:szCs w:val="18"/>
              </w:rPr>
              <w:t>)</w:t>
            </w:r>
            <w:r w:rsidR="00697AE3" w:rsidRPr="000C7CFA">
              <w:rPr>
                <w:rFonts w:ascii="Verdana" w:hAnsi="Verdana"/>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33A673B" w14:textId="77777777" w:rsidR="0081254E" w:rsidRPr="000C7CFA" w:rsidRDefault="0081254E" w:rsidP="006E18DF">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M</w:t>
            </w:r>
            <w:r w:rsidRPr="000C7CFA">
              <w:rPr>
                <w:rFonts w:ascii="Calibri" w:eastAsia="Calibri" w:hAnsi="Calibri" w:cs="Calibri"/>
                <w:sz w:val="18"/>
                <w:szCs w:val="18"/>
                <w:lang w:val="en-GB"/>
              </w:rPr>
              <w:t>ӧ</w:t>
            </w:r>
            <w:r w:rsidRPr="000C7CFA">
              <w:rPr>
                <w:rFonts w:ascii="Verdana" w:eastAsia="Calibri" w:hAnsi="Verdana"/>
                <w:sz w:val="18"/>
                <w:szCs w:val="18"/>
                <w:lang w:val="en-GB"/>
              </w:rPr>
              <w:t>ller</w:t>
            </w:r>
            <w:r w:rsidRPr="000C7CFA">
              <w:rPr>
                <w:rFonts w:ascii="Verdana" w:hAnsi="Verdana" w:cs="AdvOT863180fb"/>
                <w:i/>
                <w:color w:val="000000"/>
                <w:sz w:val="18"/>
                <w:szCs w:val="18"/>
                <w:lang w:val="en-GB" w:eastAsia="en-GB"/>
              </w:rPr>
              <w:t xml:space="preserve"> 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2010)</w:t>
            </w:r>
          </w:p>
        </w:tc>
      </w:tr>
      <w:tr w:rsidR="0081254E" w:rsidRPr="000C7CFA" w14:paraId="5B73788F" w14:textId="77777777" w:rsidTr="00634812">
        <w:trPr>
          <w:cantSplit/>
        </w:trPr>
        <w:tc>
          <w:tcPr>
            <w:tcW w:w="1696" w:type="dxa"/>
            <w:vMerge/>
            <w:tcBorders>
              <w:left w:val="single" w:sz="4" w:space="0" w:color="auto"/>
              <w:right w:val="single" w:sz="4" w:space="0" w:color="auto"/>
            </w:tcBorders>
            <w:shd w:val="clear" w:color="auto" w:fill="auto"/>
            <w:hideMark/>
          </w:tcPr>
          <w:p w14:paraId="7B694C7C" w14:textId="77777777" w:rsidR="0081254E" w:rsidRPr="000C7CFA" w:rsidRDefault="0081254E" w:rsidP="0081254E">
            <w:pPr>
              <w:pStyle w:val="BodyText"/>
              <w:spacing w:after="0"/>
              <w:rPr>
                <w:rFonts w:ascii="Verdana" w:hAnsi="Verdana"/>
                <w:b/>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11A82B7C" w14:textId="77777777" w:rsidR="0081254E" w:rsidRPr="000C7CFA" w:rsidRDefault="0081254E" w:rsidP="00697AE3">
            <w:pPr>
              <w:pStyle w:val="BodyText"/>
              <w:spacing w:after="0"/>
              <w:jc w:val="left"/>
              <w:rPr>
                <w:rFonts w:ascii="Verdana" w:hAnsi="Verdana"/>
                <w:sz w:val="18"/>
                <w:szCs w:val="18"/>
              </w:rPr>
            </w:pPr>
            <w:r w:rsidRPr="000C7CFA">
              <w:rPr>
                <w:rFonts w:ascii="Verdana" w:hAnsi="Verdana"/>
                <w:sz w:val="18"/>
                <w:szCs w:val="18"/>
              </w:rPr>
              <w:t>Transect from East China Sea to Arctic</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7B98F6F4" w14:textId="77777777" w:rsidR="0081254E" w:rsidRPr="000C7CFA" w:rsidRDefault="0081254E" w:rsidP="0081254E">
            <w:pPr>
              <w:autoSpaceDE w:val="0"/>
              <w:autoSpaceDN w:val="0"/>
              <w:adjustRightInd w:val="0"/>
              <w:spacing w:after="0"/>
              <w:rPr>
                <w:rFonts w:ascii="Verdana" w:hAnsi="Verdana"/>
                <w:sz w:val="18"/>
                <w:szCs w:val="18"/>
              </w:rPr>
            </w:pPr>
            <w:r w:rsidRPr="000C7CFA">
              <w:rPr>
                <w:rFonts w:ascii="Verdana" w:hAnsi="Verdana"/>
                <w:sz w:val="18"/>
                <w:szCs w:val="18"/>
                <w:lang w:val="en-GB"/>
              </w:rPr>
              <w:t>17 air samples taken between June and September 2010. Each sample was collected over 1-2 days (height not specified). DP was detected in all samples in the range 0.01 – 1.4 pg/m</w:t>
            </w:r>
            <w:r w:rsidRPr="000C7CFA">
              <w:rPr>
                <w:rFonts w:ascii="Verdana" w:hAnsi="Verdana"/>
                <w:sz w:val="18"/>
                <w:szCs w:val="18"/>
                <w:vertAlign w:val="superscript"/>
                <w:lang w:val="en-GB"/>
              </w:rPr>
              <w:t>3</w:t>
            </w:r>
            <w:r w:rsidRPr="000C7CFA">
              <w:rPr>
                <w:rFonts w:ascii="Verdana" w:hAnsi="Verdana"/>
                <w:sz w:val="18"/>
                <w:szCs w:val="18"/>
                <w:lang w:val="en-GB"/>
              </w:rPr>
              <w:t xml:space="preserve"> (as total DP), mainly in the particulate phase. </w:t>
            </w:r>
            <w:r w:rsidRPr="000C7CFA">
              <w:rPr>
                <w:rFonts w:ascii="Verdana" w:hAnsi="Verdana"/>
                <w:sz w:val="18"/>
                <w:szCs w:val="18"/>
              </w:rPr>
              <w:t>Includes remote areas, but not exclusively.</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646F6B6" w14:textId="3BAA6499" w:rsidR="0081254E" w:rsidRPr="000C7CFA" w:rsidRDefault="0081254E" w:rsidP="0081254E">
            <w:pPr>
              <w:autoSpaceDE w:val="0"/>
              <w:autoSpaceDN w:val="0"/>
              <w:adjustRightInd w:val="0"/>
              <w:spacing w:after="0"/>
              <w:rPr>
                <w:rFonts w:ascii="Verdana" w:hAnsi="Verdana" w:cs="AdvOT863180fb"/>
                <w:color w:val="2197D2"/>
                <w:sz w:val="18"/>
                <w:szCs w:val="18"/>
                <w:lang w:val="en-GB" w:eastAsia="en-GB"/>
              </w:rPr>
            </w:pPr>
            <w:r w:rsidRPr="000C7CFA">
              <w:rPr>
                <w:rFonts w:ascii="Verdana" w:eastAsia="Calibri" w:hAnsi="Verdana"/>
                <w:sz w:val="18"/>
                <w:szCs w:val="18"/>
                <w:lang w:val="en-GB"/>
              </w:rPr>
              <w:t>M</w:t>
            </w:r>
            <w:r w:rsidR="00634812" w:rsidRPr="000C7CFA">
              <w:rPr>
                <w:rFonts w:ascii="Calibri" w:hAnsi="Calibri" w:cs="Calibri"/>
                <w:sz w:val="18"/>
                <w:szCs w:val="18"/>
                <w:lang w:val="en-GB" w:eastAsia="ar-SA"/>
              </w:rPr>
              <w:t>ӧ</w:t>
            </w:r>
            <w:r w:rsidRPr="000C7CFA">
              <w:rPr>
                <w:rFonts w:ascii="Verdana" w:eastAsia="Calibri" w:hAnsi="Verdana" w:cs="Arial"/>
                <w:sz w:val="18"/>
                <w:szCs w:val="18"/>
                <w:lang w:val="en-GB"/>
              </w:rPr>
              <w:t>̈</w:t>
            </w:r>
            <w:r w:rsidRPr="000C7CFA">
              <w:rPr>
                <w:rFonts w:ascii="Verdana" w:eastAsia="Calibri" w:hAnsi="Verdana"/>
                <w:sz w:val="18"/>
                <w:szCs w:val="18"/>
                <w:lang w:val="en-GB"/>
              </w:rPr>
              <w:t xml:space="preserve">ller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2011)</w:t>
            </w:r>
          </w:p>
        </w:tc>
      </w:tr>
      <w:tr w:rsidR="0081254E" w:rsidRPr="000C7CFA" w14:paraId="476654F9" w14:textId="77777777" w:rsidTr="00634812">
        <w:trPr>
          <w:cantSplit/>
        </w:trPr>
        <w:tc>
          <w:tcPr>
            <w:tcW w:w="1696" w:type="dxa"/>
            <w:vMerge/>
            <w:tcBorders>
              <w:left w:val="single" w:sz="4" w:space="0" w:color="auto"/>
              <w:right w:val="single" w:sz="4" w:space="0" w:color="auto"/>
            </w:tcBorders>
            <w:shd w:val="clear" w:color="auto" w:fill="auto"/>
            <w:hideMark/>
          </w:tcPr>
          <w:p w14:paraId="77E4FAFC" w14:textId="77777777" w:rsidR="0081254E" w:rsidRPr="000C7CFA" w:rsidRDefault="0081254E" w:rsidP="006E18DF">
            <w:pPr>
              <w:pStyle w:val="BodyText"/>
              <w:spacing w:after="0"/>
              <w:rPr>
                <w:rFonts w:ascii="Verdana" w:hAnsi="Verdana"/>
                <w:b/>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267D8B1C" w14:textId="77777777" w:rsidR="0081254E" w:rsidRPr="000C7CFA" w:rsidRDefault="0081254E" w:rsidP="00697AE3">
            <w:pPr>
              <w:pStyle w:val="BodyText"/>
              <w:spacing w:after="0"/>
              <w:jc w:val="left"/>
              <w:rPr>
                <w:rFonts w:ascii="Verdana" w:hAnsi="Verdana"/>
                <w:sz w:val="18"/>
                <w:szCs w:val="18"/>
              </w:rPr>
            </w:pPr>
            <w:r w:rsidRPr="000C7CFA">
              <w:rPr>
                <w:rFonts w:ascii="Verdana" w:hAnsi="Verdana"/>
                <w:sz w:val="18"/>
                <w:szCs w:val="18"/>
              </w:rPr>
              <w:t>Transect in Indian, Pacific and Southern Oceans from southeast Asia to Antarctica</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394E8ADD" w14:textId="77777777" w:rsidR="0081254E" w:rsidRPr="000C7CFA" w:rsidRDefault="0081254E" w:rsidP="006E18D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Sampling </w:t>
            </w:r>
            <w:r w:rsidR="00DB0910" w:rsidRPr="000C7CFA">
              <w:rPr>
                <w:rFonts w:ascii="Verdana" w:hAnsi="Verdana"/>
                <w:sz w:val="18"/>
                <w:szCs w:val="18"/>
                <w:lang w:val="en-GB"/>
              </w:rPr>
              <w:t xml:space="preserve">took place during </w:t>
            </w:r>
            <w:r w:rsidRPr="000C7CFA">
              <w:rPr>
                <w:rFonts w:ascii="Verdana" w:hAnsi="Verdana"/>
                <w:sz w:val="18"/>
                <w:szCs w:val="18"/>
                <w:lang w:val="en-GB"/>
              </w:rPr>
              <w:t>November 2010 – March 2011 (n=20). Each sample was collected over 1-2 days at 20 m a.s.l. DP was detected in all samples as follows:</w:t>
            </w:r>
          </w:p>
          <w:p w14:paraId="15320406" w14:textId="77777777" w:rsidR="0081254E" w:rsidRPr="000C7CFA" w:rsidRDefault="0081254E" w:rsidP="006E18D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Pacific Ocean: 1.7-11 pg/m</w:t>
            </w:r>
            <w:r w:rsidRPr="000C7CFA">
              <w:rPr>
                <w:rFonts w:ascii="Verdana" w:hAnsi="Verdana"/>
                <w:sz w:val="18"/>
                <w:szCs w:val="18"/>
                <w:vertAlign w:val="superscript"/>
                <w:lang w:val="en-GB"/>
              </w:rPr>
              <w:t>3</w:t>
            </w:r>
            <w:r w:rsidRPr="000C7CFA">
              <w:rPr>
                <w:rFonts w:ascii="Verdana" w:hAnsi="Verdana"/>
                <w:sz w:val="18"/>
                <w:szCs w:val="18"/>
                <w:lang w:val="en-GB"/>
              </w:rPr>
              <w:t xml:space="preserve"> (total DP)</w:t>
            </w:r>
          </w:p>
          <w:p w14:paraId="3AD11573" w14:textId="77777777" w:rsidR="0081254E" w:rsidRPr="000C7CFA" w:rsidRDefault="0081254E" w:rsidP="006E18D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Indian Ocean: 0.26 – 2.1 pg/m</w:t>
            </w:r>
            <w:r w:rsidRPr="000C7CFA">
              <w:rPr>
                <w:rFonts w:ascii="Verdana" w:hAnsi="Verdana"/>
                <w:sz w:val="18"/>
                <w:szCs w:val="18"/>
                <w:vertAlign w:val="superscript"/>
                <w:lang w:val="en-GB"/>
              </w:rPr>
              <w:t>3</w:t>
            </w:r>
            <w:r w:rsidRPr="000C7CFA">
              <w:rPr>
                <w:rFonts w:ascii="Verdana" w:hAnsi="Verdana"/>
                <w:sz w:val="18"/>
                <w:szCs w:val="18"/>
                <w:lang w:val="en-GB"/>
              </w:rPr>
              <w:t xml:space="preserve"> (total DP)</w:t>
            </w:r>
          </w:p>
          <w:p w14:paraId="0230AA42" w14:textId="77777777" w:rsidR="0081254E" w:rsidRPr="000C7CFA" w:rsidRDefault="0081254E" w:rsidP="00697AE3">
            <w:pPr>
              <w:autoSpaceDE w:val="0"/>
              <w:autoSpaceDN w:val="0"/>
              <w:adjustRightInd w:val="0"/>
              <w:spacing w:after="0"/>
              <w:rPr>
                <w:rFonts w:ascii="Verdana" w:hAnsi="Verdana"/>
                <w:sz w:val="18"/>
                <w:szCs w:val="18"/>
              </w:rPr>
            </w:pPr>
            <w:r w:rsidRPr="000C7CFA">
              <w:rPr>
                <w:rFonts w:ascii="Verdana" w:hAnsi="Verdana"/>
                <w:sz w:val="18"/>
                <w:szCs w:val="18"/>
                <w:lang w:val="en-GB"/>
              </w:rPr>
              <w:t>Southern Ocean: 0.31 pg/m</w:t>
            </w:r>
            <w:r w:rsidRPr="000C7CFA">
              <w:rPr>
                <w:rFonts w:ascii="Verdana" w:hAnsi="Verdana"/>
                <w:sz w:val="18"/>
                <w:szCs w:val="18"/>
                <w:vertAlign w:val="superscript"/>
                <w:lang w:val="en-GB"/>
              </w:rPr>
              <w:t>3</w:t>
            </w:r>
            <w:r w:rsidRPr="000C7CFA">
              <w:rPr>
                <w:rFonts w:ascii="Verdana" w:hAnsi="Verdana"/>
                <w:sz w:val="18"/>
                <w:szCs w:val="18"/>
                <w:lang w:val="en-GB"/>
              </w:rPr>
              <w:t xml:space="preserve"> (total DP)</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0005269" w14:textId="7D2B3A20" w:rsidR="0081254E" w:rsidRPr="000C7CFA" w:rsidRDefault="0081254E" w:rsidP="006E18DF">
            <w:pPr>
              <w:autoSpaceDE w:val="0"/>
              <w:autoSpaceDN w:val="0"/>
              <w:adjustRightInd w:val="0"/>
              <w:spacing w:after="0"/>
              <w:rPr>
                <w:rFonts w:ascii="Verdana" w:hAnsi="Verdana" w:cs="AdvOT863180fb"/>
                <w:b/>
                <w:color w:val="2197D2"/>
                <w:sz w:val="18"/>
                <w:szCs w:val="18"/>
                <w:lang w:val="en-GB" w:eastAsia="en-GB"/>
              </w:rPr>
            </w:pPr>
            <w:r w:rsidRPr="000C7CFA">
              <w:rPr>
                <w:rFonts w:ascii="Verdana" w:eastAsia="Calibri" w:hAnsi="Verdana"/>
                <w:sz w:val="18"/>
                <w:szCs w:val="18"/>
                <w:lang w:val="en-GB"/>
              </w:rPr>
              <w:t>M</w:t>
            </w:r>
            <w:r w:rsidR="00634812" w:rsidRPr="000C7CFA">
              <w:rPr>
                <w:rFonts w:ascii="Calibri" w:hAnsi="Calibri" w:cs="Calibri"/>
                <w:sz w:val="18"/>
                <w:szCs w:val="18"/>
                <w:lang w:val="en-GB" w:eastAsia="ar-SA"/>
              </w:rPr>
              <w:t>ӧ</w:t>
            </w:r>
            <w:r w:rsidRPr="000C7CFA">
              <w:rPr>
                <w:rFonts w:ascii="Verdana" w:eastAsia="Calibri" w:hAnsi="Verdana" w:cs="Arial"/>
                <w:sz w:val="18"/>
                <w:szCs w:val="18"/>
                <w:lang w:val="en-GB"/>
              </w:rPr>
              <w:t>̈</w:t>
            </w:r>
            <w:r w:rsidRPr="000C7CFA">
              <w:rPr>
                <w:rFonts w:ascii="Verdana" w:eastAsia="Calibri" w:hAnsi="Verdana"/>
                <w:sz w:val="18"/>
                <w:szCs w:val="18"/>
                <w:lang w:val="en-GB"/>
              </w:rPr>
              <w:t xml:space="preserve">ller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2012)</w:t>
            </w:r>
          </w:p>
        </w:tc>
      </w:tr>
      <w:tr w:rsidR="0081254E" w:rsidRPr="000C7CFA" w14:paraId="3F11BC69" w14:textId="77777777" w:rsidTr="00634812">
        <w:trPr>
          <w:cantSplit/>
        </w:trPr>
        <w:tc>
          <w:tcPr>
            <w:tcW w:w="1696" w:type="dxa"/>
            <w:vMerge/>
            <w:tcBorders>
              <w:left w:val="single" w:sz="4" w:space="0" w:color="auto"/>
              <w:right w:val="single" w:sz="4" w:space="0" w:color="auto"/>
            </w:tcBorders>
            <w:shd w:val="clear" w:color="auto" w:fill="auto"/>
            <w:hideMark/>
          </w:tcPr>
          <w:p w14:paraId="3BD6A23C" w14:textId="77777777" w:rsidR="0081254E" w:rsidRPr="000C7CFA" w:rsidRDefault="0081254E" w:rsidP="006E18DF">
            <w:pPr>
              <w:pStyle w:val="BodyText"/>
              <w:spacing w:after="0"/>
              <w:rPr>
                <w:rFonts w:ascii="Verdana" w:hAnsi="Verdana"/>
                <w:b/>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341AA01B" w14:textId="77777777" w:rsidR="0081254E" w:rsidRPr="000C7CFA" w:rsidRDefault="0081254E" w:rsidP="006E18DF">
            <w:pPr>
              <w:pStyle w:val="BodyText"/>
              <w:spacing w:after="0"/>
              <w:jc w:val="left"/>
              <w:rPr>
                <w:rFonts w:ascii="Verdana" w:hAnsi="Verdana"/>
                <w:sz w:val="18"/>
                <w:szCs w:val="18"/>
              </w:rPr>
            </w:pPr>
            <w:r w:rsidRPr="000C7CFA">
              <w:rPr>
                <w:rFonts w:ascii="Verdana" w:hAnsi="Verdana"/>
                <w:sz w:val="18"/>
                <w:szCs w:val="18"/>
              </w:rPr>
              <w:t xml:space="preserve">Station Nord, Northeast Greenland </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7C7CEA25" w14:textId="47C2D353" w:rsidR="0081254E" w:rsidRPr="000C7CFA" w:rsidRDefault="0081254E" w:rsidP="0081254E">
            <w:pPr>
              <w:autoSpaceDE w:val="0"/>
              <w:autoSpaceDN w:val="0"/>
              <w:adjustRightInd w:val="0"/>
              <w:spacing w:after="0"/>
              <w:rPr>
                <w:rFonts w:ascii="Verdana" w:hAnsi="Verdana"/>
                <w:sz w:val="18"/>
                <w:szCs w:val="18"/>
              </w:rPr>
            </w:pPr>
            <w:r w:rsidRPr="000C7CFA">
              <w:rPr>
                <w:rFonts w:ascii="Verdana" w:hAnsi="Verdana"/>
                <w:sz w:val="18"/>
                <w:szCs w:val="18"/>
                <w:lang w:val="en-GB"/>
              </w:rPr>
              <w:t>Detected in 4</w:t>
            </w:r>
            <w:r w:rsidR="00AF7606" w:rsidRPr="000C7CFA">
              <w:rPr>
                <w:rFonts w:ascii="Verdana" w:hAnsi="Verdana"/>
                <w:sz w:val="18"/>
                <w:szCs w:val="18"/>
                <w:lang w:val="en-GB"/>
              </w:rPr>
              <w:t>6 %</w:t>
            </w:r>
            <w:r w:rsidRPr="000C7CFA">
              <w:rPr>
                <w:rFonts w:ascii="Verdana" w:hAnsi="Verdana"/>
                <w:sz w:val="18"/>
                <w:szCs w:val="18"/>
                <w:lang w:val="en-GB"/>
              </w:rPr>
              <w:t xml:space="preserve"> of air samples collected weekly throughout 2012. Syn-DP concentration: mean 2.32 pg/m</w:t>
            </w:r>
            <w:r w:rsidRPr="000C7CFA">
              <w:rPr>
                <w:rFonts w:ascii="Verdana" w:hAnsi="Verdana"/>
                <w:sz w:val="18"/>
                <w:szCs w:val="18"/>
                <w:vertAlign w:val="superscript"/>
                <w:lang w:val="en-GB"/>
              </w:rPr>
              <w:t>3</w:t>
            </w:r>
            <w:r w:rsidRPr="000C7CFA">
              <w:rPr>
                <w:rFonts w:ascii="Verdana" w:hAnsi="Verdana"/>
                <w:sz w:val="18"/>
                <w:szCs w:val="18"/>
                <w:lang w:val="en-GB"/>
              </w:rPr>
              <w:t xml:space="preserve"> (range &lt;1 - 9.0 pg/m</w:t>
            </w:r>
            <w:r w:rsidRPr="000C7CFA">
              <w:rPr>
                <w:rFonts w:ascii="Verdana" w:hAnsi="Verdana"/>
                <w:sz w:val="18"/>
                <w:szCs w:val="18"/>
                <w:vertAlign w:val="superscript"/>
                <w:lang w:val="en-GB"/>
              </w:rPr>
              <w:t>3</w:t>
            </w:r>
            <w:r w:rsidRPr="000C7CFA">
              <w:rPr>
                <w:rFonts w:ascii="Verdana" w:hAnsi="Verdana"/>
                <w:sz w:val="18"/>
                <w:szCs w:val="18"/>
                <w:lang w:val="en-GB"/>
              </w:rPr>
              <w:t xml:space="preserve">). </w:t>
            </w:r>
            <w:r w:rsidRPr="000C7CFA">
              <w:rPr>
                <w:rFonts w:ascii="Verdana" w:hAnsi="Verdana"/>
                <w:sz w:val="18"/>
                <w:szCs w:val="18"/>
              </w:rPr>
              <w:t xml:space="preserve">Anti-DP </w:t>
            </w:r>
            <w:r w:rsidRPr="000C7CFA">
              <w:rPr>
                <w:rFonts w:ascii="Verdana" w:hAnsi="Verdana"/>
                <w:sz w:val="18"/>
                <w:szCs w:val="18"/>
                <w:lang w:val="en-GB"/>
              </w:rPr>
              <w:t xml:space="preserve">concentration: </w:t>
            </w:r>
            <w:r w:rsidRPr="000C7CFA">
              <w:rPr>
                <w:rFonts w:ascii="Verdana" w:hAnsi="Verdana"/>
                <w:sz w:val="18"/>
                <w:szCs w:val="18"/>
              </w:rPr>
              <w:t>mean 5.24 pg/m</w:t>
            </w:r>
            <w:r w:rsidRPr="000C7CFA">
              <w:rPr>
                <w:rFonts w:ascii="Verdana" w:hAnsi="Verdana"/>
                <w:sz w:val="18"/>
                <w:szCs w:val="18"/>
                <w:vertAlign w:val="superscript"/>
              </w:rPr>
              <w:t>3</w:t>
            </w:r>
            <w:r w:rsidRPr="000C7CFA">
              <w:rPr>
                <w:rFonts w:ascii="Verdana" w:hAnsi="Verdana"/>
                <w:sz w:val="18"/>
                <w:szCs w:val="18"/>
              </w:rPr>
              <w:t xml:space="preserve"> (range &lt;1- 33.1 pg/m</w:t>
            </w:r>
            <w:r w:rsidRPr="000C7CFA">
              <w:rPr>
                <w:rFonts w:ascii="Verdana" w:hAnsi="Verdana"/>
                <w:sz w:val="18"/>
                <w:szCs w:val="18"/>
                <w:vertAlign w:val="superscript"/>
              </w:rPr>
              <w:t>3</w:t>
            </w:r>
            <w:r w:rsidRPr="000C7CFA">
              <w:rPr>
                <w:rFonts w:ascii="Verdana" w:hAnsi="Verdana"/>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F2F9270" w14:textId="77777777" w:rsidR="0081254E" w:rsidRPr="000C7CFA" w:rsidRDefault="0081254E" w:rsidP="006E18DF">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Vorkamp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2015)</w:t>
            </w:r>
          </w:p>
        </w:tc>
      </w:tr>
      <w:tr w:rsidR="0081254E" w:rsidRPr="000C7CFA" w14:paraId="53578192" w14:textId="77777777" w:rsidTr="00634812">
        <w:trPr>
          <w:cantSplit/>
        </w:trPr>
        <w:tc>
          <w:tcPr>
            <w:tcW w:w="1696" w:type="dxa"/>
            <w:vMerge/>
            <w:tcBorders>
              <w:left w:val="single" w:sz="4" w:space="0" w:color="auto"/>
              <w:right w:val="single" w:sz="4" w:space="0" w:color="auto"/>
            </w:tcBorders>
            <w:shd w:val="clear" w:color="auto" w:fill="auto"/>
            <w:hideMark/>
          </w:tcPr>
          <w:p w14:paraId="2675ED4D" w14:textId="77777777" w:rsidR="0081254E" w:rsidRPr="000C7CFA" w:rsidRDefault="0081254E" w:rsidP="006E18DF">
            <w:pPr>
              <w:pStyle w:val="BodyText"/>
              <w:spacing w:after="0"/>
              <w:rPr>
                <w:rFonts w:ascii="Verdana" w:hAnsi="Verdana"/>
                <w:b/>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151D5EB2" w14:textId="77777777" w:rsidR="009F63C9" w:rsidRPr="000C7CFA" w:rsidRDefault="0081254E" w:rsidP="009F63C9">
            <w:pPr>
              <w:pStyle w:val="BodyText"/>
              <w:spacing w:after="0"/>
              <w:jc w:val="left"/>
              <w:rPr>
                <w:rFonts w:ascii="Verdana" w:hAnsi="Verdana"/>
                <w:sz w:val="18"/>
                <w:szCs w:val="18"/>
              </w:rPr>
            </w:pPr>
            <w:r w:rsidRPr="000C7CFA">
              <w:rPr>
                <w:rFonts w:ascii="Verdana" w:hAnsi="Verdana" w:cs="AdvOT51c1769e"/>
                <w:sz w:val="18"/>
                <w:szCs w:val="18"/>
                <w:lang w:eastAsia="en-GB"/>
              </w:rPr>
              <w:t>Longyearbyen, Svalbard, Arctic</w:t>
            </w:r>
            <w:r w:rsidR="009F63C9" w:rsidRPr="000C7CFA">
              <w:rPr>
                <w:rFonts w:ascii="Verdana" w:hAnsi="Verdana"/>
                <w:sz w:val="18"/>
                <w:szCs w:val="18"/>
              </w:rPr>
              <w:t xml:space="preserve"> (78.22°N 15. 65°E) </w:t>
            </w:r>
          </w:p>
          <w:p w14:paraId="22C67D3A" w14:textId="77777777" w:rsidR="009F63C9" w:rsidRPr="000C7CFA" w:rsidRDefault="009F63C9" w:rsidP="009F63C9">
            <w:pPr>
              <w:pStyle w:val="BodyText"/>
              <w:spacing w:after="0"/>
              <w:jc w:val="left"/>
              <w:rPr>
                <w:rFonts w:ascii="Verdana" w:hAnsi="Verdana"/>
                <w:sz w:val="18"/>
                <w:szCs w:val="18"/>
              </w:rPr>
            </w:pPr>
          </w:p>
          <w:p w14:paraId="33BED424" w14:textId="12FEC2F2" w:rsidR="0081254E" w:rsidRPr="000C7CFA" w:rsidRDefault="009F63C9" w:rsidP="009F63C9">
            <w:pPr>
              <w:pStyle w:val="BodyText"/>
              <w:spacing w:after="0"/>
              <w:jc w:val="left"/>
              <w:rPr>
                <w:rFonts w:ascii="Verdana" w:hAnsi="Verdana"/>
                <w:sz w:val="18"/>
                <w:szCs w:val="18"/>
              </w:rPr>
            </w:pPr>
            <w:r w:rsidRPr="000C7CFA">
              <w:rPr>
                <w:rFonts w:ascii="Verdana" w:hAnsi="Verdana"/>
                <w:sz w:val="18"/>
                <w:szCs w:val="18"/>
              </w:rPr>
              <w:t>Longyearbyen is</w:t>
            </w:r>
            <w:r w:rsidR="002D4EB9" w:rsidRPr="000C7CFA">
              <w:rPr>
                <w:rFonts w:ascii="Verdana" w:hAnsi="Verdana"/>
                <w:sz w:val="18"/>
                <w:szCs w:val="18"/>
              </w:rPr>
              <w:t xml:space="preserve"> a coal mining community with 2 </w:t>
            </w:r>
            <w:r w:rsidRPr="000C7CFA">
              <w:rPr>
                <w:rFonts w:ascii="Verdana" w:hAnsi="Verdana"/>
                <w:sz w:val="18"/>
                <w:szCs w:val="18"/>
              </w:rPr>
              <w:t>100 residents and so a local source of Dechlorane Plus (e.g. building and pipe insulation) cannot be ruled out.</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3ADD3A27" w14:textId="77777777" w:rsidR="009F63C9" w:rsidRPr="000C7CFA" w:rsidRDefault="009F63C9" w:rsidP="009F63C9">
            <w:pPr>
              <w:pStyle w:val="BodyText"/>
              <w:spacing w:after="0"/>
              <w:rPr>
                <w:rFonts w:ascii="Verdana" w:hAnsi="Verdana"/>
                <w:sz w:val="18"/>
                <w:szCs w:val="18"/>
              </w:rPr>
            </w:pPr>
            <w:r w:rsidRPr="000C7CFA">
              <w:rPr>
                <w:rFonts w:ascii="Verdana" w:hAnsi="Verdana"/>
                <w:sz w:val="18"/>
                <w:szCs w:val="18"/>
              </w:rPr>
              <w:t>Samples were collected from September 2012 to May 2013 (a total of 34 samples, each collected over 48 hours). The samples represent the atmospheric particulate fraction collected on quartz fibre filters (2.2 μm cut-off).</w:t>
            </w:r>
          </w:p>
          <w:p w14:paraId="540CB22C" w14:textId="77777777" w:rsidR="009F63C9" w:rsidRPr="000C7CFA" w:rsidRDefault="009F63C9" w:rsidP="009F63C9">
            <w:pPr>
              <w:pStyle w:val="BodyText"/>
              <w:spacing w:after="0"/>
              <w:rPr>
                <w:rFonts w:ascii="Verdana" w:hAnsi="Verdana"/>
                <w:sz w:val="18"/>
                <w:szCs w:val="18"/>
              </w:rPr>
            </w:pPr>
            <w:r w:rsidRPr="000C7CFA">
              <w:rPr>
                <w:rFonts w:ascii="Verdana" w:hAnsi="Verdana"/>
                <w:sz w:val="18"/>
                <w:szCs w:val="18"/>
              </w:rPr>
              <w:t>Total DP concentration was 0.05-5 pg/m</w:t>
            </w:r>
            <w:r w:rsidRPr="000C7CFA">
              <w:rPr>
                <w:rFonts w:ascii="Verdana" w:hAnsi="Verdana"/>
                <w:sz w:val="18"/>
                <w:szCs w:val="18"/>
                <w:vertAlign w:val="superscript"/>
              </w:rPr>
              <w:t>3</w:t>
            </w:r>
            <w:r w:rsidRPr="000C7CFA">
              <w:rPr>
                <w:rFonts w:ascii="Verdana" w:hAnsi="Verdana"/>
                <w:sz w:val="18"/>
                <w:szCs w:val="18"/>
              </w:rPr>
              <w:t>.</w:t>
            </w:r>
          </w:p>
          <w:p w14:paraId="061C312F" w14:textId="6C4370C8" w:rsidR="009F63C9" w:rsidRPr="000C7CFA" w:rsidRDefault="009F63C9" w:rsidP="009F63C9">
            <w:pPr>
              <w:pStyle w:val="BodyText"/>
              <w:spacing w:after="0"/>
              <w:rPr>
                <w:rFonts w:ascii="Verdana" w:hAnsi="Verdana"/>
                <w:sz w:val="18"/>
                <w:szCs w:val="18"/>
              </w:rPr>
            </w:pPr>
            <w:r w:rsidRPr="000C7CFA">
              <w:rPr>
                <w:rFonts w:ascii="Verdana" w:hAnsi="Verdana"/>
                <w:sz w:val="18"/>
                <w:szCs w:val="18"/>
              </w:rPr>
              <w:t>Anti-DP was detectable in 9</w:t>
            </w:r>
            <w:r w:rsidR="00AF7606" w:rsidRPr="000C7CFA">
              <w:rPr>
                <w:rFonts w:ascii="Verdana" w:hAnsi="Verdana"/>
                <w:sz w:val="18"/>
                <w:szCs w:val="18"/>
              </w:rPr>
              <w:t>1 %</w:t>
            </w:r>
            <w:r w:rsidRPr="000C7CFA">
              <w:rPr>
                <w:rFonts w:ascii="Verdana" w:hAnsi="Verdana"/>
                <w:sz w:val="18"/>
                <w:szCs w:val="18"/>
              </w:rPr>
              <w:t xml:space="preserve"> of the samples with a mean (± standard erro</w:t>
            </w:r>
            <w:r w:rsidR="00AF7606" w:rsidRPr="000C7CFA">
              <w:rPr>
                <w:rFonts w:ascii="Verdana" w:hAnsi="Verdana"/>
                <w:sz w:val="18"/>
                <w:szCs w:val="18"/>
              </w:rPr>
              <w:t>r) of 1.1 (±0.19) </w:t>
            </w:r>
            <w:r w:rsidRPr="000C7CFA">
              <w:rPr>
                <w:rFonts w:ascii="Verdana" w:hAnsi="Verdana"/>
                <w:sz w:val="18"/>
                <w:szCs w:val="18"/>
              </w:rPr>
              <w:t>pg/m</w:t>
            </w:r>
            <w:r w:rsidRPr="000C7CFA">
              <w:rPr>
                <w:rFonts w:ascii="Verdana" w:hAnsi="Verdana"/>
                <w:sz w:val="18"/>
                <w:szCs w:val="18"/>
                <w:vertAlign w:val="superscript"/>
              </w:rPr>
              <w:t>3</w:t>
            </w:r>
            <w:r w:rsidRPr="000C7CFA">
              <w:rPr>
                <w:rFonts w:ascii="Verdana" w:hAnsi="Verdana"/>
                <w:sz w:val="18"/>
                <w:szCs w:val="18"/>
              </w:rPr>
              <w:t>.</w:t>
            </w:r>
          </w:p>
          <w:p w14:paraId="02977A78" w14:textId="3373C628" w:rsidR="009F63C9" w:rsidRPr="000C7CFA" w:rsidRDefault="009F63C9" w:rsidP="009F63C9">
            <w:pPr>
              <w:pStyle w:val="BodyText"/>
              <w:spacing w:after="0"/>
              <w:rPr>
                <w:rFonts w:ascii="Verdana" w:hAnsi="Verdana"/>
                <w:sz w:val="18"/>
                <w:szCs w:val="18"/>
              </w:rPr>
            </w:pPr>
            <w:r w:rsidRPr="000C7CFA">
              <w:rPr>
                <w:rFonts w:ascii="Verdana" w:hAnsi="Verdana"/>
                <w:sz w:val="18"/>
                <w:szCs w:val="18"/>
              </w:rPr>
              <w:t>Syn-DP was detectable in 9</w:t>
            </w:r>
            <w:r w:rsidR="00AF7606" w:rsidRPr="000C7CFA">
              <w:rPr>
                <w:rFonts w:ascii="Verdana" w:hAnsi="Verdana"/>
                <w:sz w:val="18"/>
                <w:szCs w:val="18"/>
              </w:rPr>
              <w:t>1 %</w:t>
            </w:r>
            <w:r w:rsidRPr="000C7CFA">
              <w:rPr>
                <w:rFonts w:ascii="Verdana" w:hAnsi="Verdana"/>
                <w:sz w:val="18"/>
                <w:szCs w:val="18"/>
              </w:rPr>
              <w:t xml:space="preserve"> of the samples with a mean (± </w:t>
            </w:r>
            <w:r w:rsidR="00AF7606" w:rsidRPr="000C7CFA">
              <w:rPr>
                <w:rFonts w:ascii="Verdana" w:hAnsi="Verdana"/>
                <w:sz w:val="18"/>
                <w:szCs w:val="18"/>
              </w:rPr>
              <w:t>standard error) of 0.29 (±0.04) </w:t>
            </w:r>
            <w:r w:rsidRPr="000C7CFA">
              <w:rPr>
                <w:rFonts w:ascii="Verdana" w:hAnsi="Verdana"/>
                <w:sz w:val="18"/>
                <w:szCs w:val="18"/>
              </w:rPr>
              <w:t>pg/m</w:t>
            </w:r>
            <w:r w:rsidRPr="000C7CFA">
              <w:rPr>
                <w:rFonts w:ascii="Verdana" w:hAnsi="Verdana"/>
                <w:sz w:val="18"/>
                <w:szCs w:val="18"/>
                <w:vertAlign w:val="superscript"/>
              </w:rPr>
              <w:t>3</w:t>
            </w:r>
            <w:r w:rsidRPr="000C7CFA">
              <w:rPr>
                <w:rFonts w:ascii="Verdana" w:hAnsi="Verdana"/>
                <w:sz w:val="18"/>
                <w:szCs w:val="18"/>
              </w:rPr>
              <w:t>.</w:t>
            </w:r>
          </w:p>
          <w:p w14:paraId="08420F62" w14:textId="77777777" w:rsidR="009F63C9" w:rsidRPr="000C7CFA" w:rsidRDefault="009F63C9" w:rsidP="009F63C9">
            <w:pPr>
              <w:autoSpaceDE w:val="0"/>
              <w:autoSpaceDN w:val="0"/>
              <w:adjustRightInd w:val="0"/>
              <w:spacing w:after="0"/>
              <w:rPr>
                <w:rFonts w:ascii="Verdana" w:hAnsi="Verdana"/>
                <w:sz w:val="18"/>
                <w:szCs w:val="18"/>
              </w:rPr>
            </w:pPr>
            <w:r w:rsidRPr="000C7CFA">
              <w:rPr>
                <w:rFonts w:ascii="Verdana" w:hAnsi="Verdana"/>
                <w:sz w:val="18"/>
                <w:szCs w:val="18"/>
              </w:rPr>
              <w:t>The f</w:t>
            </w:r>
            <w:r w:rsidRPr="000C7CFA">
              <w:rPr>
                <w:rFonts w:ascii="Verdana" w:hAnsi="Verdana"/>
                <w:sz w:val="18"/>
                <w:szCs w:val="18"/>
                <w:vertAlign w:val="subscript"/>
              </w:rPr>
              <w:t>anti</w:t>
            </w:r>
            <w:r w:rsidRPr="000C7CFA">
              <w:rPr>
                <w:rFonts w:ascii="Verdana" w:hAnsi="Verdana"/>
                <w:sz w:val="18"/>
                <w:szCs w:val="18"/>
              </w:rPr>
              <w:t xml:space="preserve"> ranged from 0.43 to 0.9 with a mean value of 0.75, which is reasonably consistent with that in commercial Dechlorane Plus products.</w:t>
            </w:r>
          </w:p>
          <w:p w14:paraId="6A8D3744" w14:textId="53F82EE4" w:rsidR="0081254E" w:rsidRPr="000C7CFA" w:rsidRDefault="0081254E" w:rsidP="006E18DF">
            <w:pPr>
              <w:pStyle w:val="BodyText"/>
              <w:spacing w:after="0"/>
              <w:rPr>
                <w:rFonts w:ascii="Verdana" w:hAnsi="Verdana"/>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68E120E" w14:textId="77777777" w:rsidR="0081254E" w:rsidRPr="000C7CFA" w:rsidRDefault="0081254E" w:rsidP="006E18DF">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Salamova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2014)</w:t>
            </w:r>
          </w:p>
        </w:tc>
      </w:tr>
      <w:tr w:rsidR="0081254E" w:rsidRPr="000C7CFA" w14:paraId="31188FC6" w14:textId="77777777" w:rsidTr="00634812">
        <w:trPr>
          <w:cantSplit/>
        </w:trPr>
        <w:tc>
          <w:tcPr>
            <w:tcW w:w="1696" w:type="dxa"/>
            <w:vMerge/>
            <w:tcBorders>
              <w:left w:val="single" w:sz="4" w:space="0" w:color="auto"/>
              <w:right w:val="single" w:sz="4" w:space="0" w:color="auto"/>
            </w:tcBorders>
            <w:shd w:val="clear" w:color="auto" w:fill="auto"/>
            <w:hideMark/>
          </w:tcPr>
          <w:p w14:paraId="5F1299C0" w14:textId="77777777" w:rsidR="0081254E" w:rsidRPr="000C7CFA" w:rsidRDefault="0081254E" w:rsidP="009E7969">
            <w:pPr>
              <w:pStyle w:val="BodyText"/>
              <w:spacing w:after="0"/>
              <w:rPr>
                <w:rFonts w:ascii="Verdana" w:hAnsi="Verdana"/>
                <w:b/>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67A1412D" w14:textId="77777777" w:rsidR="0081254E" w:rsidRPr="000C7CFA" w:rsidRDefault="00F34724" w:rsidP="006E18DF">
            <w:pPr>
              <w:pStyle w:val="BodyText"/>
              <w:spacing w:after="0"/>
              <w:jc w:val="left"/>
              <w:rPr>
                <w:rFonts w:ascii="Verdana" w:hAnsi="Verdana"/>
                <w:sz w:val="18"/>
                <w:szCs w:val="18"/>
              </w:rPr>
            </w:pPr>
            <w:r w:rsidRPr="000C7CFA">
              <w:rPr>
                <w:rFonts w:ascii="Verdana" w:hAnsi="Verdana"/>
                <w:sz w:val="18"/>
                <w:szCs w:val="18"/>
              </w:rPr>
              <w:t xml:space="preserve">Råö </w:t>
            </w:r>
            <w:r w:rsidR="0081254E" w:rsidRPr="000C7CFA">
              <w:rPr>
                <w:rFonts w:ascii="Verdana" w:hAnsi="Verdana"/>
                <w:sz w:val="18"/>
                <w:szCs w:val="18"/>
              </w:rPr>
              <w:t>(Swedish west coast), Pallas (Northern Finland), Aspvreten (Swedish east</w:t>
            </w:r>
            <w:r w:rsidR="00CB0491" w:rsidRPr="000C7CFA">
              <w:rPr>
                <w:rFonts w:ascii="Verdana" w:hAnsi="Verdana"/>
                <w:sz w:val="18"/>
                <w:szCs w:val="18"/>
              </w:rPr>
              <w:t xml:space="preserve"> coast, 70 km SW of Stockholm)</w:t>
            </w:r>
          </w:p>
          <w:p w14:paraId="304E40CD" w14:textId="77777777" w:rsidR="0010775B" w:rsidRPr="000C7CFA" w:rsidRDefault="0010775B" w:rsidP="0010775B">
            <w:pPr>
              <w:pStyle w:val="BodyText"/>
              <w:spacing w:after="0"/>
              <w:jc w:val="left"/>
              <w:rPr>
                <w:rFonts w:ascii="Verdana" w:hAnsi="Verdana"/>
                <w:sz w:val="18"/>
                <w:szCs w:val="18"/>
              </w:rPr>
            </w:pPr>
            <w:r w:rsidRPr="000C7CFA">
              <w:rPr>
                <w:rFonts w:ascii="Verdana" w:hAnsi="Verdana"/>
                <w:sz w:val="18"/>
                <w:szCs w:val="18"/>
              </w:rPr>
              <w:t>[These represent ‘background’ sites.]</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4518D010" w14:textId="77777777" w:rsidR="0081254E" w:rsidRPr="000C7CFA" w:rsidRDefault="0081254E" w:rsidP="006E18DF">
            <w:pPr>
              <w:pStyle w:val="BodyText"/>
              <w:spacing w:after="0"/>
              <w:rPr>
                <w:rFonts w:ascii="Verdana" w:hAnsi="Verdana"/>
                <w:sz w:val="18"/>
                <w:szCs w:val="18"/>
              </w:rPr>
            </w:pPr>
            <w:r w:rsidRPr="000C7CFA">
              <w:rPr>
                <w:rFonts w:ascii="Verdana" w:hAnsi="Verdana"/>
                <w:sz w:val="18"/>
                <w:szCs w:val="18"/>
              </w:rPr>
              <w:t xml:space="preserve">Samples were </w:t>
            </w:r>
            <w:r w:rsidR="00F34724" w:rsidRPr="000C7CFA">
              <w:rPr>
                <w:rFonts w:ascii="Verdana" w:hAnsi="Verdana"/>
                <w:sz w:val="18"/>
                <w:szCs w:val="18"/>
              </w:rPr>
              <w:t>apparently collected</w:t>
            </w:r>
            <w:r w:rsidRPr="000C7CFA">
              <w:rPr>
                <w:rFonts w:ascii="Verdana" w:hAnsi="Verdana"/>
                <w:sz w:val="18"/>
                <w:szCs w:val="18"/>
              </w:rPr>
              <w:t xml:space="preserve"> in</w:t>
            </w:r>
            <w:r w:rsidR="00F34724" w:rsidRPr="000C7CFA">
              <w:rPr>
                <w:rFonts w:ascii="Verdana" w:hAnsi="Verdana"/>
                <w:sz w:val="18"/>
                <w:szCs w:val="18"/>
              </w:rPr>
              <w:t xml:space="preserve"> May, July and November 2009 and January 2010</w:t>
            </w:r>
            <w:r w:rsidR="00697AE3" w:rsidRPr="000C7CFA">
              <w:rPr>
                <w:rFonts w:ascii="Verdana" w:hAnsi="Verdana"/>
                <w:sz w:val="18"/>
                <w:szCs w:val="18"/>
              </w:rPr>
              <w:t>. DP</w:t>
            </w:r>
            <w:r w:rsidRPr="000C7CFA">
              <w:rPr>
                <w:rFonts w:ascii="Verdana" w:hAnsi="Verdana"/>
                <w:sz w:val="18"/>
                <w:szCs w:val="18"/>
              </w:rPr>
              <w:t xml:space="preserve"> concentrations </w:t>
            </w:r>
            <w:r w:rsidR="00697AE3" w:rsidRPr="000C7CFA">
              <w:rPr>
                <w:rFonts w:ascii="Verdana" w:hAnsi="Verdana"/>
                <w:sz w:val="18"/>
                <w:szCs w:val="18"/>
              </w:rPr>
              <w:t>were</w:t>
            </w:r>
            <w:r w:rsidRPr="000C7CFA">
              <w:rPr>
                <w:rFonts w:ascii="Verdana" w:hAnsi="Verdana"/>
                <w:sz w:val="18"/>
                <w:szCs w:val="18"/>
              </w:rPr>
              <w:t>:</w:t>
            </w:r>
          </w:p>
          <w:p w14:paraId="63F2DC9D" w14:textId="77777777" w:rsidR="0081254E" w:rsidRPr="000C7CFA" w:rsidRDefault="0081254E" w:rsidP="006E18DF">
            <w:pPr>
              <w:pStyle w:val="BodyText"/>
              <w:spacing w:after="0"/>
              <w:rPr>
                <w:rFonts w:ascii="Verdana" w:hAnsi="Verdana"/>
                <w:sz w:val="18"/>
                <w:szCs w:val="18"/>
              </w:rPr>
            </w:pPr>
            <w:r w:rsidRPr="000C7CFA">
              <w:rPr>
                <w:rFonts w:ascii="Verdana" w:hAnsi="Verdana"/>
                <w:sz w:val="18"/>
                <w:szCs w:val="18"/>
              </w:rPr>
              <w:t>R</w:t>
            </w:r>
            <w:r w:rsidR="00F34724" w:rsidRPr="000C7CFA">
              <w:rPr>
                <w:rFonts w:ascii="Verdana" w:hAnsi="Verdana"/>
                <w:sz w:val="18"/>
                <w:szCs w:val="18"/>
              </w:rPr>
              <w:t>åö</w:t>
            </w:r>
            <w:r w:rsidRPr="000C7CFA">
              <w:rPr>
                <w:rFonts w:ascii="Verdana" w:hAnsi="Verdana"/>
                <w:sz w:val="18"/>
                <w:szCs w:val="18"/>
              </w:rPr>
              <w:t>: 0.18 – 0.52 pg/m</w:t>
            </w:r>
            <w:r w:rsidRPr="000C7CFA">
              <w:rPr>
                <w:rFonts w:ascii="Verdana" w:hAnsi="Verdana"/>
                <w:sz w:val="18"/>
                <w:szCs w:val="18"/>
                <w:vertAlign w:val="superscript"/>
              </w:rPr>
              <w:t xml:space="preserve">3 </w:t>
            </w:r>
            <w:r w:rsidRPr="000C7CFA">
              <w:rPr>
                <w:rFonts w:ascii="Verdana" w:hAnsi="Verdana"/>
                <w:sz w:val="18"/>
                <w:szCs w:val="18"/>
              </w:rPr>
              <w:t>(n=4)</w:t>
            </w:r>
          </w:p>
          <w:p w14:paraId="770654F7" w14:textId="77777777" w:rsidR="0081254E" w:rsidRPr="000C7CFA" w:rsidRDefault="0081254E" w:rsidP="006E18DF">
            <w:pPr>
              <w:pStyle w:val="BodyText"/>
              <w:spacing w:after="0"/>
              <w:rPr>
                <w:rFonts w:ascii="Verdana" w:hAnsi="Verdana"/>
                <w:sz w:val="18"/>
                <w:szCs w:val="18"/>
              </w:rPr>
            </w:pPr>
            <w:r w:rsidRPr="000C7CFA">
              <w:rPr>
                <w:rFonts w:ascii="Verdana" w:hAnsi="Verdana"/>
                <w:sz w:val="18"/>
                <w:szCs w:val="18"/>
              </w:rPr>
              <w:t>Pallas: 0.016 – 0.047 pg/m</w:t>
            </w:r>
            <w:r w:rsidRPr="000C7CFA">
              <w:rPr>
                <w:rFonts w:ascii="Verdana" w:hAnsi="Verdana"/>
                <w:sz w:val="18"/>
                <w:szCs w:val="18"/>
                <w:vertAlign w:val="superscript"/>
              </w:rPr>
              <w:t xml:space="preserve">3 </w:t>
            </w:r>
            <w:r w:rsidRPr="000C7CFA">
              <w:rPr>
                <w:rFonts w:ascii="Verdana" w:hAnsi="Verdana"/>
                <w:sz w:val="18"/>
                <w:szCs w:val="18"/>
              </w:rPr>
              <w:t>(n=2</w:t>
            </w:r>
            <w:r w:rsidR="00F34724" w:rsidRPr="000C7CFA">
              <w:rPr>
                <w:rFonts w:ascii="Verdana" w:hAnsi="Verdana"/>
                <w:sz w:val="18"/>
                <w:szCs w:val="18"/>
              </w:rPr>
              <w:t>; January and July only</w:t>
            </w:r>
            <w:r w:rsidRPr="000C7CFA">
              <w:rPr>
                <w:rFonts w:ascii="Verdana" w:hAnsi="Verdana"/>
                <w:sz w:val="18"/>
                <w:szCs w:val="18"/>
              </w:rPr>
              <w:t>)</w:t>
            </w:r>
          </w:p>
          <w:p w14:paraId="48F67114" w14:textId="77777777" w:rsidR="0081254E" w:rsidRPr="000C7CFA" w:rsidRDefault="0081254E" w:rsidP="0081254E">
            <w:pPr>
              <w:pStyle w:val="BodyText"/>
              <w:spacing w:after="0"/>
              <w:rPr>
                <w:rFonts w:ascii="Verdana" w:hAnsi="Verdana"/>
                <w:sz w:val="18"/>
                <w:szCs w:val="18"/>
              </w:rPr>
            </w:pPr>
            <w:r w:rsidRPr="000C7CFA">
              <w:rPr>
                <w:rFonts w:ascii="Verdana" w:hAnsi="Verdana"/>
                <w:sz w:val="18"/>
                <w:szCs w:val="18"/>
              </w:rPr>
              <w:t>Aspvreten: 0.12 - 0.23 pg/m</w:t>
            </w:r>
            <w:r w:rsidRPr="000C7CFA">
              <w:rPr>
                <w:rFonts w:ascii="Verdana" w:hAnsi="Verdana"/>
                <w:sz w:val="18"/>
                <w:szCs w:val="18"/>
                <w:vertAlign w:val="superscript"/>
              </w:rPr>
              <w:t xml:space="preserve">3 </w:t>
            </w:r>
            <w:r w:rsidRPr="000C7CFA">
              <w:rPr>
                <w:rFonts w:ascii="Verdana" w:hAnsi="Verdana"/>
                <w:sz w:val="18"/>
                <w:szCs w:val="18"/>
              </w:rPr>
              <w:t>(n=3</w:t>
            </w:r>
            <w:r w:rsidR="00F34724" w:rsidRPr="000C7CFA">
              <w:rPr>
                <w:rFonts w:ascii="Verdana" w:hAnsi="Verdana"/>
                <w:sz w:val="18"/>
                <w:szCs w:val="18"/>
              </w:rPr>
              <w:t>; January, July and November</w:t>
            </w:r>
            <w:r w:rsidRPr="000C7CFA">
              <w:rPr>
                <w:rFonts w:ascii="Verdana" w:hAnsi="Verdana"/>
                <w:sz w:val="18"/>
                <w:szCs w:val="18"/>
              </w:rPr>
              <w:t>)</w:t>
            </w:r>
          </w:p>
          <w:p w14:paraId="315CF517" w14:textId="77777777" w:rsidR="00F34724" w:rsidRPr="000C7CFA" w:rsidRDefault="00F34724" w:rsidP="0081254E">
            <w:pPr>
              <w:pStyle w:val="BodyText"/>
              <w:spacing w:after="0"/>
              <w:rPr>
                <w:rFonts w:ascii="Verdana" w:hAnsi="Verdana"/>
                <w:sz w:val="18"/>
                <w:szCs w:val="18"/>
              </w:rPr>
            </w:pPr>
          </w:p>
          <w:p w14:paraId="5633519D" w14:textId="401F1B16" w:rsidR="0010775B" w:rsidRPr="000C7CFA" w:rsidRDefault="00F34724" w:rsidP="0010775B">
            <w:pPr>
              <w:pStyle w:val="BodyText"/>
              <w:spacing w:after="0"/>
              <w:rPr>
                <w:rFonts w:ascii="Verdana" w:hAnsi="Verdana"/>
                <w:sz w:val="18"/>
                <w:szCs w:val="18"/>
              </w:rPr>
            </w:pPr>
            <w:r w:rsidRPr="000C7CFA">
              <w:rPr>
                <w:rFonts w:ascii="Verdana" w:hAnsi="Verdana"/>
                <w:sz w:val="18"/>
                <w:szCs w:val="18"/>
              </w:rPr>
              <w:t xml:space="preserve">Deposition fluxes were </w:t>
            </w:r>
            <w:r w:rsidR="0010775B" w:rsidRPr="000C7CFA">
              <w:rPr>
                <w:rFonts w:ascii="Verdana" w:hAnsi="Verdana"/>
                <w:sz w:val="18"/>
                <w:szCs w:val="18"/>
              </w:rPr>
              <w:t xml:space="preserve">estimated from the </w:t>
            </w:r>
            <w:r w:rsidR="00BB3D8A" w:rsidRPr="000C7CFA">
              <w:rPr>
                <w:rFonts w:ascii="Verdana" w:hAnsi="Verdana"/>
                <w:sz w:val="18"/>
                <w:szCs w:val="18"/>
              </w:rPr>
              <w:t>monthly</w:t>
            </w:r>
            <w:r w:rsidR="0010775B" w:rsidRPr="000C7CFA">
              <w:rPr>
                <w:rFonts w:ascii="Verdana" w:hAnsi="Verdana"/>
                <w:sz w:val="18"/>
                <w:szCs w:val="18"/>
              </w:rPr>
              <w:t xml:space="preserve"> average data as follows:</w:t>
            </w:r>
          </w:p>
          <w:p w14:paraId="09CEE136" w14:textId="77777777" w:rsidR="0010775B" w:rsidRPr="000C7CFA" w:rsidRDefault="0010775B" w:rsidP="0010775B">
            <w:pPr>
              <w:pStyle w:val="BodyText"/>
              <w:spacing w:after="0"/>
              <w:rPr>
                <w:rFonts w:ascii="Verdana" w:hAnsi="Verdana"/>
                <w:sz w:val="18"/>
                <w:szCs w:val="18"/>
              </w:rPr>
            </w:pPr>
            <w:r w:rsidRPr="000C7CFA">
              <w:rPr>
                <w:rFonts w:ascii="Verdana" w:hAnsi="Verdana"/>
                <w:sz w:val="18"/>
                <w:szCs w:val="18"/>
              </w:rPr>
              <w:t>Råö: 0.11 – 0.34 ng/m</w:t>
            </w:r>
            <w:r w:rsidRPr="000C7CFA">
              <w:rPr>
                <w:rFonts w:ascii="Verdana" w:hAnsi="Verdana"/>
                <w:sz w:val="18"/>
                <w:szCs w:val="18"/>
                <w:vertAlign w:val="superscript"/>
              </w:rPr>
              <w:t>2</w:t>
            </w:r>
            <w:r w:rsidRPr="000C7CFA">
              <w:rPr>
                <w:rFonts w:ascii="Verdana" w:hAnsi="Verdana"/>
                <w:sz w:val="18"/>
                <w:szCs w:val="18"/>
              </w:rPr>
              <w:t>/d</w:t>
            </w:r>
          </w:p>
          <w:p w14:paraId="60A27AAE" w14:textId="77777777" w:rsidR="0010775B" w:rsidRPr="000C7CFA" w:rsidRDefault="0010775B" w:rsidP="0010775B">
            <w:pPr>
              <w:pStyle w:val="BodyText"/>
              <w:spacing w:after="0"/>
              <w:rPr>
                <w:rFonts w:ascii="Verdana" w:hAnsi="Verdana"/>
                <w:sz w:val="18"/>
                <w:szCs w:val="18"/>
              </w:rPr>
            </w:pPr>
            <w:r w:rsidRPr="000C7CFA">
              <w:rPr>
                <w:rFonts w:ascii="Verdana" w:hAnsi="Verdana"/>
                <w:sz w:val="18"/>
                <w:szCs w:val="18"/>
              </w:rPr>
              <w:t>Pallas: 0.017 – 0.025 ng/m</w:t>
            </w:r>
            <w:r w:rsidRPr="000C7CFA">
              <w:rPr>
                <w:rFonts w:ascii="Verdana" w:hAnsi="Verdana"/>
                <w:sz w:val="18"/>
                <w:szCs w:val="18"/>
                <w:vertAlign w:val="superscript"/>
              </w:rPr>
              <w:t>2</w:t>
            </w:r>
            <w:r w:rsidRPr="000C7CFA">
              <w:rPr>
                <w:rFonts w:ascii="Verdana" w:hAnsi="Verdana"/>
                <w:sz w:val="18"/>
                <w:szCs w:val="18"/>
              </w:rPr>
              <w:t>/d</w:t>
            </w:r>
          </w:p>
          <w:p w14:paraId="5449498A" w14:textId="77777777" w:rsidR="00F34724" w:rsidRPr="000C7CFA" w:rsidRDefault="0010775B" w:rsidP="0010775B">
            <w:pPr>
              <w:pStyle w:val="BodyText"/>
              <w:spacing w:after="0"/>
              <w:rPr>
                <w:rFonts w:ascii="Verdana" w:hAnsi="Verdana"/>
                <w:sz w:val="18"/>
                <w:szCs w:val="18"/>
              </w:rPr>
            </w:pPr>
            <w:r w:rsidRPr="000C7CFA">
              <w:rPr>
                <w:rFonts w:ascii="Verdana" w:hAnsi="Verdana"/>
                <w:sz w:val="18"/>
                <w:szCs w:val="18"/>
              </w:rPr>
              <w:t>Aspvreten: 0.15 - 0.39 ng/m</w:t>
            </w:r>
            <w:r w:rsidRPr="000C7CFA">
              <w:rPr>
                <w:rFonts w:ascii="Verdana" w:hAnsi="Verdana"/>
                <w:sz w:val="18"/>
                <w:szCs w:val="18"/>
                <w:vertAlign w:val="superscript"/>
              </w:rPr>
              <w:t>2</w:t>
            </w:r>
            <w:r w:rsidRPr="000C7CFA">
              <w:rPr>
                <w:rFonts w:ascii="Verdana" w:hAnsi="Verdana"/>
                <w:sz w:val="18"/>
                <w:szCs w:val="18"/>
              </w:rPr>
              <w:t>/d</w:t>
            </w:r>
            <w:r w:rsidR="00F34724" w:rsidRPr="000C7CFA">
              <w:rPr>
                <w:rFonts w:ascii="Verdana" w:hAnsi="Verdana"/>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A97154B" w14:textId="77777777" w:rsidR="0081254E" w:rsidRPr="000C7CFA" w:rsidRDefault="0081254E" w:rsidP="006E18DF">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Kaj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2010)</w:t>
            </w:r>
          </w:p>
        </w:tc>
      </w:tr>
      <w:tr w:rsidR="0081254E" w:rsidRPr="000C7CFA" w14:paraId="0679EDC9" w14:textId="77777777" w:rsidTr="00634812">
        <w:trPr>
          <w:cantSplit/>
        </w:trPr>
        <w:tc>
          <w:tcPr>
            <w:tcW w:w="1696" w:type="dxa"/>
            <w:vMerge/>
            <w:tcBorders>
              <w:left w:val="single" w:sz="4" w:space="0" w:color="auto"/>
              <w:bottom w:val="single" w:sz="4" w:space="0" w:color="auto"/>
              <w:right w:val="single" w:sz="4" w:space="0" w:color="auto"/>
            </w:tcBorders>
            <w:shd w:val="clear" w:color="auto" w:fill="auto"/>
            <w:hideMark/>
          </w:tcPr>
          <w:p w14:paraId="16507B3F" w14:textId="77777777" w:rsidR="0081254E" w:rsidRPr="000C7CFA" w:rsidRDefault="0081254E" w:rsidP="006E18DF">
            <w:pPr>
              <w:pStyle w:val="BodyText"/>
              <w:spacing w:after="0"/>
              <w:rPr>
                <w:rFonts w:ascii="Verdana" w:hAnsi="Verdana"/>
                <w:b/>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2894CAF9" w14:textId="77777777" w:rsidR="0081254E" w:rsidRPr="000C7CFA" w:rsidRDefault="0081254E" w:rsidP="006E18DF">
            <w:pPr>
              <w:pStyle w:val="BodyText"/>
              <w:spacing w:after="0"/>
              <w:jc w:val="left"/>
              <w:rPr>
                <w:rFonts w:ascii="Verdana" w:hAnsi="Verdana"/>
                <w:sz w:val="18"/>
                <w:szCs w:val="18"/>
              </w:rPr>
            </w:pPr>
            <w:r w:rsidRPr="000C7CFA">
              <w:rPr>
                <w:rFonts w:ascii="Verdana" w:hAnsi="Verdana"/>
                <w:sz w:val="18"/>
                <w:szCs w:val="18"/>
              </w:rPr>
              <w:t>Review of Arctic data</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6F3B76F0" w14:textId="77777777" w:rsidR="0081254E" w:rsidRPr="000C7CFA" w:rsidRDefault="0081254E" w:rsidP="006E18DF">
            <w:pPr>
              <w:pStyle w:val="BodyText"/>
              <w:spacing w:after="0"/>
              <w:rPr>
                <w:rFonts w:ascii="Verdana" w:hAnsi="Verdana"/>
                <w:sz w:val="18"/>
                <w:szCs w:val="18"/>
              </w:rPr>
            </w:pPr>
            <w:r w:rsidRPr="000C7CFA">
              <w:rPr>
                <w:rFonts w:ascii="Verdana" w:hAnsi="Verdana"/>
                <w:sz w:val="18"/>
                <w:szCs w:val="18"/>
              </w:rPr>
              <w:t>Does not cite articles beyond the ones already summarised here</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74ED623" w14:textId="77777777" w:rsidR="0081254E" w:rsidRPr="000C7CFA" w:rsidRDefault="0081254E" w:rsidP="006E18DF">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Vorkamp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2014)</w:t>
            </w:r>
          </w:p>
        </w:tc>
      </w:tr>
    </w:tbl>
    <w:p w14:paraId="0EA3EF2C" w14:textId="77777777" w:rsidR="009F63C9" w:rsidRPr="000C7CFA" w:rsidRDefault="009F63C9">
      <w:pPr>
        <w:rPr>
          <w:rFonts w:ascii="Verdana" w:hAnsi="Verdana"/>
          <w:sz w:val="18"/>
          <w:szCs w:val="18"/>
        </w:rPr>
      </w:pPr>
    </w:p>
    <w:p w14:paraId="421B1279" w14:textId="77777777" w:rsidR="009F63C9" w:rsidRPr="000C7CFA" w:rsidRDefault="009F63C9">
      <w:pPr>
        <w:rPr>
          <w:rFonts w:ascii="Verdana" w:hAnsi="Verdana"/>
          <w:sz w:val="18"/>
          <w:szCs w:val="18"/>
        </w:rPr>
      </w:pPr>
      <w:r w:rsidRPr="000C7CFA">
        <w:rPr>
          <w:rFonts w:ascii="Verdana" w:hAnsi="Verdana"/>
          <w:sz w:val="18"/>
          <w:szCs w:val="18"/>
        </w:rPr>
        <w:br w:type="page"/>
      </w: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39"/>
        <w:gridCol w:w="8534"/>
        <w:gridCol w:w="1388"/>
      </w:tblGrid>
      <w:tr w:rsidR="009F63C9" w:rsidRPr="000C7CFA" w14:paraId="651FFF37" w14:textId="77777777" w:rsidTr="00634812">
        <w:trPr>
          <w:cantSplit/>
          <w:tblHeader/>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23A07B3C" w14:textId="77777777" w:rsidR="009F63C9" w:rsidRPr="000C7CFA" w:rsidRDefault="009F63C9" w:rsidP="0020535B">
            <w:pPr>
              <w:pStyle w:val="BodyText"/>
              <w:spacing w:after="0"/>
              <w:rPr>
                <w:rFonts w:ascii="Verdana" w:hAnsi="Verdana"/>
                <w:b/>
                <w:sz w:val="18"/>
                <w:szCs w:val="18"/>
              </w:rPr>
            </w:pPr>
            <w:r w:rsidRPr="000C7CFA">
              <w:rPr>
                <w:rFonts w:ascii="Verdana" w:hAnsi="Verdana"/>
                <w:b/>
                <w:sz w:val="18"/>
                <w:szCs w:val="18"/>
              </w:rPr>
              <w:lastRenderedPageBreak/>
              <w:t>Compartment</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5EA46704" w14:textId="77777777" w:rsidR="009F63C9" w:rsidRPr="000C7CFA" w:rsidRDefault="009F63C9" w:rsidP="0020535B">
            <w:pPr>
              <w:pStyle w:val="BodyText"/>
              <w:spacing w:after="0"/>
              <w:jc w:val="left"/>
              <w:rPr>
                <w:rFonts w:ascii="Verdana" w:hAnsi="Verdana"/>
                <w:b/>
                <w:sz w:val="18"/>
                <w:szCs w:val="18"/>
              </w:rPr>
            </w:pPr>
            <w:r w:rsidRPr="000C7CFA">
              <w:rPr>
                <w:rFonts w:ascii="Verdana" w:hAnsi="Verdana"/>
                <w:b/>
                <w:sz w:val="18"/>
                <w:szCs w:val="18"/>
              </w:rPr>
              <w:t>Location</w:t>
            </w:r>
          </w:p>
        </w:tc>
        <w:tc>
          <w:tcPr>
            <w:tcW w:w="8534" w:type="dxa"/>
            <w:tcBorders>
              <w:top w:val="single" w:sz="4" w:space="0" w:color="auto"/>
              <w:left w:val="single" w:sz="4" w:space="0" w:color="auto"/>
              <w:bottom w:val="single" w:sz="4" w:space="0" w:color="auto"/>
              <w:right w:val="single" w:sz="4" w:space="0" w:color="auto"/>
            </w:tcBorders>
            <w:shd w:val="clear" w:color="auto" w:fill="auto"/>
            <w:hideMark/>
          </w:tcPr>
          <w:p w14:paraId="6410E376" w14:textId="77777777" w:rsidR="009F63C9" w:rsidRPr="000C7CFA" w:rsidRDefault="009F63C9" w:rsidP="0020535B">
            <w:pPr>
              <w:pStyle w:val="BodyText"/>
              <w:spacing w:after="0"/>
              <w:rPr>
                <w:rFonts w:ascii="Verdana" w:hAnsi="Verdana"/>
                <w:b/>
                <w:sz w:val="18"/>
                <w:szCs w:val="18"/>
              </w:rPr>
            </w:pPr>
            <w:r w:rsidRPr="000C7CFA">
              <w:rPr>
                <w:rFonts w:ascii="Verdana" w:hAnsi="Verdana"/>
                <w:b/>
                <w:sz w:val="18"/>
                <w:szCs w:val="18"/>
              </w:rPr>
              <w:t>Findings</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76F30BFE" w14:textId="77777777" w:rsidR="009F63C9" w:rsidRPr="000C7CFA" w:rsidRDefault="009F63C9" w:rsidP="0020535B">
            <w:pPr>
              <w:autoSpaceDE w:val="0"/>
              <w:autoSpaceDN w:val="0"/>
              <w:adjustRightInd w:val="0"/>
              <w:spacing w:after="0"/>
              <w:rPr>
                <w:rFonts w:ascii="Verdana" w:eastAsia="Calibri" w:hAnsi="Verdana"/>
                <w:b/>
                <w:sz w:val="18"/>
                <w:szCs w:val="18"/>
                <w:lang w:val="en-GB"/>
              </w:rPr>
            </w:pPr>
            <w:r w:rsidRPr="000C7CFA">
              <w:rPr>
                <w:rFonts w:ascii="Verdana" w:eastAsia="Calibri" w:hAnsi="Verdana"/>
                <w:b/>
                <w:sz w:val="18"/>
                <w:szCs w:val="18"/>
                <w:lang w:val="en-GB"/>
              </w:rPr>
              <w:t>Reference</w:t>
            </w:r>
          </w:p>
        </w:tc>
      </w:tr>
      <w:tr w:rsidR="00275CC8" w:rsidRPr="000C7CFA" w14:paraId="391B987F" w14:textId="77777777" w:rsidTr="00634812">
        <w:trPr>
          <w:cantSplit/>
        </w:trPr>
        <w:tc>
          <w:tcPr>
            <w:tcW w:w="1838" w:type="dxa"/>
            <w:vMerge w:val="restart"/>
            <w:tcBorders>
              <w:top w:val="single" w:sz="4" w:space="0" w:color="auto"/>
              <w:left w:val="single" w:sz="4" w:space="0" w:color="auto"/>
              <w:right w:val="single" w:sz="4" w:space="0" w:color="auto"/>
            </w:tcBorders>
            <w:shd w:val="clear" w:color="auto" w:fill="auto"/>
            <w:hideMark/>
          </w:tcPr>
          <w:p w14:paraId="178EC935" w14:textId="77777777" w:rsidR="00275CC8" w:rsidRPr="000C7CFA" w:rsidRDefault="00275CC8" w:rsidP="0081254E">
            <w:pPr>
              <w:pStyle w:val="BodyText"/>
              <w:spacing w:after="0"/>
              <w:rPr>
                <w:rFonts w:ascii="Verdana" w:hAnsi="Verdana"/>
                <w:b/>
                <w:sz w:val="18"/>
                <w:szCs w:val="18"/>
              </w:rPr>
            </w:pPr>
            <w:r w:rsidRPr="000C7CFA">
              <w:rPr>
                <w:rFonts w:ascii="Verdana" w:hAnsi="Verdana"/>
                <w:b/>
                <w:sz w:val="18"/>
                <w:szCs w:val="18"/>
              </w:rPr>
              <w:t>Atmosphere</w:t>
            </w:r>
          </w:p>
          <w:p w14:paraId="5BC9C321" w14:textId="77777777" w:rsidR="00275CC8" w:rsidRPr="000C7CFA" w:rsidRDefault="00275CC8" w:rsidP="0081254E">
            <w:pPr>
              <w:pStyle w:val="BodyText"/>
              <w:spacing w:after="0"/>
              <w:rPr>
                <w:rFonts w:ascii="Verdana" w:hAnsi="Verdana"/>
                <w:b/>
                <w:sz w:val="18"/>
                <w:szCs w:val="18"/>
              </w:rPr>
            </w:pP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664FB0C3" w14:textId="77777777" w:rsidR="00275CC8" w:rsidRPr="000C7CFA" w:rsidRDefault="00275CC8" w:rsidP="0081254E">
            <w:pPr>
              <w:pStyle w:val="BodyText"/>
              <w:spacing w:after="0"/>
              <w:jc w:val="left"/>
              <w:rPr>
                <w:rFonts w:ascii="Verdana" w:hAnsi="Verdana"/>
                <w:sz w:val="18"/>
                <w:szCs w:val="18"/>
              </w:rPr>
            </w:pPr>
            <w:r w:rsidRPr="000C7CFA">
              <w:rPr>
                <w:rFonts w:ascii="Verdana" w:hAnsi="Verdana"/>
                <w:sz w:val="18"/>
                <w:szCs w:val="18"/>
              </w:rPr>
              <w:t>Northern Sweden</w:t>
            </w:r>
          </w:p>
        </w:tc>
        <w:tc>
          <w:tcPr>
            <w:tcW w:w="8534" w:type="dxa"/>
            <w:tcBorders>
              <w:top w:val="single" w:sz="4" w:space="0" w:color="auto"/>
              <w:left w:val="single" w:sz="4" w:space="0" w:color="auto"/>
              <w:bottom w:val="single" w:sz="4" w:space="0" w:color="auto"/>
              <w:right w:val="single" w:sz="4" w:space="0" w:color="auto"/>
            </w:tcBorders>
            <w:shd w:val="clear" w:color="auto" w:fill="auto"/>
            <w:hideMark/>
          </w:tcPr>
          <w:p w14:paraId="1A3D18A3" w14:textId="6595E901" w:rsidR="009F374A" w:rsidRPr="000C7CFA" w:rsidRDefault="00E75898" w:rsidP="009F374A">
            <w:pPr>
              <w:pStyle w:val="BodyText"/>
              <w:spacing w:after="0"/>
              <w:rPr>
                <w:rFonts w:ascii="Verdana" w:hAnsi="Verdana" w:cs="Calibri"/>
                <w:b/>
                <w:bCs/>
                <w:color w:val="000000"/>
                <w:sz w:val="18"/>
                <w:szCs w:val="18"/>
                <w:lang w:eastAsia="en-GB"/>
              </w:rPr>
            </w:pPr>
            <w:r w:rsidRPr="000C7CFA">
              <w:rPr>
                <w:rFonts w:ascii="Verdana" w:hAnsi="Verdana"/>
                <w:sz w:val="18"/>
                <w:szCs w:val="18"/>
              </w:rPr>
              <w:t>Bimonthly bulk atmospheric deposition samples were taken for one year</w:t>
            </w:r>
            <w:r w:rsidR="009F374A" w:rsidRPr="000C7CFA">
              <w:rPr>
                <w:rFonts w:ascii="Verdana" w:hAnsi="Verdana"/>
                <w:sz w:val="18"/>
                <w:szCs w:val="18"/>
              </w:rPr>
              <w:t xml:space="preserve"> from October 2009 to </w:t>
            </w:r>
            <w:r w:rsidR="009F63C9" w:rsidRPr="000C7CFA">
              <w:rPr>
                <w:rFonts w:ascii="Verdana" w:hAnsi="Verdana"/>
                <w:sz w:val="18"/>
                <w:szCs w:val="18"/>
              </w:rPr>
              <w:t xml:space="preserve">November </w:t>
            </w:r>
            <w:r w:rsidR="009F374A" w:rsidRPr="000C7CFA">
              <w:rPr>
                <w:rFonts w:ascii="Verdana" w:hAnsi="Verdana"/>
                <w:sz w:val="18"/>
                <w:szCs w:val="18"/>
              </w:rPr>
              <w:t>2010</w:t>
            </w:r>
            <w:r w:rsidRPr="000C7CFA">
              <w:rPr>
                <w:rFonts w:ascii="Verdana" w:hAnsi="Verdana"/>
                <w:sz w:val="18"/>
                <w:szCs w:val="18"/>
              </w:rPr>
              <w:t>. D</w:t>
            </w:r>
            <w:r w:rsidR="00275CC8" w:rsidRPr="000C7CFA">
              <w:rPr>
                <w:rFonts w:ascii="Verdana" w:hAnsi="Verdana"/>
                <w:sz w:val="18"/>
                <w:szCs w:val="18"/>
              </w:rPr>
              <w:t xml:space="preserve">P was detected </w:t>
            </w:r>
            <w:r w:rsidR="009F374A" w:rsidRPr="000C7CFA">
              <w:rPr>
                <w:rFonts w:ascii="Verdana" w:hAnsi="Verdana"/>
                <w:sz w:val="18"/>
                <w:szCs w:val="18"/>
              </w:rPr>
              <w:t xml:space="preserve">on </w:t>
            </w:r>
            <w:r w:rsidR="00977D93" w:rsidRPr="000C7CFA">
              <w:rPr>
                <w:rFonts w:ascii="Verdana" w:hAnsi="Verdana"/>
                <w:sz w:val="18"/>
                <w:szCs w:val="18"/>
              </w:rPr>
              <w:t>all seven</w:t>
            </w:r>
            <w:r w:rsidR="009F374A" w:rsidRPr="000C7CFA">
              <w:rPr>
                <w:rFonts w:ascii="Verdana" w:hAnsi="Verdana"/>
                <w:sz w:val="18"/>
                <w:szCs w:val="18"/>
              </w:rPr>
              <w:t xml:space="preserve"> sampling occasions </w:t>
            </w:r>
            <w:r w:rsidR="00275CC8" w:rsidRPr="000C7CFA">
              <w:rPr>
                <w:rFonts w:ascii="Verdana" w:hAnsi="Verdana"/>
                <w:sz w:val="18"/>
                <w:szCs w:val="18"/>
              </w:rPr>
              <w:t xml:space="preserve">at </w:t>
            </w:r>
            <w:r w:rsidR="009F374A" w:rsidRPr="000C7CFA">
              <w:rPr>
                <w:rFonts w:ascii="Verdana" w:hAnsi="Verdana"/>
                <w:sz w:val="18"/>
                <w:szCs w:val="18"/>
              </w:rPr>
              <w:t xml:space="preserve">Abisko </w:t>
            </w:r>
            <w:r w:rsidR="00275CC8" w:rsidRPr="000C7CFA">
              <w:rPr>
                <w:rFonts w:ascii="Verdana" w:hAnsi="Verdana"/>
                <w:sz w:val="18"/>
                <w:szCs w:val="18"/>
              </w:rPr>
              <w:t>in the Arctic</w:t>
            </w:r>
            <w:r w:rsidR="00977D93" w:rsidRPr="000C7CFA">
              <w:rPr>
                <w:rFonts w:ascii="Verdana" w:hAnsi="Verdana"/>
                <w:sz w:val="18"/>
                <w:szCs w:val="18"/>
              </w:rPr>
              <w:t xml:space="preserve"> </w:t>
            </w:r>
            <w:r w:rsidR="009F63C9" w:rsidRPr="000C7CFA">
              <w:rPr>
                <w:rFonts w:ascii="Verdana" w:hAnsi="Verdana"/>
                <w:sz w:val="18"/>
                <w:szCs w:val="18"/>
              </w:rPr>
              <w:t xml:space="preserve">(68°20’N, 9°03’E) </w:t>
            </w:r>
            <w:r w:rsidR="00977D93" w:rsidRPr="000C7CFA">
              <w:rPr>
                <w:rFonts w:ascii="Verdana" w:hAnsi="Verdana"/>
                <w:sz w:val="18"/>
                <w:szCs w:val="18"/>
              </w:rPr>
              <w:t>at a maximum amount of 5.7 </w:t>
            </w:r>
            <w:r w:rsidR="009F374A" w:rsidRPr="000C7CFA">
              <w:rPr>
                <w:rFonts w:ascii="Verdana" w:hAnsi="Verdana"/>
                <w:sz w:val="18"/>
                <w:szCs w:val="18"/>
              </w:rPr>
              <w:t>ng per sample (total isomers).</w:t>
            </w:r>
            <w:r w:rsidR="00977D93" w:rsidRPr="000C7CFA">
              <w:rPr>
                <w:rFonts w:ascii="Verdana" w:hAnsi="Verdana"/>
                <w:sz w:val="18"/>
                <w:szCs w:val="18"/>
              </w:rPr>
              <w:t xml:space="preserve"> </w:t>
            </w:r>
            <w:r w:rsidR="009F374A" w:rsidRPr="000C7CFA">
              <w:rPr>
                <w:rFonts w:ascii="Verdana" w:hAnsi="Verdana"/>
                <w:sz w:val="18"/>
                <w:szCs w:val="18"/>
              </w:rPr>
              <w:t>DP was detected on three</w:t>
            </w:r>
            <w:r w:rsidR="00977D93" w:rsidRPr="000C7CFA">
              <w:rPr>
                <w:rFonts w:ascii="Verdana" w:hAnsi="Verdana"/>
                <w:sz w:val="18"/>
                <w:szCs w:val="18"/>
              </w:rPr>
              <w:t xml:space="preserve"> of </w:t>
            </w:r>
            <w:r w:rsidR="009F63C9" w:rsidRPr="000C7CFA">
              <w:rPr>
                <w:rFonts w:ascii="Verdana" w:hAnsi="Verdana"/>
                <w:sz w:val="18"/>
                <w:szCs w:val="18"/>
              </w:rPr>
              <w:t xml:space="preserve">five </w:t>
            </w:r>
            <w:r w:rsidR="009F374A" w:rsidRPr="000C7CFA">
              <w:rPr>
                <w:rFonts w:ascii="Verdana" w:hAnsi="Verdana"/>
                <w:sz w:val="18"/>
                <w:szCs w:val="18"/>
              </w:rPr>
              <w:t xml:space="preserve">sampling occasions </w:t>
            </w:r>
            <w:r w:rsidR="00275CC8" w:rsidRPr="000C7CFA">
              <w:rPr>
                <w:rFonts w:ascii="Verdana" w:hAnsi="Verdana"/>
                <w:sz w:val="18"/>
                <w:szCs w:val="18"/>
              </w:rPr>
              <w:t>a</w:t>
            </w:r>
            <w:r w:rsidR="009F374A" w:rsidRPr="000C7CFA">
              <w:rPr>
                <w:rFonts w:ascii="Verdana" w:hAnsi="Verdana"/>
                <w:sz w:val="18"/>
                <w:szCs w:val="18"/>
              </w:rPr>
              <w:t xml:space="preserve">t Krycklan in the sub-Arctic </w:t>
            </w:r>
            <w:r w:rsidR="009F63C9" w:rsidRPr="000C7CFA">
              <w:rPr>
                <w:rFonts w:ascii="Verdana" w:hAnsi="Verdana"/>
                <w:sz w:val="18"/>
                <w:szCs w:val="18"/>
              </w:rPr>
              <w:t xml:space="preserve">(64°14’N, 19°46’E; located approximately 60 km northwest of the city of Umeå) </w:t>
            </w:r>
            <w:r w:rsidR="009F374A" w:rsidRPr="000C7CFA">
              <w:rPr>
                <w:rFonts w:ascii="Verdana" w:hAnsi="Verdana"/>
                <w:sz w:val="18"/>
                <w:szCs w:val="18"/>
              </w:rPr>
              <w:t>at a maximum amount of 0.16 ng per sample (total isomers).</w:t>
            </w:r>
          </w:p>
          <w:p w14:paraId="34E6D8FE" w14:textId="77777777" w:rsidR="009F63C9" w:rsidRPr="000C7CFA" w:rsidRDefault="009F63C9" w:rsidP="009F63C9">
            <w:pPr>
              <w:pStyle w:val="BodyText"/>
              <w:spacing w:after="0"/>
              <w:rPr>
                <w:rFonts w:ascii="Verdana" w:hAnsi="Verdana"/>
                <w:sz w:val="18"/>
                <w:szCs w:val="18"/>
              </w:rPr>
            </w:pPr>
          </w:p>
          <w:p w14:paraId="27380469" w14:textId="045F02D9" w:rsidR="009F374A" w:rsidRPr="000C7CFA" w:rsidRDefault="009F63C9" w:rsidP="009F374A">
            <w:pPr>
              <w:pStyle w:val="BodyText"/>
              <w:spacing w:after="0"/>
              <w:rPr>
                <w:rFonts w:ascii="Verdana" w:hAnsi="Verdana" w:cs="Calibri"/>
                <w:b/>
                <w:bCs/>
                <w:color w:val="000000"/>
                <w:sz w:val="18"/>
                <w:szCs w:val="18"/>
                <w:lang w:eastAsia="en-GB"/>
              </w:rPr>
            </w:pPr>
            <w:r w:rsidRPr="000C7CFA">
              <w:rPr>
                <w:rFonts w:ascii="Verdana" w:hAnsi="Verdana"/>
                <w:sz w:val="18"/>
                <w:szCs w:val="18"/>
              </w:rPr>
              <w:t>The average (±standard deviation) of the monthly deposition flux for total DP was calculated to be 22±2.1 ng/m</w:t>
            </w:r>
            <w:r w:rsidRPr="000C7CFA">
              <w:rPr>
                <w:rFonts w:ascii="Verdana" w:hAnsi="Verdana"/>
                <w:sz w:val="18"/>
                <w:szCs w:val="18"/>
                <w:vertAlign w:val="superscript"/>
              </w:rPr>
              <w:t>2</w:t>
            </w:r>
            <w:r w:rsidRPr="000C7CFA">
              <w:rPr>
                <w:rFonts w:ascii="Verdana" w:hAnsi="Verdana"/>
                <w:sz w:val="18"/>
                <w:szCs w:val="18"/>
              </w:rPr>
              <w:t>/month at Abisko and 1.1±0.52 ng/m</w:t>
            </w:r>
            <w:r w:rsidRPr="000C7CFA">
              <w:rPr>
                <w:rFonts w:ascii="Verdana" w:hAnsi="Verdana"/>
                <w:sz w:val="18"/>
                <w:szCs w:val="18"/>
                <w:vertAlign w:val="superscript"/>
              </w:rPr>
              <w:t>2</w:t>
            </w:r>
            <w:r w:rsidRPr="000C7CFA">
              <w:rPr>
                <w:rFonts w:ascii="Verdana" w:hAnsi="Verdana"/>
                <w:sz w:val="18"/>
                <w:szCs w:val="18"/>
              </w:rPr>
              <w:t>/month at Krycklan. It is interesting to note that the higher flux was found at the more remote site. Newton et al. (2014) considered the air-parcel back trajectories at both sites. Both sites receive airflow from the west off the Norwegian and Barents Seas, and from the eastern and southern Baltic countries. However, Abisco is around 100 km from the Norwegian coast and receives a higher proportion of its air from the ocean than the continent, whereas a higher proportion of the air at Krycklan comes from the south and east and the air from the ocean passes over the land mass of Norway and Sweden. Thus the differences in fluxes at the two sites may reflect differences in emission sources.</w:t>
            </w:r>
          </w:p>
          <w:p w14:paraId="2B0DFFDF" w14:textId="407E62AB" w:rsidR="00E75898" w:rsidRPr="000C7CFA" w:rsidRDefault="00E75898" w:rsidP="009F374A">
            <w:pPr>
              <w:pStyle w:val="BodyText"/>
              <w:spacing w:after="0"/>
              <w:rPr>
                <w:rFonts w:ascii="Verdana" w:hAnsi="Verdana"/>
                <w:sz w:val="18"/>
                <w:szCs w:val="18"/>
              </w:rPr>
            </w:pPr>
            <w:r w:rsidRPr="000C7CFA">
              <w:rPr>
                <w:rFonts w:ascii="Verdana" w:hAnsi="Verdana"/>
                <w:sz w:val="18"/>
                <w:szCs w:val="18"/>
              </w:rPr>
              <w:t>The fraction of the anti- isomer was lower at the Arctic site</w:t>
            </w:r>
            <w:r w:rsidR="0020535B" w:rsidRPr="000C7CFA">
              <w:rPr>
                <w:rFonts w:ascii="Verdana" w:hAnsi="Verdana"/>
                <w:sz w:val="18"/>
                <w:szCs w:val="18"/>
              </w:rPr>
              <w:t xml:space="preserve"> (mean 0.25) than the sub-Arctic site (mean 0.62)</w:t>
            </w:r>
            <w:r w:rsidRPr="000C7CFA">
              <w:rPr>
                <w:rFonts w:ascii="Verdana" w:hAnsi="Verdana"/>
                <w:sz w:val="18"/>
                <w:szCs w:val="18"/>
              </w:rPr>
              <w:t xml:space="preserve">, suggesting isomer-selective degradation or isomerization during long range </w:t>
            </w:r>
            <w:r w:rsidR="00BB3D8A" w:rsidRPr="000C7CFA">
              <w:rPr>
                <w:rFonts w:ascii="Verdana" w:hAnsi="Verdana"/>
                <w:sz w:val="18"/>
                <w:szCs w:val="18"/>
              </w:rPr>
              <w:t>transport</w:t>
            </w:r>
            <w:r w:rsidR="0020535B" w:rsidRPr="000C7CFA">
              <w:rPr>
                <w:rFonts w:ascii="Verdana" w:hAnsi="Verdana"/>
                <w:sz w:val="18"/>
                <w:szCs w:val="18"/>
              </w:rPr>
              <w:t xml:space="preserve"> to the more remote site. The f</w:t>
            </w:r>
            <w:r w:rsidR="0020535B" w:rsidRPr="000C7CFA">
              <w:rPr>
                <w:rFonts w:ascii="Verdana" w:hAnsi="Verdana"/>
                <w:sz w:val="18"/>
                <w:szCs w:val="18"/>
                <w:vertAlign w:val="subscript"/>
              </w:rPr>
              <w:t xml:space="preserve">anti- </w:t>
            </w:r>
            <w:r w:rsidR="0020535B" w:rsidRPr="000C7CFA">
              <w:rPr>
                <w:rFonts w:ascii="Verdana" w:hAnsi="Verdana"/>
                <w:sz w:val="18"/>
                <w:szCs w:val="18"/>
              </w:rPr>
              <w:t>at the sub-Arctic site was similar to that in commercial products, and may indicate proximity to a local source</w:t>
            </w:r>
            <w:r w:rsidRPr="000C7CFA">
              <w:rPr>
                <w:rFonts w:ascii="Verdana" w:hAnsi="Verdana"/>
                <w:sz w:val="18"/>
                <w:szCs w:val="18"/>
              </w:rPr>
              <w:t>.</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531DCBAD" w14:textId="77777777" w:rsidR="00275CC8" w:rsidRPr="000C7CFA" w:rsidRDefault="00275CC8" w:rsidP="0081254E">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Newton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2014)</w:t>
            </w:r>
          </w:p>
        </w:tc>
      </w:tr>
      <w:tr w:rsidR="00275CC8" w:rsidRPr="000C7CFA" w14:paraId="7BE79275" w14:textId="77777777" w:rsidTr="00634812">
        <w:trPr>
          <w:cantSplit/>
        </w:trPr>
        <w:tc>
          <w:tcPr>
            <w:tcW w:w="1838" w:type="dxa"/>
            <w:vMerge/>
            <w:tcBorders>
              <w:left w:val="single" w:sz="4" w:space="0" w:color="auto"/>
              <w:right w:val="single" w:sz="4" w:space="0" w:color="auto"/>
            </w:tcBorders>
            <w:shd w:val="clear" w:color="auto" w:fill="auto"/>
            <w:hideMark/>
          </w:tcPr>
          <w:p w14:paraId="72B60225" w14:textId="77777777" w:rsidR="00275CC8" w:rsidRPr="000C7CFA" w:rsidRDefault="00275CC8" w:rsidP="006E18DF">
            <w:pPr>
              <w:pStyle w:val="BodyText"/>
              <w:spacing w:after="0"/>
              <w:rPr>
                <w:rFonts w:ascii="Verdana" w:hAnsi="Verdana"/>
                <w:b/>
                <w:sz w:val="18"/>
                <w:szCs w:val="18"/>
              </w:rPr>
            </w:pP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4B7D469E" w14:textId="77777777" w:rsidR="00275CC8" w:rsidRPr="000C7CFA" w:rsidRDefault="00275CC8" w:rsidP="006E18DF">
            <w:pPr>
              <w:pStyle w:val="BodyText"/>
              <w:spacing w:after="0"/>
              <w:jc w:val="left"/>
              <w:rPr>
                <w:rFonts w:ascii="Verdana" w:hAnsi="Verdana"/>
                <w:sz w:val="18"/>
                <w:szCs w:val="18"/>
              </w:rPr>
            </w:pPr>
            <w:r w:rsidRPr="000C7CFA">
              <w:rPr>
                <w:rFonts w:ascii="Verdana" w:hAnsi="Verdana" w:cs="AdvOT2e364b11"/>
                <w:sz w:val="18"/>
                <w:szCs w:val="18"/>
                <w:lang w:eastAsia="en-GB"/>
              </w:rPr>
              <w:t>Entebbe,</w:t>
            </w:r>
            <w:r w:rsidRPr="000C7CFA">
              <w:rPr>
                <w:rFonts w:ascii="Verdana" w:hAnsi="Verdana"/>
                <w:sz w:val="18"/>
                <w:szCs w:val="18"/>
              </w:rPr>
              <w:t xml:space="preserve"> Lake Victoria, Uganda</w:t>
            </w:r>
          </w:p>
        </w:tc>
        <w:tc>
          <w:tcPr>
            <w:tcW w:w="8534" w:type="dxa"/>
            <w:tcBorders>
              <w:top w:val="single" w:sz="4" w:space="0" w:color="auto"/>
              <w:left w:val="single" w:sz="4" w:space="0" w:color="auto"/>
              <w:bottom w:val="single" w:sz="4" w:space="0" w:color="auto"/>
              <w:right w:val="single" w:sz="4" w:space="0" w:color="auto"/>
            </w:tcBorders>
            <w:shd w:val="clear" w:color="auto" w:fill="auto"/>
            <w:hideMark/>
          </w:tcPr>
          <w:p w14:paraId="200AFAEF" w14:textId="4EE012FB" w:rsidR="00275CC8" w:rsidRPr="000C7CFA" w:rsidRDefault="00275CC8" w:rsidP="00CB0491">
            <w:pPr>
              <w:pStyle w:val="BodyText"/>
              <w:spacing w:after="0"/>
              <w:rPr>
                <w:rFonts w:ascii="Verdana" w:hAnsi="Verdana"/>
                <w:sz w:val="18"/>
                <w:szCs w:val="18"/>
              </w:rPr>
            </w:pPr>
            <w:r w:rsidRPr="000C7CFA">
              <w:rPr>
                <w:rFonts w:ascii="Verdana" w:hAnsi="Verdana"/>
                <w:sz w:val="18"/>
                <w:szCs w:val="18"/>
              </w:rPr>
              <w:t>Weekly air sampling between October 2008 and July 2010. DP was not detected in 9 samples from 2008. In the 30 samples from 2009, syn-DP was detected in 1</w:t>
            </w:r>
            <w:r w:rsidR="00AF7606" w:rsidRPr="000C7CFA">
              <w:rPr>
                <w:rFonts w:ascii="Verdana" w:hAnsi="Verdana"/>
                <w:sz w:val="18"/>
                <w:szCs w:val="18"/>
              </w:rPr>
              <w:t>7 %</w:t>
            </w:r>
            <w:r w:rsidRPr="000C7CFA">
              <w:rPr>
                <w:rFonts w:ascii="Verdana" w:hAnsi="Verdana"/>
                <w:sz w:val="18"/>
                <w:szCs w:val="18"/>
              </w:rPr>
              <w:t xml:space="preserve"> of samples (arithmetic mean: 0.21 pg/m</w:t>
            </w:r>
            <w:r w:rsidRPr="000C7CFA">
              <w:rPr>
                <w:rFonts w:ascii="Verdana" w:hAnsi="Verdana"/>
                <w:sz w:val="18"/>
                <w:szCs w:val="18"/>
                <w:vertAlign w:val="superscript"/>
              </w:rPr>
              <w:t>3</w:t>
            </w:r>
            <w:r w:rsidRPr="000C7CFA">
              <w:rPr>
                <w:rFonts w:ascii="Verdana" w:hAnsi="Verdana"/>
                <w:sz w:val="18"/>
                <w:szCs w:val="18"/>
              </w:rPr>
              <w:t>)</w:t>
            </w:r>
            <w:r w:rsidRPr="000C7CFA">
              <w:rPr>
                <w:rFonts w:ascii="Verdana" w:hAnsi="Verdana"/>
                <w:sz w:val="18"/>
                <w:szCs w:val="18"/>
                <w:vertAlign w:val="superscript"/>
              </w:rPr>
              <w:t xml:space="preserve"> </w:t>
            </w:r>
            <w:r w:rsidRPr="000C7CFA">
              <w:rPr>
                <w:rFonts w:ascii="Verdana" w:hAnsi="Verdana"/>
                <w:sz w:val="18"/>
                <w:szCs w:val="18"/>
              </w:rPr>
              <w:t>and anti-DP in 10% of samples (arithmetic mean: 0.10 pg/m</w:t>
            </w:r>
            <w:r w:rsidRPr="000C7CFA">
              <w:rPr>
                <w:rFonts w:ascii="Verdana" w:hAnsi="Verdana"/>
                <w:sz w:val="18"/>
                <w:szCs w:val="18"/>
                <w:vertAlign w:val="superscript"/>
              </w:rPr>
              <w:t>3</w:t>
            </w:r>
            <w:r w:rsidRPr="000C7CFA">
              <w:rPr>
                <w:rFonts w:ascii="Verdana" w:hAnsi="Verdana"/>
                <w:sz w:val="18"/>
                <w:szCs w:val="18"/>
              </w:rPr>
              <w:t>). The geometric mean was below the detection limit for both isomers. In 17 samples from 2010, syn-DP was detected in 1</w:t>
            </w:r>
            <w:r w:rsidR="00AF7606" w:rsidRPr="000C7CFA">
              <w:rPr>
                <w:rFonts w:ascii="Verdana" w:hAnsi="Verdana"/>
                <w:sz w:val="18"/>
                <w:szCs w:val="18"/>
              </w:rPr>
              <w:t>8 %</w:t>
            </w:r>
            <w:r w:rsidRPr="000C7CFA">
              <w:rPr>
                <w:rFonts w:ascii="Verdana" w:hAnsi="Verdana"/>
                <w:sz w:val="18"/>
                <w:szCs w:val="18"/>
              </w:rPr>
              <w:t xml:space="preserve"> of samples (arithmetic mean: 0.46 pg/m</w:t>
            </w:r>
            <w:r w:rsidRPr="000C7CFA">
              <w:rPr>
                <w:rFonts w:ascii="Verdana" w:hAnsi="Verdana"/>
                <w:sz w:val="18"/>
                <w:szCs w:val="18"/>
                <w:vertAlign w:val="superscript"/>
              </w:rPr>
              <w:t>3</w:t>
            </w:r>
            <w:r w:rsidRPr="000C7CFA">
              <w:rPr>
                <w:rFonts w:ascii="Verdana" w:hAnsi="Verdana"/>
                <w:sz w:val="18"/>
                <w:szCs w:val="18"/>
              </w:rPr>
              <w:t>; geometric mean 0.05 pg/m</w:t>
            </w:r>
            <w:r w:rsidRPr="000C7CFA">
              <w:rPr>
                <w:rFonts w:ascii="Verdana" w:hAnsi="Verdana"/>
                <w:sz w:val="18"/>
                <w:szCs w:val="18"/>
                <w:vertAlign w:val="superscript"/>
              </w:rPr>
              <w:t>3</w:t>
            </w:r>
            <w:r w:rsidRPr="000C7CFA">
              <w:rPr>
                <w:rFonts w:ascii="Verdana" w:hAnsi="Verdana"/>
                <w:sz w:val="18"/>
                <w:szCs w:val="18"/>
              </w:rPr>
              <w:t>)</w:t>
            </w:r>
            <w:r w:rsidRPr="000C7CFA">
              <w:rPr>
                <w:rFonts w:ascii="Verdana" w:hAnsi="Verdana"/>
                <w:sz w:val="18"/>
                <w:szCs w:val="18"/>
                <w:vertAlign w:val="superscript"/>
              </w:rPr>
              <w:t xml:space="preserve"> </w:t>
            </w:r>
            <w:r w:rsidRPr="000C7CFA">
              <w:rPr>
                <w:rFonts w:ascii="Verdana" w:hAnsi="Verdana"/>
                <w:sz w:val="18"/>
                <w:szCs w:val="18"/>
              </w:rPr>
              <w:t>and anti-DP in 7</w:t>
            </w:r>
            <w:r w:rsidR="00AF7606" w:rsidRPr="000C7CFA">
              <w:rPr>
                <w:rFonts w:ascii="Verdana" w:hAnsi="Verdana"/>
                <w:sz w:val="18"/>
                <w:szCs w:val="18"/>
              </w:rPr>
              <w:t>6 %</w:t>
            </w:r>
            <w:r w:rsidRPr="000C7CFA">
              <w:rPr>
                <w:rFonts w:ascii="Verdana" w:hAnsi="Verdana"/>
                <w:sz w:val="18"/>
                <w:szCs w:val="18"/>
              </w:rPr>
              <w:t xml:space="preserve"> of</w:t>
            </w:r>
            <w:r w:rsidR="00E75898" w:rsidRPr="000C7CFA">
              <w:rPr>
                <w:rFonts w:ascii="Verdana" w:hAnsi="Verdana"/>
                <w:sz w:val="18"/>
                <w:szCs w:val="18"/>
              </w:rPr>
              <w:t xml:space="preserve"> samples (arithmetic mean: 0.33 </w:t>
            </w:r>
            <w:r w:rsidRPr="000C7CFA">
              <w:rPr>
                <w:rFonts w:ascii="Verdana" w:hAnsi="Verdana"/>
                <w:sz w:val="18"/>
                <w:szCs w:val="18"/>
              </w:rPr>
              <w:t>pg/m</w:t>
            </w:r>
            <w:r w:rsidRPr="000C7CFA">
              <w:rPr>
                <w:rFonts w:ascii="Verdana" w:hAnsi="Verdana"/>
                <w:sz w:val="18"/>
                <w:szCs w:val="18"/>
                <w:vertAlign w:val="superscript"/>
              </w:rPr>
              <w:t>3</w:t>
            </w:r>
            <w:r w:rsidRPr="000C7CFA">
              <w:rPr>
                <w:rFonts w:ascii="Verdana" w:hAnsi="Verdana"/>
                <w:sz w:val="18"/>
                <w:szCs w:val="18"/>
              </w:rPr>
              <w:t>; geometric mean 0.18 pg/m</w:t>
            </w:r>
            <w:r w:rsidRPr="000C7CFA">
              <w:rPr>
                <w:rFonts w:ascii="Verdana" w:hAnsi="Verdana"/>
                <w:sz w:val="18"/>
                <w:szCs w:val="18"/>
                <w:vertAlign w:val="superscript"/>
              </w:rPr>
              <w:t>3</w:t>
            </w:r>
            <w:r w:rsidRPr="000C7CFA">
              <w:rPr>
                <w:rFonts w:ascii="Verdana" w:hAnsi="Verdana"/>
                <w:sz w:val="18"/>
                <w:szCs w:val="18"/>
              </w:rPr>
              <w:t xml:space="preserve">). The paper notes that recycling of electronic equipment may be the source of the contamination. </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60496D00" w14:textId="77777777" w:rsidR="00275CC8" w:rsidRPr="000C7CFA" w:rsidRDefault="00275CC8" w:rsidP="006E18DF">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Arinaitwe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2014)</w:t>
            </w:r>
          </w:p>
        </w:tc>
      </w:tr>
      <w:tr w:rsidR="00275CC8" w:rsidRPr="000C7CFA" w14:paraId="76F1DE74" w14:textId="77777777" w:rsidTr="00634812">
        <w:trPr>
          <w:cantSplit/>
        </w:trPr>
        <w:tc>
          <w:tcPr>
            <w:tcW w:w="1838" w:type="dxa"/>
            <w:vMerge/>
            <w:tcBorders>
              <w:left w:val="single" w:sz="4" w:space="0" w:color="auto"/>
              <w:bottom w:val="single" w:sz="4" w:space="0" w:color="auto"/>
              <w:right w:val="single" w:sz="4" w:space="0" w:color="auto"/>
            </w:tcBorders>
            <w:shd w:val="clear" w:color="auto" w:fill="auto"/>
          </w:tcPr>
          <w:p w14:paraId="7DEA7D33" w14:textId="77777777" w:rsidR="00275CC8" w:rsidRPr="000C7CFA" w:rsidRDefault="00275CC8" w:rsidP="006E18DF">
            <w:pPr>
              <w:pStyle w:val="BodyText"/>
              <w:spacing w:after="0"/>
              <w:rPr>
                <w:rFonts w:ascii="Verdana" w:hAnsi="Verdana"/>
                <w:b/>
                <w:sz w:val="18"/>
                <w:szCs w:val="18"/>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7D2008B" w14:textId="7B16D694" w:rsidR="00275CC8" w:rsidRPr="000C7CFA" w:rsidRDefault="0026757C" w:rsidP="0026757C">
            <w:pPr>
              <w:pStyle w:val="BodyText"/>
              <w:spacing w:after="0"/>
              <w:jc w:val="left"/>
              <w:rPr>
                <w:rFonts w:ascii="Verdana" w:hAnsi="Verdana" w:cs="AdvOT2e364b11"/>
                <w:sz w:val="18"/>
                <w:szCs w:val="18"/>
                <w:lang w:eastAsia="en-GB"/>
              </w:rPr>
            </w:pPr>
            <w:r w:rsidRPr="000C7CFA">
              <w:rPr>
                <w:rFonts w:ascii="Verdana" w:hAnsi="Verdana"/>
                <w:sz w:val="18"/>
                <w:szCs w:val="18"/>
              </w:rPr>
              <w:t>All continents except Antarctica</w:t>
            </w:r>
          </w:p>
        </w:tc>
        <w:tc>
          <w:tcPr>
            <w:tcW w:w="8534" w:type="dxa"/>
            <w:tcBorders>
              <w:top w:val="single" w:sz="4" w:space="0" w:color="auto"/>
              <w:left w:val="single" w:sz="4" w:space="0" w:color="auto"/>
              <w:bottom w:val="single" w:sz="4" w:space="0" w:color="auto"/>
              <w:right w:val="single" w:sz="4" w:space="0" w:color="auto"/>
            </w:tcBorders>
            <w:shd w:val="clear" w:color="auto" w:fill="auto"/>
          </w:tcPr>
          <w:p w14:paraId="3E6BA771" w14:textId="3B4BA16C" w:rsidR="0026757C" w:rsidRPr="000C7CFA" w:rsidRDefault="00275CC8" w:rsidP="0026757C">
            <w:pPr>
              <w:pStyle w:val="BodyText"/>
              <w:spacing w:after="0"/>
              <w:rPr>
                <w:rFonts w:ascii="Verdana" w:hAnsi="Verdana"/>
                <w:sz w:val="18"/>
                <w:szCs w:val="18"/>
              </w:rPr>
            </w:pPr>
            <w:r w:rsidRPr="000C7CFA">
              <w:rPr>
                <w:rFonts w:ascii="Verdana" w:hAnsi="Verdana"/>
                <w:sz w:val="18"/>
                <w:szCs w:val="18"/>
              </w:rPr>
              <w:t>Samples collected July – September 2005</w:t>
            </w:r>
            <w:r w:rsidR="0026757C" w:rsidRPr="000C7CFA">
              <w:rPr>
                <w:rFonts w:ascii="Verdana" w:hAnsi="Verdana"/>
                <w:sz w:val="18"/>
                <w:szCs w:val="18"/>
              </w:rPr>
              <w:t xml:space="preserve"> (possibly also 2006)</w:t>
            </w:r>
            <w:r w:rsidRPr="000C7CFA">
              <w:rPr>
                <w:rFonts w:ascii="Verdana" w:hAnsi="Verdana"/>
                <w:sz w:val="18"/>
                <w:szCs w:val="18"/>
              </w:rPr>
              <w:t xml:space="preserve"> for a Global Atmospheric Passive Sampler (GAPS) study</w:t>
            </w:r>
            <w:r w:rsidR="0026757C" w:rsidRPr="000C7CFA">
              <w:rPr>
                <w:rFonts w:ascii="Verdana" w:hAnsi="Verdana"/>
                <w:sz w:val="18"/>
                <w:szCs w:val="18"/>
              </w:rPr>
              <w:t xml:space="preserve"> (25 sites, number of samples not stated)</w:t>
            </w:r>
            <w:r w:rsidRPr="000C7CFA">
              <w:rPr>
                <w:rFonts w:ascii="Verdana" w:hAnsi="Verdana"/>
                <w:sz w:val="18"/>
                <w:szCs w:val="18"/>
              </w:rPr>
              <w:t>.</w:t>
            </w:r>
            <w:r w:rsidR="0026757C" w:rsidRPr="000C7CFA">
              <w:rPr>
                <w:rFonts w:ascii="Verdana" w:hAnsi="Verdana"/>
                <w:sz w:val="18"/>
                <w:szCs w:val="18"/>
              </w:rPr>
              <w:t xml:space="preserve"> Reported concentrations ranged from ‘not detected’ to 348 pg/m</w:t>
            </w:r>
            <w:r w:rsidR="0026757C" w:rsidRPr="000C7CFA">
              <w:rPr>
                <w:rFonts w:ascii="Verdana" w:hAnsi="Verdana"/>
                <w:sz w:val="18"/>
                <w:szCs w:val="18"/>
                <w:vertAlign w:val="superscript"/>
              </w:rPr>
              <w:t>3</w:t>
            </w:r>
            <w:r w:rsidR="0026757C" w:rsidRPr="000C7CFA">
              <w:rPr>
                <w:rFonts w:ascii="Verdana" w:hAnsi="Verdana"/>
                <w:sz w:val="18"/>
                <w:szCs w:val="18"/>
              </w:rPr>
              <w:t>, the highest level being for Cape Grim, Tasmania where population density is very low. It was also detected in</w:t>
            </w:r>
            <w:r w:rsidRPr="000C7CFA">
              <w:rPr>
                <w:rFonts w:ascii="Verdana" w:hAnsi="Verdana"/>
                <w:sz w:val="18"/>
                <w:szCs w:val="18"/>
              </w:rPr>
              <w:t xml:space="preserve"> </w:t>
            </w:r>
            <w:r w:rsidR="00E75898" w:rsidRPr="000C7CFA">
              <w:rPr>
                <w:rFonts w:ascii="Verdana" w:hAnsi="Verdana"/>
                <w:sz w:val="18"/>
                <w:szCs w:val="18"/>
              </w:rPr>
              <w:t xml:space="preserve">north </w:t>
            </w:r>
            <w:r w:rsidRPr="000C7CFA">
              <w:rPr>
                <w:rFonts w:ascii="Verdana" w:hAnsi="Verdana"/>
                <w:sz w:val="18"/>
                <w:szCs w:val="18"/>
              </w:rPr>
              <w:t xml:space="preserve">Alaska and </w:t>
            </w:r>
            <w:r w:rsidR="0026757C" w:rsidRPr="000C7CFA">
              <w:rPr>
                <w:rFonts w:ascii="Verdana" w:hAnsi="Verdana"/>
                <w:sz w:val="18"/>
                <w:szCs w:val="18"/>
              </w:rPr>
              <w:t>Svalbard</w:t>
            </w:r>
            <w:r w:rsidRPr="000C7CFA">
              <w:rPr>
                <w:rFonts w:ascii="Verdana" w:hAnsi="Verdana"/>
                <w:sz w:val="18"/>
                <w:szCs w:val="18"/>
              </w:rPr>
              <w:t>.</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430376D0" w14:textId="77777777" w:rsidR="00275CC8" w:rsidRPr="000C7CFA" w:rsidRDefault="00275CC8" w:rsidP="00275CC8">
            <w:pPr>
              <w:autoSpaceDE w:val="0"/>
              <w:autoSpaceDN w:val="0"/>
              <w:adjustRightInd w:val="0"/>
              <w:spacing w:after="0"/>
              <w:rPr>
                <w:rFonts w:ascii="Verdana" w:eastAsia="Calibri" w:hAnsi="Verdana"/>
                <w:sz w:val="18"/>
                <w:szCs w:val="18"/>
                <w:lang w:val="fr-FR"/>
              </w:rPr>
            </w:pPr>
            <w:r w:rsidRPr="000C7CFA">
              <w:rPr>
                <w:rFonts w:ascii="Verdana" w:eastAsia="Calibri" w:hAnsi="Verdana"/>
                <w:sz w:val="18"/>
                <w:szCs w:val="18"/>
                <w:lang w:val="fr-FR"/>
              </w:rPr>
              <w:t xml:space="preserve">Sverko </w:t>
            </w:r>
            <w:r w:rsidRPr="000C7CFA">
              <w:rPr>
                <w:rFonts w:ascii="Verdana" w:eastAsia="Calibri" w:hAnsi="Verdana"/>
                <w:i/>
                <w:sz w:val="18"/>
                <w:szCs w:val="18"/>
                <w:lang w:val="fr-FR"/>
              </w:rPr>
              <w:t>et al</w:t>
            </w:r>
            <w:r w:rsidRPr="000C7CFA">
              <w:rPr>
                <w:rFonts w:ascii="Verdana" w:eastAsia="Calibri" w:hAnsi="Verdana"/>
                <w:sz w:val="18"/>
                <w:szCs w:val="18"/>
                <w:lang w:val="fr-FR"/>
              </w:rPr>
              <w:t>. (2010</w:t>
            </w:r>
            <w:r w:rsidR="00017229" w:rsidRPr="000C7CFA">
              <w:rPr>
                <w:rFonts w:ascii="Verdana" w:eastAsia="Calibri" w:hAnsi="Verdana"/>
                <w:sz w:val="18"/>
                <w:szCs w:val="18"/>
                <w:lang w:val="fr-FR"/>
              </w:rPr>
              <w:t>a</w:t>
            </w:r>
            <w:r w:rsidRPr="000C7CFA">
              <w:rPr>
                <w:rFonts w:ascii="Verdana" w:eastAsia="Calibri" w:hAnsi="Verdana"/>
                <w:sz w:val="18"/>
                <w:szCs w:val="18"/>
                <w:lang w:val="fr-FR"/>
              </w:rPr>
              <w:t>) [ABST]</w:t>
            </w:r>
          </w:p>
        </w:tc>
      </w:tr>
      <w:tr w:rsidR="00DB0910" w:rsidRPr="000C7CFA" w14:paraId="2AEFDF89" w14:textId="77777777" w:rsidTr="00634812">
        <w:trPr>
          <w:cantSplit/>
        </w:trPr>
        <w:tc>
          <w:tcPr>
            <w:tcW w:w="1838" w:type="dxa"/>
            <w:vMerge w:val="restart"/>
            <w:tcBorders>
              <w:top w:val="single" w:sz="4" w:space="0" w:color="auto"/>
              <w:left w:val="single" w:sz="4" w:space="0" w:color="auto"/>
              <w:right w:val="single" w:sz="4" w:space="0" w:color="auto"/>
            </w:tcBorders>
            <w:shd w:val="clear" w:color="auto" w:fill="auto"/>
            <w:hideMark/>
          </w:tcPr>
          <w:p w14:paraId="37F000A0" w14:textId="77777777" w:rsidR="00DB0910" w:rsidRPr="000C7CFA" w:rsidRDefault="00DB0910" w:rsidP="009E7969">
            <w:pPr>
              <w:pStyle w:val="BodyText"/>
              <w:spacing w:after="0"/>
              <w:rPr>
                <w:rFonts w:ascii="Verdana" w:hAnsi="Verdana"/>
                <w:b/>
                <w:sz w:val="18"/>
                <w:szCs w:val="18"/>
              </w:rPr>
            </w:pPr>
            <w:r w:rsidRPr="000C7CFA">
              <w:rPr>
                <w:rFonts w:ascii="Verdana" w:hAnsi="Verdana"/>
                <w:b/>
                <w:sz w:val="18"/>
                <w:szCs w:val="18"/>
              </w:rPr>
              <w:lastRenderedPageBreak/>
              <w:t>Seawater</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0D54D6F7" w14:textId="77777777" w:rsidR="00DB0910" w:rsidRPr="000C7CFA" w:rsidRDefault="00DB0910" w:rsidP="009E7969">
            <w:pPr>
              <w:pStyle w:val="BodyText"/>
              <w:spacing w:after="0"/>
              <w:jc w:val="left"/>
              <w:rPr>
                <w:rFonts w:ascii="Verdana" w:hAnsi="Verdana"/>
                <w:sz w:val="18"/>
                <w:szCs w:val="18"/>
              </w:rPr>
            </w:pPr>
            <w:r w:rsidRPr="000C7CFA">
              <w:rPr>
                <w:rFonts w:ascii="Verdana" w:hAnsi="Verdana"/>
                <w:sz w:val="18"/>
                <w:szCs w:val="18"/>
              </w:rPr>
              <w:t>Transects</w:t>
            </w:r>
            <w:r w:rsidR="00CB0491" w:rsidRPr="000C7CFA">
              <w:rPr>
                <w:rFonts w:ascii="Verdana" w:hAnsi="Verdana"/>
                <w:sz w:val="18"/>
                <w:szCs w:val="18"/>
              </w:rPr>
              <w:t xml:space="preserve"> of sampling in East Greenland S</w:t>
            </w:r>
            <w:r w:rsidRPr="000C7CFA">
              <w:rPr>
                <w:rFonts w:ascii="Verdana" w:hAnsi="Verdana"/>
                <w:sz w:val="18"/>
                <w:szCs w:val="18"/>
              </w:rPr>
              <w:t xml:space="preserve">ea, </w:t>
            </w:r>
            <w:r w:rsidR="00CB0491" w:rsidRPr="000C7CFA">
              <w:rPr>
                <w:rFonts w:ascii="Verdana" w:hAnsi="Verdana"/>
                <w:sz w:val="18"/>
                <w:szCs w:val="18"/>
              </w:rPr>
              <w:t>northern and southern Atlantic O</w:t>
            </w:r>
            <w:r w:rsidRPr="000C7CFA">
              <w:rPr>
                <w:rFonts w:ascii="Verdana" w:hAnsi="Verdana"/>
                <w:sz w:val="18"/>
                <w:szCs w:val="18"/>
              </w:rPr>
              <w:t>cean</w:t>
            </w:r>
          </w:p>
        </w:tc>
        <w:tc>
          <w:tcPr>
            <w:tcW w:w="8534" w:type="dxa"/>
            <w:tcBorders>
              <w:top w:val="single" w:sz="4" w:space="0" w:color="auto"/>
              <w:left w:val="single" w:sz="4" w:space="0" w:color="auto"/>
              <w:bottom w:val="single" w:sz="4" w:space="0" w:color="auto"/>
              <w:right w:val="single" w:sz="4" w:space="0" w:color="auto"/>
            </w:tcBorders>
            <w:shd w:val="clear" w:color="auto" w:fill="auto"/>
            <w:hideMark/>
          </w:tcPr>
          <w:p w14:paraId="0AC7773C" w14:textId="77777777" w:rsidR="00DB0910" w:rsidRPr="000C7CFA" w:rsidRDefault="00DB0910" w:rsidP="00DB0910">
            <w:pPr>
              <w:pStyle w:val="BodyText"/>
              <w:spacing w:after="0"/>
              <w:jc w:val="left"/>
              <w:rPr>
                <w:rFonts w:ascii="Verdana" w:hAnsi="Verdana"/>
                <w:sz w:val="18"/>
                <w:szCs w:val="18"/>
              </w:rPr>
            </w:pPr>
            <w:r w:rsidRPr="000C7CFA">
              <w:rPr>
                <w:rFonts w:ascii="Verdana" w:hAnsi="Verdana"/>
                <w:sz w:val="18"/>
                <w:szCs w:val="18"/>
              </w:rPr>
              <w:t>Sampling took place during August – September 2009 (Greenland) and November – December 2008 (Atlantic). 10 samples from each transect. Concentrations in sea water were &lt;detection limit – 1.3 pg/L, and DP was mainly detected in the particulate phase. Includes remote areas, but not exclusively.</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2135E070" w14:textId="77777777" w:rsidR="00DB0910" w:rsidRPr="000C7CFA" w:rsidRDefault="00DB0910" w:rsidP="009E7969">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M</w:t>
            </w:r>
            <w:r w:rsidRPr="000C7CFA">
              <w:rPr>
                <w:rFonts w:ascii="Calibri" w:eastAsia="Calibri" w:hAnsi="Calibri" w:cs="Calibri"/>
                <w:sz w:val="18"/>
                <w:szCs w:val="18"/>
                <w:lang w:val="en-GB"/>
              </w:rPr>
              <w:t>ӧ</w:t>
            </w:r>
            <w:r w:rsidRPr="000C7CFA">
              <w:rPr>
                <w:rFonts w:ascii="Verdana" w:eastAsia="Calibri" w:hAnsi="Verdana"/>
                <w:sz w:val="18"/>
                <w:szCs w:val="18"/>
                <w:lang w:val="en-GB"/>
              </w:rPr>
              <w:t>ller</w:t>
            </w:r>
            <w:r w:rsidRPr="000C7CFA">
              <w:rPr>
                <w:rFonts w:ascii="Verdana" w:hAnsi="Verdana" w:cs="AdvOT863180fb"/>
                <w:i/>
                <w:color w:val="000000"/>
                <w:sz w:val="18"/>
                <w:szCs w:val="18"/>
                <w:lang w:val="en-GB" w:eastAsia="en-GB"/>
              </w:rPr>
              <w:t xml:space="preserve"> 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2010)</w:t>
            </w:r>
          </w:p>
        </w:tc>
      </w:tr>
      <w:tr w:rsidR="00DB0910" w:rsidRPr="000C7CFA" w14:paraId="4B9F62AD" w14:textId="77777777" w:rsidTr="00634812">
        <w:trPr>
          <w:cantSplit/>
        </w:trPr>
        <w:tc>
          <w:tcPr>
            <w:tcW w:w="1838" w:type="dxa"/>
            <w:vMerge/>
            <w:tcBorders>
              <w:left w:val="single" w:sz="4" w:space="0" w:color="auto"/>
              <w:bottom w:val="single" w:sz="4" w:space="0" w:color="auto"/>
              <w:right w:val="single" w:sz="4" w:space="0" w:color="auto"/>
            </w:tcBorders>
            <w:shd w:val="clear" w:color="auto" w:fill="auto"/>
          </w:tcPr>
          <w:p w14:paraId="4F5F631C" w14:textId="77777777" w:rsidR="00DB0910" w:rsidRPr="000C7CFA" w:rsidRDefault="00DB0910" w:rsidP="009E7969">
            <w:pPr>
              <w:pStyle w:val="BodyText"/>
              <w:spacing w:after="0"/>
              <w:rPr>
                <w:rFonts w:ascii="Verdana" w:hAnsi="Verdana"/>
                <w:b/>
                <w:sz w:val="18"/>
                <w:szCs w:val="18"/>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96A08EF" w14:textId="77777777" w:rsidR="00DB0910" w:rsidRPr="000C7CFA" w:rsidRDefault="00DB0910" w:rsidP="009E7969">
            <w:pPr>
              <w:pStyle w:val="BodyText"/>
              <w:spacing w:after="0"/>
              <w:jc w:val="left"/>
              <w:rPr>
                <w:rFonts w:ascii="Verdana" w:hAnsi="Verdana"/>
                <w:sz w:val="18"/>
                <w:szCs w:val="18"/>
              </w:rPr>
            </w:pPr>
            <w:r w:rsidRPr="000C7CFA">
              <w:rPr>
                <w:rFonts w:ascii="Verdana" w:hAnsi="Verdana"/>
                <w:sz w:val="18"/>
                <w:szCs w:val="18"/>
              </w:rPr>
              <w:t>Trans</w:t>
            </w:r>
            <w:r w:rsidR="00CB0491" w:rsidRPr="000C7CFA">
              <w:rPr>
                <w:rFonts w:ascii="Verdana" w:hAnsi="Verdana"/>
                <w:sz w:val="18"/>
                <w:szCs w:val="18"/>
              </w:rPr>
              <w:t>ect of sampling from East China S</w:t>
            </w:r>
            <w:r w:rsidRPr="000C7CFA">
              <w:rPr>
                <w:rFonts w:ascii="Verdana" w:hAnsi="Verdana"/>
                <w:sz w:val="18"/>
                <w:szCs w:val="18"/>
              </w:rPr>
              <w:t>ea to Arctic</w:t>
            </w:r>
          </w:p>
        </w:tc>
        <w:tc>
          <w:tcPr>
            <w:tcW w:w="8534" w:type="dxa"/>
            <w:tcBorders>
              <w:top w:val="single" w:sz="4" w:space="0" w:color="auto"/>
              <w:left w:val="single" w:sz="4" w:space="0" w:color="auto"/>
              <w:bottom w:val="single" w:sz="4" w:space="0" w:color="auto"/>
              <w:right w:val="single" w:sz="4" w:space="0" w:color="auto"/>
            </w:tcBorders>
            <w:shd w:val="clear" w:color="auto" w:fill="auto"/>
          </w:tcPr>
          <w:p w14:paraId="13E5718C" w14:textId="77777777" w:rsidR="00DB0910" w:rsidRPr="000C7CFA" w:rsidRDefault="00DB0910" w:rsidP="00DB0910">
            <w:pPr>
              <w:autoSpaceDE w:val="0"/>
              <w:autoSpaceDN w:val="0"/>
              <w:adjustRightInd w:val="0"/>
              <w:spacing w:after="0"/>
              <w:rPr>
                <w:rFonts w:ascii="Verdana" w:hAnsi="Verdana"/>
                <w:sz w:val="18"/>
                <w:szCs w:val="18"/>
              </w:rPr>
            </w:pPr>
            <w:r w:rsidRPr="000C7CFA">
              <w:rPr>
                <w:rFonts w:ascii="Verdana" w:hAnsi="Verdana"/>
                <w:sz w:val="18"/>
                <w:szCs w:val="18"/>
                <w:lang w:val="en-GB"/>
              </w:rPr>
              <w:t xml:space="preserve">18 sea water samples taken between June 2010 and September 2010, with each sample collected over 12-24 h. Seawater concentrations ranged between 0.006 – 0.4 pg/L. </w:t>
            </w:r>
            <w:r w:rsidRPr="000C7CFA">
              <w:rPr>
                <w:rFonts w:ascii="Verdana" w:hAnsi="Verdana"/>
                <w:sz w:val="18"/>
                <w:szCs w:val="18"/>
              </w:rPr>
              <w:t>Includes remote areas, but not exclusively.</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441CE97" w14:textId="09267B2F" w:rsidR="00DB0910" w:rsidRPr="000C7CFA" w:rsidRDefault="00DB0910" w:rsidP="009E7969">
            <w:pPr>
              <w:autoSpaceDE w:val="0"/>
              <w:autoSpaceDN w:val="0"/>
              <w:adjustRightInd w:val="0"/>
              <w:spacing w:after="0"/>
              <w:rPr>
                <w:rFonts w:ascii="Verdana" w:hAnsi="Verdana" w:cs="AdvOT863180fb"/>
                <w:color w:val="2197D2"/>
                <w:sz w:val="18"/>
                <w:szCs w:val="18"/>
                <w:lang w:val="en-GB" w:eastAsia="en-GB"/>
              </w:rPr>
            </w:pPr>
            <w:r w:rsidRPr="000C7CFA">
              <w:rPr>
                <w:rFonts w:ascii="Verdana" w:eastAsia="Calibri" w:hAnsi="Verdana"/>
                <w:sz w:val="18"/>
                <w:szCs w:val="18"/>
                <w:lang w:val="en-GB"/>
              </w:rPr>
              <w:t>M</w:t>
            </w:r>
            <w:r w:rsidR="00634812" w:rsidRPr="000C7CFA">
              <w:rPr>
                <w:rFonts w:ascii="Calibri" w:hAnsi="Calibri" w:cs="Calibri"/>
                <w:sz w:val="18"/>
                <w:szCs w:val="18"/>
                <w:lang w:val="en-GB" w:eastAsia="ar-SA"/>
              </w:rPr>
              <w:t>ӧ</w:t>
            </w:r>
            <w:r w:rsidRPr="000C7CFA">
              <w:rPr>
                <w:rFonts w:ascii="Verdana" w:eastAsia="Calibri" w:hAnsi="Verdana" w:cs="Arial"/>
                <w:sz w:val="18"/>
                <w:szCs w:val="18"/>
                <w:lang w:val="en-GB"/>
              </w:rPr>
              <w:t>̈</w:t>
            </w:r>
            <w:r w:rsidRPr="000C7CFA">
              <w:rPr>
                <w:rFonts w:ascii="Verdana" w:eastAsia="Calibri" w:hAnsi="Verdana"/>
                <w:sz w:val="18"/>
                <w:szCs w:val="18"/>
                <w:lang w:val="en-GB"/>
              </w:rPr>
              <w:t xml:space="preserve">ller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2011)</w:t>
            </w:r>
          </w:p>
        </w:tc>
      </w:tr>
      <w:tr w:rsidR="0020535B" w:rsidRPr="000C7CFA" w14:paraId="70081DC3" w14:textId="77777777" w:rsidTr="00634812">
        <w:trPr>
          <w:cantSplit/>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C996F4C" w14:textId="77777777" w:rsidR="0020535B" w:rsidRPr="000C7CFA" w:rsidRDefault="0020535B" w:rsidP="0020535B">
            <w:pPr>
              <w:pStyle w:val="BodyText"/>
              <w:spacing w:after="0"/>
              <w:jc w:val="left"/>
              <w:rPr>
                <w:rFonts w:ascii="Verdana" w:hAnsi="Verdana"/>
                <w:b/>
                <w:sz w:val="18"/>
                <w:szCs w:val="18"/>
              </w:rPr>
            </w:pPr>
            <w:r w:rsidRPr="000C7CFA">
              <w:rPr>
                <w:rFonts w:ascii="Verdana" w:hAnsi="Verdana"/>
                <w:b/>
                <w:sz w:val="18"/>
                <w:szCs w:val="18"/>
              </w:rPr>
              <w:t>Seawater, sediment, soil and air</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54F9864" w14:textId="77777777" w:rsidR="0020535B" w:rsidRPr="000C7CFA" w:rsidRDefault="0020535B" w:rsidP="0020535B">
            <w:pPr>
              <w:pStyle w:val="BodyText"/>
              <w:spacing w:after="0"/>
              <w:jc w:val="left"/>
              <w:rPr>
                <w:rFonts w:ascii="Verdana" w:hAnsi="Verdana"/>
                <w:sz w:val="18"/>
                <w:szCs w:val="18"/>
                <w:lang w:val="de-DE"/>
              </w:rPr>
            </w:pPr>
            <w:r w:rsidRPr="000C7CFA">
              <w:rPr>
                <w:rFonts w:ascii="Verdana" w:hAnsi="Verdana"/>
                <w:sz w:val="18"/>
                <w:szCs w:val="18"/>
                <w:lang w:val="de-DE"/>
              </w:rPr>
              <w:t>Ny-Ålesund, Svalbard (78°55′N, 11°56′E).</w:t>
            </w:r>
          </w:p>
        </w:tc>
        <w:tc>
          <w:tcPr>
            <w:tcW w:w="8534" w:type="dxa"/>
            <w:tcBorders>
              <w:top w:val="single" w:sz="4" w:space="0" w:color="auto"/>
              <w:left w:val="single" w:sz="4" w:space="0" w:color="auto"/>
              <w:bottom w:val="single" w:sz="4" w:space="0" w:color="auto"/>
              <w:right w:val="single" w:sz="4" w:space="0" w:color="auto"/>
            </w:tcBorders>
            <w:shd w:val="clear" w:color="auto" w:fill="auto"/>
          </w:tcPr>
          <w:p w14:paraId="39960FBE" w14:textId="6A61A2EE" w:rsidR="0020535B" w:rsidRPr="000C7CFA" w:rsidRDefault="0020535B" w:rsidP="0020535B">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Samples of soil, moss and dung were collecte</w:t>
            </w:r>
            <w:r w:rsidR="00FB3AD7" w:rsidRPr="000C7CFA">
              <w:rPr>
                <w:rFonts w:ascii="Verdana" w:eastAsiaTheme="minorHAnsi" w:hAnsi="Verdana"/>
                <w:sz w:val="18"/>
                <w:szCs w:val="18"/>
                <w:lang w:val="en-GB"/>
              </w:rPr>
              <w:t>d simultaneously (see Appendix 4</w:t>
            </w:r>
            <w:r w:rsidRPr="000C7CFA">
              <w:rPr>
                <w:rFonts w:ascii="Verdana" w:eastAsiaTheme="minorHAnsi" w:hAnsi="Verdana"/>
                <w:sz w:val="18"/>
                <w:szCs w:val="18"/>
                <w:lang w:val="en-GB"/>
              </w:rPr>
              <w:t xml:space="preserve"> for the moss and dung results). The mean (and range) of concentrations in the soil samples was 0.042 (0.012-0.105) μg/kg dw) for anti-DP and 0.284 (0.094-1.01) μg/kg dw for syn-DP. The f</w:t>
            </w:r>
            <w:r w:rsidRPr="000C7CFA">
              <w:rPr>
                <w:rFonts w:ascii="Verdana" w:eastAsiaTheme="minorHAnsi" w:hAnsi="Verdana"/>
                <w:sz w:val="18"/>
                <w:szCs w:val="18"/>
                <w:vertAlign w:val="subscript"/>
                <w:lang w:val="en-GB"/>
              </w:rPr>
              <w:t>anti</w:t>
            </w:r>
            <w:r w:rsidRPr="000C7CFA">
              <w:rPr>
                <w:rFonts w:ascii="Verdana" w:eastAsiaTheme="minorHAnsi" w:hAnsi="Verdana"/>
                <w:sz w:val="18"/>
                <w:szCs w:val="18"/>
                <w:lang w:val="en-GB"/>
              </w:rPr>
              <w:t xml:space="preserve"> in the soil samples was 0.18.</w:t>
            </w:r>
          </w:p>
          <w:p w14:paraId="4CE6B694" w14:textId="77777777" w:rsidR="0020535B" w:rsidRPr="000C7CFA" w:rsidRDefault="0020535B" w:rsidP="0020535B">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  </w:t>
            </w:r>
          </w:p>
          <w:p w14:paraId="49F71B57" w14:textId="77777777" w:rsidR="0020535B" w:rsidRPr="000C7CFA" w:rsidRDefault="0020535B" w:rsidP="0020535B">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Sediment and seawater samples were also taken at King’s bay. The mean (and range) measured concentrations were 32 (85-648) pg/L and 61 (22-116) pg/L for anti-DP and syn-DP, respectively, in seawater; and 0.073 (0.023-0.228) μg/kg dw and 0.270 (0.085-0.648) μg/kg dw for anti-DP and syn-DP, respectively, in sediment. The f</w:t>
            </w:r>
            <w:r w:rsidRPr="000C7CFA">
              <w:rPr>
                <w:rFonts w:ascii="Verdana" w:eastAsiaTheme="minorHAnsi" w:hAnsi="Verdana"/>
                <w:sz w:val="18"/>
                <w:szCs w:val="18"/>
                <w:vertAlign w:val="subscript"/>
                <w:lang w:val="en-GB"/>
              </w:rPr>
              <w:t>anti</w:t>
            </w:r>
            <w:r w:rsidRPr="000C7CFA">
              <w:rPr>
                <w:rFonts w:ascii="Verdana" w:eastAsiaTheme="minorHAnsi" w:hAnsi="Verdana"/>
                <w:sz w:val="18"/>
                <w:szCs w:val="18"/>
                <w:lang w:val="en-GB"/>
              </w:rPr>
              <w:t xml:space="preserve"> was 0.36 in seawater and 0.21 in sediment.</w:t>
            </w:r>
          </w:p>
          <w:p w14:paraId="27E0AEB3" w14:textId="77777777" w:rsidR="0020535B" w:rsidRPr="000C7CFA" w:rsidRDefault="0020535B" w:rsidP="0020535B">
            <w:pPr>
              <w:autoSpaceDE w:val="0"/>
              <w:autoSpaceDN w:val="0"/>
              <w:adjustRightInd w:val="0"/>
              <w:spacing w:after="0"/>
              <w:rPr>
                <w:rFonts w:ascii="Verdana" w:eastAsiaTheme="minorHAnsi" w:hAnsi="Verdana"/>
                <w:sz w:val="18"/>
                <w:szCs w:val="18"/>
                <w:lang w:val="en-GB"/>
              </w:rPr>
            </w:pPr>
          </w:p>
          <w:p w14:paraId="719AD78D" w14:textId="2A52ED79" w:rsidR="0020535B" w:rsidRPr="000C7CFA" w:rsidRDefault="0020535B" w:rsidP="00205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rPr>
            </w:pPr>
            <w:r w:rsidRPr="000C7CFA">
              <w:rPr>
                <w:rFonts w:ascii="Verdana" w:eastAsiaTheme="minorHAnsi" w:hAnsi="Verdana"/>
                <w:sz w:val="18"/>
                <w:szCs w:val="18"/>
                <w:lang w:val="en-GB"/>
              </w:rPr>
              <w:t xml:space="preserve">Na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xml:space="preserve"> (2015) considered that the low f</w:t>
            </w:r>
            <w:r w:rsidRPr="000C7CFA">
              <w:rPr>
                <w:rFonts w:ascii="Verdana" w:eastAsiaTheme="minorHAnsi" w:hAnsi="Verdana"/>
                <w:sz w:val="18"/>
                <w:szCs w:val="18"/>
                <w:vertAlign w:val="subscript"/>
                <w:lang w:val="en-GB"/>
              </w:rPr>
              <w:t>anti</w:t>
            </w:r>
            <w:r w:rsidRPr="000C7CFA">
              <w:rPr>
                <w:rFonts w:ascii="Verdana" w:eastAsiaTheme="minorHAnsi" w:hAnsi="Verdana"/>
                <w:sz w:val="18"/>
                <w:szCs w:val="18"/>
                <w:lang w:val="en-GB"/>
              </w:rPr>
              <w:t xml:space="preserve"> values found in water, sediment, soil (an</w:t>
            </w:r>
            <w:r w:rsidR="00FB3AD7" w:rsidRPr="000C7CFA">
              <w:rPr>
                <w:rFonts w:ascii="Verdana" w:eastAsiaTheme="minorHAnsi" w:hAnsi="Verdana"/>
                <w:sz w:val="18"/>
                <w:szCs w:val="18"/>
                <w:lang w:val="en-GB"/>
              </w:rPr>
              <w:t>d also moss; see Appendix 4</w:t>
            </w:r>
            <w:r w:rsidRPr="000C7CFA">
              <w:rPr>
                <w:rFonts w:ascii="Verdana" w:eastAsiaTheme="minorHAnsi" w:hAnsi="Verdana"/>
                <w:sz w:val="18"/>
                <w:szCs w:val="18"/>
                <w:lang w:val="en-GB"/>
              </w:rPr>
              <w:t xml:space="preserve">) may reflect degradation of anti-DP during long-range transport, possibly by UV. </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C4C23D9" w14:textId="77777777" w:rsidR="0020535B" w:rsidRPr="000C7CFA" w:rsidRDefault="0020535B" w:rsidP="0020535B">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Na </w:t>
            </w:r>
            <w:r w:rsidRPr="000C7CFA">
              <w:rPr>
                <w:rFonts w:ascii="Verdana" w:eastAsia="Calibri" w:hAnsi="Verdana"/>
                <w:i/>
                <w:sz w:val="18"/>
                <w:szCs w:val="18"/>
                <w:lang w:val="en-GB"/>
              </w:rPr>
              <w:t>et al.</w:t>
            </w:r>
            <w:r w:rsidRPr="000C7CFA">
              <w:rPr>
                <w:rFonts w:ascii="Verdana" w:eastAsia="Calibri" w:hAnsi="Verdana"/>
                <w:sz w:val="18"/>
                <w:szCs w:val="18"/>
                <w:lang w:val="en-GB"/>
              </w:rPr>
              <w:t xml:space="preserve"> (2015)</w:t>
            </w:r>
          </w:p>
        </w:tc>
      </w:tr>
      <w:tr w:rsidR="00206092" w:rsidRPr="000C7CFA" w14:paraId="00D9A7D7" w14:textId="77777777" w:rsidTr="00634812">
        <w:trPr>
          <w:cantSplit/>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026AAB31" w14:textId="77777777" w:rsidR="00206092" w:rsidRPr="000C7CFA" w:rsidRDefault="00206092" w:rsidP="006E18DF">
            <w:pPr>
              <w:pStyle w:val="BodyText"/>
              <w:spacing w:after="0"/>
              <w:rPr>
                <w:rFonts w:ascii="Verdana" w:hAnsi="Verdana"/>
                <w:b/>
                <w:sz w:val="18"/>
                <w:szCs w:val="18"/>
              </w:rPr>
            </w:pPr>
            <w:r w:rsidRPr="000C7CFA">
              <w:rPr>
                <w:rFonts w:ascii="Verdana" w:hAnsi="Verdana"/>
                <w:b/>
                <w:sz w:val="18"/>
                <w:szCs w:val="18"/>
              </w:rPr>
              <w:t>Sediment</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51363943" w14:textId="77777777" w:rsidR="00206092" w:rsidRPr="000C7CFA" w:rsidRDefault="00206092" w:rsidP="00CB0491">
            <w:pPr>
              <w:pStyle w:val="BodyText"/>
              <w:spacing w:after="0"/>
              <w:jc w:val="left"/>
              <w:rPr>
                <w:rFonts w:ascii="Verdana" w:hAnsi="Verdana"/>
                <w:sz w:val="18"/>
                <w:szCs w:val="18"/>
              </w:rPr>
            </w:pPr>
            <w:r w:rsidRPr="000C7CFA">
              <w:rPr>
                <w:rFonts w:ascii="Verdana" w:hAnsi="Verdana"/>
                <w:sz w:val="18"/>
                <w:szCs w:val="18"/>
              </w:rPr>
              <w:t>Kongsfjorden, Svalbard, Norwegian Arctic</w:t>
            </w:r>
          </w:p>
        </w:tc>
        <w:tc>
          <w:tcPr>
            <w:tcW w:w="8534" w:type="dxa"/>
            <w:tcBorders>
              <w:top w:val="single" w:sz="4" w:space="0" w:color="auto"/>
              <w:left w:val="single" w:sz="4" w:space="0" w:color="auto"/>
              <w:bottom w:val="single" w:sz="4" w:space="0" w:color="auto"/>
              <w:right w:val="single" w:sz="4" w:space="0" w:color="auto"/>
            </w:tcBorders>
            <w:shd w:val="clear" w:color="auto" w:fill="auto"/>
            <w:hideMark/>
          </w:tcPr>
          <w:p w14:paraId="283F9D9B" w14:textId="634A8851" w:rsidR="00206092" w:rsidRPr="000C7CFA" w:rsidRDefault="00206092" w:rsidP="00B4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rPr>
            </w:pPr>
            <w:r w:rsidRPr="000C7CFA">
              <w:rPr>
                <w:rFonts w:ascii="Verdana" w:hAnsi="Verdana"/>
                <w:sz w:val="18"/>
                <w:szCs w:val="18"/>
              </w:rPr>
              <w:t>27 samples of surficial sediment taken in July 2009. Syn-DP and anti-DP were detected in 7</w:t>
            </w:r>
            <w:r w:rsidR="00AF7606" w:rsidRPr="000C7CFA">
              <w:rPr>
                <w:rFonts w:ascii="Verdana" w:hAnsi="Verdana"/>
                <w:sz w:val="18"/>
                <w:szCs w:val="18"/>
              </w:rPr>
              <w:t>8 %</w:t>
            </w:r>
            <w:r w:rsidRPr="000C7CFA">
              <w:rPr>
                <w:rFonts w:ascii="Verdana" w:hAnsi="Verdana"/>
                <w:sz w:val="18"/>
                <w:szCs w:val="18"/>
              </w:rPr>
              <w:t xml:space="preserve"> and 9</w:t>
            </w:r>
            <w:r w:rsidR="00AF7606" w:rsidRPr="000C7CFA">
              <w:rPr>
                <w:rFonts w:ascii="Verdana" w:hAnsi="Verdana"/>
                <w:sz w:val="18"/>
                <w:szCs w:val="18"/>
              </w:rPr>
              <w:t>4 %</w:t>
            </w:r>
            <w:r w:rsidRPr="000C7CFA">
              <w:rPr>
                <w:rFonts w:ascii="Verdana" w:hAnsi="Verdana"/>
                <w:sz w:val="18"/>
                <w:szCs w:val="18"/>
              </w:rPr>
              <w:t xml:space="preserve"> of samples, respectively. Syn-DP ranged between n.d. - 5.4 pg/g dw (mean: 1.4 ± 1.5 pg/g dw). Anti-DP ranged between n.d. - 15.9 pg/g dw (mean: 4.5 ± 4.3 pg/g dw). No clear spatial trend between the outer and inner fjord. The paper notes that it is plausible that both glacial runoff and oceanic currents play a role in introducing DP to the fjord sediments. The relatively low fractional abundance of the syn-DP isomer indicates the long-range transport of this chemical to this Arctic site.</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2B8DFAC2" w14:textId="77777777" w:rsidR="00206092" w:rsidRPr="000C7CFA" w:rsidRDefault="00206092" w:rsidP="006E18DF">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Ma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2015)</w:t>
            </w:r>
          </w:p>
        </w:tc>
      </w:tr>
    </w:tbl>
    <w:p w14:paraId="3908A1E5" w14:textId="77777777" w:rsidR="00DB432B" w:rsidRPr="000C7CFA" w:rsidRDefault="00DB432B" w:rsidP="00DB432B">
      <w:pPr>
        <w:pStyle w:val="BodyText"/>
        <w:rPr>
          <w:rFonts w:ascii="Verdana" w:hAnsi="Verdana"/>
          <w:sz w:val="18"/>
          <w:szCs w:val="18"/>
        </w:rPr>
      </w:pPr>
    </w:p>
    <w:p w14:paraId="1B37B047" w14:textId="77777777" w:rsidR="00DB432B" w:rsidRPr="000C7CFA" w:rsidRDefault="00DB432B" w:rsidP="002923FD">
      <w:pPr>
        <w:pStyle w:val="BodyText"/>
        <w:rPr>
          <w:rFonts w:ascii="Verdana" w:hAnsi="Verdana"/>
          <w:sz w:val="18"/>
          <w:szCs w:val="18"/>
        </w:rPr>
      </w:pPr>
    </w:p>
    <w:p w14:paraId="427249D1" w14:textId="77777777" w:rsidR="00DB432B" w:rsidRPr="000C7CFA" w:rsidRDefault="00DB432B" w:rsidP="0089163D">
      <w:pPr>
        <w:pStyle w:val="Heading2"/>
        <w:rPr>
          <w:rFonts w:ascii="Verdana" w:hAnsi="Verdana"/>
          <w:sz w:val="18"/>
          <w:szCs w:val="18"/>
        </w:rPr>
        <w:sectPr w:rsidR="00DB432B" w:rsidRPr="000C7CFA" w:rsidSect="00DB432B">
          <w:pgSz w:w="16838" w:h="11906" w:orient="landscape" w:code="9"/>
          <w:pgMar w:top="1797" w:right="1440" w:bottom="1797" w:left="1440" w:header="709" w:footer="709" w:gutter="0"/>
          <w:cols w:space="708"/>
          <w:docGrid w:linePitch="360"/>
        </w:sectPr>
      </w:pPr>
    </w:p>
    <w:p w14:paraId="3586AF58" w14:textId="6EFA7395" w:rsidR="0089163D" w:rsidRPr="000C7CFA" w:rsidRDefault="0089163D" w:rsidP="0089163D">
      <w:pPr>
        <w:pStyle w:val="Heading2"/>
        <w:rPr>
          <w:rFonts w:ascii="Verdana" w:hAnsi="Verdana"/>
          <w:sz w:val="18"/>
          <w:szCs w:val="18"/>
        </w:rPr>
      </w:pPr>
      <w:bookmarkStart w:id="57" w:name="_Ref428449982"/>
      <w:bookmarkStart w:id="58" w:name="_Toc491862768"/>
      <w:r w:rsidRPr="000C7CFA">
        <w:rPr>
          <w:rFonts w:ascii="Verdana" w:hAnsi="Verdana"/>
          <w:sz w:val="18"/>
          <w:szCs w:val="18"/>
        </w:rPr>
        <w:lastRenderedPageBreak/>
        <w:t>Bioaccumulation</w:t>
      </w:r>
      <w:bookmarkEnd w:id="53"/>
      <w:bookmarkEnd w:id="57"/>
      <w:bookmarkEnd w:id="58"/>
    </w:p>
    <w:p w14:paraId="0B018356" w14:textId="78A488D2" w:rsidR="0089163D" w:rsidRPr="000C7CFA" w:rsidRDefault="00765778" w:rsidP="008F19E3">
      <w:pPr>
        <w:pStyle w:val="Heading3"/>
        <w:ind w:left="851" w:hanging="851"/>
        <w:rPr>
          <w:rFonts w:ascii="Verdana" w:hAnsi="Verdana"/>
          <w:sz w:val="18"/>
          <w:szCs w:val="18"/>
        </w:rPr>
      </w:pPr>
      <w:bookmarkStart w:id="59" w:name="_Toc265765488"/>
      <w:bookmarkStart w:id="60" w:name="_Ref394656035"/>
      <w:bookmarkStart w:id="61" w:name="_Toc491862769"/>
      <w:r w:rsidRPr="000C7CFA">
        <w:rPr>
          <w:rFonts w:ascii="Verdana" w:hAnsi="Verdana"/>
          <w:sz w:val="18"/>
          <w:szCs w:val="18"/>
        </w:rPr>
        <w:t>B</w:t>
      </w:r>
      <w:r w:rsidR="0089163D" w:rsidRPr="000C7CFA">
        <w:rPr>
          <w:rFonts w:ascii="Verdana" w:hAnsi="Verdana"/>
          <w:sz w:val="18"/>
          <w:szCs w:val="18"/>
        </w:rPr>
        <w:t>ioaccumulation</w:t>
      </w:r>
      <w:bookmarkEnd w:id="59"/>
      <w:r w:rsidRPr="000C7CFA">
        <w:rPr>
          <w:rFonts w:ascii="Verdana" w:hAnsi="Verdana"/>
          <w:sz w:val="18"/>
          <w:szCs w:val="18"/>
        </w:rPr>
        <w:t xml:space="preserve"> in aquatic organisms (pelagic and sediment organ</w:t>
      </w:r>
      <w:r w:rsidR="004C4CA1" w:rsidRPr="000C7CFA">
        <w:rPr>
          <w:rFonts w:ascii="Verdana" w:hAnsi="Verdana"/>
          <w:sz w:val="18"/>
          <w:szCs w:val="18"/>
        </w:rPr>
        <w:t>i</w:t>
      </w:r>
      <w:r w:rsidRPr="000C7CFA">
        <w:rPr>
          <w:rFonts w:ascii="Verdana" w:hAnsi="Verdana"/>
          <w:sz w:val="18"/>
          <w:szCs w:val="18"/>
        </w:rPr>
        <w:t>sms)</w:t>
      </w:r>
      <w:bookmarkEnd w:id="60"/>
      <w:bookmarkEnd w:id="61"/>
    </w:p>
    <w:p w14:paraId="54182ED7" w14:textId="77777777" w:rsidR="00BE0280" w:rsidRPr="000C7CFA" w:rsidRDefault="00BE0280" w:rsidP="00BE0280">
      <w:pPr>
        <w:pStyle w:val="Heading4"/>
        <w:rPr>
          <w:rFonts w:ascii="Verdana" w:hAnsi="Verdana"/>
          <w:i/>
          <w:sz w:val="18"/>
          <w:szCs w:val="18"/>
        </w:rPr>
      </w:pPr>
      <w:bookmarkStart w:id="62" w:name="_Toc162156288"/>
      <w:r w:rsidRPr="000C7CFA">
        <w:rPr>
          <w:rFonts w:ascii="Verdana" w:hAnsi="Verdana"/>
          <w:i/>
          <w:sz w:val="18"/>
          <w:szCs w:val="18"/>
        </w:rPr>
        <w:t>Predicted data</w:t>
      </w:r>
      <w:bookmarkEnd w:id="62"/>
      <w:r w:rsidRPr="000C7CFA">
        <w:rPr>
          <w:rFonts w:ascii="Verdana" w:hAnsi="Verdana"/>
          <w:i/>
          <w:sz w:val="18"/>
          <w:szCs w:val="18"/>
        </w:rPr>
        <w:t xml:space="preserve"> </w:t>
      </w:r>
    </w:p>
    <w:p w14:paraId="3EC9DB93" w14:textId="6B911B9D" w:rsidR="00BE0280" w:rsidRPr="000C7CFA" w:rsidRDefault="00BE0280" w:rsidP="00BE0280">
      <w:pPr>
        <w:pStyle w:val="BodyText"/>
        <w:rPr>
          <w:rFonts w:ascii="Verdana" w:hAnsi="Verdana"/>
          <w:sz w:val="18"/>
          <w:szCs w:val="18"/>
        </w:rPr>
      </w:pPr>
      <w:r w:rsidRPr="000C7CFA">
        <w:rPr>
          <w:rFonts w:ascii="Verdana" w:hAnsi="Verdana"/>
          <w:sz w:val="18"/>
          <w:szCs w:val="18"/>
        </w:rPr>
        <w:t xml:space="preserve">The </w:t>
      </w:r>
      <w:r w:rsidR="0043645D" w:rsidRPr="000C7CFA">
        <w:rPr>
          <w:rFonts w:ascii="Verdana" w:hAnsi="Verdana"/>
          <w:sz w:val="18"/>
          <w:szCs w:val="18"/>
        </w:rPr>
        <w:t>bioconcentration factor (</w:t>
      </w:r>
      <w:r w:rsidRPr="000C7CFA">
        <w:rPr>
          <w:rFonts w:ascii="Verdana" w:hAnsi="Verdana"/>
          <w:sz w:val="18"/>
          <w:szCs w:val="18"/>
        </w:rPr>
        <w:t>BCF</w:t>
      </w:r>
      <w:r w:rsidR="0043645D" w:rsidRPr="000C7CFA">
        <w:rPr>
          <w:rFonts w:ascii="Verdana" w:hAnsi="Verdana"/>
          <w:sz w:val="18"/>
          <w:szCs w:val="18"/>
        </w:rPr>
        <w:t>)</w:t>
      </w:r>
      <w:r w:rsidRPr="000C7CFA">
        <w:rPr>
          <w:rFonts w:ascii="Verdana" w:hAnsi="Verdana"/>
          <w:sz w:val="18"/>
          <w:szCs w:val="18"/>
        </w:rPr>
        <w:t xml:space="preserve"> of an organic chemical can often be predicted using QSAR correlations with log </w:t>
      </w:r>
      <w:r w:rsidR="00140089" w:rsidRPr="000C7CFA">
        <w:rPr>
          <w:rFonts w:ascii="Verdana" w:hAnsi="Verdana"/>
          <w:sz w:val="18"/>
          <w:szCs w:val="18"/>
        </w:rPr>
        <w:t>K</w:t>
      </w:r>
      <w:r w:rsidR="006A0160" w:rsidRPr="000C7CFA">
        <w:rPr>
          <w:rFonts w:ascii="Verdana" w:hAnsi="Verdana"/>
          <w:sz w:val="18"/>
          <w:szCs w:val="18"/>
          <w:vertAlign w:val="subscript"/>
        </w:rPr>
        <w:t>OW</w:t>
      </w:r>
      <w:r w:rsidRPr="000C7CFA">
        <w:rPr>
          <w:rFonts w:ascii="Verdana" w:hAnsi="Verdana"/>
          <w:sz w:val="18"/>
          <w:szCs w:val="18"/>
        </w:rPr>
        <w:t xml:space="preserve">, especially if the substance is not metabolised very readily. No predictions of bioaccumulation potential are made in the registration dossier. </w:t>
      </w:r>
      <w:r w:rsidR="00140089" w:rsidRPr="000C7CFA">
        <w:rPr>
          <w:rFonts w:ascii="Verdana" w:hAnsi="Verdana"/>
          <w:sz w:val="18"/>
          <w:szCs w:val="18"/>
        </w:rPr>
        <w:t>A measured log K</w:t>
      </w:r>
      <w:r w:rsidR="006A0160" w:rsidRPr="000C7CFA">
        <w:rPr>
          <w:rFonts w:ascii="Verdana" w:hAnsi="Verdana"/>
          <w:sz w:val="18"/>
          <w:szCs w:val="18"/>
          <w:vertAlign w:val="subscript"/>
        </w:rPr>
        <w:t>OW</w:t>
      </w:r>
      <w:r w:rsidR="00BA0ECA" w:rsidRPr="000C7CFA">
        <w:rPr>
          <w:rFonts w:ascii="Verdana" w:hAnsi="Verdana"/>
          <w:sz w:val="18"/>
          <w:szCs w:val="18"/>
        </w:rPr>
        <w:t xml:space="preserve"> is not available in the registration dossier either, but it is estimated to be </w:t>
      </w:r>
      <w:r w:rsidR="00A06E38" w:rsidRPr="000C7CFA">
        <w:rPr>
          <w:rFonts w:ascii="Verdana" w:hAnsi="Verdana"/>
          <w:sz w:val="18"/>
          <w:szCs w:val="18"/>
        </w:rPr>
        <w:t>≥</w:t>
      </w:r>
      <w:r w:rsidR="00BA0ECA" w:rsidRPr="000C7CFA">
        <w:rPr>
          <w:rFonts w:ascii="Verdana" w:hAnsi="Verdana"/>
          <w:sz w:val="18"/>
          <w:szCs w:val="18"/>
        </w:rPr>
        <w:t>9 in Section 1.5</w:t>
      </w:r>
      <w:r w:rsidR="00FC761E" w:rsidRPr="000C7CFA">
        <w:rPr>
          <w:rFonts w:ascii="Verdana" w:hAnsi="Verdana"/>
          <w:sz w:val="18"/>
          <w:szCs w:val="18"/>
        </w:rPr>
        <w:t xml:space="preserve"> of the main report</w:t>
      </w:r>
      <w:r w:rsidR="00BA0ECA" w:rsidRPr="000C7CFA">
        <w:rPr>
          <w:rFonts w:ascii="Verdana" w:hAnsi="Verdana"/>
          <w:sz w:val="18"/>
          <w:szCs w:val="18"/>
        </w:rPr>
        <w:t>. For the purposes of this assessment, some standard methods have been used to predict fish BCF values for Dechlorane Plus, although given the uncertainty in the actual log K</w:t>
      </w:r>
      <w:r w:rsidR="006A0160" w:rsidRPr="000C7CFA">
        <w:rPr>
          <w:rFonts w:ascii="Verdana" w:hAnsi="Verdana"/>
          <w:sz w:val="18"/>
          <w:szCs w:val="18"/>
          <w:vertAlign w:val="subscript"/>
        </w:rPr>
        <w:t>OW</w:t>
      </w:r>
      <w:r w:rsidR="00BA0ECA" w:rsidRPr="000C7CFA">
        <w:rPr>
          <w:rFonts w:ascii="Verdana" w:hAnsi="Verdana"/>
          <w:sz w:val="18"/>
          <w:szCs w:val="18"/>
          <w:vertAlign w:val="subscript"/>
        </w:rPr>
        <w:t xml:space="preserve"> </w:t>
      </w:r>
      <w:r w:rsidR="00BA0ECA" w:rsidRPr="000C7CFA">
        <w:rPr>
          <w:rFonts w:ascii="Verdana" w:hAnsi="Verdana"/>
          <w:sz w:val="18"/>
          <w:szCs w:val="18"/>
        </w:rPr>
        <w:t>value they should be considered with</w:t>
      </w:r>
      <w:r w:rsidR="00BA0ECA" w:rsidRPr="000C7CFA">
        <w:rPr>
          <w:rFonts w:ascii="Verdana" w:hAnsi="Verdana"/>
          <w:sz w:val="18"/>
          <w:szCs w:val="18"/>
          <w:vertAlign w:val="subscript"/>
        </w:rPr>
        <w:t xml:space="preserve"> </w:t>
      </w:r>
      <w:r w:rsidR="00BA0ECA" w:rsidRPr="000C7CFA">
        <w:rPr>
          <w:rFonts w:ascii="Verdana" w:hAnsi="Verdana"/>
          <w:sz w:val="18"/>
          <w:szCs w:val="18"/>
        </w:rPr>
        <w:t>caution.</w:t>
      </w:r>
    </w:p>
    <w:p w14:paraId="60F97EB3" w14:textId="283F7309" w:rsidR="00BE0280" w:rsidRPr="000C7CFA" w:rsidRDefault="00BA0ECA" w:rsidP="00DC3658">
      <w:pPr>
        <w:pStyle w:val="BodyText"/>
        <w:numPr>
          <w:ilvl w:val="0"/>
          <w:numId w:val="4"/>
        </w:numPr>
        <w:ind w:left="567" w:right="374" w:hanging="425"/>
        <w:rPr>
          <w:rFonts w:ascii="Verdana" w:hAnsi="Verdana"/>
          <w:sz w:val="18"/>
          <w:szCs w:val="18"/>
        </w:rPr>
      </w:pPr>
      <w:r w:rsidRPr="000C7CFA">
        <w:rPr>
          <w:rFonts w:ascii="Verdana" w:hAnsi="Verdana"/>
          <w:sz w:val="18"/>
          <w:szCs w:val="18"/>
        </w:rPr>
        <w:t>REACH Guidance R.7c (ECHA</w:t>
      </w:r>
      <w:r w:rsidR="00A06E38" w:rsidRPr="000C7CFA">
        <w:rPr>
          <w:rFonts w:ascii="Verdana" w:hAnsi="Verdana"/>
          <w:sz w:val="18"/>
          <w:szCs w:val="18"/>
        </w:rPr>
        <w:t>,</w:t>
      </w:r>
      <w:r w:rsidRPr="000C7CFA">
        <w:rPr>
          <w:rFonts w:ascii="Verdana" w:hAnsi="Verdana"/>
          <w:sz w:val="18"/>
          <w:szCs w:val="18"/>
        </w:rPr>
        <w:t xml:space="preserve"> 20</w:t>
      </w:r>
      <w:r w:rsidR="00A5402F" w:rsidRPr="000C7CFA">
        <w:rPr>
          <w:rFonts w:ascii="Verdana" w:hAnsi="Verdana"/>
          <w:sz w:val="18"/>
          <w:szCs w:val="18"/>
        </w:rPr>
        <w:t>14c</w:t>
      </w:r>
      <w:r w:rsidRPr="000C7CFA">
        <w:rPr>
          <w:rFonts w:ascii="Verdana" w:hAnsi="Verdana"/>
          <w:sz w:val="18"/>
          <w:szCs w:val="18"/>
        </w:rPr>
        <w:t xml:space="preserve">) advises that the linear correlation relationship of BCF with log </w:t>
      </w:r>
      <w:r w:rsidR="006A0160" w:rsidRPr="000C7CFA">
        <w:rPr>
          <w:rFonts w:ascii="Verdana" w:hAnsi="Verdana"/>
          <w:sz w:val="18"/>
          <w:szCs w:val="18"/>
        </w:rPr>
        <w:t>K</w:t>
      </w:r>
      <w:r w:rsidR="006A0160" w:rsidRPr="000C7CFA">
        <w:rPr>
          <w:rFonts w:ascii="Verdana" w:hAnsi="Verdana"/>
          <w:sz w:val="18"/>
          <w:szCs w:val="18"/>
          <w:vertAlign w:val="subscript"/>
        </w:rPr>
        <w:t>OW</w:t>
      </w:r>
      <w:r w:rsidRPr="000C7CFA">
        <w:rPr>
          <w:rFonts w:ascii="Verdana" w:hAnsi="Verdana"/>
          <w:sz w:val="18"/>
          <w:szCs w:val="18"/>
        </w:rPr>
        <w:t xml:space="preserve"> breaks down for substances with log </w:t>
      </w:r>
      <w:r w:rsidR="006A0160" w:rsidRPr="000C7CFA">
        <w:rPr>
          <w:rFonts w:ascii="Verdana" w:hAnsi="Verdana"/>
          <w:sz w:val="18"/>
          <w:szCs w:val="18"/>
        </w:rPr>
        <w:t>K</w:t>
      </w:r>
      <w:r w:rsidR="006A0160" w:rsidRPr="000C7CFA">
        <w:rPr>
          <w:rFonts w:ascii="Verdana" w:hAnsi="Verdana"/>
          <w:sz w:val="18"/>
          <w:szCs w:val="18"/>
          <w:vertAlign w:val="subscript"/>
        </w:rPr>
        <w:t>OW</w:t>
      </w:r>
      <w:r w:rsidRPr="000C7CFA">
        <w:rPr>
          <w:rFonts w:ascii="Verdana" w:hAnsi="Verdana"/>
          <w:sz w:val="18"/>
          <w:szCs w:val="18"/>
        </w:rPr>
        <w:t xml:space="preserve"> values above 6. For these substances, bioaccumulation is limited by reduced bioavailability as a result of low aqueous solubility, slow membrane passage due to large molecular size, and by growth dilution, metabolism, degradation</w:t>
      </w:r>
      <w:r w:rsidR="00DE4D33" w:rsidRPr="000C7CFA">
        <w:rPr>
          <w:rFonts w:ascii="Verdana" w:hAnsi="Verdana"/>
          <w:sz w:val="18"/>
          <w:szCs w:val="18"/>
        </w:rPr>
        <w:t>,</w:t>
      </w:r>
      <w:r w:rsidRPr="000C7CFA">
        <w:rPr>
          <w:rFonts w:ascii="Verdana" w:hAnsi="Verdana"/>
          <w:sz w:val="18"/>
          <w:szCs w:val="18"/>
        </w:rPr>
        <w:t xml:space="preserve"> etc. The equation recommended in the REACH Guidance R.7c is:</w:t>
      </w:r>
    </w:p>
    <w:p w14:paraId="5E7E933C" w14:textId="6570E822" w:rsidR="00BE0280" w:rsidRPr="000C7CFA" w:rsidRDefault="00BA0ECA" w:rsidP="00311563">
      <w:pPr>
        <w:pStyle w:val="BodyText"/>
        <w:ind w:left="1418" w:right="374"/>
        <w:rPr>
          <w:rFonts w:ascii="Verdana" w:hAnsi="Verdana"/>
          <w:sz w:val="18"/>
          <w:szCs w:val="18"/>
        </w:rPr>
      </w:pPr>
      <w:proofErr w:type="gramStart"/>
      <w:r w:rsidRPr="000C7CFA">
        <w:rPr>
          <w:rFonts w:ascii="Verdana" w:hAnsi="Verdana"/>
          <w:i/>
          <w:sz w:val="18"/>
          <w:szCs w:val="18"/>
        </w:rPr>
        <w:t>log</w:t>
      </w:r>
      <w:proofErr w:type="gramEnd"/>
      <w:r w:rsidRPr="000C7CFA">
        <w:rPr>
          <w:rFonts w:ascii="Verdana" w:hAnsi="Verdana"/>
          <w:i/>
          <w:sz w:val="18"/>
          <w:szCs w:val="18"/>
        </w:rPr>
        <w:t xml:space="preserve"> BCF = -0.2×(log K</w:t>
      </w:r>
      <w:r w:rsidR="006A0160" w:rsidRPr="000C7CFA">
        <w:rPr>
          <w:rFonts w:ascii="Verdana" w:hAnsi="Verdana"/>
          <w:i/>
          <w:sz w:val="18"/>
          <w:szCs w:val="18"/>
          <w:vertAlign w:val="subscript"/>
        </w:rPr>
        <w:t>OW</w:t>
      </w:r>
      <w:r w:rsidRPr="000C7CFA">
        <w:rPr>
          <w:rFonts w:ascii="Verdana" w:hAnsi="Verdana"/>
          <w:i/>
          <w:sz w:val="18"/>
          <w:szCs w:val="18"/>
        </w:rPr>
        <w:t>)</w:t>
      </w:r>
      <w:r w:rsidRPr="000C7CFA">
        <w:rPr>
          <w:rFonts w:ascii="Verdana" w:hAnsi="Verdana"/>
          <w:i/>
          <w:sz w:val="18"/>
          <w:szCs w:val="18"/>
          <w:vertAlign w:val="superscript"/>
        </w:rPr>
        <w:t>2</w:t>
      </w:r>
      <w:r w:rsidRPr="000C7CFA">
        <w:rPr>
          <w:rFonts w:ascii="Verdana" w:hAnsi="Verdana"/>
          <w:i/>
          <w:sz w:val="18"/>
          <w:szCs w:val="18"/>
        </w:rPr>
        <w:t xml:space="preserve"> + (2.74×log K</w:t>
      </w:r>
      <w:r w:rsidR="006A0160" w:rsidRPr="000C7CFA">
        <w:rPr>
          <w:rFonts w:ascii="Verdana" w:hAnsi="Verdana"/>
          <w:i/>
          <w:sz w:val="18"/>
          <w:szCs w:val="18"/>
          <w:vertAlign w:val="subscript"/>
        </w:rPr>
        <w:t>OW</w:t>
      </w:r>
      <w:r w:rsidRPr="000C7CFA">
        <w:rPr>
          <w:rFonts w:ascii="Verdana" w:hAnsi="Verdana"/>
          <w:i/>
          <w:sz w:val="18"/>
          <w:szCs w:val="18"/>
        </w:rPr>
        <w:t>) – 4.72</w:t>
      </w:r>
      <w:r w:rsidRPr="000C7CFA">
        <w:rPr>
          <w:rFonts w:ascii="Verdana" w:hAnsi="Verdana"/>
          <w:sz w:val="18"/>
          <w:szCs w:val="18"/>
        </w:rPr>
        <w:tab/>
      </w:r>
    </w:p>
    <w:p w14:paraId="38E34874" w14:textId="17B58A70" w:rsidR="00BE0280" w:rsidRPr="000C7CFA" w:rsidRDefault="00BA0ECA" w:rsidP="00C4097A">
      <w:pPr>
        <w:pStyle w:val="BodyText"/>
        <w:ind w:left="567" w:right="374"/>
        <w:rPr>
          <w:rFonts w:ascii="Verdana" w:hAnsi="Verdana"/>
          <w:sz w:val="18"/>
          <w:szCs w:val="18"/>
        </w:rPr>
      </w:pPr>
      <w:r w:rsidRPr="000C7CFA">
        <w:rPr>
          <w:rFonts w:ascii="Verdana" w:hAnsi="Verdana"/>
          <w:sz w:val="18"/>
          <w:szCs w:val="18"/>
        </w:rPr>
        <w:t>For Dechlorane Plus, th</w:t>
      </w:r>
      <w:r w:rsidR="00A06E38" w:rsidRPr="000C7CFA">
        <w:rPr>
          <w:rFonts w:ascii="Verdana" w:hAnsi="Verdana"/>
          <w:sz w:val="18"/>
          <w:szCs w:val="18"/>
        </w:rPr>
        <w:t>is</w:t>
      </w:r>
      <w:r w:rsidRPr="000C7CFA">
        <w:rPr>
          <w:rFonts w:ascii="Verdana" w:hAnsi="Verdana"/>
          <w:sz w:val="18"/>
          <w:szCs w:val="18"/>
        </w:rPr>
        <w:t xml:space="preserve"> equation gives </w:t>
      </w:r>
      <w:r w:rsidR="00A06E38" w:rsidRPr="000C7CFA">
        <w:rPr>
          <w:rFonts w:ascii="Verdana" w:hAnsi="Verdana"/>
          <w:sz w:val="18"/>
          <w:szCs w:val="18"/>
        </w:rPr>
        <w:t xml:space="preserve">a </w:t>
      </w:r>
      <w:r w:rsidRPr="000C7CFA">
        <w:rPr>
          <w:rFonts w:ascii="Verdana" w:hAnsi="Verdana"/>
          <w:sz w:val="18"/>
          <w:szCs w:val="18"/>
        </w:rPr>
        <w:t xml:space="preserve">calculated BCF of </w:t>
      </w:r>
      <w:r w:rsidR="00A06E38" w:rsidRPr="000C7CFA">
        <w:rPr>
          <w:rFonts w:ascii="Verdana" w:hAnsi="Verdana"/>
          <w:sz w:val="18"/>
          <w:szCs w:val="18"/>
        </w:rPr>
        <w:t>≤</w:t>
      </w:r>
      <w:r w:rsidR="002D4EB9" w:rsidRPr="000C7CFA">
        <w:rPr>
          <w:rFonts w:ascii="Verdana" w:hAnsi="Verdana"/>
          <w:sz w:val="18"/>
          <w:szCs w:val="18"/>
        </w:rPr>
        <w:t>5 </w:t>
      </w:r>
      <w:r w:rsidRPr="000C7CFA">
        <w:rPr>
          <w:rFonts w:ascii="Verdana" w:hAnsi="Verdana"/>
          <w:sz w:val="18"/>
          <w:szCs w:val="18"/>
        </w:rPr>
        <w:t>500 L/kg.</w:t>
      </w:r>
      <w:r w:rsidR="00C4097A" w:rsidRPr="000C7CFA">
        <w:rPr>
          <w:rFonts w:ascii="Verdana" w:hAnsi="Verdana"/>
          <w:sz w:val="18"/>
          <w:szCs w:val="18"/>
        </w:rPr>
        <w:t xml:space="preserve"> However, the REACH Guidance indicates that whilst the model accounts for non-linearity above log K</w:t>
      </w:r>
      <w:r w:rsidR="00C4097A" w:rsidRPr="000C7CFA">
        <w:rPr>
          <w:rFonts w:ascii="Verdana" w:hAnsi="Verdana"/>
          <w:sz w:val="18"/>
          <w:szCs w:val="18"/>
          <w:vertAlign w:val="subscript"/>
        </w:rPr>
        <w:t>OW</w:t>
      </w:r>
      <w:r w:rsidR="00C4097A" w:rsidRPr="000C7CFA">
        <w:rPr>
          <w:rFonts w:ascii="Verdana" w:hAnsi="Verdana"/>
          <w:sz w:val="18"/>
          <w:szCs w:val="18"/>
        </w:rPr>
        <w:t xml:space="preserve"> values of 6, it is unreliable at log K</w:t>
      </w:r>
      <w:r w:rsidR="00C4097A" w:rsidRPr="000C7CFA">
        <w:rPr>
          <w:rFonts w:ascii="Verdana" w:hAnsi="Verdana"/>
          <w:sz w:val="18"/>
          <w:szCs w:val="18"/>
          <w:vertAlign w:val="subscript"/>
        </w:rPr>
        <w:t>OW</w:t>
      </w:r>
      <w:r w:rsidR="00C4097A" w:rsidRPr="000C7CFA">
        <w:rPr>
          <w:rFonts w:ascii="Verdana" w:hAnsi="Verdana"/>
          <w:sz w:val="18"/>
          <w:szCs w:val="18"/>
        </w:rPr>
        <w:t xml:space="preserve"> values above 8.</w:t>
      </w:r>
      <w:r w:rsidRPr="000C7CFA">
        <w:rPr>
          <w:rFonts w:ascii="Verdana" w:hAnsi="Verdana"/>
          <w:sz w:val="18"/>
          <w:szCs w:val="18"/>
        </w:rPr>
        <w:t xml:space="preserve"> </w:t>
      </w:r>
    </w:p>
    <w:p w14:paraId="025F53F3" w14:textId="77777777" w:rsidR="00BE0280" w:rsidRPr="000C7CFA" w:rsidRDefault="00BA0ECA" w:rsidP="00DC3658">
      <w:pPr>
        <w:pStyle w:val="BodyText"/>
        <w:numPr>
          <w:ilvl w:val="0"/>
          <w:numId w:val="4"/>
        </w:numPr>
        <w:ind w:left="567" w:right="374" w:hanging="425"/>
        <w:rPr>
          <w:rFonts w:ascii="Verdana" w:hAnsi="Verdana"/>
          <w:color w:val="000000"/>
          <w:sz w:val="18"/>
          <w:szCs w:val="18"/>
        </w:rPr>
      </w:pPr>
      <w:r w:rsidRPr="000C7CFA">
        <w:rPr>
          <w:rFonts w:ascii="Verdana" w:hAnsi="Verdana"/>
          <w:sz w:val="18"/>
          <w:szCs w:val="18"/>
        </w:rPr>
        <w:t xml:space="preserve">The BCFBAF v3.01 model (U.S. EPA, 2012) </w:t>
      </w:r>
      <w:r w:rsidR="00700C58" w:rsidRPr="000C7CFA">
        <w:rPr>
          <w:rFonts w:ascii="Verdana" w:hAnsi="Verdana"/>
          <w:sz w:val="18"/>
          <w:szCs w:val="18"/>
        </w:rPr>
        <w:t xml:space="preserve">contains two main estimation methods. The first method estimates the BCF from the log </w:t>
      </w:r>
      <w:r w:rsidR="006A0160" w:rsidRPr="000C7CFA">
        <w:rPr>
          <w:rFonts w:ascii="Verdana" w:hAnsi="Verdana"/>
          <w:sz w:val="18"/>
          <w:szCs w:val="18"/>
        </w:rPr>
        <w:t>K</w:t>
      </w:r>
      <w:r w:rsidR="006A0160" w:rsidRPr="000C7CFA">
        <w:rPr>
          <w:rFonts w:ascii="Verdana" w:hAnsi="Verdana"/>
          <w:sz w:val="18"/>
          <w:szCs w:val="18"/>
          <w:vertAlign w:val="subscript"/>
        </w:rPr>
        <w:t>OW</w:t>
      </w:r>
      <w:r w:rsidR="00700C58" w:rsidRPr="000C7CFA">
        <w:rPr>
          <w:rFonts w:ascii="Verdana" w:hAnsi="Verdana"/>
          <w:sz w:val="18"/>
          <w:szCs w:val="18"/>
        </w:rPr>
        <w:t xml:space="preserve"> by one of two regression equations</w:t>
      </w:r>
      <w:r w:rsidR="00A06E38" w:rsidRPr="000C7CFA">
        <w:rPr>
          <w:rFonts w:ascii="Verdana" w:hAnsi="Verdana"/>
          <w:sz w:val="18"/>
          <w:szCs w:val="18"/>
        </w:rPr>
        <w:t xml:space="preserve"> (depending on K</w:t>
      </w:r>
      <w:r w:rsidR="00A06E38" w:rsidRPr="000C7CFA">
        <w:rPr>
          <w:rFonts w:ascii="Verdana" w:hAnsi="Verdana"/>
          <w:sz w:val="18"/>
          <w:szCs w:val="18"/>
          <w:vertAlign w:val="subscript"/>
        </w:rPr>
        <w:t>OW</w:t>
      </w:r>
      <w:r w:rsidR="00A06E38" w:rsidRPr="000C7CFA">
        <w:rPr>
          <w:rFonts w:ascii="Verdana" w:hAnsi="Verdana"/>
          <w:sz w:val="18"/>
          <w:szCs w:val="18"/>
        </w:rPr>
        <w:t>),</w:t>
      </w:r>
      <w:r w:rsidRPr="000C7CFA">
        <w:rPr>
          <w:rFonts w:ascii="Verdana" w:hAnsi="Verdana"/>
          <w:sz w:val="18"/>
          <w:szCs w:val="18"/>
        </w:rPr>
        <w:t xml:space="preserve"> with corrections for specific substance classes. </w:t>
      </w:r>
    </w:p>
    <w:p w14:paraId="1E244189" w14:textId="77777777" w:rsidR="00BE0280" w:rsidRPr="000C7CFA" w:rsidRDefault="00BA0ECA" w:rsidP="00A06E38">
      <w:pPr>
        <w:pStyle w:val="BodyText"/>
        <w:ind w:left="6946" w:right="374" w:hanging="6379"/>
        <w:rPr>
          <w:rFonts w:ascii="Verdana" w:hAnsi="Verdana"/>
          <w:bCs/>
          <w:i/>
          <w:iCs/>
          <w:sz w:val="18"/>
          <w:szCs w:val="18"/>
        </w:rPr>
      </w:pPr>
      <w:r w:rsidRPr="000C7CFA">
        <w:rPr>
          <w:rFonts w:ascii="Verdana" w:hAnsi="Verdana"/>
          <w:sz w:val="18"/>
          <w:szCs w:val="18"/>
          <w:u w:val="single"/>
        </w:rPr>
        <w:t>For log K</w:t>
      </w:r>
      <w:r w:rsidR="006279BC" w:rsidRPr="000C7CFA">
        <w:rPr>
          <w:rFonts w:ascii="Verdana" w:hAnsi="Verdana"/>
          <w:sz w:val="18"/>
          <w:szCs w:val="18"/>
          <w:u w:val="single"/>
          <w:vertAlign w:val="subscript"/>
        </w:rPr>
        <w:t>OW</w:t>
      </w:r>
      <w:r w:rsidRPr="000C7CFA">
        <w:rPr>
          <w:rFonts w:ascii="Verdana" w:hAnsi="Verdana"/>
          <w:sz w:val="18"/>
          <w:szCs w:val="18"/>
          <w:u w:val="single"/>
        </w:rPr>
        <w:t xml:space="preserve"> &gt;7.0</w:t>
      </w:r>
      <w:r w:rsidRPr="000C7CFA">
        <w:rPr>
          <w:rFonts w:ascii="Verdana" w:hAnsi="Verdana"/>
          <w:sz w:val="18"/>
          <w:szCs w:val="18"/>
        </w:rPr>
        <w:t>:</w:t>
      </w:r>
      <w:r w:rsidRPr="000C7CFA">
        <w:rPr>
          <w:rFonts w:ascii="Verdana" w:hAnsi="Verdana"/>
          <w:bCs/>
          <w:i/>
          <w:iCs/>
          <w:sz w:val="18"/>
          <w:szCs w:val="18"/>
        </w:rPr>
        <w:t xml:space="preserve"> log BCF = -0.49</w:t>
      </w:r>
      <w:r w:rsidRPr="000C7CFA">
        <w:rPr>
          <w:rFonts w:ascii="Verdana" w:hAnsi="Verdana"/>
          <w:i/>
          <w:sz w:val="18"/>
          <w:szCs w:val="18"/>
        </w:rPr>
        <w:t>×</w:t>
      </w:r>
      <w:r w:rsidRPr="000C7CFA">
        <w:rPr>
          <w:rFonts w:ascii="Verdana" w:hAnsi="Verdana"/>
          <w:bCs/>
          <w:i/>
          <w:iCs/>
          <w:sz w:val="18"/>
          <w:szCs w:val="18"/>
        </w:rPr>
        <w:t>log K</w:t>
      </w:r>
      <w:r w:rsidR="006A0160" w:rsidRPr="000C7CFA">
        <w:rPr>
          <w:rFonts w:ascii="Verdana" w:hAnsi="Verdana"/>
          <w:bCs/>
          <w:i/>
          <w:iCs/>
          <w:sz w:val="18"/>
          <w:szCs w:val="18"/>
          <w:vertAlign w:val="subscript"/>
        </w:rPr>
        <w:t>OW</w:t>
      </w:r>
      <w:r w:rsidRPr="000C7CFA">
        <w:rPr>
          <w:rFonts w:ascii="Verdana" w:hAnsi="Verdana"/>
          <w:bCs/>
          <w:i/>
          <w:iCs/>
          <w:sz w:val="18"/>
          <w:szCs w:val="18"/>
        </w:rPr>
        <w:t xml:space="preserve"> + 7.554 + ∑Correction factors</w:t>
      </w:r>
    </w:p>
    <w:p w14:paraId="6FF2D759" w14:textId="7D8F7A31" w:rsidR="00BE0280" w:rsidRPr="000C7CFA" w:rsidRDefault="00DE4D33" w:rsidP="004A79FD">
      <w:pPr>
        <w:pStyle w:val="BodyText"/>
        <w:ind w:left="567" w:right="374"/>
        <w:rPr>
          <w:rFonts w:ascii="Verdana" w:hAnsi="Verdana"/>
          <w:sz w:val="18"/>
          <w:szCs w:val="18"/>
        </w:rPr>
      </w:pPr>
      <w:r w:rsidRPr="000C7CFA">
        <w:rPr>
          <w:rFonts w:ascii="Verdana" w:hAnsi="Verdana"/>
          <w:sz w:val="18"/>
          <w:szCs w:val="18"/>
        </w:rPr>
        <w:t>T</w:t>
      </w:r>
      <w:r w:rsidR="00BA0ECA" w:rsidRPr="000C7CFA">
        <w:rPr>
          <w:rFonts w:ascii="Verdana" w:hAnsi="Verdana"/>
          <w:sz w:val="18"/>
          <w:szCs w:val="18"/>
        </w:rPr>
        <w:t>h</w:t>
      </w:r>
      <w:r w:rsidR="00A06E38" w:rsidRPr="000C7CFA">
        <w:rPr>
          <w:rFonts w:ascii="Verdana" w:hAnsi="Verdana"/>
          <w:sz w:val="18"/>
          <w:szCs w:val="18"/>
        </w:rPr>
        <w:t>is</w:t>
      </w:r>
      <w:r w:rsidR="00BA0ECA" w:rsidRPr="000C7CFA">
        <w:rPr>
          <w:rFonts w:ascii="Verdana" w:hAnsi="Verdana"/>
          <w:sz w:val="18"/>
          <w:szCs w:val="18"/>
        </w:rPr>
        <w:t xml:space="preserve"> equation give</w:t>
      </w:r>
      <w:r w:rsidR="00A06E38" w:rsidRPr="000C7CFA">
        <w:rPr>
          <w:rFonts w:ascii="Verdana" w:hAnsi="Verdana"/>
          <w:sz w:val="18"/>
          <w:szCs w:val="18"/>
        </w:rPr>
        <w:t>s</w:t>
      </w:r>
      <w:r w:rsidR="00BA0ECA" w:rsidRPr="000C7CFA">
        <w:rPr>
          <w:rFonts w:ascii="Verdana" w:hAnsi="Verdana"/>
          <w:sz w:val="18"/>
          <w:szCs w:val="18"/>
        </w:rPr>
        <w:t xml:space="preserve"> </w:t>
      </w:r>
      <w:r w:rsidR="00A06E38" w:rsidRPr="000C7CFA">
        <w:rPr>
          <w:rFonts w:ascii="Verdana" w:hAnsi="Verdana"/>
          <w:sz w:val="18"/>
          <w:szCs w:val="18"/>
        </w:rPr>
        <w:t>a</w:t>
      </w:r>
      <w:r w:rsidR="00BA0ECA" w:rsidRPr="000C7CFA">
        <w:rPr>
          <w:rFonts w:ascii="Verdana" w:hAnsi="Verdana"/>
          <w:sz w:val="18"/>
          <w:szCs w:val="18"/>
        </w:rPr>
        <w:t xml:space="preserve"> calculated BCF value</w:t>
      </w:r>
      <w:r w:rsidR="00A06E38" w:rsidRPr="000C7CFA">
        <w:rPr>
          <w:rFonts w:ascii="Verdana" w:hAnsi="Verdana"/>
          <w:sz w:val="18"/>
          <w:szCs w:val="18"/>
        </w:rPr>
        <w:t xml:space="preserve"> of</w:t>
      </w:r>
      <w:r w:rsidR="00BA0ECA" w:rsidRPr="000C7CFA">
        <w:rPr>
          <w:rFonts w:ascii="Verdana" w:hAnsi="Verdana"/>
          <w:sz w:val="18"/>
          <w:szCs w:val="18"/>
        </w:rPr>
        <w:t xml:space="preserve"> </w:t>
      </w:r>
      <w:r w:rsidR="00A06E38" w:rsidRPr="000C7CFA">
        <w:rPr>
          <w:rFonts w:ascii="Verdana" w:hAnsi="Verdana"/>
          <w:sz w:val="18"/>
          <w:szCs w:val="18"/>
        </w:rPr>
        <w:t>≤</w:t>
      </w:r>
      <w:r w:rsidR="00BA0ECA" w:rsidRPr="000C7CFA">
        <w:rPr>
          <w:rFonts w:ascii="Verdana" w:hAnsi="Verdana"/>
          <w:sz w:val="18"/>
          <w:szCs w:val="18"/>
        </w:rPr>
        <w:t>1</w:t>
      </w:r>
      <w:r w:rsidR="008610EB" w:rsidRPr="000C7CFA">
        <w:rPr>
          <w:rFonts w:ascii="Verdana" w:hAnsi="Verdana"/>
          <w:sz w:val="18"/>
          <w:szCs w:val="18"/>
        </w:rPr>
        <w:t> </w:t>
      </w:r>
      <w:r w:rsidR="00BA0ECA" w:rsidRPr="000C7CFA">
        <w:rPr>
          <w:rFonts w:ascii="Verdana" w:hAnsi="Verdana"/>
          <w:sz w:val="18"/>
          <w:szCs w:val="18"/>
        </w:rPr>
        <w:t>400 L/kg</w:t>
      </w:r>
      <w:r w:rsidRPr="000C7CFA">
        <w:rPr>
          <w:rFonts w:ascii="Verdana" w:hAnsi="Verdana"/>
          <w:sz w:val="18"/>
          <w:szCs w:val="18"/>
        </w:rPr>
        <w:t xml:space="preserve"> for Dechlorane Plus, using a log K</w:t>
      </w:r>
      <w:r w:rsidRPr="000C7CFA">
        <w:rPr>
          <w:rFonts w:ascii="Verdana" w:hAnsi="Verdana"/>
          <w:sz w:val="18"/>
          <w:szCs w:val="18"/>
          <w:vertAlign w:val="subscript"/>
        </w:rPr>
        <w:t>OW</w:t>
      </w:r>
      <w:r w:rsidRPr="000C7CFA">
        <w:rPr>
          <w:rFonts w:ascii="Verdana" w:hAnsi="Verdana"/>
          <w:sz w:val="18"/>
          <w:szCs w:val="18"/>
        </w:rPr>
        <w:t xml:space="preserve"> value of ≥9</w:t>
      </w:r>
      <w:r w:rsidR="00BA0ECA" w:rsidRPr="000C7CFA">
        <w:rPr>
          <w:rFonts w:ascii="Verdana" w:hAnsi="Verdana"/>
          <w:sz w:val="18"/>
          <w:szCs w:val="18"/>
        </w:rPr>
        <w:t>. No correction factors are used for this substance.</w:t>
      </w:r>
    </w:p>
    <w:p w14:paraId="523C531D" w14:textId="18DA53A9" w:rsidR="00BE0280" w:rsidRPr="000C7CFA" w:rsidRDefault="00BA0ECA" w:rsidP="004A79FD">
      <w:pPr>
        <w:pStyle w:val="BodyText"/>
        <w:ind w:left="567" w:right="374"/>
        <w:rPr>
          <w:rFonts w:ascii="Verdana" w:hAnsi="Verdana"/>
          <w:sz w:val="18"/>
          <w:szCs w:val="18"/>
        </w:rPr>
      </w:pPr>
      <w:r w:rsidRPr="000C7CFA">
        <w:rPr>
          <w:rFonts w:ascii="Verdana" w:hAnsi="Verdana"/>
          <w:sz w:val="18"/>
          <w:szCs w:val="18"/>
        </w:rPr>
        <w:t xml:space="preserve">A review of the BCFBAF program has been carried out by the Environment Agency </w:t>
      </w:r>
      <w:r w:rsidR="000954E5" w:rsidRPr="000C7CFA">
        <w:rPr>
          <w:rFonts w:ascii="Verdana" w:hAnsi="Verdana"/>
          <w:sz w:val="18"/>
          <w:szCs w:val="18"/>
        </w:rPr>
        <w:t xml:space="preserve">(EA) in the UK </w:t>
      </w:r>
      <w:r w:rsidRPr="000C7CFA">
        <w:rPr>
          <w:rFonts w:ascii="Verdana" w:hAnsi="Verdana"/>
          <w:sz w:val="18"/>
          <w:szCs w:val="18"/>
        </w:rPr>
        <w:t xml:space="preserve">to determine the most relevant outputs from the model for use in the context of the EU REACH Regulation (EA, 2013). </w:t>
      </w:r>
      <w:r w:rsidR="00D9487E" w:rsidRPr="000C7CFA">
        <w:rPr>
          <w:rFonts w:ascii="Verdana" w:hAnsi="Verdana"/>
          <w:sz w:val="18"/>
          <w:szCs w:val="18"/>
        </w:rPr>
        <w:t>F</w:t>
      </w:r>
      <w:r w:rsidRPr="000C7CFA">
        <w:rPr>
          <w:rFonts w:ascii="Verdana" w:hAnsi="Verdana"/>
          <w:sz w:val="18"/>
          <w:szCs w:val="18"/>
        </w:rPr>
        <w:t xml:space="preserve">or substances with log </w:t>
      </w:r>
      <w:r w:rsidR="006A0160" w:rsidRPr="000C7CFA">
        <w:rPr>
          <w:rFonts w:ascii="Verdana" w:hAnsi="Verdana"/>
          <w:sz w:val="18"/>
          <w:szCs w:val="18"/>
        </w:rPr>
        <w:t>K</w:t>
      </w:r>
      <w:r w:rsidR="006A0160" w:rsidRPr="000C7CFA">
        <w:rPr>
          <w:rFonts w:ascii="Verdana" w:hAnsi="Verdana"/>
          <w:sz w:val="18"/>
          <w:szCs w:val="18"/>
          <w:vertAlign w:val="subscript"/>
        </w:rPr>
        <w:t>OW</w:t>
      </w:r>
      <w:r w:rsidRPr="000C7CFA">
        <w:rPr>
          <w:rFonts w:ascii="Verdana" w:hAnsi="Verdana"/>
          <w:sz w:val="18"/>
          <w:szCs w:val="18"/>
        </w:rPr>
        <w:t xml:space="preserve"> &gt;7 there is some uncertainty in the BCF database from which the BCFBAF regression based on log </w:t>
      </w:r>
      <w:r w:rsidR="006A0160" w:rsidRPr="000C7CFA">
        <w:rPr>
          <w:rFonts w:ascii="Verdana" w:hAnsi="Verdana"/>
          <w:sz w:val="18"/>
          <w:szCs w:val="18"/>
        </w:rPr>
        <w:t>K</w:t>
      </w:r>
      <w:r w:rsidR="006A0160" w:rsidRPr="000C7CFA">
        <w:rPr>
          <w:rFonts w:ascii="Verdana" w:hAnsi="Verdana"/>
          <w:sz w:val="18"/>
          <w:szCs w:val="18"/>
          <w:vertAlign w:val="subscript"/>
        </w:rPr>
        <w:t>OW</w:t>
      </w:r>
      <w:r w:rsidRPr="000C7CFA">
        <w:rPr>
          <w:rFonts w:ascii="Verdana" w:hAnsi="Verdana"/>
          <w:sz w:val="18"/>
          <w:szCs w:val="18"/>
        </w:rPr>
        <w:t xml:space="preserve"> is constructed. This, and the fact that the BCFBAF regression for substances with log </w:t>
      </w:r>
      <w:r w:rsidR="006A0160" w:rsidRPr="000C7CFA">
        <w:rPr>
          <w:rFonts w:ascii="Verdana" w:hAnsi="Verdana"/>
          <w:sz w:val="18"/>
          <w:szCs w:val="18"/>
        </w:rPr>
        <w:t>K</w:t>
      </w:r>
      <w:r w:rsidR="006A0160" w:rsidRPr="000C7CFA">
        <w:rPr>
          <w:rFonts w:ascii="Verdana" w:hAnsi="Verdana"/>
          <w:sz w:val="18"/>
          <w:szCs w:val="18"/>
          <w:vertAlign w:val="subscript"/>
        </w:rPr>
        <w:t>OW</w:t>
      </w:r>
      <w:r w:rsidR="006A0160" w:rsidRPr="000C7CFA">
        <w:rPr>
          <w:rFonts w:ascii="Verdana" w:hAnsi="Verdana"/>
          <w:sz w:val="18"/>
          <w:szCs w:val="18"/>
        </w:rPr>
        <w:t xml:space="preserve"> </w:t>
      </w:r>
      <w:r w:rsidRPr="000C7CFA">
        <w:rPr>
          <w:rFonts w:ascii="Verdana" w:hAnsi="Verdana"/>
          <w:sz w:val="18"/>
          <w:szCs w:val="18"/>
        </w:rPr>
        <w:t xml:space="preserve">&gt;7 was derived from a relatively limited number of data points, means that the BCFBAF log </w:t>
      </w:r>
      <w:r w:rsidR="006A0160" w:rsidRPr="000C7CFA">
        <w:rPr>
          <w:rFonts w:ascii="Verdana" w:hAnsi="Verdana"/>
          <w:sz w:val="18"/>
          <w:szCs w:val="18"/>
        </w:rPr>
        <w:t>K</w:t>
      </w:r>
      <w:r w:rsidR="006A0160" w:rsidRPr="000C7CFA">
        <w:rPr>
          <w:rFonts w:ascii="Verdana" w:hAnsi="Verdana"/>
          <w:sz w:val="18"/>
          <w:szCs w:val="18"/>
          <w:vertAlign w:val="subscript"/>
        </w:rPr>
        <w:t>OW</w:t>
      </w:r>
      <w:r w:rsidRPr="000C7CFA">
        <w:rPr>
          <w:rFonts w:ascii="Verdana" w:hAnsi="Verdana"/>
          <w:sz w:val="18"/>
          <w:szCs w:val="18"/>
        </w:rPr>
        <w:t xml:space="preserve">-based predictions for substances with log </w:t>
      </w:r>
      <w:r w:rsidR="006A0160" w:rsidRPr="000C7CFA">
        <w:rPr>
          <w:rFonts w:ascii="Verdana" w:hAnsi="Verdana"/>
          <w:sz w:val="18"/>
          <w:szCs w:val="18"/>
        </w:rPr>
        <w:t>K</w:t>
      </w:r>
      <w:r w:rsidR="006A0160" w:rsidRPr="000C7CFA">
        <w:rPr>
          <w:rFonts w:ascii="Verdana" w:hAnsi="Verdana"/>
          <w:sz w:val="18"/>
          <w:szCs w:val="18"/>
          <w:vertAlign w:val="subscript"/>
        </w:rPr>
        <w:t>OW</w:t>
      </w:r>
      <w:r w:rsidR="006A0160" w:rsidRPr="000C7CFA">
        <w:rPr>
          <w:rFonts w:ascii="Verdana" w:hAnsi="Verdana"/>
          <w:sz w:val="18"/>
          <w:szCs w:val="18"/>
        </w:rPr>
        <w:t xml:space="preserve"> </w:t>
      </w:r>
      <w:r w:rsidRPr="000C7CFA">
        <w:rPr>
          <w:rFonts w:ascii="Verdana" w:hAnsi="Verdana"/>
          <w:sz w:val="18"/>
          <w:szCs w:val="18"/>
        </w:rPr>
        <w:t xml:space="preserve">&gt;7 are probably more uncertain than those for substances with log </w:t>
      </w:r>
      <w:r w:rsidR="006A0160" w:rsidRPr="000C7CFA">
        <w:rPr>
          <w:rFonts w:ascii="Verdana" w:hAnsi="Verdana"/>
          <w:sz w:val="18"/>
          <w:szCs w:val="18"/>
        </w:rPr>
        <w:t>K</w:t>
      </w:r>
      <w:r w:rsidR="006A0160" w:rsidRPr="000C7CFA">
        <w:rPr>
          <w:rFonts w:ascii="Verdana" w:hAnsi="Verdana"/>
          <w:sz w:val="18"/>
          <w:szCs w:val="18"/>
          <w:vertAlign w:val="subscript"/>
        </w:rPr>
        <w:t>OW</w:t>
      </w:r>
      <w:r w:rsidR="006A0160" w:rsidRPr="000C7CFA">
        <w:rPr>
          <w:rFonts w:ascii="Verdana" w:hAnsi="Verdana"/>
          <w:sz w:val="18"/>
          <w:szCs w:val="18"/>
        </w:rPr>
        <w:t xml:space="preserve"> </w:t>
      </w:r>
      <w:r w:rsidRPr="000C7CFA">
        <w:rPr>
          <w:rFonts w:ascii="Verdana" w:hAnsi="Verdana"/>
          <w:sz w:val="18"/>
          <w:szCs w:val="18"/>
        </w:rPr>
        <w:t xml:space="preserve">between 1 and 7. Therefore, there is uncertainty in the predicted BCF values for Dechlorane Plus using the log </w:t>
      </w:r>
      <w:r w:rsidR="006A0160" w:rsidRPr="000C7CFA">
        <w:rPr>
          <w:rFonts w:ascii="Verdana" w:hAnsi="Verdana"/>
          <w:sz w:val="18"/>
          <w:szCs w:val="18"/>
        </w:rPr>
        <w:t>K</w:t>
      </w:r>
      <w:r w:rsidR="006A0160" w:rsidRPr="000C7CFA">
        <w:rPr>
          <w:rFonts w:ascii="Verdana" w:hAnsi="Verdana"/>
          <w:sz w:val="18"/>
          <w:szCs w:val="18"/>
          <w:vertAlign w:val="subscript"/>
        </w:rPr>
        <w:t>OW</w:t>
      </w:r>
      <w:r w:rsidR="006A0160" w:rsidRPr="000C7CFA">
        <w:rPr>
          <w:rFonts w:ascii="Verdana" w:hAnsi="Verdana"/>
          <w:sz w:val="18"/>
          <w:szCs w:val="18"/>
        </w:rPr>
        <w:t xml:space="preserve"> </w:t>
      </w:r>
      <w:r w:rsidRPr="000C7CFA">
        <w:rPr>
          <w:rFonts w:ascii="Verdana" w:hAnsi="Verdana"/>
          <w:sz w:val="18"/>
          <w:szCs w:val="18"/>
        </w:rPr>
        <w:t>&gt;7 regression equation</w:t>
      </w:r>
      <w:r w:rsidR="00BE0280" w:rsidRPr="000C7CFA">
        <w:rPr>
          <w:rFonts w:ascii="Verdana" w:hAnsi="Verdana"/>
          <w:sz w:val="18"/>
          <w:szCs w:val="18"/>
        </w:rPr>
        <w:t>.</w:t>
      </w:r>
    </w:p>
    <w:p w14:paraId="6F4D5B05" w14:textId="77777777" w:rsidR="00BE0280" w:rsidRPr="000C7CFA" w:rsidRDefault="00BE0280" w:rsidP="00DC3658">
      <w:pPr>
        <w:pStyle w:val="BodyText"/>
        <w:numPr>
          <w:ilvl w:val="0"/>
          <w:numId w:val="4"/>
        </w:numPr>
        <w:ind w:left="567" w:right="374" w:hanging="425"/>
        <w:rPr>
          <w:rFonts w:ascii="Verdana" w:hAnsi="Verdana"/>
          <w:sz w:val="18"/>
          <w:szCs w:val="18"/>
        </w:rPr>
      </w:pPr>
      <w:r w:rsidRPr="000C7CFA">
        <w:rPr>
          <w:rFonts w:ascii="Verdana" w:hAnsi="Verdana"/>
          <w:sz w:val="18"/>
          <w:szCs w:val="18"/>
        </w:rPr>
        <w:t xml:space="preserve">The second method in BCFBAF estimates BCF values and bioaccumulation factors (BAFs) for three trophic levels using a method based on a paper by Arnot and Gobas </w:t>
      </w:r>
      <w:r w:rsidR="00080EB6" w:rsidRPr="000C7CFA">
        <w:rPr>
          <w:rFonts w:ascii="Verdana" w:hAnsi="Verdana"/>
          <w:sz w:val="18"/>
          <w:szCs w:val="18"/>
        </w:rPr>
        <w:t>(</w:t>
      </w:r>
      <w:r w:rsidRPr="000C7CFA">
        <w:rPr>
          <w:rFonts w:ascii="Verdana" w:hAnsi="Verdana"/>
          <w:sz w:val="18"/>
          <w:szCs w:val="18"/>
        </w:rPr>
        <w:t xml:space="preserve">2003). </w:t>
      </w:r>
    </w:p>
    <w:p w14:paraId="05A9C6B5" w14:textId="4B9C01AD" w:rsidR="00BE0280" w:rsidRPr="000C7CFA" w:rsidRDefault="005140C8" w:rsidP="004A79FD">
      <w:pPr>
        <w:pStyle w:val="BodyText"/>
        <w:ind w:left="567" w:right="374"/>
        <w:rPr>
          <w:rFonts w:ascii="Verdana" w:hAnsi="Verdana"/>
          <w:sz w:val="18"/>
          <w:szCs w:val="18"/>
        </w:rPr>
      </w:pPr>
      <w:r w:rsidRPr="000C7CFA">
        <w:rPr>
          <w:rFonts w:ascii="Verdana" w:hAnsi="Verdana"/>
          <w:sz w:val="18"/>
          <w:szCs w:val="18"/>
        </w:rPr>
        <w:t xml:space="preserve">EA (2013) </w:t>
      </w:r>
      <w:r w:rsidR="00BE0280" w:rsidRPr="000C7CFA">
        <w:rPr>
          <w:rFonts w:ascii="Verdana" w:hAnsi="Verdana"/>
          <w:sz w:val="18"/>
          <w:szCs w:val="18"/>
        </w:rPr>
        <w:t>indicates that there are many assumptions inherent in the Arnot-Gobas model potentially lead</w:t>
      </w:r>
      <w:r w:rsidR="00080EB6" w:rsidRPr="000C7CFA">
        <w:rPr>
          <w:rFonts w:ascii="Verdana" w:hAnsi="Verdana"/>
          <w:sz w:val="18"/>
          <w:szCs w:val="18"/>
        </w:rPr>
        <w:t>ing</w:t>
      </w:r>
      <w:r w:rsidR="00BE0280" w:rsidRPr="000C7CFA">
        <w:rPr>
          <w:rFonts w:ascii="Verdana" w:hAnsi="Verdana"/>
          <w:sz w:val="18"/>
          <w:szCs w:val="18"/>
        </w:rPr>
        <w:t xml:space="preserve"> to uncertainty in the predicted BCF and BAF. </w:t>
      </w:r>
      <w:r w:rsidR="00C37FAB" w:rsidRPr="000C7CFA">
        <w:rPr>
          <w:rFonts w:ascii="Verdana" w:hAnsi="Verdana"/>
          <w:sz w:val="18"/>
          <w:szCs w:val="18"/>
        </w:rPr>
        <w:t>It</w:t>
      </w:r>
      <w:r w:rsidR="004A79FD" w:rsidRPr="000C7CFA">
        <w:rPr>
          <w:rFonts w:ascii="Verdana" w:hAnsi="Verdana"/>
          <w:sz w:val="18"/>
          <w:szCs w:val="18"/>
        </w:rPr>
        <w:t xml:space="preserve"> recommend</w:t>
      </w:r>
      <w:r w:rsidR="00C37FAB" w:rsidRPr="000C7CFA">
        <w:rPr>
          <w:rFonts w:ascii="Verdana" w:hAnsi="Verdana"/>
          <w:sz w:val="18"/>
          <w:szCs w:val="18"/>
        </w:rPr>
        <w:t>s</w:t>
      </w:r>
      <w:r w:rsidR="004A79FD" w:rsidRPr="000C7CFA">
        <w:rPr>
          <w:rFonts w:ascii="Verdana" w:hAnsi="Verdana"/>
          <w:sz w:val="18"/>
          <w:szCs w:val="18"/>
        </w:rPr>
        <w:t xml:space="preserve"> that</w:t>
      </w:r>
      <w:r w:rsidR="00BE0280" w:rsidRPr="000C7CFA">
        <w:rPr>
          <w:rFonts w:ascii="Verdana" w:hAnsi="Verdana"/>
          <w:sz w:val="18"/>
          <w:szCs w:val="18"/>
        </w:rPr>
        <w:t xml:space="preserve"> if the BCFBAF program is used, the BCF estimates from the regression equations are generally given preference over those from the Arnot-Gobas model for comparison with the REACH criteria. If the Arnot-Gobas predictions themselves are to be used, </w:t>
      </w:r>
      <w:r w:rsidR="00C37FAB" w:rsidRPr="000C7CFA">
        <w:rPr>
          <w:rFonts w:ascii="Verdana" w:hAnsi="Verdana"/>
          <w:sz w:val="18"/>
          <w:szCs w:val="18"/>
        </w:rPr>
        <w:t xml:space="preserve">EA (2013) </w:t>
      </w:r>
      <w:r w:rsidR="00BE0280" w:rsidRPr="000C7CFA">
        <w:rPr>
          <w:rFonts w:ascii="Verdana" w:hAnsi="Verdana"/>
          <w:sz w:val="18"/>
          <w:szCs w:val="18"/>
        </w:rPr>
        <w:t>recommend</w:t>
      </w:r>
      <w:r w:rsidR="00C37FAB" w:rsidRPr="000C7CFA">
        <w:rPr>
          <w:rFonts w:ascii="Verdana" w:hAnsi="Verdana"/>
          <w:sz w:val="18"/>
          <w:szCs w:val="18"/>
        </w:rPr>
        <w:t>s</w:t>
      </w:r>
      <w:r w:rsidR="00BE0280" w:rsidRPr="000C7CFA">
        <w:rPr>
          <w:rFonts w:ascii="Verdana" w:hAnsi="Verdana"/>
          <w:sz w:val="18"/>
          <w:szCs w:val="18"/>
        </w:rPr>
        <w:t xml:space="preserve"> that the preferred values for comparison with the REACH criteria should be the BCF values obtained for the lower trophic level. In the case of Dechlorane Plus, the BCF value obtained for the lower trophic level </w:t>
      </w:r>
      <w:r w:rsidR="00D9487E" w:rsidRPr="000C7CFA">
        <w:rPr>
          <w:rFonts w:ascii="Verdana" w:hAnsi="Verdana"/>
          <w:sz w:val="18"/>
          <w:szCs w:val="18"/>
        </w:rPr>
        <w:t>is</w:t>
      </w:r>
      <w:r w:rsidR="008610EB" w:rsidRPr="000C7CFA">
        <w:rPr>
          <w:rFonts w:ascii="Verdana" w:hAnsi="Verdana"/>
          <w:sz w:val="18"/>
          <w:szCs w:val="18"/>
        </w:rPr>
        <w:t xml:space="preserve"> 1 </w:t>
      </w:r>
      <w:r w:rsidR="00BA0ECA" w:rsidRPr="000C7CFA">
        <w:rPr>
          <w:rFonts w:ascii="Verdana" w:hAnsi="Verdana"/>
          <w:sz w:val="18"/>
          <w:szCs w:val="18"/>
        </w:rPr>
        <w:t>200 L/kg (using</w:t>
      </w:r>
      <w:r w:rsidR="00D9487E" w:rsidRPr="000C7CFA">
        <w:rPr>
          <w:rFonts w:ascii="Verdana" w:hAnsi="Verdana"/>
          <w:sz w:val="18"/>
          <w:szCs w:val="18"/>
        </w:rPr>
        <w:t xml:space="preserve"> a</w:t>
      </w:r>
      <w:r w:rsidR="00BA0ECA" w:rsidRPr="000C7CFA">
        <w:rPr>
          <w:rFonts w:ascii="Verdana" w:hAnsi="Verdana"/>
          <w:sz w:val="18"/>
          <w:szCs w:val="18"/>
        </w:rPr>
        <w:t xml:space="preserve"> log </w:t>
      </w:r>
      <w:r w:rsidR="006A0160" w:rsidRPr="000C7CFA">
        <w:rPr>
          <w:rFonts w:ascii="Verdana" w:hAnsi="Verdana"/>
          <w:sz w:val="18"/>
          <w:szCs w:val="18"/>
        </w:rPr>
        <w:t>K</w:t>
      </w:r>
      <w:r w:rsidR="006A0160" w:rsidRPr="000C7CFA">
        <w:rPr>
          <w:rFonts w:ascii="Verdana" w:hAnsi="Verdana"/>
          <w:sz w:val="18"/>
          <w:szCs w:val="18"/>
          <w:vertAlign w:val="subscript"/>
        </w:rPr>
        <w:t>OW</w:t>
      </w:r>
      <w:r w:rsidR="006A0160" w:rsidRPr="000C7CFA">
        <w:rPr>
          <w:rFonts w:ascii="Verdana" w:hAnsi="Verdana"/>
          <w:sz w:val="18"/>
          <w:szCs w:val="18"/>
        </w:rPr>
        <w:t xml:space="preserve"> </w:t>
      </w:r>
      <w:r w:rsidR="00BA0ECA" w:rsidRPr="000C7CFA">
        <w:rPr>
          <w:rFonts w:ascii="Verdana" w:hAnsi="Verdana"/>
          <w:sz w:val="18"/>
          <w:szCs w:val="18"/>
        </w:rPr>
        <w:t xml:space="preserve">value </w:t>
      </w:r>
      <w:r w:rsidR="00D9487E" w:rsidRPr="000C7CFA">
        <w:rPr>
          <w:rFonts w:ascii="Verdana" w:hAnsi="Verdana"/>
          <w:sz w:val="18"/>
          <w:szCs w:val="18"/>
        </w:rPr>
        <w:t xml:space="preserve">of </w:t>
      </w:r>
      <w:r w:rsidR="00BA0ECA" w:rsidRPr="000C7CFA">
        <w:rPr>
          <w:rFonts w:ascii="Verdana" w:hAnsi="Verdana"/>
          <w:sz w:val="18"/>
          <w:szCs w:val="18"/>
        </w:rPr>
        <w:t xml:space="preserve">9); the estimated </w:t>
      </w:r>
      <w:r w:rsidR="00BA0ECA" w:rsidRPr="000C7CFA">
        <w:rPr>
          <w:rFonts w:ascii="Verdana" w:hAnsi="Verdana"/>
          <w:sz w:val="18"/>
          <w:szCs w:val="18"/>
        </w:rPr>
        <w:lastRenderedPageBreak/>
        <w:t>bioaccumulation factor (BAF) value</w:t>
      </w:r>
      <w:r w:rsidR="00D9487E" w:rsidRPr="000C7CFA">
        <w:rPr>
          <w:rFonts w:ascii="Verdana" w:hAnsi="Verdana"/>
          <w:sz w:val="18"/>
          <w:szCs w:val="18"/>
        </w:rPr>
        <w:t xml:space="preserve"> i</w:t>
      </w:r>
      <w:r w:rsidR="00BA0ECA" w:rsidRPr="000C7CFA">
        <w:rPr>
          <w:rFonts w:ascii="Verdana" w:hAnsi="Verdana"/>
          <w:sz w:val="18"/>
          <w:szCs w:val="18"/>
        </w:rPr>
        <w:t xml:space="preserve">s </w:t>
      </w:r>
      <w:r w:rsidR="004A79FD" w:rsidRPr="000C7CFA">
        <w:rPr>
          <w:rFonts w:ascii="Verdana" w:hAnsi="Verdana"/>
          <w:sz w:val="18"/>
          <w:szCs w:val="18"/>
        </w:rPr>
        <w:t>7.5 </w:t>
      </w:r>
      <w:r w:rsidR="004A79FD" w:rsidRPr="000C7CFA">
        <w:rPr>
          <w:rFonts w:ascii="Verdana" w:hAnsi="Verdana"/>
          <w:i/>
          <w:sz w:val="18"/>
          <w:szCs w:val="18"/>
        </w:rPr>
        <w:t>×</w:t>
      </w:r>
      <w:r w:rsidR="004A79FD" w:rsidRPr="000C7CFA">
        <w:rPr>
          <w:rFonts w:ascii="Verdana" w:hAnsi="Verdana"/>
          <w:sz w:val="18"/>
          <w:szCs w:val="18"/>
        </w:rPr>
        <w:t> 10</w:t>
      </w:r>
      <w:r w:rsidR="004A79FD" w:rsidRPr="000C7CFA">
        <w:rPr>
          <w:rFonts w:ascii="Verdana" w:hAnsi="Verdana"/>
          <w:sz w:val="18"/>
          <w:szCs w:val="18"/>
          <w:vertAlign w:val="superscript"/>
        </w:rPr>
        <w:t>5</w:t>
      </w:r>
      <w:r w:rsidR="004A79FD" w:rsidRPr="000C7CFA">
        <w:rPr>
          <w:rFonts w:ascii="Verdana" w:hAnsi="Verdana"/>
          <w:sz w:val="18"/>
          <w:szCs w:val="18"/>
        </w:rPr>
        <w:t xml:space="preserve"> L</w:t>
      </w:r>
      <w:r w:rsidR="00BE0280" w:rsidRPr="000C7CFA">
        <w:rPr>
          <w:rFonts w:ascii="Verdana" w:hAnsi="Verdana"/>
          <w:sz w:val="18"/>
          <w:szCs w:val="18"/>
        </w:rPr>
        <w:t>/kg ww</w:t>
      </w:r>
      <w:r w:rsidR="00DA40C8" w:rsidRPr="000C7CFA">
        <w:rPr>
          <w:rStyle w:val="FootnoteReference"/>
          <w:rFonts w:ascii="Verdana" w:hAnsi="Verdana"/>
          <w:sz w:val="18"/>
          <w:szCs w:val="18"/>
        </w:rPr>
        <w:footnoteReference w:id="4"/>
      </w:r>
      <w:r w:rsidR="00BE0280" w:rsidRPr="000C7CFA">
        <w:rPr>
          <w:rFonts w:ascii="Verdana" w:hAnsi="Verdana"/>
          <w:sz w:val="18"/>
          <w:szCs w:val="18"/>
        </w:rPr>
        <w:t>.</w:t>
      </w:r>
      <w:r w:rsidR="0020535B" w:rsidRPr="000C7CFA">
        <w:rPr>
          <w:rFonts w:ascii="Verdana" w:hAnsi="Verdana"/>
          <w:sz w:val="18"/>
          <w:szCs w:val="18"/>
        </w:rPr>
        <w:t xml:space="preserve"> It is also relevant to note that the BCFBAF program estimates the BCF (and BAF) on the basis of the total concentration in water rather than the dissolved concentration in water (EA, 2013). The freely dissolved concentration of Dechlorane Plus would be significantly lower than the total concentration and hence the actual BCF based on dissolved concentrations may be higher than predicted above.</w:t>
      </w:r>
    </w:p>
    <w:p w14:paraId="5D38B2D8" w14:textId="21B2105C" w:rsidR="00F20D1F" w:rsidRPr="000C7CFA" w:rsidRDefault="00F20D1F" w:rsidP="00F20D1F">
      <w:pPr>
        <w:pStyle w:val="BodyText"/>
        <w:rPr>
          <w:rFonts w:ascii="Verdana" w:hAnsi="Verdana"/>
          <w:sz w:val="18"/>
          <w:szCs w:val="18"/>
        </w:rPr>
      </w:pPr>
      <w:r w:rsidRPr="000C7CFA">
        <w:rPr>
          <w:rFonts w:ascii="Verdana" w:hAnsi="Verdana"/>
          <w:sz w:val="18"/>
          <w:szCs w:val="18"/>
          <w:u w:val="single"/>
        </w:rPr>
        <w:t>Chou</w:t>
      </w:r>
      <w:r w:rsidRPr="000C7CFA">
        <w:rPr>
          <w:rFonts w:ascii="Verdana" w:hAnsi="Verdana"/>
          <w:i/>
          <w:sz w:val="18"/>
          <w:szCs w:val="18"/>
          <w:u w:val="single"/>
        </w:rPr>
        <w:t xml:space="preserve"> et al.</w:t>
      </w:r>
      <w:r w:rsidRPr="000C7CFA">
        <w:rPr>
          <w:rFonts w:ascii="Verdana" w:hAnsi="Verdana"/>
          <w:sz w:val="18"/>
          <w:szCs w:val="18"/>
          <w:u w:val="single"/>
        </w:rPr>
        <w:t xml:space="preserve"> (1979)</w:t>
      </w:r>
      <w:r w:rsidRPr="000C7CFA">
        <w:rPr>
          <w:rFonts w:ascii="Verdana" w:hAnsi="Verdana"/>
          <w:sz w:val="18"/>
          <w:szCs w:val="18"/>
        </w:rPr>
        <w:t xml:space="preserve"> describe equations to calculate steady-state (maximum) rough estimates of BCF for organic compounds from known values of aqueous solubility, sediment-water partition coefficient and octanol-water partition coefficient.  The calculated BCF values for Dechlorane Plus</w:t>
      </w:r>
      <w:r w:rsidR="00177FB7" w:rsidRPr="000C7CFA">
        <w:rPr>
          <w:rFonts w:ascii="Verdana" w:hAnsi="Verdana"/>
          <w:sz w:val="18"/>
          <w:szCs w:val="18"/>
        </w:rPr>
        <w:t xml:space="preserve"> in this paper</w:t>
      </w:r>
      <w:r w:rsidR="002D4EB9" w:rsidRPr="000C7CFA">
        <w:rPr>
          <w:rFonts w:ascii="Verdana" w:hAnsi="Verdana"/>
          <w:sz w:val="18"/>
          <w:szCs w:val="18"/>
        </w:rPr>
        <w:t xml:space="preserve"> range from 5 </w:t>
      </w:r>
      <w:r w:rsidRPr="000C7CFA">
        <w:rPr>
          <w:rFonts w:ascii="Verdana" w:hAnsi="Verdana"/>
          <w:sz w:val="18"/>
          <w:szCs w:val="18"/>
        </w:rPr>
        <w:t>200 to 1.6</w:t>
      </w:r>
      <w:r w:rsidR="00177FB7" w:rsidRPr="000C7CFA">
        <w:rPr>
          <w:rFonts w:ascii="Verdana" w:hAnsi="Verdana"/>
          <w:sz w:val="18"/>
          <w:szCs w:val="18"/>
        </w:rPr>
        <w:t> </w:t>
      </w:r>
      <w:r w:rsidRPr="000C7CFA">
        <w:rPr>
          <w:rFonts w:ascii="Verdana" w:hAnsi="Verdana"/>
          <w:i/>
          <w:sz w:val="18"/>
          <w:szCs w:val="18"/>
        </w:rPr>
        <w:t>×</w:t>
      </w:r>
      <w:r w:rsidRPr="000C7CFA">
        <w:rPr>
          <w:rFonts w:ascii="Verdana" w:hAnsi="Verdana"/>
          <w:sz w:val="18"/>
          <w:szCs w:val="18"/>
        </w:rPr>
        <w:t> 10</w:t>
      </w:r>
      <w:r w:rsidRPr="000C7CFA">
        <w:rPr>
          <w:rFonts w:ascii="Verdana" w:hAnsi="Verdana"/>
          <w:sz w:val="18"/>
          <w:szCs w:val="18"/>
          <w:vertAlign w:val="superscript"/>
        </w:rPr>
        <w:t>7</w:t>
      </w:r>
      <w:r w:rsidR="00177FB7" w:rsidRPr="000C7CFA">
        <w:rPr>
          <w:rFonts w:ascii="Verdana" w:hAnsi="Verdana"/>
          <w:sz w:val="18"/>
          <w:szCs w:val="18"/>
        </w:rPr>
        <w:t xml:space="preserve"> (units not provided).</w:t>
      </w:r>
      <w:r w:rsidRPr="000C7CFA">
        <w:rPr>
          <w:rFonts w:ascii="Verdana" w:hAnsi="Verdana"/>
          <w:sz w:val="18"/>
          <w:szCs w:val="18"/>
        </w:rPr>
        <w:t xml:space="preserve"> However, the </w:t>
      </w:r>
      <w:r w:rsidR="00D9487E" w:rsidRPr="000C7CFA">
        <w:rPr>
          <w:rFonts w:ascii="Verdana" w:hAnsi="Verdana"/>
          <w:sz w:val="18"/>
          <w:szCs w:val="18"/>
        </w:rPr>
        <w:t>methods</w:t>
      </w:r>
      <w:r w:rsidRPr="000C7CFA">
        <w:rPr>
          <w:rFonts w:ascii="Verdana" w:hAnsi="Verdana"/>
          <w:sz w:val="18"/>
          <w:szCs w:val="18"/>
        </w:rPr>
        <w:t xml:space="preserve"> used are not </w:t>
      </w:r>
      <w:r w:rsidR="00D9487E" w:rsidRPr="000C7CFA">
        <w:rPr>
          <w:rFonts w:ascii="Verdana" w:hAnsi="Verdana"/>
          <w:sz w:val="18"/>
          <w:szCs w:val="18"/>
        </w:rPr>
        <w:t>recommended in the REACH</w:t>
      </w:r>
      <w:r w:rsidRPr="000C7CFA">
        <w:rPr>
          <w:rFonts w:ascii="Verdana" w:hAnsi="Verdana"/>
          <w:sz w:val="18"/>
          <w:szCs w:val="18"/>
        </w:rPr>
        <w:t xml:space="preserve"> guidance, and the equations based on log </w:t>
      </w:r>
      <w:r w:rsidR="006A0160" w:rsidRPr="000C7CFA">
        <w:rPr>
          <w:rFonts w:ascii="Verdana" w:hAnsi="Verdana"/>
          <w:sz w:val="18"/>
          <w:szCs w:val="18"/>
        </w:rPr>
        <w:t>K</w:t>
      </w:r>
      <w:r w:rsidR="006A0160" w:rsidRPr="000C7CFA">
        <w:rPr>
          <w:rFonts w:ascii="Verdana" w:hAnsi="Verdana"/>
          <w:sz w:val="18"/>
          <w:szCs w:val="18"/>
          <w:vertAlign w:val="subscript"/>
        </w:rPr>
        <w:t>OW</w:t>
      </w:r>
      <w:r w:rsidRPr="000C7CFA">
        <w:rPr>
          <w:rFonts w:ascii="Verdana" w:hAnsi="Verdana"/>
          <w:sz w:val="18"/>
          <w:szCs w:val="18"/>
        </w:rPr>
        <w:t xml:space="preserve"> value lead to </w:t>
      </w:r>
      <w:r w:rsidR="00C3552E" w:rsidRPr="000C7CFA">
        <w:rPr>
          <w:rFonts w:ascii="Verdana" w:hAnsi="Verdana"/>
          <w:sz w:val="18"/>
          <w:szCs w:val="18"/>
        </w:rPr>
        <w:t>much</w:t>
      </w:r>
      <w:r w:rsidRPr="000C7CFA">
        <w:rPr>
          <w:rFonts w:ascii="Verdana" w:hAnsi="Verdana"/>
          <w:sz w:val="18"/>
          <w:szCs w:val="18"/>
        </w:rPr>
        <w:t xml:space="preserve"> high</w:t>
      </w:r>
      <w:r w:rsidR="00C3552E" w:rsidRPr="000C7CFA">
        <w:rPr>
          <w:rFonts w:ascii="Verdana" w:hAnsi="Verdana"/>
          <w:sz w:val="18"/>
          <w:szCs w:val="18"/>
        </w:rPr>
        <w:t>er</w:t>
      </w:r>
      <w:r w:rsidRPr="000C7CFA">
        <w:rPr>
          <w:rFonts w:ascii="Verdana" w:hAnsi="Verdana"/>
          <w:sz w:val="18"/>
          <w:szCs w:val="18"/>
        </w:rPr>
        <w:t xml:space="preserve"> BCF values</w:t>
      </w:r>
      <w:r w:rsidR="00BA0ECA" w:rsidRPr="000C7CFA">
        <w:rPr>
          <w:rFonts w:ascii="Verdana" w:hAnsi="Verdana"/>
          <w:sz w:val="18"/>
          <w:szCs w:val="18"/>
        </w:rPr>
        <w:t xml:space="preserve"> compared to the other estimates provided above.</w:t>
      </w:r>
    </w:p>
    <w:p w14:paraId="6331DEEF" w14:textId="77777777" w:rsidR="00BE0280" w:rsidRPr="000C7CFA" w:rsidRDefault="00BA0ECA" w:rsidP="00BE0280">
      <w:pPr>
        <w:pStyle w:val="Heading4"/>
        <w:rPr>
          <w:rFonts w:ascii="Verdana" w:hAnsi="Verdana"/>
          <w:i/>
          <w:sz w:val="18"/>
          <w:szCs w:val="18"/>
        </w:rPr>
      </w:pPr>
      <w:r w:rsidRPr="000C7CFA">
        <w:rPr>
          <w:rFonts w:ascii="Verdana" w:hAnsi="Verdana"/>
          <w:i/>
          <w:sz w:val="18"/>
          <w:szCs w:val="18"/>
        </w:rPr>
        <w:t xml:space="preserve">Laboratory studies </w:t>
      </w:r>
    </w:p>
    <w:p w14:paraId="0B426832" w14:textId="77777777" w:rsidR="0043645D" w:rsidRPr="000C7CFA" w:rsidRDefault="00BA0ECA">
      <w:pPr>
        <w:pStyle w:val="Heading5"/>
        <w:spacing w:after="120"/>
        <w:ind w:left="1009" w:hanging="1009"/>
        <w:rPr>
          <w:rFonts w:ascii="Verdana" w:hAnsi="Verdana"/>
          <w:sz w:val="18"/>
          <w:szCs w:val="18"/>
          <w:lang w:val="en-GB"/>
        </w:rPr>
      </w:pPr>
      <w:r w:rsidRPr="000C7CFA">
        <w:rPr>
          <w:rFonts w:ascii="Verdana" w:hAnsi="Verdana"/>
          <w:sz w:val="18"/>
          <w:szCs w:val="18"/>
          <w:lang w:val="en-GB"/>
        </w:rPr>
        <w:t>Aqueous exposure</w:t>
      </w:r>
    </w:p>
    <w:p w14:paraId="5DAF5B64" w14:textId="77777777" w:rsidR="00706677" w:rsidRPr="000C7CFA" w:rsidRDefault="00706677" w:rsidP="00706677">
      <w:pPr>
        <w:pStyle w:val="BodyText"/>
        <w:rPr>
          <w:rFonts w:ascii="Verdana" w:hAnsi="Verdana"/>
          <w:sz w:val="18"/>
          <w:szCs w:val="18"/>
        </w:rPr>
      </w:pPr>
      <w:bookmarkStart w:id="63" w:name="_Ref397672596"/>
      <w:r w:rsidRPr="000C7CFA">
        <w:rPr>
          <w:rFonts w:ascii="Verdana" w:hAnsi="Verdana"/>
          <w:sz w:val="18"/>
          <w:szCs w:val="18"/>
        </w:rPr>
        <w:t>The following BCF studies were reported in the registration dossier:</w:t>
      </w:r>
    </w:p>
    <w:p w14:paraId="2B51EFE2" w14:textId="77777777" w:rsidR="00706677" w:rsidRPr="000C7CFA" w:rsidRDefault="00706677" w:rsidP="00DC3658">
      <w:pPr>
        <w:pStyle w:val="BodyText"/>
        <w:numPr>
          <w:ilvl w:val="0"/>
          <w:numId w:val="11"/>
        </w:numPr>
        <w:ind w:left="426" w:right="232" w:hanging="426"/>
        <w:rPr>
          <w:rFonts w:ascii="Verdana" w:hAnsi="Verdana"/>
          <w:sz w:val="18"/>
          <w:szCs w:val="18"/>
        </w:rPr>
      </w:pPr>
      <w:r w:rsidRPr="000C7CFA">
        <w:rPr>
          <w:rFonts w:ascii="Verdana" w:hAnsi="Verdana"/>
          <w:sz w:val="18"/>
          <w:szCs w:val="18"/>
        </w:rPr>
        <w:t xml:space="preserve">Chou </w:t>
      </w:r>
      <w:r w:rsidRPr="000C7CFA">
        <w:rPr>
          <w:rFonts w:ascii="Verdana" w:hAnsi="Verdana"/>
          <w:i/>
          <w:sz w:val="18"/>
          <w:szCs w:val="18"/>
        </w:rPr>
        <w:t>et al</w:t>
      </w:r>
      <w:r w:rsidRPr="000C7CFA">
        <w:rPr>
          <w:rFonts w:ascii="Verdana" w:hAnsi="Verdana"/>
          <w:sz w:val="18"/>
          <w:szCs w:val="18"/>
        </w:rPr>
        <w:t>. (1979) exposed twelve Bluegill Sunfish (</w:t>
      </w:r>
      <w:r w:rsidRPr="000C7CFA">
        <w:rPr>
          <w:rFonts w:ascii="Verdana" w:hAnsi="Verdana"/>
          <w:i/>
          <w:sz w:val="18"/>
          <w:szCs w:val="18"/>
        </w:rPr>
        <w:t>Lepomis machrochirus</w:t>
      </w:r>
      <w:r w:rsidRPr="000C7CFA">
        <w:rPr>
          <w:rFonts w:ascii="Verdana" w:hAnsi="Verdana"/>
          <w:sz w:val="18"/>
          <w:szCs w:val="18"/>
        </w:rPr>
        <w:t>) under static conditions to water containing 283 dpm</w:t>
      </w:r>
      <w:r w:rsidRPr="000C7CFA">
        <w:rPr>
          <w:rStyle w:val="FootnoteReference"/>
          <w:rFonts w:ascii="Verdana" w:hAnsi="Verdana"/>
          <w:sz w:val="18"/>
          <w:szCs w:val="18"/>
        </w:rPr>
        <w:footnoteReference w:id="5"/>
      </w:r>
      <w:r w:rsidRPr="000C7CFA">
        <w:rPr>
          <w:rFonts w:ascii="Verdana" w:hAnsi="Verdana"/>
          <w:sz w:val="18"/>
          <w:szCs w:val="18"/>
        </w:rPr>
        <w:t>/mL (nominal) radiolabelled Dechlorane Plus. The test substance was solubilised in hexane prior to addition to water. No further details are reported on the radiolabelled test substance. Three fish were analysed at 48</w:t>
      </w:r>
      <w:r w:rsidRPr="000C7CFA">
        <w:rPr>
          <w:rFonts w:ascii="Verdana" w:hAnsi="Verdana"/>
          <w:sz w:val="18"/>
          <w:szCs w:val="18"/>
          <w:vertAlign w:val="superscript"/>
        </w:rPr>
        <w:t> </w:t>
      </w:r>
      <w:r w:rsidRPr="000C7CFA">
        <w:rPr>
          <w:rFonts w:ascii="Verdana" w:hAnsi="Verdana"/>
          <w:sz w:val="18"/>
          <w:szCs w:val="18"/>
        </w:rPr>
        <w:t>hours and three more at 96 hours exposure. The remaining six fish were transferred after 96 hours of exposure to clean water, and were analysed at 48 hours and 96 hours post-exposure. The concentration of the substance in all fish and in water during period of exposure was determined by liquid scintillation counting. There is no information in the robust study summary to indicate whether the fish were given food during the uptake phase of the experiment, but given the relatively short study duration, presumably they were not.</w:t>
      </w:r>
    </w:p>
    <w:p w14:paraId="016C81CE" w14:textId="53601E00"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t>The BCF was determined as 7.02 and 1.97 (whole body, w/w) after 48 and 96 hours exposure, respectively. Measured concentrations of th</w:t>
      </w:r>
      <w:r w:rsidR="008610EB" w:rsidRPr="000C7CFA">
        <w:rPr>
          <w:rFonts w:ascii="Verdana" w:hAnsi="Verdana"/>
          <w:sz w:val="18"/>
          <w:szCs w:val="18"/>
        </w:rPr>
        <w:t xml:space="preserve">e test substance in fish were 1 </w:t>
      </w:r>
      <w:r w:rsidRPr="000C7CFA">
        <w:rPr>
          <w:rFonts w:ascii="Verdana" w:hAnsi="Verdana"/>
          <w:sz w:val="18"/>
          <w:szCs w:val="18"/>
        </w:rPr>
        <w:t xml:space="preserve">798 dpm/mL after 48 hours and 614 dpm/mL after 96 hours. Measured concentrations of test substance in the water were 256 dpm/mL after 48 hours and 311 dpm/mL after 96 hours. </w:t>
      </w:r>
    </w:p>
    <w:p w14:paraId="3ABC6100" w14:textId="1380A178"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t>After transferring the fish to clean water, high and highly variable concentrations were found in fish tissue at 48 and 96 hours pos</w:t>
      </w:r>
      <w:r w:rsidR="008610EB" w:rsidRPr="000C7CFA">
        <w:rPr>
          <w:rFonts w:ascii="Verdana" w:hAnsi="Verdana"/>
          <w:sz w:val="18"/>
          <w:szCs w:val="18"/>
        </w:rPr>
        <w:t>t-exposure: 25 843 dpm/mL and 1 </w:t>
      </w:r>
      <w:r w:rsidRPr="000C7CFA">
        <w:rPr>
          <w:rFonts w:ascii="Verdana" w:hAnsi="Verdana"/>
          <w:sz w:val="18"/>
          <w:szCs w:val="18"/>
        </w:rPr>
        <w:t xml:space="preserve">299 dpm/mL, respectively. No conclusion on the elimination from fish tissues could be drawn. The results of the depuration phase were reported as being caused by “oral intake of particulate precipitated test substance” by the fishes. </w:t>
      </w:r>
    </w:p>
    <w:p w14:paraId="67E21A6F" w14:textId="544EF191"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t xml:space="preserve">The Registrant assigned a reliability code of 2 (reliable with restrictions) to this study, on the basis that concentrations in fish were extremely variable (most probably by ingestion of particulate precipitated test substance), and concludes that there was no relevant bioconcentration during 96 hours of exposure in fish. </w:t>
      </w:r>
      <w:r w:rsidR="004975D9" w:rsidRPr="000C7CFA">
        <w:rPr>
          <w:rFonts w:ascii="Verdana" w:hAnsi="Verdana"/>
          <w:sz w:val="18"/>
          <w:szCs w:val="18"/>
        </w:rPr>
        <w:t>A c</w:t>
      </w:r>
      <w:r w:rsidRPr="000C7CFA">
        <w:rPr>
          <w:rFonts w:ascii="Verdana" w:hAnsi="Verdana"/>
          <w:sz w:val="18"/>
          <w:szCs w:val="18"/>
        </w:rPr>
        <w:t>opy of the original study report</w:t>
      </w:r>
      <w:r w:rsidR="004975D9" w:rsidRPr="000C7CFA">
        <w:rPr>
          <w:rFonts w:ascii="Verdana" w:hAnsi="Verdana"/>
          <w:sz w:val="18"/>
          <w:szCs w:val="18"/>
        </w:rPr>
        <w:t xml:space="preserve"> is not available</w:t>
      </w:r>
      <w:r w:rsidRPr="000C7CFA">
        <w:rPr>
          <w:rFonts w:ascii="Verdana" w:hAnsi="Verdana"/>
          <w:sz w:val="18"/>
          <w:szCs w:val="18"/>
        </w:rPr>
        <w:t xml:space="preserve">. </w:t>
      </w:r>
    </w:p>
    <w:p w14:paraId="681D0D08" w14:textId="001C839F" w:rsidR="00706677" w:rsidRPr="000C7CFA" w:rsidRDefault="00706677" w:rsidP="00DC3658">
      <w:pPr>
        <w:pStyle w:val="BodyText"/>
        <w:numPr>
          <w:ilvl w:val="0"/>
          <w:numId w:val="11"/>
        </w:numPr>
        <w:ind w:left="426" w:right="232" w:hanging="426"/>
        <w:rPr>
          <w:rFonts w:ascii="Verdana" w:hAnsi="Verdana"/>
          <w:sz w:val="18"/>
          <w:szCs w:val="18"/>
        </w:rPr>
      </w:pPr>
      <w:r w:rsidRPr="000C7CFA">
        <w:rPr>
          <w:rFonts w:ascii="Verdana" w:hAnsi="Verdana"/>
          <w:sz w:val="18"/>
          <w:szCs w:val="18"/>
        </w:rPr>
        <w:t>In a second non-guideline study reported by the Registrant (Zitko, 1980), groups of three juvenile Atlantic Salmon (</w:t>
      </w:r>
      <w:r w:rsidRPr="000C7CFA">
        <w:rPr>
          <w:rFonts w:ascii="Verdana" w:hAnsi="Verdana"/>
          <w:i/>
          <w:sz w:val="18"/>
          <w:szCs w:val="18"/>
        </w:rPr>
        <w:t>Salmo salar</w:t>
      </w:r>
      <w:r w:rsidRPr="000C7CFA">
        <w:rPr>
          <w:rFonts w:ascii="Verdana" w:hAnsi="Verdana"/>
          <w:sz w:val="18"/>
          <w:szCs w:val="18"/>
        </w:rPr>
        <w:t xml:space="preserve">) were exposed under static conditions to </w:t>
      </w:r>
      <w:r w:rsidRPr="000C7CFA">
        <w:rPr>
          <w:rFonts w:ascii="Verdana" w:hAnsi="Verdana"/>
          <w:sz w:val="18"/>
          <w:szCs w:val="18"/>
        </w:rPr>
        <w:lastRenderedPageBreak/>
        <w:t xml:space="preserve">a mixture of chemicals including Dechlorane Plus in water for 96 hours followed by 192 hours of observation in clean water. The test substance was a mixture of compounds in hexane containing a small amount of toluene (the identity of the other chemicals in the mixture was not specified in the robust study summary, but the original paper indicates that they were mirex, Dechlorane 602, Dechlorane 603 and Dechlorane 604). Following addition to the bottom of a flask the solvent was completely evaporated and then 3 L of water added (no information is provided about the time allowed for dissolution). The water contained 76.15 µg/L nominal (6.06 µg/L measured) Dechlorane Plus. The test temperature was 10 °C. The same study involved a dietary exposure group, and this part of the study is reported separately in Section </w:t>
      </w:r>
      <w:r w:rsidR="00FC761E" w:rsidRPr="000C7CFA">
        <w:rPr>
          <w:rFonts w:ascii="Verdana" w:hAnsi="Verdana"/>
          <w:sz w:val="18"/>
          <w:szCs w:val="18"/>
        </w:rPr>
        <w:t>3.4.1.2.2</w:t>
      </w:r>
      <w:r w:rsidRPr="000C7CFA">
        <w:rPr>
          <w:rFonts w:ascii="Verdana" w:hAnsi="Verdana"/>
          <w:sz w:val="18"/>
          <w:szCs w:val="18"/>
        </w:rPr>
        <w:t>.</w:t>
      </w:r>
    </w:p>
    <w:p w14:paraId="3D89DDA6" w14:textId="77777777"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t>Concentrations in fish tissue were determined after 12, 24, 48 and 96 hours of exposure, and 25.5, 102 and 192 hours post-exposure, using gas chromatography-mass spectrometry (GC-MS). Two peaks in an area ratio of 1:4 were believed to be the syn- and anti- isomer, respectively, and concentrations were reported as total isomers.</w:t>
      </w:r>
    </w:p>
    <w:p w14:paraId="6D08F8CD" w14:textId="77777777"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t>Dechlorane Plus was not detected in fish tissue during the exposure or depuration periods, i.e. there was no measurable uptake from water after 96 hours’ exposure. (In contrast, mirex and Dechlorane 602 were both accumulated.)</w:t>
      </w:r>
    </w:p>
    <w:p w14:paraId="0C3DC5F7" w14:textId="77777777"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t xml:space="preserve">The Registrant assigned a reliability code of 2 (reliable with restrictions) to this study, on the basis that methods, results and the interpretation of results are not described in sufficient detail. </w:t>
      </w:r>
    </w:p>
    <w:p w14:paraId="38E04104" w14:textId="04B6C98F" w:rsidR="00706677" w:rsidRPr="000C7CFA" w:rsidRDefault="00706677" w:rsidP="00DC3658">
      <w:pPr>
        <w:pStyle w:val="BodyText"/>
        <w:numPr>
          <w:ilvl w:val="0"/>
          <w:numId w:val="11"/>
        </w:numPr>
        <w:ind w:left="426" w:right="232" w:hanging="426"/>
        <w:rPr>
          <w:rFonts w:ascii="Verdana" w:hAnsi="Verdana"/>
          <w:sz w:val="18"/>
          <w:szCs w:val="18"/>
        </w:rPr>
      </w:pPr>
      <w:r w:rsidRPr="000C7CFA">
        <w:rPr>
          <w:rFonts w:ascii="Verdana" w:hAnsi="Verdana"/>
          <w:sz w:val="18"/>
          <w:szCs w:val="18"/>
        </w:rPr>
        <w:t xml:space="preserve">Gara and Rawisina (1975) exposed one group of 36 Bluegill Sunfish (Latin name not provided, presumably </w:t>
      </w:r>
      <w:r w:rsidRPr="000C7CFA">
        <w:rPr>
          <w:rFonts w:ascii="Verdana" w:hAnsi="Verdana"/>
          <w:i/>
          <w:sz w:val="18"/>
          <w:szCs w:val="18"/>
        </w:rPr>
        <w:t>Lepomis macrochirus</w:t>
      </w:r>
      <w:r w:rsidRPr="000C7CFA">
        <w:rPr>
          <w:rFonts w:ascii="Verdana" w:hAnsi="Verdana"/>
          <w:sz w:val="18"/>
          <w:szCs w:val="18"/>
        </w:rPr>
        <w:t>) to a nominal concentration of 0.1 ppm [mg/L] commercial Dechlorane Plus for 30 days in a flow-through test system. There was no depuration period. Dechlorane Plus was used as a 0.00</w:t>
      </w:r>
      <w:r w:rsidR="00AF7606" w:rsidRPr="000C7CFA">
        <w:rPr>
          <w:rFonts w:ascii="Verdana" w:hAnsi="Verdana"/>
          <w:sz w:val="18"/>
          <w:szCs w:val="18"/>
        </w:rPr>
        <w:t>1 %</w:t>
      </w:r>
      <w:r w:rsidRPr="000C7CFA">
        <w:rPr>
          <w:rFonts w:ascii="Verdana" w:hAnsi="Verdana"/>
          <w:sz w:val="18"/>
          <w:szCs w:val="18"/>
        </w:rPr>
        <w:t xml:space="preserve"> solution in acetone. This solution was injected at 90</w:t>
      </w:r>
      <w:r w:rsidRPr="000C7CFA">
        <w:rPr>
          <w:rFonts w:ascii="Verdana" w:hAnsi="Verdana"/>
          <w:sz w:val="18"/>
          <w:szCs w:val="18"/>
        </w:rPr>
        <w:noBreakHyphen/>
        <w:t xml:space="preserve">second intervals beneath the water surface of the test tank. The study did not follow a standard guideline. Samples of fish were taken pre-test and on days 0, 6, 12, 18, 24 and 30. Samples of water were taken pre-test and on days 0, 6, 18, 24 and 30. Analysis was performed by gas chromatography. No further details on the analytical methods are available. </w:t>
      </w:r>
    </w:p>
    <w:p w14:paraId="0E2AF758" w14:textId="77777777"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t>Measured concentrations in water were 0.102 ppm at day 0 (6 hours); 0.095 ppm at day 6; 0.074 ppm at day 12; 0.083 ppm at day 18; 0.085 ppm at day 24; and 0.069 ppm at day 30. The concentration in fish increased from 0.111 ppm on day 0 to 0.385 ppm on day 30. The BCF was calculated as 5.58 (using the concentrations measured at the end of the study).</w:t>
      </w:r>
    </w:p>
    <w:p w14:paraId="215FA9FC" w14:textId="1E0291B1"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t>No effects on mortality and behaviour were observed that could be attributed to the substance. Quiescence, dark discoloration of the integument, rapid respiration and passive feeding were considered to be due to acetone (which reached 0.</w:t>
      </w:r>
      <w:r w:rsidR="00AF7606" w:rsidRPr="000C7CFA">
        <w:rPr>
          <w:rFonts w:ascii="Verdana" w:hAnsi="Verdana"/>
          <w:sz w:val="18"/>
          <w:szCs w:val="18"/>
        </w:rPr>
        <w:t>7 %</w:t>
      </w:r>
      <w:r w:rsidRPr="000C7CFA">
        <w:rPr>
          <w:rFonts w:ascii="Verdana" w:hAnsi="Verdana"/>
          <w:sz w:val="18"/>
          <w:szCs w:val="18"/>
        </w:rPr>
        <w:t xml:space="preserve"> v/v).</w:t>
      </w:r>
    </w:p>
    <w:p w14:paraId="6E08F92B" w14:textId="77777777"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t>The Registrant has assigned the study Reliability 2 and indicates that steady state was not achieved during 30 days of exposure.</w:t>
      </w:r>
    </w:p>
    <w:p w14:paraId="694BD18B" w14:textId="77777777" w:rsidR="00706677" w:rsidRPr="000C7CFA" w:rsidRDefault="00706677" w:rsidP="00DC3658">
      <w:pPr>
        <w:pStyle w:val="BodyText"/>
        <w:numPr>
          <w:ilvl w:val="0"/>
          <w:numId w:val="11"/>
        </w:numPr>
        <w:ind w:left="426" w:right="232" w:hanging="426"/>
        <w:rPr>
          <w:rFonts w:ascii="Verdana" w:hAnsi="Verdana"/>
          <w:sz w:val="18"/>
          <w:szCs w:val="18"/>
        </w:rPr>
      </w:pPr>
      <w:r w:rsidRPr="000C7CFA">
        <w:rPr>
          <w:rFonts w:ascii="Verdana" w:hAnsi="Verdana"/>
          <w:sz w:val="18"/>
          <w:szCs w:val="18"/>
        </w:rPr>
        <w:t xml:space="preserve">Boudreau and Rausina (1973) performed a 30-day static bioaccumulation study with juvenile Bluegill Sunfish (Latin name not provided, presumably </w:t>
      </w:r>
      <w:r w:rsidRPr="000C7CFA">
        <w:rPr>
          <w:rFonts w:ascii="Verdana" w:hAnsi="Verdana"/>
          <w:i/>
          <w:sz w:val="18"/>
          <w:szCs w:val="18"/>
        </w:rPr>
        <w:t>Lepomis macrochirus</w:t>
      </w:r>
      <w:r w:rsidRPr="000C7CFA">
        <w:rPr>
          <w:rFonts w:ascii="Verdana" w:hAnsi="Verdana"/>
          <w:sz w:val="18"/>
          <w:szCs w:val="18"/>
        </w:rPr>
        <w:t>). The fish were exposed to a nominal concentration of 1 ppm [mg/L] Dechlorane Plus (dissolved in acetone) in a static system for 30 days. The test substance was introduced once on day 0, the water was aerated, but the oxygen concentration was not measured. No information on water quality is reported. There was no depuration period. Samples of water and fish were collected pre-test and on days 7, 14, 21, and 30, and analysed by gas chromatography after extraction with cyclohexane.</w:t>
      </w:r>
    </w:p>
    <w:p w14:paraId="1CB2A321" w14:textId="54972079"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t>Measured concentrations in water were 0.046 ppm at day 7; 0.014 ppm at day 14; 0.001 ppm at day 21; and 0.003 ppm at day 30. Measured concentrations in fish were &lt;0.01 ppm at day 0; 6.03 ppm at day 7; 7.80 ppm at day 14; 8.78 ppm at day 21; and 8.72 ppm at day 30 (suggesting a BCF of 2</w:t>
      </w:r>
      <w:r w:rsidR="002D4EB9" w:rsidRPr="000C7CFA">
        <w:rPr>
          <w:rFonts w:ascii="Verdana" w:hAnsi="Verdana"/>
          <w:sz w:val="18"/>
          <w:szCs w:val="18"/>
        </w:rPr>
        <w:t> 907 – 8 </w:t>
      </w:r>
      <w:r w:rsidRPr="000C7CFA">
        <w:rPr>
          <w:rFonts w:ascii="Verdana" w:hAnsi="Verdana"/>
          <w:sz w:val="18"/>
          <w:szCs w:val="18"/>
        </w:rPr>
        <w:t>780 L/kg during the last week or so of the study).</w:t>
      </w:r>
    </w:p>
    <w:p w14:paraId="0C28F678" w14:textId="77777777"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lastRenderedPageBreak/>
        <w:t>No effects on mortality and behaviour were observed, although an algal bloom occurred in all vessels in the second week.</w:t>
      </w:r>
    </w:p>
    <w:p w14:paraId="1A840607" w14:textId="77777777" w:rsidR="00706677" w:rsidRPr="000C7CFA" w:rsidRDefault="00706677" w:rsidP="00706677">
      <w:pPr>
        <w:pStyle w:val="BodyText"/>
        <w:ind w:left="426" w:right="232"/>
        <w:rPr>
          <w:rFonts w:ascii="Verdana" w:hAnsi="Verdana"/>
          <w:sz w:val="18"/>
          <w:szCs w:val="18"/>
        </w:rPr>
      </w:pPr>
      <w:r w:rsidRPr="000C7CFA">
        <w:rPr>
          <w:rFonts w:ascii="Verdana" w:hAnsi="Verdana"/>
          <w:sz w:val="18"/>
          <w:szCs w:val="18"/>
        </w:rPr>
        <w:t xml:space="preserve">The study has been determined to be non-reliable (Reliability 3) by the Registrant because the test substance purity was not reported, steady state was not achieved, the measured concentrations were significantly lower than nominal concentrations and there was likely to be precipitation of the substance and subsequent ingestion by the fish. </w:t>
      </w:r>
    </w:p>
    <w:p w14:paraId="55E8095E" w14:textId="77777777" w:rsidR="00706677" w:rsidRPr="000C7CFA" w:rsidRDefault="00706677" w:rsidP="00706677">
      <w:pPr>
        <w:pStyle w:val="BodyText"/>
        <w:rPr>
          <w:rFonts w:ascii="Verdana" w:hAnsi="Verdana"/>
          <w:sz w:val="18"/>
          <w:szCs w:val="18"/>
        </w:rPr>
      </w:pPr>
      <w:r w:rsidRPr="000C7CFA">
        <w:rPr>
          <w:rFonts w:ascii="Verdana" w:hAnsi="Verdana"/>
          <w:sz w:val="18"/>
          <w:szCs w:val="18"/>
        </w:rPr>
        <w:t>The four studies cited above are also cited in Occidental Chemical Company (2003) (which does not contain any other bioaccumulation data).</w:t>
      </w:r>
    </w:p>
    <w:p w14:paraId="41BC3849" w14:textId="17C3DB5F" w:rsidR="00706677" w:rsidRPr="000C7CFA" w:rsidRDefault="00706677" w:rsidP="00706677">
      <w:pPr>
        <w:pStyle w:val="BodyText"/>
        <w:rPr>
          <w:rFonts w:ascii="Verdana" w:hAnsi="Verdana"/>
          <w:sz w:val="18"/>
          <w:szCs w:val="18"/>
        </w:rPr>
      </w:pPr>
      <w:r w:rsidRPr="000C7CFA">
        <w:rPr>
          <w:rFonts w:ascii="Verdana" w:hAnsi="Verdana"/>
          <w:sz w:val="18"/>
          <w:szCs w:val="18"/>
        </w:rPr>
        <w:t>The following information was not included in the</w:t>
      </w:r>
      <w:r w:rsidR="006E6BE9" w:rsidRPr="000C7CFA">
        <w:rPr>
          <w:rFonts w:ascii="Verdana" w:hAnsi="Verdana"/>
          <w:sz w:val="18"/>
          <w:szCs w:val="18"/>
        </w:rPr>
        <w:t xml:space="preserve"> registration dossier</w:t>
      </w:r>
      <w:r w:rsidRPr="000C7CFA">
        <w:rPr>
          <w:rFonts w:ascii="Verdana" w:hAnsi="Verdana"/>
          <w:sz w:val="18"/>
          <w:szCs w:val="18"/>
        </w:rPr>
        <w:t xml:space="preserve"> by the Registrant, but has been identified </w:t>
      </w:r>
      <w:r w:rsidR="005B6B2B" w:rsidRPr="000C7CFA">
        <w:rPr>
          <w:rFonts w:ascii="Verdana" w:hAnsi="Verdana"/>
          <w:sz w:val="18"/>
          <w:szCs w:val="18"/>
        </w:rPr>
        <w:t>following</w:t>
      </w:r>
      <w:r w:rsidRPr="000C7CFA">
        <w:rPr>
          <w:rFonts w:ascii="Verdana" w:hAnsi="Verdana"/>
          <w:sz w:val="18"/>
          <w:szCs w:val="18"/>
        </w:rPr>
        <w:t xml:space="preserve"> a literature search (refer to</w:t>
      </w:r>
      <w:r w:rsidR="005B6B2B" w:rsidRPr="000C7CFA">
        <w:rPr>
          <w:rFonts w:ascii="Verdana" w:hAnsi="Verdana"/>
          <w:sz w:val="18"/>
          <w:szCs w:val="18"/>
        </w:rPr>
        <w:t xml:space="preserve"> the</w:t>
      </w:r>
      <w:r w:rsidRPr="000C7CFA">
        <w:rPr>
          <w:rFonts w:ascii="Verdana" w:hAnsi="Verdana"/>
          <w:sz w:val="18"/>
          <w:szCs w:val="18"/>
        </w:rPr>
        <w:t xml:space="preserve"> Annex for information on search terms/period): </w:t>
      </w:r>
    </w:p>
    <w:p w14:paraId="6CC819E4" w14:textId="4F0BF9F3" w:rsidR="00706677" w:rsidRPr="000C7CFA" w:rsidRDefault="00706677" w:rsidP="00DC3658">
      <w:pPr>
        <w:pStyle w:val="BodyText"/>
        <w:numPr>
          <w:ilvl w:val="0"/>
          <w:numId w:val="11"/>
        </w:numPr>
        <w:ind w:left="426" w:right="232" w:hanging="426"/>
        <w:rPr>
          <w:rFonts w:ascii="Verdana" w:hAnsi="Verdana"/>
          <w:sz w:val="18"/>
          <w:szCs w:val="18"/>
        </w:rPr>
      </w:pPr>
      <w:r w:rsidRPr="000C7CFA">
        <w:rPr>
          <w:rFonts w:ascii="Verdana" w:hAnsi="Verdana"/>
          <w:sz w:val="18"/>
          <w:szCs w:val="18"/>
        </w:rPr>
        <w:t>A screening-level hazard characterisation of Dechlorane Plus conducted by the U.S. EPA (2011) reports that Dechlorane Plus has measured BCF values for Common Carp (</w:t>
      </w:r>
      <w:r w:rsidRPr="000C7CFA">
        <w:rPr>
          <w:rFonts w:ascii="Verdana" w:hAnsi="Verdana"/>
          <w:i/>
          <w:sz w:val="18"/>
          <w:szCs w:val="18"/>
        </w:rPr>
        <w:t>Cyprinus carpio</w:t>
      </w:r>
      <w:r w:rsidRPr="000C7CFA">
        <w:rPr>
          <w:rFonts w:ascii="Verdana" w:hAnsi="Verdana"/>
          <w:sz w:val="18"/>
          <w:szCs w:val="18"/>
        </w:rPr>
        <w:t>) in th</w:t>
      </w:r>
      <w:r w:rsidR="005B6B2B" w:rsidRPr="000C7CFA">
        <w:rPr>
          <w:rFonts w:ascii="Verdana" w:hAnsi="Verdana"/>
          <w:sz w:val="18"/>
          <w:szCs w:val="18"/>
        </w:rPr>
        <w:t>e range 23 – 121 L/kg at 0.0027 </w:t>
      </w:r>
      <w:r w:rsidRPr="000C7CFA">
        <w:rPr>
          <w:rFonts w:ascii="Verdana" w:hAnsi="Verdana"/>
          <w:sz w:val="18"/>
          <w:szCs w:val="18"/>
        </w:rPr>
        <w:t>mg/L and 14 – 96 L/kg at 0.00027 mg/L. The source of these data is the Japanese NITE database “Biodegradation and Bioaccumulation of the Existing Chemical Substances under the Chemical Substances Control Law”. This information no longer seems to be available on the Japanese CHemical Risk Information Platform (CHRIP) database</w:t>
      </w:r>
      <w:r w:rsidRPr="000C7CFA">
        <w:rPr>
          <w:rStyle w:val="FootnoteReference"/>
          <w:rFonts w:ascii="Verdana" w:hAnsi="Verdana"/>
          <w:sz w:val="18"/>
          <w:szCs w:val="18"/>
        </w:rPr>
        <w:footnoteReference w:id="6"/>
      </w:r>
      <w:r w:rsidRPr="000C7CFA">
        <w:rPr>
          <w:rFonts w:ascii="Verdana" w:hAnsi="Verdana"/>
          <w:sz w:val="18"/>
          <w:szCs w:val="18"/>
        </w:rPr>
        <w:t>. The data were reviewed under a Cefic Long Range Research Initiative project</w:t>
      </w:r>
      <w:r w:rsidRPr="000C7CFA">
        <w:rPr>
          <w:rStyle w:val="FootnoteReference"/>
          <w:rFonts w:ascii="Verdana" w:hAnsi="Verdana"/>
          <w:sz w:val="18"/>
          <w:szCs w:val="18"/>
        </w:rPr>
        <w:footnoteReference w:id="7"/>
      </w:r>
      <w:r w:rsidRPr="000C7CFA">
        <w:rPr>
          <w:rFonts w:ascii="Verdana" w:hAnsi="Verdana"/>
          <w:sz w:val="18"/>
          <w:szCs w:val="18"/>
        </w:rPr>
        <w:t>, and the data are summarised in the BCF gold standard database that resulted</w:t>
      </w:r>
      <w:r w:rsidRPr="000C7CFA">
        <w:rPr>
          <w:rStyle w:val="FootnoteReference"/>
          <w:rFonts w:ascii="Verdana" w:hAnsi="Verdana"/>
          <w:sz w:val="18"/>
          <w:szCs w:val="18"/>
        </w:rPr>
        <w:footnoteReference w:id="8"/>
      </w:r>
      <w:r w:rsidRPr="000C7CFA">
        <w:rPr>
          <w:rFonts w:ascii="Verdana" w:hAnsi="Verdana"/>
          <w:sz w:val="18"/>
          <w:szCs w:val="18"/>
        </w:rPr>
        <w:t xml:space="preserve"> as well as the OECD QSAR Toolbox (v2.1)</w:t>
      </w:r>
      <w:r w:rsidRPr="000C7CFA">
        <w:rPr>
          <w:rStyle w:val="FootnoteReference"/>
          <w:rFonts w:ascii="Verdana" w:hAnsi="Verdana"/>
          <w:sz w:val="18"/>
          <w:szCs w:val="18"/>
        </w:rPr>
        <w:footnoteReference w:id="9"/>
      </w:r>
      <w:r w:rsidRPr="000C7CFA">
        <w:rPr>
          <w:rFonts w:ascii="Verdana" w:hAnsi="Verdana"/>
          <w:sz w:val="18"/>
          <w:szCs w:val="18"/>
        </w:rPr>
        <w:t>. These provi</w:t>
      </w:r>
      <w:r w:rsidRPr="000C7CFA">
        <w:rPr>
          <w:rFonts w:ascii="Verdana" w:hAnsi="Verdana"/>
          <w:sz w:val="18"/>
          <w:szCs w:val="18"/>
          <w:lang w:eastAsia="en-GB"/>
        </w:rPr>
        <w:t>de the following details. The study was carried ou</w:t>
      </w:r>
      <w:r w:rsidRPr="000C7CFA">
        <w:rPr>
          <w:rFonts w:ascii="Verdana" w:hAnsi="Verdana"/>
          <w:sz w:val="18"/>
          <w:szCs w:val="18"/>
        </w:rPr>
        <w:t>t by Japanese regulatory authorities (MITI, referencing “</w:t>
      </w:r>
      <w:r w:rsidRPr="000C7CFA">
        <w:rPr>
          <w:rFonts w:ascii="Verdana" w:hAnsi="Verdana"/>
          <w:sz w:val="18"/>
          <w:szCs w:val="18"/>
          <w:lang w:eastAsia="en-GB"/>
        </w:rPr>
        <w:t>Chemicals Inspection and Testing Institute (1992)”</w:t>
      </w:r>
      <w:r w:rsidRPr="000C7CFA">
        <w:rPr>
          <w:rFonts w:ascii="Verdana" w:hAnsi="Verdana"/>
          <w:sz w:val="18"/>
          <w:szCs w:val="18"/>
        </w:rPr>
        <w:t>). It involved both male and female fish, but fish numbers, age and weights are not specified. The fish were apparently 8 cm in length (presumably at the start of th</w:t>
      </w:r>
      <w:r w:rsidRPr="000C7CFA">
        <w:rPr>
          <w:rFonts w:ascii="Verdana" w:hAnsi="Verdana"/>
          <w:sz w:val="18"/>
          <w:szCs w:val="18"/>
          <w:lang w:eastAsia="en-GB"/>
        </w:rPr>
        <w:t>e t</w:t>
      </w:r>
      <w:r w:rsidRPr="000C7CFA">
        <w:rPr>
          <w:rFonts w:ascii="Verdana" w:hAnsi="Verdana"/>
          <w:color w:val="000000"/>
          <w:sz w:val="18"/>
          <w:szCs w:val="18"/>
          <w:lang w:eastAsia="en-GB"/>
        </w:rPr>
        <w:t>est; gro</w:t>
      </w:r>
      <w:r w:rsidRPr="000C7CFA">
        <w:rPr>
          <w:rFonts w:ascii="Verdana" w:hAnsi="Verdana"/>
          <w:sz w:val="18"/>
          <w:szCs w:val="18"/>
        </w:rPr>
        <w:t>w</w:t>
      </w:r>
      <w:r w:rsidRPr="000C7CFA">
        <w:rPr>
          <w:rFonts w:ascii="Verdana" w:hAnsi="Verdana"/>
          <w:sz w:val="18"/>
          <w:szCs w:val="18"/>
          <w:lang w:eastAsia="en-GB"/>
        </w:rPr>
        <w:t xml:space="preserve">th rate information is not provided). The test was conducted under flow-through conditions at 25 </w:t>
      </w:r>
      <w:r w:rsidRPr="000C7CFA">
        <w:rPr>
          <w:rFonts w:ascii="Verdana" w:hAnsi="Verdana"/>
          <w:color w:val="000000"/>
          <w:sz w:val="18"/>
          <w:szCs w:val="18"/>
          <w:lang w:eastAsia="en-GB"/>
        </w:rPr>
        <w:t>°C and pH</w:t>
      </w:r>
      <w:r w:rsidRPr="000C7CFA">
        <w:rPr>
          <w:rFonts w:ascii="Verdana" w:hAnsi="Verdana"/>
          <w:sz w:val="18"/>
          <w:szCs w:val="18"/>
          <w:lang w:eastAsia="en-GB"/>
        </w:rPr>
        <w:t xml:space="preserve"> 6.0 - 8.5. Total organic carbon</w:t>
      </w:r>
      <w:r w:rsidRPr="000C7CFA">
        <w:rPr>
          <w:rFonts w:ascii="Verdana" w:hAnsi="Verdana"/>
          <w:color w:val="000000"/>
          <w:sz w:val="18"/>
          <w:szCs w:val="18"/>
          <w:lang w:eastAsia="en-GB"/>
        </w:rPr>
        <w:t xml:space="preserve"> (TOC) measurements are not provided. The uptake phase lasted 56 days, and there was no depuration period. Fish whole body was analysed, and the fish lipid content was reported as 4.</w:t>
      </w:r>
      <w:r w:rsidR="00AF7606" w:rsidRPr="000C7CFA">
        <w:rPr>
          <w:rFonts w:ascii="Verdana" w:hAnsi="Verdana"/>
          <w:color w:val="000000"/>
          <w:sz w:val="18"/>
          <w:szCs w:val="18"/>
          <w:lang w:eastAsia="en-GB"/>
        </w:rPr>
        <w:t>8 %</w:t>
      </w:r>
      <w:r w:rsidRPr="000C7CFA">
        <w:rPr>
          <w:rFonts w:ascii="Verdana" w:hAnsi="Verdana"/>
          <w:color w:val="000000"/>
          <w:sz w:val="18"/>
          <w:szCs w:val="18"/>
          <w:lang w:eastAsia="en-GB"/>
        </w:rPr>
        <w:t xml:space="preserve"> (it is not stated what time point this represents). The steady state BCF was based on </w:t>
      </w:r>
      <w:r w:rsidRPr="000C7CFA">
        <w:rPr>
          <w:rFonts w:ascii="Verdana" w:hAnsi="Verdana"/>
          <w:sz w:val="18"/>
          <w:szCs w:val="18"/>
          <w:lang w:eastAsia="en-GB"/>
        </w:rPr>
        <w:t xml:space="preserve">the mean measured water concentration “up to the time of sampling”, although no further information is provided. The wet weight steady state BCF is reported in this source to be 96 L/kg (at 0.27 µg/L) and </w:t>
      </w:r>
      <w:r w:rsidRPr="000C7CFA">
        <w:rPr>
          <w:rFonts w:ascii="Verdana" w:hAnsi="Verdana"/>
          <w:sz w:val="18"/>
          <w:szCs w:val="18"/>
        </w:rPr>
        <w:t>121 L/kg (at 2.7 </w:t>
      </w:r>
      <w:r w:rsidRPr="000C7CFA">
        <w:rPr>
          <w:rFonts w:ascii="Verdana" w:hAnsi="Verdana"/>
          <w:sz w:val="18"/>
          <w:szCs w:val="18"/>
          <w:lang w:eastAsia="en-GB"/>
        </w:rPr>
        <w:t>µ</w:t>
      </w:r>
      <w:r w:rsidRPr="000C7CFA">
        <w:rPr>
          <w:rFonts w:ascii="Verdana" w:hAnsi="Verdana"/>
          <w:sz w:val="18"/>
          <w:szCs w:val="18"/>
        </w:rPr>
        <w:t>g/L).</w:t>
      </w:r>
      <w:r w:rsidRPr="000C7CFA">
        <w:rPr>
          <w:rFonts w:ascii="Verdana" w:hAnsi="Verdana"/>
          <w:sz w:val="18"/>
          <w:szCs w:val="18"/>
          <w:lang w:eastAsia="en-GB"/>
        </w:rPr>
        <w:t xml:space="preserve"> </w:t>
      </w:r>
      <w:r w:rsidRPr="000C7CFA">
        <w:rPr>
          <w:rFonts w:ascii="Verdana" w:hAnsi="Verdana"/>
          <w:sz w:val="18"/>
          <w:szCs w:val="18"/>
        </w:rPr>
        <w:t xml:space="preserve">The Cefic project considered the study to be reliable, although the basis for this is not explained. </w:t>
      </w:r>
    </w:p>
    <w:p w14:paraId="539623B5" w14:textId="77777777" w:rsidR="00706677" w:rsidRPr="000C7CFA" w:rsidRDefault="00706677" w:rsidP="00706677">
      <w:pPr>
        <w:pStyle w:val="BodyText"/>
        <w:ind w:left="426" w:right="232"/>
        <w:rPr>
          <w:rFonts w:ascii="Verdana" w:hAnsi="Verdana"/>
          <w:sz w:val="18"/>
          <w:szCs w:val="18"/>
          <w:lang w:val="en-US"/>
        </w:rPr>
      </w:pPr>
      <w:r w:rsidRPr="000C7CFA">
        <w:rPr>
          <w:rFonts w:ascii="Verdana" w:hAnsi="Verdana"/>
          <w:sz w:val="18"/>
          <w:szCs w:val="18"/>
          <w:lang w:val="en-US"/>
        </w:rPr>
        <w:t xml:space="preserve">Correspondence with the Japanese </w:t>
      </w:r>
      <w:r w:rsidRPr="000C7CFA">
        <w:rPr>
          <w:rFonts w:ascii="Verdana" w:hAnsi="Verdana"/>
          <w:sz w:val="18"/>
          <w:szCs w:val="18"/>
        </w:rPr>
        <w:t>Chemicals Evaluation and Research Institute (Yoshida, pers. comm., 2015</w:t>
      </w:r>
      <w:r w:rsidRPr="000C7CFA">
        <w:rPr>
          <w:rFonts w:ascii="Verdana" w:hAnsi="Verdana"/>
          <w:sz w:val="18"/>
          <w:szCs w:val="18"/>
          <w:vertAlign w:val="superscript"/>
          <w:lang w:val="en-US"/>
        </w:rPr>
        <w:footnoteReference w:id="10"/>
      </w:r>
      <w:r w:rsidRPr="000C7CFA">
        <w:rPr>
          <w:rFonts w:ascii="Verdana" w:hAnsi="Verdana"/>
          <w:sz w:val="18"/>
          <w:szCs w:val="18"/>
        </w:rPr>
        <w:t>) confirmed that this</w:t>
      </w:r>
      <w:r w:rsidRPr="000C7CFA">
        <w:rPr>
          <w:rFonts w:ascii="Verdana" w:hAnsi="Verdana"/>
          <w:sz w:val="18"/>
          <w:szCs w:val="18"/>
          <w:lang w:val="en-US"/>
        </w:rPr>
        <w:t xml:space="preserve"> study was actually conducted in 1974, and that the report is simple and does not contain raw data. </w:t>
      </w:r>
      <w:r w:rsidRPr="000C7CFA">
        <w:rPr>
          <w:rFonts w:ascii="Verdana" w:hAnsi="Verdana"/>
          <w:sz w:val="18"/>
          <w:szCs w:val="18"/>
        </w:rPr>
        <w:t xml:space="preserve">The test substance was dissolved in methanol and 53 mg/L methanol solution was used as a stock solution, but the concentration of methanol in the test water was not stated. </w:t>
      </w:r>
      <w:r w:rsidRPr="000C7CFA">
        <w:rPr>
          <w:rFonts w:ascii="Verdana" w:hAnsi="Verdana"/>
          <w:sz w:val="18"/>
          <w:szCs w:val="18"/>
          <w:lang w:val="en-US"/>
        </w:rPr>
        <w:t>No information is available on lipid content or growth, but the average weight and length of fish during the test period were approximately 37 g and 11 cm, respectively. The following table provides the results from the study report (there is no information of the concentration measurements in fish).</w:t>
      </w:r>
    </w:p>
    <w:tbl>
      <w:tblPr>
        <w:tblW w:w="8127" w:type="dxa"/>
        <w:tblInd w:w="383" w:type="dxa"/>
        <w:tblLayout w:type="fixed"/>
        <w:tblCellMar>
          <w:left w:w="0" w:type="dxa"/>
          <w:right w:w="0" w:type="dxa"/>
        </w:tblCellMar>
        <w:tblLook w:val="04A0" w:firstRow="1" w:lastRow="0" w:firstColumn="1" w:lastColumn="0" w:noHBand="0" w:noVBand="1"/>
      </w:tblPr>
      <w:tblGrid>
        <w:gridCol w:w="1167"/>
        <w:gridCol w:w="2475"/>
        <w:gridCol w:w="897"/>
        <w:gridCol w:w="897"/>
        <w:gridCol w:w="897"/>
        <w:gridCol w:w="897"/>
        <w:gridCol w:w="897"/>
      </w:tblGrid>
      <w:tr w:rsidR="00706677" w:rsidRPr="000C7CFA" w14:paraId="1052B901" w14:textId="77777777" w:rsidTr="00706677">
        <w:trPr>
          <w:trHeight w:val="300"/>
        </w:trPr>
        <w:tc>
          <w:tcPr>
            <w:tcW w:w="3642" w:type="dxa"/>
            <w:gridSpan w:val="2"/>
            <w:vMerge w:val="restart"/>
            <w:tcBorders>
              <w:top w:val="single" w:sz="8" w:space="0" w:color="auto"/>
              <w:left w:val="single" w:sz="8" w:space="0" w:color="auto"/>
              <w:right w:val="nil"/>
            </w:tcBorders>
            <w:noWrap/>
            <w:tcMar>
              <w:top w:w="0" w:type="dxa"/>
              <w:left w:w="99" w:type="dxa"/>
              <w:bottom w:w="0" w:type="dxa"/>
              <w:right w:w="99" w:type="dxa"/>
            </w:tcMar>
            <w:vAlign w:val="center"/>
            <w:hideMark/>
          </w:tcPr>
          <w:p w14:paraId="41E4B58A" w14:textId="77777777" w:rsidR="00706677" w:rsidRPr="000C7CFA" w:rsidRDefault="00706677" w:rsidP="0038040F">
            <w:pPr>
              <w:spacing w:after="0"/>
              <w:jc w:val="center"/>
              <w:rPr>
                <w:rFonts w:ascii="Verdana" w:eastAsia="MS Mincho" w:hAnsi="Verdana"/>
                <w:sz w:val="18"/>
                <w:szCs w:val="18"/>
              </w:rPr>
            </w:pPr>
            <w:r w:rsidRPr="000C7CFA">
              <w:rPr>
                <w:rFonts w:ascii="Verdana" w:eastAsia="MS Mincho" w:hAnsi="Verdana"/>
                <w:sz w:val="18"/>
                <w:szCs w:val="18"/>
              </w:rPr>
              <w:t xml:space="preserve">　</w:t>
            </w:r>
          </w:p>
        </w:tc>
        <w:tc>
          <w:tcPr>
            <w:tcW w:w="4485" w:type="dxa"/>
            <w:gridSpan w:val="5"/>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E15405A" w14:textId="77777777" w:rsidR="00706677" w:rsidRPr="000C7CFA" w:rsidRDefault="00706677" w:rsidP="0038040F">
            <w:pPr>
              <w:spacing w:after="0"/>
              <w:jc w:val="center"/>
              <w:rPr>
                <w:rFonts w:ascii="Verdana" w:hAnsi="Verdana"/>
                <w:b/>
                <w:sz w:val="18"/>
                <w:szCs w:val="18"/>
              </w:rPr>
            </w:pPr>
            <w:r w:rsidRPr="000C7CFA">
              <w:rPr>
                <w:rFonts w:ascii="Verdana" w:hAnsi="Verdana"/>
                <w:b/>
                <w:sz w:val="18"/>
                <w:szCs w:val="18"/>
              </w:rPr>
              <w:t>Value at week</w:t>
            </w:r>
          </w:p>
        </w:tc>
      </w:tr>
      <w:tr w:rsidR="00706677" w:rsidRPr="000C7CFA" w14:paraId="3DEA466D" w14:textId="77777777" w:rsidTr="00706677">
        <w:trPr>
          <w:trHeight w:val="300"/>
        </w:trPr>
        <w:tc>
          <w:tcPr>
            <w:tcW w:w="3642" w:type="dxa"/>
            <w:gridSpan w:val="2"/>
            <w:vMerge/>
            <w:tcBorders>
              <w:left w:val="single" w:sz="8" w:space="0" w:color="auto"/>
              <w:bottom w:val="single" w:sz="8" w:space="0" w:color="auto"/>
              <w:right w:val="nil"/>
            </w:tcBorders>
            <w:noWrap/>
            <w:tcMar>
              <w:top w:w="0" w:type="dxa"/>
              <w:left w:w="99" w:type="dxa"/>
              <w:bottom w:w="0" w:type="dxa"/>
              <w:right w:w="99" w:type="dxa"/>
            </w:tcMar>
            <w:vAlign w:val="center"/>
            <w:hideMark/>
          </w:tcPr>
          <w:p w14:paraId="50901C07" w14:textId="77777777" w:rsidR="00706677" w:rsidRPr="000C7CFA" w:rsidRDefault="00706677" w:rsidP="0038040F">
            <w:pPr>
              <w:spacing w:after="0"/>
              <w:jc w:val="center"/>
              <w:rPr>
                <w:rFonts w:ascii="Verdana" w:eastAsia="MS PGothic" w:hAnsi="Verdana"/>
                <w:sz w:val="18"/>
                <w:szCs w:val="18"/>
                <w:lang w:eastAsia="ja-JP"/>
              </w:rPr>
            </w:pPr>
          </w:p>
        </w:tc>
        <w:tc>
          <w:tcPr>
            <w:tcW w:w="897"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3900904" w14:textId="77777777" w:rsidR="00706677" w:rsidRPr="000C7CFA" w:rsidRDefault="00706677" w:rsidP="0038040F">
            <w:pPr>
              <w:spacing w:after="0"/>
              <w:jc w:val="center"/>
              <w:rPr>
                <w:rFonts w:ascii="Verdana" w:eastAsia="MS PGothic" w:hAnsi="Verdana"/>
                <w:b/>
                <w:sz w:val="18"/>
                <w:szCs w:val="18"/>
                <w:lang w:eastAsia="ja-JP"/>
              </w:rPr>
            </w:pPr>
            <w:r w:rsidRPr="000C7CFA">
              <w:rPr>
                <w:rFonts w:ascii="Verdana" w:hAnsi="Verdana"/>
                <w:b/>
                <w:sz w:val="18"/>
                <w:szCs w:val="18"/>
              </w:rPr>
              <w:t>2</w:t>
            </w:r>
          </w:p>
        </w:tc>
        <w:tc>
          <w:tcPr>
            <w:tcW w:w="897"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07B6BB71" w14:textId="77777777" w:rsidR="00706677" w:rsidRPr="000C7CFA" w:rsidRDefault="00706677" w:rsidP="0038040F">
            <w:pPr>
              <w:spacing w:after="0"/>
              <w:jc w:val="center"/>
              <w:rPr>
                <w:rFonts w:ascii="Verdana" w:eastAsia="MS PGothic" w:hAnsi="Verdana"/>
                <w:b/>
                <w:sz w:val="18"/>
                <w:szCs w:val="18"/>
                <w:lang w:eastAsia="ja-JP"/>
              </w:rPr>
            </w:pPr>
            <w:r w:rsidRPr="000C7CFA">
              <w:rPr>
                <w:rFonts w:ascii="Verdana" w:hAnsi="Verdana"/>
                <w:b/>
                <w:sz w:val="18"/>
                <w:szCs w:val="18"/>
              </w:rPr>
              <w:t>3</w:t>
            </w:r>
          </w:p>
        </w:tc>
        <w:tc>
          <w:tcPr>
            <w:tcW w:w="897"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0841A17D" w14:textId="77777777" w:rsidR="00706677" w:rsidRPr="000C7CFA" w:rsidRDefault="00706677" w:rsidP="0038040F">
            <w:pPr>
              <w:spacing w:after="0"/>
              <w:jc w:val="center"/>
              <w:rPr>
                <w:rFonts w:ascii="Verdana" w:eastAsia="MS PGothic" w:hAnsi="Verdana"/>
                <w:b/>
                <w:sz w:val="18"/>
                <w:szCs w:val="18"/>
                <w:lang w:eastAsia="ja-JP"/>
              </w:rPr>
            </w:pPr>
            <w:r w:rsidRPr="000C7CFA">
              <w:rPr>
                <w:rFonts w:ascii="Verdana" w:hAnsi="Verdana"/>
                <w:b/>
                <w:sz w:val="18"/>
                <w:szCs w:val="18"/>
              </w:rPr>
              <w:t>4</w:t>
            </w:r>
          </w:p>
        </w:tc>
        <w:tc>
          <w:tcPr>
            <w:tcW w:w="897"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58DCFE2B" w14:textId="77777777" w:rsidR="00706677" w:rsidRPr="000C7CFA" w:rsidRDefault="00706677" w:rsidP="0038040F">
            <w:pPr>
              <w:spacing w:after="0"/>
              <w:jc w:val="center"/>
              <w:rPr>
                <w:rFonts w:ascii="Verdana" w:eastAsia="MS PGothic" w:hAnsi="Verdana"/>
                <w:b/>
                <w:sz w:val="18"/>
                <w:szCs w:val="18"/>
                <w:lang w:eastAsia="ja-JP"/>
              </w:rPr>
            </w:pPr>
            <w:r w:rsidRPr="000C7CFA">
              <w:rPr>
                <w:rFonts w:ascii="Verdana" w:hAnsi="Verdana"/>
                <w:b/>
                <w:sz w:val="18"/>
                <w:szCs w:val="18"/>
              </w:rPr>
              <w:t>6</w:t>
            </w:r>
          </w:p>
        </w:tc>
        <w:tc>
          <w:tcPr>
            <w:tcW w:w="897"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310F9595" w14:textId="77777777" w:rsidR="00706677" w:rsidRPr="000C7CFA" w:rsidRDefault="00706677" w:rsidP="0038040F">
            <w:pPr>
              <w:spacing w:after="0"/>
              <w:jc w:val="center"/>
              <w:rPr>
                <w:rFonts w:ascii="Verdana" w:eastAsia="MS PGothic" w:hAnsi="Verdana"/>
                <w:b/>
                <w:sz w:val="18"/>
                <w:szCs w:val="18"/>
                <w:lang w:eastAsia="ja-JP"/>
              </w:rPr>
            </w:pPr>
            <w:r w:rsidRPr="000C7CFA">
              <w:rPr>
                <w:rFonts w:ascii="Verdana" w:hAnsi="Verdana"/>
                <w:b/>
                <w:sz w:val="18"/>
                <w:szCs w:val="18"/>
              </w:rPr>
              <w:t>8</w:t>
            </w:r>
          </w:p>
        </w:tc>
      </w:tr>
      <w:tr w:rsidR="00706677" w:rsidRPr="000C7CFA" w14:paraId="33E15997" w14:textId="77777777" w:rsidTr="00706677">
        <w:trPr>
          <w:trHeight w:val="570"/>
        </w:trPr>
        <w:tc>
          <w:tcPr>
            <w:tcW w:w="1167"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5F9CA082" w14:textId="77777777" w:rsidR="00706677" w:rsidRPr="000C7CFA" w:rsidRDefault="00706677" w:rsidP="0038040F">
            <w:pPr>
              <w:spacing w:after="0"/>
              <w:jc w:val="center"/>
              <w:rPr>
                <w:rFonts w:ascii="Verdana" w:eastAsia="MS PGothic" w:hAnsi="Verdana"/>
                <w:sz w:val="18"/>
                <w:szCs w:val="18"/>
                <w:lang w:eastAsia="ja-JP"/>
              </w:rPr>
            </w:pPr>
            <w:r w:rsidRPr="000C7CFA">
              <w:rPr>
                <w:rFonts w:ascii="Verdana" w:hAnsi="Verdana"/>
                <w:sz w:val="18"/>
                <w:szCs w:val="18"/>
              </w:rPr>
              <w:t>Exposure Level 1</w:t>
            </w:r>
          </w:p>
        </w:tc>
        <w:tc>
          <w:tcPr>
            <w:tcW w:w="2475"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6C67E0F" w14:textId="291872E2"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Concentration in test water, µg/L</w:t>
            </w:r>
            <w:r w:rsidRPr="000C7CFA">
              <w:rPr>
                <w:rFonts w:ascii="Verdana" w:hAnsi="Verdana"/>
                <w:sz w:val="18"/>
                <w:szCs w:val="18"/>
              </w:rPr>
              <w:br/>
              <w:t>[Nominal: 2.65] (n=1)</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7DECF54" w14:textId="1931DEAB"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 xml:space="preserve">2.71 </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9C4A71B" w14:textId="0BDFA02A"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 xml:space="preserve">2.54 </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84B6544" w14:textId="559D3AA5"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 xml:space="preserve">2.21 </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F78ACDB" w14:textId="3A5E7AE3"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 xml:space="preserve">2.04 </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38C2E85" w14:textId="4E29F310"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 xml:space="preserve">1.87 </w:t>
            </w:r>
          </w:p>
        </w:tc>
      </w:tr>
      <w:tr w:rsidR="00706677" w:rsidRPr="000C7CFA" w14:paraId="7CDAE634" w14:textId="77777777" w:rsidTr="00706677">
        <w:trPr>
          <w:trHeight w:val="285"/>
        </w:trPr>
        <w:tc>
          <w:tcPr>
            <w:tcW w:w="1167" w:type="dxa"/>
            <w:vMerge/>
            <w:tcBorders>
              <w:top w:val="nil"/>
              <w:left w:val="single" w:sz="8" w:space="0" w:color="auto"/>
              <w:bottom w:val="single" w:sz="8" w:space="0" w:color="000000"/>
              <w:right w:val="single" w:sz="8" w:space="0" w:color="auto"/>
            </w:tcBorders>
            <w:vAlign w:val="center"/>
            <w:hideMark/>
          </w:tcPr>
          <w:p w14:paraId="6736D550" w14:textId="77777777" w:rsidR="00706677" w:rsidRPr="000C7CFA" w:rsidRDefault="00706677" w:rsidP="0038040F">
            <w:pPr>
              <w:spacing w:after="0"/>
              <w:rPr>
                <w:rFonts w:ascii="Verdana" w:eastAsia="MS PGothic" w:hAnsi="Verdana"/>
                <w:sz w:val="18"/>
                <w:szCs w:val="18"/>
                <w:lang w:eastAsia="ja-JP"/>
              </w:rPr>
            </w:pPr>
          </w:p>
        </w:tc>
        <w:tc>
          <w:tcPr>
            <w:tcW w:w="2475" w:type="dxa"/>
            <w:vMerge w:val="restart"/>
            <w:tcBorders>
              <w:top w:val="nil"/>
              <w:left w:val="nil"/>
              <w:bottom w:val="single" w:sz="8" w:space="0" w:color="000000"/>
              <w:right w:val="single" w:sz="8" w:space="0" w:color="auto"/>
            </w:tcBorders>
            <w:noWrap/>
            <w:tcMar>
              <w:top w:w="0" w:type="dxa"/>
              <w:left w:w="99" w:type="dxa"/>
              <w:bottom w:w="0" w:type="dxa"/>
              <w:right w:w="99" w:type="dxa"/>
            </w:tcMar>
            <w:vAlign w:val="center"/>
            <w:hideMark/>
          </w:tcPr>
          <w:p w14:paraId="3DA247A3" w14:textId="77777777" w:rsidR="00706677" w:rsidRPr="000C7CFA" w:rsidRDefault="00706677" w:rsidP="0038040F">
            <w:pPr>
              <w:spacing w:after="0"/>
              <w:jc w:val="center"/>
              <w:rPr>
                <w:rFonts w:ascii="Verdana" w:hAnsi="Verdana"/>
                <w:sz w:val="18"/>
                <w:szCs w:val="18"/>
              </w:rPr>
            </w:pPr>
            <w:r w:rsidRPr="000C7CFA">
              <w:rPr>
                <w:rFonts w:ascii="Verdana" w:hAnsi="Verdana"/>
                <w:sz w:val="18"/>
                <w:szCs w:val="18"/>
              </w:rPr>
              <w:t>BCF</w:t>
            </w:r>
          </w:p>
          <w:p w14:paraId="15A30F6F" w14:textId="77777777" w:rsidR="00706677" w:rsidRPr="000C7CFA" w:rsidRDefault="00706677" w:rsidP="0038040F">
            <w:pPr>
              <w:spacing w:after="0"/>
              <w:jc w:val="center"/>
              <w:rPr>
                <w:rFonts w:ascii="Verdana" w:eastAsia="MS PGothic" w:hAnsi="Verdana"/>
                <w:sz w:val="18"/>
                <w:szCs w:val="18"/>
                <w:lang w:eastAsia="ja-JP"/>
              </w:rPr>
            </w:pPr>
            <w:r w:rsidRPr="000C7CFA">
              <w:rPr>
                <w:rFonts w:ascii="Verdana" w:hAnsi="Verdana"/>
                <w:sz w:val="18"/>
                <w:szCs w:val="18"/>
              </w:rPr>
              <w:t>(n=2)</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B93D949"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26</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0395B1"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33</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E928EC7"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83</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77C3C37"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84</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41ECE3E"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121</w:t>
            </w:r>
          </w:p>
        </w:tc>
      </w:tr>
      <w:tr w:rsidR="00706677" w:rsidRPr="000C7CFA" w14:paraId="2E333C5C" w14:textId="77777777" w:rsidTr="00706677">
        <w:trPr>
          <w:trHeight w:val="300"/>
        </w:trPr>
        <w:tc>
          <w:tcPr>
            <w:tcW w:w="1167" w:type="dxa"/>
            <w:vMerge/>
            <w:tcBorders>
              <w:top w:val="nil"/>
              <w:left w:val="single" w:sz="8" w:space="0" w:color="auto"/>
              <w:bottom w:val="single" w:sz="8" w:space="0" w:color="000000"/>
              <w:right w:val="single" w:sz="8" w:space="0" w:color="auto"/>
            </w:tcBorders>
            <w:vAlign w:val="center"/>
            <w:hideMark/>
          </w:tcPr>
          <w:p w14:paraId="74BE563E" w14:textId="77777777" w:rsidR="00706677" w:rsidRPr="000C7CFA" w:rsidRDefault="00706677" w:rsidP="0038040F">
            <w:pPr>
              <w:spacing w:after="0"/>
              <w:rPr>
                <w:rFonts w:ascii="Verdana" w:eastAsia="MS PGothic" w:hAnsi="Verdana"/>
                <w:sz w:val="18"/>
                <w:szCs w:val="18"/>
                <w:lang w:eastAsia="ja-JP"/>
              </w:rPr>
            </w:pPr>
          </w:p>
        </w:tc>
        <w:tc>
          <w:tcPr>
            <w:tcW w:w="2475" w:type="dxa"/>
            <w:vMerge/>
            <w:tcBorders>
              <w:top w:val="nil"/>
              <w:left w:val="nil"/>
              <w:bottom w:val="single" w:sz="8" w:space="0" w:color="000000"/>
              <w:right w:val="single" w:sz="8" w:space="0" w:color="auto"/>
            </w:tcBorders>
            <w:vAlign w:val="center"/>
            <w:hideMark/>
          </w:tcPr>
          <w:p w14:paraId="44FF8461" w14:textId="77777777" w:rsidR="00706677" w:rsidRPr="000C7CFA" w:rsidRDefault="00706677" w:rsidP="0038040F">
            <w:pPr>
              <w:spacing w:after="0"/>
              <w:jc w:val="center"/>
              <w:rPr>
                <w:rFonts w:ascii="Verdana" w:eastAsia="MS PGothic" w:hAnsi="Verdana"/>
                <w:sz w:val="18"/>
                <w:szCs w:val="18"/>
                <w:lang w:eastAsia="ja-JP"/>
              </w:rPr>
            </w:pP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98660D2"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23</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33D1B20"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32</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A46755C"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59</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C11495A"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99</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E37CFFF"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98</w:t>
            </w:r>
          </w:p>
        </w:tc>
      </w:tr>
      <w:tr w:rsidR="00706677" w:rsidRPr="000C7CFA" w14:paraId="7EF4633E" w14:textId="77777777" w:rsidTr="00706677">
        <w:trPr>
          <w:trHeight w:val="570"/>
        </w:trPr>
        <w:tc>
          <w:tcPr>
            <w:tcW w:w="1167" w:type="dxa"/>
            <w:vMerge w:val="restart"/>
            <w:tcBorders>
              <w:top w:val="nil"/>
              <w:left w:val="single" w:sz="8" w:space="0" w:color="auto"/>
              <w:bottom w:val="single" w:sz="8" w:space="0" w:color="000000"/>
              <w:right w:val="single" w:sz="8" w:space="0" w:color="auto"/>
            </w:tcBorders>
            <w:noWrap/>
            <w:tcMar>
              <w:top w:w="0" w:type="dxa"/>
              <w:left w:w="99" w:type="dxa"/>
              <w:bottom w:w="0" w:type="dxa"/>
              <w:right w:w="99" w:type="dxa"/>
            </w:tcMar>
            <w:vAlign w:val="center"/>
            <w:hideMark/>
          </w:tcPr>
          <w:p w14:paraId="7E9F5D46" w14:textId="77777777" w:rsidR="00706677" w:rsidRPr="000C7CFA" w:rsidRDefault="00706677" w:rsidP="0038040F">
            <w:pPr>
              <w:spacing w:after="0"/>
              <w:jc w:val="center"/>
              <w:rPr>
                <w:rFonts w:ascii="Verdana" w:eastAsia="MS PGothic" w:hAnsi="Verdana"/>
                <w:sz w:val="18"/>
                <w:szCs w:val="18"/>
                <w:lang w:eastAsia="ja-JP"/>
              </w:rPr>
            </w:pPr>
            <w:r w:rsidRPr="000C7CFA">
              <w:rPr>
                <w:rFonts w:ascii="Verdana" w:hAnsi="Verdana"/>
                <w:sz w:val="18"/>
                <w:szCs w:val="18"/>
              </w:rPr>
              <w:t>Exposure Level 2</w:t>
            </w:r>
          </w:p>
        </w:tc>
        <w:tc>
          <w:tcPr>
            <w:tcW w:w="2475"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CA4E0D" w14:textId="2F38A6A9"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Concentration in test water, µg/L</w:t>
            </w:r>
            <w:r w:rsidRPr="000C7CFA">
              <w:rPr>
                <w:rFonts w:ascii="Verdana" w:hAnsi="Verdana"/>
                <w:sz w:val="18"/>
                <w:szCs w:val="18"/>
              </w:rPr>
              <w:br/>
              <w:t>[Nominal: 0.27] (n=1)</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62119DE" w14:textId="776AD40C"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 xml:space="preserve">0.41 </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EEA4EFD" w14:textId="5855D56E"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 xml:space="preserve">0.37 </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DE5049F" w14:textId="6FE9CD93"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 xml:space="preserve">0.34 </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5EF10E4" w14:textId="778080D4"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 xml:space="preserve">0.35 </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F67DF74" w14:textId="17DB2BBF" w:rsidR="00706677" w:rsidRPr="000C7CFA" w:rsidRDefault="00706677" w:rsidP="00706677">
            <w:pPr>
              <w:spacing w:after="0"/>
              <w:jc w:val="center"/>
              <w:rPr>
                <w:rFonts w:ascii="Verdana" w:eastAsia="MS PGothic" w:hAnsi="Verdana"/>
                <w:sz w:val="18"/>
                <w:szCs w:val="18"/>
                <w:lang w:eastAsia="ja-JP"/>
              </w:rPr>
            </w:pPr>
            <w:r w:rsidRPr="000C7CFA">
              <w:rPr>
                <w:rFonts w:ascii="Verdana" w:hAnsi="Verdana"/>
                <w:sz w:val="18"/>
                <w:szCs w:val="18"/>
              </w:rPr>
              <w:t xml:space="preserve">0.31 </w:t>
            </w:r>
          </w:p>
        </w:tc>
      </w:tr>
      <w:tr w:rsidR="00706677" w:rsidRPr="000C7CFA" w14:paraId="0629F17B" w14:textId="77777777" w:rsidTr="00706677">
        <w:trPr>
          <w:trHeight w:val="285"/>
        </w:trPr>
        <w:tc>
          <w:tcPr>
            <w:tcW w:w="1167" w:type="dxa"/>
            <w:vMerge/>
            <w:tcBorders>
              <w:top w:val="nil"/>
              <w:left w:val="single" w:sz="8" w:space="0" w:color="auto"/>
              <w:bottom w:val="single" w:sz="8" w:space="0" w:color="000000"/>
              <w:right w:val="single" w:sz="8" w:space="0" w:color="auto"/>
            </w:tcBorders>
            <w:vAlign w:val="center"/>
            <w:hideMark/>
          </w:tcPr>
          <w:p w14:paraId="00903657" w14:textId="77777777" w:rsidR="00706677" w:rsidRPr="000C7CFA" w:rsidRDefault="00706677" w:rsidP="0038040F">
            <w:pPr>
              <w:spacing w:after="0"/>
              <w:rPr>
                <w:rFonts w:ascii="Verdana" w:eastAsia="MS PGothic" w:hAnsi="Verdana"/>
                <w:sz w:val="18"/>
                <w:szCs w:val="18"/>
                <w:lang w:eastAsia="ja-JP"/>
              </w:rPr>
            </w:pPr>
          </w:p>
        </w:tc>
        <w:tc>
          <w:tcPr>
            <w:tcW w:w="2475" w:type="dxa"/>
            <w:vMerge w:val="restart"/>
            <w:tcBorders>
              <w:top w:val="nil"/>
              <w:left w:val="nil"/>
              <w:bottom w:val="single" w:sz="8" w:space="0" w:color="000000"/>
              <w:right w:val="single" w:sz="8" w:space="0" w:color="auto"/>
            </w:tcBorders>
            <w:noWrap/>
            <w:tcMar>
              <w:top w:w="0" w:type="dxa"/>
              <w:left w:w="99" w:type="dxa"/>
              <w:bottom w:w="0" w:type="dxa"/>
              <w:right w:w="99" w:type="dxa"/>
            </w:tcMar>
            <w:vAlign w:val="center"/>
            <w:hideMark/>
          </w:tcPr>
          <w:p w14:paraId="378161FA" w14:textId="77777777" w:rsidR="00706677" w:rsidRPr="000C7CFA" w:rsidRDefault="00706677" w:rsidP="0038040F">
            <w:pPr>
              <w:spacing w:after="0"/>
              <w:jc w:val="center"/>
              <w:rPr>
                <w:rFonts w:ascii="Verdana" w:hAnsi="Verdana"/>
                <w:sz w:val="18"/>
                <w:szCs w:val="18"/>
              </w:rPr>
            </w:pPr>
            <w:r w:rsidRPr="000C7CFA">
              <w:rPr>
                <w:rFonts w:ascii="Verdana" w:hAnsi="Verdana"/>
                <w:sz w:val="18"/>
                <w:szCs w:val="18"/>
              </w:rPr>
              <w:t>BCF</w:t>
            </w:r>
          </w:p>
          <w:p w14:paraId="79987A67" w14:textId="77777777" w:rsidR="00706677" w:rsidRPr="000C7CFA" w:rsidRDefault="00706677" w:rsidP="0038040F">
            <w:pPr>
              <w:spacing w:after="0"/>
              <w:jc w:val="center"/>
              <w:rPr>
                <w:rFonts w:ascii="Verdana" w:eastAsia="MS PGothic" w:hAnsi="Verdana"/>
                <w:sz w:val="18"/>
                <w:szCs w:val="18"/>
                <w:lang w:eastAsia="ja-JP"/>
              </w:rPr>
            </w:pPr>
            <w:r w:rsidRPr="000C7CFA">
              <w:rPr>
                <w:rFonts w:ascii="Verdana" w:hAnsi="Verdana"/>
                <w:sz w:val="18"/>
                <w:szCs w:val="18"/>
              </w:rPr>
              <w:t>(n=2, but n=1 after 2 weeks)</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99CAAC4"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14</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A500A07"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40</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B9D8CCE"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41</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62F81A4"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50</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8D635D"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96</w:t>
            </w:r>
          </w:p>
        </w:tc>
      </w:tr>
      <w:tr w:rsidR="00706677" w:rsidRPr="000C7CFA" w14:paraId="381CDA28" w14:textId="77777777" w:rsidTr="00706677">
        <w:trPr>
          <w:trHeight w:val="300"/>
        </w:trPr>
        <w:tc>
          <w:tcPr>
            <w:tcW w:w="1167" w:type="dxa"/>
            <w:vMerge/>
            <w:tcBorders>
              <w:top w:val="nil"/>
              <w:left w:val="single" w:sz="8" w:space="0" w:color="auto"/>
              <w:bottom w:val="single" w:sz="8" w:space="0" w:color="000000"/>
              <w:right w:val="single" w:sz="8" w:space="0" w:color="auto"/>
            </w:tcBorders>
            <w:vAlign w:val="center"/>
            <w:hideMark/>
          </w:tcPr>
          <w:p w14:paraId="1221B78E" w14:textId="77777777" w:rsidR="00706677" w:rsidRPr="000C7CFA" w:rsidRDefault="00706677" w:rsidP="0038040F">
            <w:pPr>
              <w:spacing w:after="0"/>
              <w:rPr>
                <w:rFonts w:ascii="Verdana" w:eastAsia="MS PGothic" w:hAnsi="Verdana"/>
                <w:sz w:val="18"/>
                <w:szCs w:val="18"/>
                <w:lang w:eastAsia="ja-JP"/>
              </w:rPr>
            </w:pPr>
          </w:p>
        </w:tc>
        <w:tc>
          <w:tcPr>
            <w:tcW w:w="2475" w:type="dxa"/>
            <w:vMerge/>
            <w:tcBorders>
              <w:top w:val="nil"/>
              <w:left w:val="nil"/>
              <w:bottom w:val="single" w:sz="8" w:space="0" w:color="000000"/>
              <w:right w:val="single" w:sz="8" w:space="0" w:color="auto"/>
            </w:tcBorders>
            <w:vAlign w:val="center"/>
            <w:hideMark/>
          </w:tcPr>
          <w:p w14:paraId="328B7B15" w14:textId="77777777" w:rsidR="00706677" w:rsidRPr="000C7CFA" w:rsidRDefault="00706677" w:rsidP="0038040F">
            <w:pPr>
              <w:spacing w:after="0"/>
              <w:rPr>
                <w:rFonts w:ascii="Verdana" w:eastAsia="MS PGothic" w:hAnsi="Verdana"/>
                <w:sz w:val="18"/>
                <w:szCs w:val="18"/>
                <w:lang w:eastAsia="ja-JP"/>
              </w:rPr>
            </w:pP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BFDACD2"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DDBC61C"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32</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34C0780"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34</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6C87F7D"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48</w:t>
            </w:r>
          </w:p>
        </w:tc>
        <w:tc>
          <w:tcPr>
            <w:tcW w:w="897"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4CF848C" w14:textId="77777777" w:rsidR="00706677" w:rsidRPr="000C7CFA" w:rsidRDefault="00706677" w:rsidP="0038040F">
            <w:pPr>
              <w:spacing w:after="0"/>
              <w:jc w:val="center"/>
              <w:rPr>
                <w:rFonts w:ascii="Verdana" w:eastAsia="MS PGothic" w:hAnsi="Verdana"/>
                <w:i/>
                <w:sz w:val="18"/>
                <w:szCs w:val="18"/>
                <w:lang w:eastAsia="ja-JP"/>
              </w:rPr>
            </w:pPr>
            <w:r w:rsidRPr="000C7CFA">
              <w:rPr>
                <w:rFonts w:ascii="Verdana" w:hAnsi="Verdana"/>
                <w:i/>
                <w:sz w:val="18"/>
                <w:szCs w:val="18"/>
              </w:rPr>
              <w:t>87</w:t>
            </w:r>
          </w:p>
        </w:tc>
      </w:tr>
    </w:tbl>
    <w:p w14:paraId="45EA0E91" w14:textId="77777777" w:rsidR="00706677" w:rsidRPr="000C7CFA" w:rsidRDefault="00706677" w:rsidP="00706677">
      <w:pPr>
        <w:pStyle w:val="BodyText"/>
        <w:spacing w:after="0"/>
        <w:ind w:left="1080" w:right="232"/>
        <w:rPr>
          <w:rFonts w:ascii="Verdana" w:eastAsia="MS PGothic" w:hAnsi="Verdana"/>
          <w:sz w:val="18"/>
          <w:szCs w:val="18"/>
          <w:lang w:eastAsia="ja-JP"/>
        </w:rPr>
      </w:pPr>
    </w:p>
    <w:p w14:paraId="3F3DA8F1" w14:textId="77777777" w:rsidR="00706677" w:rsidRPr="000C7CFA" w:rsidRDefault="00706677" w:rsidP="00706677">
      <w:pPr>
        <w:pStyle w:val="BodyText"/>
        <w:ind w:left="426" w:right="232"/>
        <w:rPr>
          <w:rFonts w:ascii="Verdana" w:eastAsia="MS PGothic" w:hAnsi="Verdana"/>
          <w:sz w:val="18"/>
          <w:szCs w:val="18"/>
          <w:lang w:eastAsia="ja-JP"/>
        </w:rPr>
      </w:pPr>
      <w:r w:rsidRPr="000C7CFA">
        <w:rPr>
          <w:rFonts w:ascii="Verdana" w:hAnsi="Verdana"/>
          <w:sz w:val="18"/>
          <w:szCs w:val="18"/>
          <w:lang w:val="en-US"/>
        </w:rPr>
        <w:t>T</w:t>
      </w:r>
      <w:r w:rsidRPr="000C7CFA">
        <w:rPr>
          <w:rFonts w:ascii="Verdana" w:eastAsia="MS PGothic" w:hAnsi="Verdana"/>
          <w:sz w:val="18"/>
          <w:szCs w:val="18"/>
          <w:lang w:eastAsia="ja-JP"/>
        </w:rPr>
        <w:t>he decline in aqueous test concentration (and increase in BCF values) during the study indicates that the test system was not at steady state.</w:t>
      </w:r>
    </w:p>
    <w:p w14:paraId="3B86FE57" w14:textId="77777777" w:rsidR="00706677" w:rsidRPr="000C7CFA" w:rsidRDefault="00706677" w:rsidP="00706677">
      <w:pPr>
        <w:pStyle w:val="BodyText"/>
        <w:ind w:left="426" w:right="232"/>
        <w:rPr>
          <w:rFonts w:ascii="Verdana" w:hAnsi="Verdana"/>
          <w:sz w:val="18"/>
          <w:szCs w:val="18"/>
          <w:lang w:eastAsia="en-GB"/>
        </w:rPr>
      </w:pPr>
    </w:p>
    <w:p w14:paraId="44D832D0" w14:textId="77777777" w:rsidR="00706677" w:rsidRPr="000C7CFA" w:rsidRDefault="00706677" w:rsidP="00706677">
      <w:pPr>
        <w:pStyle w:val="BodyText"/>
        <w:keepNext/>
        <w:tabs>
          <w:tab w:val="left" w:pos="2905"/>
        </w:tabs>
        <w:rPr>
          <w:rFonts w:ascii="Verdana" w:hAnsi="Verdana"/>
          <w:b/>
          <w:i/>
          <w:sz w:val="18"/>
          <w:szCs w:val="18"/>
        </w:rPr>
      </w:pPr>
      <w:r w:rsidRPr="000C7CFA">
        <w:rPr>
          <w:rFonts w:ascii="Verdana" w:hAnsi="Verdana"/>
          <w:b/>
          <w:i/>
          <w:sz w:val="18"/>
          <w:szCs w:val="18"/>
        </w:rPr>
        <w:t>Discussion</w:t>
      </w:r>
    </w:p>
    <w:p w14:paraId="35221BEC" w14:textId="77777777" w:rsidR="00706677" w:rsidRPr="000C7CFA" w:rsidRDefault="00706677" w:rsidP="00706677">
      <w:pPr>
        <w:pStyle w:val="BodyText"/>
        <w:rPr>
          <w:rFonts w:ascii="Verdana" w:hAnsi="Verdana"/>
          <w:sz w:val="18"/>
          <w:szCs w:val="18"/>
        </w:rPr>
      </w:pPr>
      <w:r w:rsidRPr="000C7CFA">
        <w:rPr>
          <w:rFonts w:ascii="Verdana" w:hAnsi="Verdana"/>
          <w:sz w:val="18"/>
          <w:szCs w:val="18"/>
        </w:rPr>
        <w:t>None of the studies provides any information about differences in bioaccumulation potential of the two geometric isomers.</w:t>
      </w:r>
    </w:p>
    <w:p w14:paraId="7895F5B6" w14:textId="38DD4621" w:rsidR="00706677" w:rsidRPr="000C7CFA" w:rsidRDefault="00706677" w:rsidP="00706677">
      <w:pPr>
        <w:pStyle w:val="BodyText"/>
        <w:rPr>
          <w:rFonts w:ascii="Verdana" w:hAnsi="Verdana"/>
          <w:sz w:val="18"/>
          <w:szCs w:val="18"/>
        </w:rPr>
      </w:pPr>
      <w:r w:rsidRPr="000C7CFA">
        <w:rPr>
          <w:rFonts w:ascii="Verdana" w:hAnsi="Verdana"/>
          <w:sz w:val="18"/>
          <w:szCs w:val="18"/>
        </w:rPr>
        <w:t>The solubility of Dechlorane Plus in pure water is significantly below 1 µg/L. Although there are uncertainties in measuring a precise value, from the discussion in Section 1.5</w:t>
      </w:r>
      <w:r w:rsidR="00FC761E" w:rsidRPr="000C7CFA">
        <w:rPr>
          <w:rFonts w:ascii="Verdana" w:hAnsi="Verdana"/>
          <w:sz w:val="18"/>
          <w:szCs w:val="18"/>
        </w:rPr>
        <w:t xml:space="preserve"> of the main report</w:t>
      </w:r>
      <w:r w:rsidRPr="000C7CFA">
        <w:rPr>
          <w:rFonts w:ascii="Verdana" w:hAnsi="Verdana"/>
          <w:sz w:val="18"/>
          <w:szCs w:val="18"/>
        </w:rPr>
        <w:t>, the combined solubility of both geometric isomers is likely to be below 2 </w:t>
      </w:r>
      <w:r w:rsidRPr="000C7CFA">
        <w:rPr>
          <w:rFonts w:ascii="Verdana" w:hAnsi="Verdana"/>
          <w:sz w:val="18"/>
          <w:szCs w:val="18"/>
          <w:lang w:eastAsia="en-GB"/>
        </w:rPr>
        <w:t>ng/L</w:t>
      </w:r>
      <w:r w:rsidRPr="000C7CFA">
        <w:rPr>
          <w:rFonts w:ascii="Verdana" w:hAnsi="Verdana"/>
          <w:sz w:val="18"/>
          <w:szCs w:val="18"/>
        </w:rPr>
        <w:t xml:space="preserve"> (0.002 µg/L) at 20 °C. A measured log K</w:t>
      </w:r>
      <w:r w:rsidRPr="000C7CFA">
        <w:rPr>
          <w:rFonts w:ascii="Verdana" w:hAnsi="Verdana"/>
          <w:sz w:val="18"/>
          <w:szCs w:val="18"/>
          <w:vertAlign w:val="subscript"/>
        </w:rPr>
        <w:t>OW</w:t>
      </w:r>
      <w:r w:rsidRPr="000C7CFA">
        <w:rPr>
          <w:rFonts w:ascii="Verdana" w:hAnsi="Verdana"/>
          <w:sz w:val="18"/>
          <w:szCs w:val="18"/>
        </w:rPr>
        <w:t xml:space="preserve"> is not available in the registration dossier, but the substance is clearly very hydrophobic and for the purposes of this report, it is estimated to be ≥9. These properties make aqueous studies very difficult to perform, because the substance will have a high tendency to adsorb to organic matter and glassware (ECHA R.7b, 2008), limiting availability to fish and making it difficult to maintain test concentrations. The time for a strongly hydrophobic substance to reach equilibrium in an organism may also be longer than the standard exposure time for regulatory bioconcentration tests (Hawker and Connell, 1986).</w:t>
      </w:r>
    </w:p>
    <w:p w14:paraId="2C00442D" w14:textId="3BAE7295" w:rsidR="00706677" w:rsidRPr="000C7CFA" w:rsidRDefault="00706677" w:rsidP="00706677">
      <w:pPr>
        <w:pStyle w:val="BodyText"/>
        <w:rPr>
          <w:rFonts w:ascii="Verdana" w:hAnsi="Verdana"/>
          <w:sz w:val="18"/>
          <w:szCs w:val="18"/>
        </w:rPr>
      </w:pPr>
      <w:r w:rsidRPr="000C7CFA">
        <w:rPr>
          <w:rFonts w:ascii="Verdana" w:hAnsi="Verdana"/>
          <w:sz w:val="18"/>
          <w:szCs w:val="18"/>
        </w:rPr>
        <w:t xml:space="preserve">Both ‘key’ studies in the registration dossier are non-guideline aquatic exposure studies. The actual exposure concentration in the Chou </w:t>
      </w:r>
      <w:r w:rsidRPr="000C7CFA">
        <w:rPr>
          <w:rFonts w:ascii="Verdana" w:hAnsi="Verdana"/>
          <w:i/>
          <w:sz w:val="18"/>
          <w:szCs w:val="18"/>
        </w:rPr>
        <w:t>et al</w:t>
      </w:r>
      <w:r w:rsidRPr="000C7CFA">
        <w:rPr>
          <w:rFonts w:ascii="Verdana" w:hAnsi="Verdana"/>
          <w:sz w:val="18"/>
          <w:szCs w:val="18"/>
        </w:rPr>
        <w:t>. (1979) study is unknown, as it is only expressed in terms of radioactive count. The number of fish (12) and exposure duration (4 days) are much lower than recommended by the current standard guideline (OECD TG 305-I, Aqueous Exposure Bioconcentration Fish Test). For example, modern tests would typically expose the fish for 28 days, and there was no evidence that a steady-state concentration in fish had been reached in this study</w:t>
      </w:r>
      <w:r w:rsidRPr="000C7CFA">
        <w:rPr>
          <w:rStyle w:val="FootnoteReference"/>
          <w:rFonts w:ascii="Verdana" w:hAnsi="Verdana"/>
          <w:sz w:val="18"/>
          <w:szCs w:val="18"/>
        </w:rPr>
        <w:footnoteReference w:id="11"/>
      </w:r>
      <w:r w:rsidRPr="000C7CFA">
        <w:rPr>
          <w:rFonts w:ascii="Verdana" w:hAnsi="Verdana"/>
          <w:sz w:val="18"/>
          <w:szCs w:val="18"/>
        </w:rPr>
        <w:t>. Indeed, the concentration in fish was highly variable over the four sampling times (including depuration). The study authors believed this was due to fish ingesting different amounts of the particulate precipitated test substance following transfer to clean water. It is not clear what the source of this precipitate might be. Additional shortcomings include the use of static rather than flow-through or semi-static conditions, lack of a control group, and no information reported on fish lipid content. Therefore, the BCF values obtained in this study cannot be considered to be reliable, and</w:t>
      </w:r>
      <w:r w:rsidR="00294709" w:rsidRPr="000C7CFA">
        <w:rPr>
          <w:rFonts w:ascii="Verdana" w:hAnsi="Verdana"/>
          <w:sz w:val="18"/>
          <w:szCs w:val="18"/>
        </w:rPr>
        <w:t xml:space="preserve"> in the view of the DS</w:t>
      </w:r>
      <w:r w:rsidRPr="000C7CFA">
        <w:rPr>
          <w:rFonts w:ascii="Verdana" w:hAnsi="Verdana"/>
          <w:sz w:val="18"/>
          <w:szCs w:val="18"/>
        </w:rPr>
        <w:t xml:space="preserve"> the study is invalid. </w:t>
      </w:r>
    </w:p>
    <w:p w14:paraId="21442BF8" w14:textId="567F7787" w:rsidR="00706677" w:rsidRPr="000C7CFA" w:rsidRDefault="00706677" w:rsidP="00706677">
      <w:pPr>
        <w:pStyle w:val="BodyText"/>
        <w:rPr>
          <w:rFonts w:ascii="Verdana" w:hAnsi="Verdana"/>
          <w:sz w:val="18"/>
          <w:szCs w:val="18"/>
        </w:rPr>
      </w:pPr>
      <w:r w:rsidRPr="000C7CFA">
        <w:rPr>
          <w:rFonts w:ascii="Verdana" w:hAnsi="Verdana"/>
          <w:sz w:val="18"/>
          <w:szCs w:val="18"/>
        </w:rPr>
        <w:lastRenderedPageBreak/>
        <w:t>The same problems affect the Zitko (1980) study, which also included other substances that might have affected the uptake or metabolism of Dechlorane Plus, as well as toxicity towards the test fish. The fact that the measured aqueous concentration was more than ten times lower than nominal suggests that a significant amount of substance was not in solution</w:t>
      </w:r>
      <w:r w:rsidR="00AF7606" w:rsidRPr="000C7CFA">
        <w:rPr>
          <w:rFonts w:ascii="Verdana" w:hAnsi="Verdana"/>
          <w:sz w:val="18"/>
          <w:szCs w:val="18"/>
        </w:rPr>
        <w:t>. Even the measured value (6.06 </w:t>
      </w:r>
      <w:r w:rsidRPr="000C7CFA">
        <w:rPr>
          <w:rFonts w:ascii="Verdana" w:hAnsi="Verdana"/>
          <w:sz w:val="18"/>
          <w:szCs w:val="18"/>
        </w:rPr>
        <w:t>µg/L) exceeds the solubility in pure water by a factor of around 3</w:t>
      </w:r>
      <w:r w:rsidR="002D4EB9" w:rsidRPr="000C7CFA">
        <w:rPr>
          <w:rFonts w:ascii="Verdana" w:hAnsi="Verdana"/>
          <w:sz w:val="18"/>
          <w:szCs w:val="18"/>
        </w:rPr>
        <w:t> </w:t>
      </w:r>
      <w:r w:rsidRPr="000C7CFA">
        <w:rPr>
          <w:rFonts w:ascii="Verdana" w:hAnsi="Verdana"/>
          <w:sz w:val="18"/>
          <w:szCs w:val="18"/>
        </w:rPr>
        <w:t>000, so it is unlikely to provide a realistic indication of the actual dissolved, bioavailable amount of substance that the fish were exposed to. A BCF cannot be estimated since a limit of detection (LoD) for the analytical method for fish tissue is not available. In view of the short exposure time and very low number of fish, this study is invalid and does not provide any relevant information for the bioaccumulation assessment.</w:t>
      </w:r>
    </w:p>
    <w:p w14:paraId="4F5796B8" w14:textId="543BEB41" w:rsidR="00706677" w:rsidRPr="000C7CFA" w:rsidRDefault="00706677" w:rsidP="00706677">
      <w:pPr>
        <w:pStyle w:val="BodyText"/>
        <w:rPr>
          <w:rFonts w:ascii="Verdana" w:hAnsi="Verdana"/>
          <w:sz w:val="18"/>
          <w:szCs w:val="18"/>
        </w:rPr>
      </w:pPr>
      <w:r w:rsidRPr="000C7CFA">
        <w:rPr>
          <w:rFonts w:ascii="Verdana" w:hAnsi="Verdana"/>
          <w:sz w:val="18"/>
          <w:szCs w:val="18"/>
        </w:rPr>
        <w:t xml:space="preserve">Two further bioaccumulation studies included by the Registrant exposed the fish for a longer period of 30 days. The Gara and Rawisina (1975) study was a flow-through study and therefore potentially more suitable for a hydrophobic substance, although it did not follow a standard </w:t>
      </w:r>
      <w:r w:rsidR="00BB3D8A" w:rsidRPr="000C7CFA">
        <w:rPr>
          <w:rFonts w:ascii="Verdana" w:hAnsi="Verdana"/>
          <w:sz w:val="18"/>
          <w:szCs w:val="18"/>
        </w:rPr>
        <w:t>test</w:t>
      </w:r>
      <w:r w:rsidRPr="000C7CFA">
        <w:rPr>
          <w:rFonts w:ascii="Verdana" w:hAnsi="Verdana"/>
          <w:sz w:val="18"/>
          <w:szCs w:val="18"/>
        </w:rPr>
        <w:t xml:space="preserve"> guideline. The method of test substance addition (a solution in acetone was injected at 90-second intervals beneath the water surface of the test tank) is not in accordance with current guideline methods, which recommend continuous dispensing and dilution of a stock solution of the test substance. The measured test concentrations (0.069 - 0.102 ppm) were over ten thousand times higher than the likely solubility limit of Dechlorane Plus in pure water, and it is likely that precipitation of the test material, adherence onto the food given and subsequent ingestion of the test material took place. The measured aqueous concentration also fell to 6</w:t>
      </w:r>
      <w:r w:rsidR="00AF7606" w:rsidRPr="000C7CFA">
        <w:rPr>
          <w:rFonts w:ascii="Verdana" w:hAnsi="Verdana"/>
          <w:sz w:val="18"/>
          <w:szCs w:val="18"/>
        </w:rPr>
        <w:t>9 %</w:t>
      </w:r>
      <w:r w:rsidRPr="000C7CFA">
        <w:rPr>
          <w:rFonts w:ascii="Verdana" w:hAnsi="Verdana"/>
          <w:sz w:val="18"/>
          <w:szCs w:val="18"/>
        </w:rPr>
        <w:t xml:space="preserve"> of the nominal exposure concentration by day 30, so the exposure regime might not have been constant.  There is no information on the lipid content of the fish, and no depuration was carried out. The calculated BCF of 5.58 is based on the ratio of measured concentrations in fish and in water on day 30. A kinetic BCF cannot be calculated as there was no depuration period. Steady-state bioconcentration should be calculated based on the ratio of concentration in fish and in the water at steady-state. The standard OECD TG 305 (Bioconcentration in fish: aquatic and dietary exposure) states that a steady-state is reached in the plot of test substance in fish (C</w:t>
      </w:r>
      <w:r w:rsidRPr="000C7CFA">
        <w:rPr>
          <w:rFonts w:ascii="Verdana" w:hAnsi="Verdana"/>
          <w:sz w:val="18"/>
          <w:szCs w:val="18"/>
          <w:vertAlign w:val="subscript"/>
        </w:rPr>
        <w:t>f</w:t>
      </w:r>
      <w:r w:rsidRPr="000C7CFA">
        <w:rPr>
          <w:rFonts w:ascii="Verdana" w:hAnsi="Verdana"/>
          <w:sz w:val="18"/>
          <w:szCs w:val="18"/>
        </w:rPr>
        <w:t>) against time when the curve becomes parallel to the time axis and three successive analyses of C</w:t>
      </w:r>
      <w:r w:rsidRPr="000C7CFA">
        <w:rPr>
          <w:rFonts w:ascii="Verdana" w:hAnsi="Verdana"/>
          <w:sz w:val="18"/>
          <w:szCs w:val="18"/>
          <w:vertAlign w:val="subscript"/>
        </w:rPr>
        <w:t>f</w:t>
      </w:r>
      <w:r w:rsidRPr="000C7CFA">
        <w:rPr>
          <w:rFonts w:ascii="Verdana" w:hAnsi="Verdana"/>
          <w:sz w:val="18"/>
          <w:szCs w:val="18"/>
        </w:rPr>
        <w:t xml:space="preserve"> made on samples taken at intervals of at least two days are within ±20% of each other, and there is no significant increase of C</w:t>
      </w:r>
      <w:r w:rsidRPr="000C7CFA">
        <w:rPr>
          <w:rFonts w:ascii="Verdana" w:hAnsi="Verdana"/>
          <w:sz w:val="18"/>
          <w:szCs w:val="18"/>
          <w:vertAlign w:val="subscript"/>
        </w:rPr>
        <w:t>f</w:t>
      </w:r>
      <w:r w:rsidRPr="000C7CFA">
        <w:rPr>
          <w:rFonts w:ascii="Verdana" w:hAnsi="Verdana"/>
          <w:sz w:val="18"/>
          <w:szCs w:val="18"/>
        </w:rPr>
        <w:t xml:space="preserve"> in time between the first a last successive analysis. The three final fish concentration measurements were 2.15 ppm (18 days), 0.320 ppm (24 days) and 0.385 ppm (30 days). Therefore, it cannot be concluded that steady-state had been reached. Based on these shortcomings, </w:t>
      </w:r>
      <w:r w:rsidR="00294709" w:rsidRPr="000C7CFA">
        <w:rPr>
          <w:rFonts w:ascii="Verdana" w:hAnsi="Verdana"/>
          <w:sz w:val="18"/>
          <w:szCs w:val="18"/>
        </w:rPr>
        <w:t xml:space="preserve">in the view of the DS </w:t>
      </w:r>
      <w:r w:rsidRPr="000C7CFA">
        <w:rPr>
          <w:rFonts w:ascii="Verdana" w:hAnsi="Verdana"/>
          <w:sz w:val="18"/>
          <w:szCs w:val="18"/>
        </w:rPr>
        <w:t>the Gara and Rawisina (1975) study cannot be considered to be reliable. If it were assumed that the bioavailable fraction equates to the likely solubility limit pure water of (less than) 0.002 µg/L, the tissue concentration at day 30 (0.385 mg/kg) would suggest a</w:t>
      </w:r>
      <w:r w:rsidR="002D4EB9" w:rsidRPr="000C7CFA">
        <w:rPr>
          <w:rFonts w:ascii="Verdana" w:hAnsi="Verdana"/>
          <w:sz w:val="18"/>
          <w:szCs w:val="18"/>
        </w:rPr>
        <w:t xml:space="preserve"> non-steady state BCF above 100 </w:t>
      </w:r>
      <w:r w:rsidRPr="000C7CFA">
        <w:rPr>
          <w:rFonts w:ascii="Verdana" w:hAnsi="Verdana"/>
          <w:sz w:val="18"/>
          <w:szCs w:val="18"/>
        </w:rPr>
        <w:t xml:space="preserve">000 L/kg. However, the likely oral ingestion of the substance as a precipitate and/or adsorbed to food would mean that there was more than one uptake route (as indicated in Section </w:t>
      </w:r>
      <w:r w:rsidRPr="000C7CFA">
        <w:rPr>
          <w:rFonts w:ascii="Verdana" w:hAnsi="Verdana"/>
          <w:sz w:val="18"/>
          <w:szCs w:val="18"/>
        </w:rPr>
        <w:fldChar w:fldCharType="begin"/>
      </w:r>
      <w:r w:rsidRPr="000C7CFA">
        <w:rPr>
          <w:rFonts w:ascii="Verdana" w:hAnsi="Verdana"/>
          <w:sz w:val="18"/>
          <w:szCs w:val="18"/>
        </w:rPr>
        <w:instrText xml:space="preserve"> REF _Ref427766234 \n \h  \* MERGEFORMAT </w:instrText>
      </w:r>
      <w:r w:rsidRPr="000C7CFA">
        <w:rPr>
          <w:rFonts w:ascii="Verdana" w:hAnsi="Verdana"/>
          <w:sz w:val="18"/>
          <w:szCs w:val="18"/>
        </w:rPr>
      </w:r>
      <w:r w:rsidRPr="000C7CFA">
        <w:rPr>
          <w:rFonts w:ascii="Verdana" w:hAnsi="Verdana"/>
          <w:sz w:val="18"/>
          <w:szCs w:val="18"/>
        </w:rPr>
        <w:fldChar w:fldCharType="separate"/>
      </w:r>
      <w:r w:rsidR="00BA2885" w:rsidRPr="000C7CFA">
        <w:rPr>
          <w:rFonts w:ascii="Verdana" w:hAnsi="Verdana"/>
          <w:sz w:val="18"/>
          <w:szCs w:val="18"/>
        </w:rPr>
        <w:t>3.4.1.2.2</w:t>
      </w:r>
      <w:r w:rsidRPr="000C7CFA">
        <w:rPr>
          <w:rFonts w:ascii="Verdana" w:hAnsi="Verdana"/>
          <w:sz w:val="18"/>
          <w:szCs w:val="18"/>
        </w:rPr>
        <w:fldChar w:fldCharType="end"/>
      </w:r>
      <w:r w:rsidRPr="000C7CFA">
        <w:rPr>
          <w:rFonts w:ascii="Verdana" w:hAnsi="Verdana"/>
          <w:sz w:val="18"/>
          <w:szCs w:val="18"/>
        </w:rPr>
        <w:t>, dietary uptake is not insignificant), so this value is not a reliable indication of bioconcentration potential.</w:t>
      </w:r>
    </w:p>
    <w:p w14:paraId="6E3DF193" w14:textId="1EB50891" w:rsidR="00706677" w:rsidRPr="000C7CFA" w:rsidRDefault="00706677" w:rsidP="00706677">
      <w:pPr>
        <w:jc w:val="both"/>
        <w:rPr>
          <w:rFonts w:ascii="Verdana" w:hAnsi="Verdana"/>
          <w:sz w:val="18"/>
          <w:szCs w:val="18"/>
        </w:rPr>
      </w:pPr>
      <w:r w:rsidRPr="000C7CFA">
        <w:rPr>
          <w:rFonts w:ascii="Verdana" w:hAnsi="Verdana"/>
          <w:sz w:val="18"/>
          <w:szCs w:val="18"/>
          <w:lang w:val="en-GB"/>
        </w:rPr>
        <w:t xml:space="preserve">The Boudreau and Rausina (1973) study involved static exposure and so is not reliable, as demonstrated by the decline in aqueous concentrations over the period from a nominal concentration of 1 ppm at day 0 to 0.003 ppm at day 30 (apparently influenced by an algal bloom). Even the final measured concentration is over a thousand times higher than the likely solubility limit in pure water. It is also possible that water quality parameters such as pH and oxygen could have deteriorated to levels comprising fish health at all treatment levels before the end of the study. Concentrations in fish also increased over the exposure period, and so it cannot be determined whether steady state was reached. This study is therefore invalid, and the reliability ranking of the Registrant is appropriate. </w:t>
      </w:r>
      <w:r w:rsidRPr="000C7CFA">
        <w:rPr>
          <w:rFonts w:ascii="Verdana" w:hAnsi="Verdana"/>
          <w:sz w:val="18"/>
          <w:szCs w:val="18"/>
        </w:rPr>
        <w:t>Assuming that the bioavailable fraction equates to the water solubility limit of (less than) 0.002 µg/L, the tissue concentration at day 30 (8.72 mg/kg) would suggest a BCF above 10</w:t>
      </w:r>
      <w:r w:rsidRPr="000C7CFA">
        <w:rPr>
          <w:rFonts w:ascii="Verdana" w:hAnsi="Verdana"/>
          <w:sz w:val="18"/>
          <w:szCs w:val="18"/>
          <w:vertAlign w:val="superscript"/>
        </w:rPr>
        <w:t>6</w:t>
      </w:r>
      <w:r w:rsidRPr="000C7CFA">
        <w:rPr>
          <w:rFonts w:ascii="Verdana" w:hAnsi="Verdana"/>
          <w:sz w:val="18"/>
          <w:szCs w:val="18"/>
        </w:rPr>
        <w:t> L/kg. However, since it is likely that there was more than one uptake route, this value is not a reliable indication of bioconcentration potential.</w:t>
      </w:r>
    </w:p>
    <w:p w14:paraId="59698159" w14:textId="146CD1F0" w:rsidR="00706677" w:rsidRPr="000C7CFA" w:rsidRDefault="00706677" w:rsidP="00706677">
      <w:pPr>
        <w:jc w:val="both"/>
        <w:rPr>
          <w:rFonts w:ascii="Verdana" w:hAnsi="Verdana"/>
          <w:sz w:val="18"/>
          <w:szCs w:val="18"/>
          <w:lang w:val="en-GB"/>
        </w:rPr>
      </w:pPr>
      <w:r w:rsidRPr="000C7CFA">
        <w:rPr>
          <w:rFonts w:ascii="Verdana" w:hAnsi="Verdana"/>
          <w:sz w:val="18"/>
          <w:szCs w:val="18"/>
          <w:lang w:val="en-GB"/>
        </w:rPr>
        <w:t xml:space="preserve">The Japanese BCF study cited by U.S. EPA (2011) </w:t>
      </w:r>
      <w:r w:rsidR="005B6B2B" w:rsidRPr="000C7CFA">
        <w:rPr>
          <w:rFonts w:ascii="Verdana" w:hAnsi="Verdana"/>
          <w:sz w:val="18"/>
          <w:szCs w:val="18"/>
          <w:lang w:val="en-GB"/>
        </w:rPr>
        <w:t>is</w:t>
      </w:r>
      <w:r w:rsidRPr="000C7CFA">
        <w:rPr>
          <w:rFonts w:ascii="Verdana" w:hAnsi="Verdana"/>
          <w:sz w:val="18"/>
          <w:szCs w:val="18"/>
          <w:lang w:val="en-GB"/>
        </w:rPr>
        <w:t xml:space="preserve"> unreliable as steady state was not achieved (reliability 3). It was a standard guideline study performed under flow-through conditions, but is forty years old. Many older Japanese studies used high levels of dispersant and non-specific analytical techniques, and relevant information is not available for this study. Two test concentrations were used: the higher one (2.7 </w:t>
      </w:r>
      <w:r w:rsidRPr="000C7CFA">
        <w:rPr>
          <w:rFonts w:ascii="Verdana" w:hAnsi="Verdana"/>
          <w:sz w:val="18"/>
          <w:szCs w:val="18"/>
          <w:lang w:val="en-GB" w:eastAsia="en-GB"/>
        </w:rPr>
        <w:t>µ</w:t>
      </w:r>
      <w:r w:rsidRPr="000C7CFA">
        <w:rPr>
          <w:rFonts w:ascii="Verdana" w:hAnsi="Verdana"/>
          <w:sz w:val="18"/>
          <w:szCs w:val="18"/>
          <w:lang w:val="en-GB"/>
        </w:rPr>
        <w:t>g/L) exceeded the likely solubility limit in p</w:t>
      </w:r>
      <w:r w:rsidR="008610EB" w:rsidRPr="000C7CFA">
        <w:rPr>
          <w:rFonts w:ascii="Verdana" w:hAnsi="Verdana"/>
          <w:sz w:val="18"/>
          <w:szCs w:val="18"/>
          <w:lang w:val="en-GB"/>
        </w:rPr>
        <w:t>ure water by a factor of over 1 </w:t>
      </w:r>
      <w:r w:rsidRPr="000C7CFA">
        <w:rPr>
          <w:rFonts w:ascii="Verdana" w:hAnsi="Verdana"/>
          <w:sz w:val="18"/>
          <w:szCs w:val="18"/>
          <w:lang w:val="en-GB"/>
        </w:rPr>
        <w:t xml:space="preserve">000. The lower concentration </w:t>
      </w:r>
      <w:r w:rsidRPr="000C7CFA">
        <w:rPr>
          <w:rFonts w:ascii="Verdana" w:hAnsi="Verdana"/>
          <w:sz w:val="18"/>
          <w:szCs w:val="18"/>
          <w:lang w:val="en-GB" w:eastAsia="en-GB"/>
        </w:rPr>
        <w:t xml:space="preserve">(0.27 µg/L) </w:t>
      </w:r>
      <w:r w:rsidRPr="000C7CFA">
        <w:rPr>
          <w:rFonts w:ascii="Verdana" w:hAnsi="Verdana"/>
          <w:sz w:val="18"/>
          <w:szCs w:val="18"/>
          <w:lang w:val="en-GB" w:eastAsia="en-GB"/>
        </w:rPr>
        <w:lastRenderedPageBreak/>
        <w:t>is over a hundred times higher</w:t>
      </w:r>
      <w:r w:rsidRPr="000C7CFA">
        <w:rPr>
          <w:rFonts w:ascii="Verdana" w:hAnsi="Verdana"/>
          <w:sz w:val="18"/>
          <w:szCs w:val="18"/>
          <w:lang w:val="en-GB"/>
        </w:rPr>
        <w:t>.  Back-calculating the wet weight fish concentration from the reported maximum BCFs (0.327 and 0.0259 mg/kg at the two exposure concentrations, respectively), and then assuming that the bioavailable fraction equates to the solubility limit in pure water of 0.002 µg/L allows a BCF of well over 10</w:t>
      </w:r>
      <w:r w:rsidR="002D4EB9" w:rsidRPr="000C7CFA">
        <w:rPr>
          <w:rFonts w:ascii="Verdana" w:hAnsi="Verdana"/>
          <w:sz w:val="18"/>
          <w:szCs w:val="18"/>
          <w:lang w:val="en-GB"/>
        </w:rPr>
        <w:t> </w:t>
      </w:r>
      <w:r w:rsidRPr="000C7CFA">
        <w:rPr>
          <w:rFonts w:ascii="Verdana" w:hAnsi="Verdana"/>
          <w:sz w:val="18"/>
          <w:szCs w:val="18"/>
          <w:lang w:val="en-GB"/>
        </w:rPr>
        <w:t>000 L/kg to be estimated. As with the other studies discussed above, this estimate might not be reliable if the fish were also exposed to the substance adsorbed to food or particulates.</w:t>
      </w:r>
    </w:p>
    <w:p w14:paraId="5D35FE96" w14:textId="1EE7393D" w:rsidR="0020535B" w:rsidRPr="000C7CFA" w:rsidRDefault="00706677" w:rsidP="00706677">
      <w:pPr>
        <w:pStyle w:val="BodyText"/>
        <w:rPr>
          <w:rFonts w:ascii="Verdana" w:hAnsi="Verdana"/>
          <w:sz w:val="18"/>
          <w:szCs w:val="18"/>
        </w:rPr>
      </w:pPr>
      <w:r w:rsidRPr="000C7CFA">
        <w:rPr>
          <w:rFonts w:ascii="Verdana" w:hAnsi="Verdana"/>
          <w:sz w:val="18"/>
          <w:szCs w:val="18"/>
        </w:rPr>
        <w:t>In summary, despite the validity marking given by the Registrant, none of the BCF studies reported in the registration dossier provide reliable data on the bioaccumulation behaviour of Dechlorane Plus. The longer duration studies do indicate that the substance can be taken up into fish tissues. If it is assumed that the fish were exposed to the substance at its water solubility limit, tentative BCFs ar</w:t>
      </w:r>
      <w:r w:rsidR="002D4EB9" w:rsidRPr="000C7CFA">
        <w:rPr>
          <w:rFonts w:ascii="Verdana" w:hAnsi="Verdana"/>
          <w:sz w:val="18"/>
          <w:szCs w:val="18"/>
        </w:rPr>
        <w:t>e estimated to be well above 10 </w:t>
      </w:r>
      <w:r w:rsidRPr="000C7CFA">
        <w:rPr>
          <w:rFonts w:ascii="Verdana" w:hAnsi="Verdana"/>
          <w:sz w:val="18"/>
          <w:szCs w:val="18"/>
        </w:rPr>
        <w:t xml:space="preserve">000 L/kg, although the likely oral exposure of the fish means that these values might be a misleading indication of bioaccumulation potential. The maximum fish concentrations measured in the aqueous BCF studies were 0.385 – 8.72 mg/kg after 30 days for </w:t>
      </w:r>
      <w:r w:rsidRPr="000C7CFA">
        <w:rPr>
          <w:rFonts w:ascii="Verdana" w:hAnsi="Verdana"/>
          <w:i/>
          <w:sz w:val="18"/>
          <w:szCs w:val="18"/>
        </w:rPr>
        <w:t>Lepomis macrochirus</w:t>
      </w:r>
      <w:r w:rsidRPr="000C7CFA">
        <w:rPr>
          <w:rFonts w:ascii="Verdana" w:hAnsi="Verdana"/>
          <w:sz w:val="18"/>
          <w:szCs w:val="18"/>
        </w:rPr>
        <w:t xml:space="preserve"> (Gara and Rawisina (1975) and Boudreau and Rausina (1973)) and 0.327 mg/kg after 56 days for </w:t>
      </w:r>
      <w:r w:rsidRPr="000C7CFA">
        <w:rPr>
          <w:rFonts w:ascii="Verdana" w:hAnsi="Verdana"/>
          <w:i/>
          <w:sz w:val="18"/>
          <w:szCs w:val="18"/>
        </w:rPr>
        <w:t>Cyprinus carpio</w:t>
      </w:r>
      <w:r w:rsidRPr="000C7CFA">
        <w:rPr>
          <w:rFonts w:ascii="Verdana" w:hAnsi="Verdana"/>
          <w:sz w:val="18"/>
          <w:szCs w:val="18"/>
        </w:rPr>
        <w:t xml:space="preserve"> (Japanese BCF study cited by U.S. EPA, 2011). The wide range for </w:t>
      </w:r>
      <w:r w:rsidRPr="000C7CFA">
        <w:rPr>
          <w:rFonts w:ascii="Verdana" w:hAnsi="Verdana"/>
          <w:i/>
          <w:sz w:val="18"/>
          <w:szCs w:val="18"/>
        </w:rPr>
        <w:t>L. macrochirus</w:t>
      </w:r>
      <w:r w:rsidRPr="000C7CFA">
        <w:rPr>
          <w:rFonts w:ascii="Verdana" w:hAnsi="Verdana"/>
          <w:sz w:val="18"/>
          <w:szCs w:val="18"/>
        </w:rPr>
        <w:t xml:space="preserve"> could be due to experimental variation (especially as the exposure conditions were not robust) or could perhaps be linked to differences in lipid content and age of the test fish. It is not known if these measurements would have included any substance adsorbed to the skin or present in the gut. If steady state had not been reached it is possible that the concentrations could become higher with longer exposures.</w:t>
      </w:r>
    </w:p>
    <w:p w14:paraId="3017576C" w14:textId="77777777" w:rsidR="001B3BC5" w:rsidRPr="000C7CFA" w:rsidRDefault="001B3BC5" w:rsidP="0020535B">
      <w:pPr>
        <w:pStyle w:val="BodyText"/>
        <w:rPr>
          <w:rFonts w:ascii="Verdana" w:hAnsi="Verdana"/>
          <w:i/>
          <w:sz w:val="18"/>
          <w:szCs w:val="18"/>
        </w:rPr>
      </w:pPr>
      <w:r w:rsidRPr="000C7CFA">
        <w:rPr>
          <w:rFonts w:ascii="Verdana" w:hAnsi="Verdana"/>
          <w:i/>
          <w:sz w:val="18"/>
          <w:szCs w:val="18"/>
        </w:rPr>
        <w:t>Other species</w:t>
      </w:r>
    </w:p>
    <w:p w14:paraId="7B74B959" w14:textId="266E5CF5" w:rsidR="0020535B" w:rsidRPr="000C7CFA" w:rsidRDefault="0020535B" w:rsidP="0020535B">
      <w:pPr>
        <w:pStyle w:val="BodyText"/>
        <w:rPr>
          <w:rFonts w:ascii="Verdana" w:hAnsi="Verdana"/>
          <w:sz w:val="18"/>
          <w:szCs w:val="18"/>
        </w:rPr>
      </w:pPr>
      <w:r w:rsidRPr="000C7CFA">
        <w:rPr>
          <w:rFonts w:ascii="Verdana" w:hAnsi="Verdana"/>
          <w:sz w:val="18"/>
          <w:szCs w:val="18"/>
        </w:rPr>
        <w:t xml:space="preserve">As well as the above information on bioconcentration in fish, a recent study by </w:t>
      </w:r>
      <w:r w:rsidRPr="000C7CFA">
        <w:rPr>
          <w:rFonts w:ascii="Verdana" w:hAnsi="Verdana"/>
          <w:sz w:val="18"/>
          <w:szCs w:val="18"/>
          <w:u w:val="single"/>
        </w:rPr>
        <w:t xml:space="preserve">Zhao </w:t>
      </w:r>
      <w:r w:rsidRPr="000C7CFA">
        <w:rPr>
          <w:rFonts w:ascii="Verdana" w:hAnsi="Verdana"/>
          <w:i/>
          <w:sz w:val="18"/>
          <w:szCs w:val="18"/>
          <w:u w:val="single"/>
        </w:rPr>
        <w:t>et al.</w:t>
      </w:r>
      <w:r w:rsidRPr="000C7CFA">
        <w:rPr>
          <w:rFonts w:ascii="Verdana" w:hAnsi="Verdana"/>
          <w:sz w:val="18"/>
          <w:szCs w:val="18"/>
          <w:u w:val="single"/>
        </w:rPr>
        <w:t xml:space="preserve"> (2014)</w:t>
      </w:r>
      <w:r w:rsidRPr="000C7CFA">
        <w:rPr>
          <w:rFonts w:ascii="Verdana" w:hAnsi="Verdana"/>
          <w:sz w:val="18"/>
          <w:szCs w:val="18"/>
        </w:rPr>
        <w:t xml:space="preserve"> has investigated the bioconcentration of Dechlorane Plus in the Sea Lettuce (</w:t>
      </w:r>
      <w:r w:rsidRPr="000C7CFA">
        <w:rPr>
          <w:rFonts w:ascii="Verdana" w:hAnsi="Verdana"/>
          <w:i/>
          <w:sz w:val="18"/>
          <w:szCs w:val="18"/>
        </w:rPr>
        <w:t>Ulva pertusa</w:t>
      </w:r>
      <w:r w:rsidRPr="000C7CFA">
        <w:rPr>
          <w:rFonts w:ascii="Verdana" w:hAnsi="Verdana"/>
          <w:sz w:val="18"/>
          <w:szCs w:val="18"/>
        </w:rPr>
        <w:t>)</w:t>
      </w:r>
      <w:r w:rsidR="00764B6D" w:rsidRPr="000C7CFA">
        <w:rPr>
          <w:rFonts w:ascii="Verdana" w:hAnsi="Verdana"/>
          <w:sz w:val="18"/>
          <w:szCs w:val="18"/>
        </w:rPr>
        <w:t xml:space="preserve">, a </w:t>
      </w:r>
      <w:r w:rsidRPr="000C7CFA">
        <w:rPr>
          <w:rFonts w:ascii="Verdana" w:hAnsi="Verdana"/>
          <w:sz w:val="18"/>
          <w:szCs w:val="18"/>
        </w:rPr>
        <w:t>macro</w:t>
      </w:r>
      <w:r w:rsidR="00764B6D" w:rsidRPr="000C7CFA">
        <w:rPr>
          <w:rFonts w:ascii="Verdana" w:hAnsi="Verdana"/>
          <w:sz w:val="18"/>
          <w:szCs w:val="18"/>
        </w:rPr>
        <w:t>scopic seaweed</w:t>
      </w:r>
      <w:r w:rsidRPr="000C7CFA">
        <w:rPr>
          <w:rFonts w:ascii="Verdana" w:hAnsi="Verdana"/>
          <w:sz w:val="18"/>
          <w:szCs w:val="18"/>
        </w:rPr>
        <w:t>. The study was carried out using a 21</w:t>
      </w:r>
      <w:r w:rsidR="00764B6D" w:rsidRPr="000C7CFA">
        <w:rPr>
          <w:rFonts w:ascii="Verdana" w:hAnsi="Verdana"/>
          <w:sz w:val="18"/>
          <w:szCs w:val="18"/>
        </w:rPr>
        <w:noBreakHyphen/>
      </w:r>
      <w:r w:rsidRPr="000C7CFA">
        <w:rPr>
          <w:rFonts w:ascii="Verdana" w:hAnsi="Verdana"/>
          <w:sz w:val="18"/>
          <w:szCs w:val="18"/>
        </w:rPr>
        <w:t>day e</w:t>
      </w:r>
      <w:r w:rsidR="00764B6D" w:rsidRPr="000C7CFA">
        <w:rPr>
          <w:rFonts w:ascii="Verdana" w:hAnsi="Verdana"/>
          <w:sz w:val="18"/>
          <w:szCs w:val="18"/>
        </w:rPr>
        <w:t>xposure period followed by a 14-</w:t>
      </w:r>
      <w:r w:rsidRPr="000C7CFA">
        <w:rPr>
          <w:rFonts w:ascii="Verdana" w:hAnsi="Verdana"/>
          <w:sz w:val="18"/>
          <w:szCs w:val="18"/>
        </w:rPr>
        <w:t>day depuration period. The mean measured Dechlorane Plus conce</w:t>
      </w:r>
      <w:r w:rsidR="008610EB" w:rsidRPr="000C7CFA">
        <w:rPr>
          <w:rFonts w:ascii="Verdana" w:hAnsi="Verdana"/>
          <w:sz w:val="18"/>
          <w:szCs w:val="18"/>
        </w:rPr>
        <w:t>ntration used in the test was 1 </w:t>
      </w:r>
      <w:r w:rsidRPr="000C7CFA">
        <w:rPr>
          <w:rFonts w:ascii="Verdana" w:hAnsi="Verdana"/>
          <w:sz w:val="18"/>
          <w:szCs w:val="18"/>
        </w:rPr>
        <w:t>351±101 ng/L and the test solution was prepared by dilution of a stock solution of Dechlorane Plus in acetone (the amount of acetone in the test solution was 0.0</w:t>
      </w:r>
      <w:r w:rsidR="00AF7606" w:rsidRPr="000C7CFA">
        <w:rPr>
          <w:rFonts w:ascii="Verdana" w:hAnsi="Verdana"/>
          <w:sz w:val="18"/>
          <w:szCs w:val="18"/>
        </w:rPr>
        <w:t>1 %</w:t>
      </w:r>
      <w:r w:rsidRPr="000C7CFA">
        <w:rPr>
          <w:rFonts w:ascii="Verdana" w:hAnsi="Verdana"/>
          <w:sz w:val="18"/>
          <w:szCs w:val="18"/>
        </w:rPr>
        <w:t xml:space="preserve"> v/v). A solvent control was also run. It should be noted that the concentration in water exceeds the water solubility of Dechlorane Plus by around a factor of 1</w:t>
      </w:r>
      <w:r w:rsidR="008610EB" w:rsidRPr="000C7CFA">
        <w:rPr>
          <w:rFonts w:ascii="Verdana" w:hAnsi="Verdana"/>
          <w:sz w:val="18"/>
          <w:szCs w:val="18"/>
        </w:rPr>
        <w:t> </w:t>
      </w:r>
      <w:r w:rsidRPr="000C7CFA">
        <w:rPr>
          <w:rFonts w:ascii="Verdana" w:hAnsi="Verdana"/>
          <w:sz w:val="18"/>
          <w:szCs w:val="18"/>
        </w:rPr>
        <w:t>000 (see below).</w:t>
      </w:r>
    </w:p>
    <w:p w14:paraId="47F78B02" w14:textId="2DD25A7F" w:rsidR="0020535B" w:rsidRPr="000C7CFA" w:rsidRDefault="0020535B" w:rsidP="0020535B">
      <w:pPr>
        <w:pStyle w:val="BodyText"/>
        <w:rPr>
          <w:rFonts w:ascii="Verdana" w:hAnsi="Verdana"/>
          <w:sz w:val="18"/>
          <w:szCs w:val="18"/>
        </w:rPr>
      </w:pPr>
      <w:r w:rsidRPr="000C7CFA">
        <w:rPr>
          <w:rFonts w:ascii="Verdana" w:hAnsi="Verdana"/>
          <w:sz w:val="18"/>
          <w:szCs w:val="18"/>
        </w:rPr>
        <w:t xml:space="preserve">The </w:t>
      </w:r>
      <w:r w:rsidR="00764B6D" w:rsidRPr="000C7CFA">
        <w:rPr>
          <w:rFonts w:ascii="Verdana" w:hAnsi="Verdana"/>
          <w:sz w:val="18"/>
          <w:szCs w:val="18"/>
        </w:rPr>
        <w:t>organisms</w:t>
      </w:r>
      <w:r w:rsidRPr="000C7CFA">
        <w:rPr>
          <w:rFonts w:ascii="Verdana" w:hAnsi="Verdana"/>
          <w:sz w:val="18"/>
          <w:szCs w:val="18"/>
        </w:rPr>
        <w:t xml:space="preserve"> used in the study were obtained from the intertidal zone of the Yellow Sea near Dalian China. Pieces of the organisms (initial mean wet weight 0.46 g) were held in 100 mL of sterilized f/2 medium (pH 8.2) and cultivated at 10</w:t>
      </w:r>
      <w:r w:rsidR="00AF7606" w:rsidRPr="000C7CFA">
        <w:rPr>
          <w:rFonts w:ascii="Verdana" w:hAnsi="Verdana"/>
          <w:sz w:val="18"/>
          <w:szCs w:val="18"/>
        </w:rPr>
        <w:t> </w:t>
      </w:r>
      <w:r w:rsidRPr="000C7CFA">
        <w:rPr>
          <w:rFonts w:ascii="Verdana" w:hAnsi="Verdana"/>
          <w:sz w:val="18"/>
          <w:szCs w:val="18"/>
        </w:rPr>
        <w:t>°C. Following acclimation for at least two weeks, 21 pieces of the organism were individually exposed to the Dechlorane Plus solution and 18 pieces were individual exposed to the control solution for 21 days. The organism were then placed in clean test solution and allowed to depurate for 14 days. The con</w:t>
      </w:r>
      <w:r w:rsidR="001B3BC5" w:rsidRPr="000C7CFA">
        <w:rPr>
          <w:rFonts w:ascii="Verdana" w:hAnsi="Verdana"/>
          <w:sz w:val="18"/>
          <w:szCs w:val="18"/>
        </w:rPr>
        <w:t>cen</w:t>
      </w:r>
      <w:r w:rsidRPr="000C7CFA">
        <w:rPr>
          <w:rFonts w:ascii="Verdana" w:hAnsi="Verdana"/>
          <w:sz w:val="18"/>
          <w:szCs w:val="18"/>
        </w:rPr>
        <w:t>tration of Dechlorane Plus in the organism was determined in days 0, 7, 14 and 21 of the uptake phase and days 0, 7 and 14 of the depuration period (three replicates at each sampling time).</w:t>
      </w:r>
    </w:p>
    <w:p w14:paraId="7E9CB958" w14:textId="77777777" w:rsidR="0020535B" w:rsidRPr="000C7CFA" w:rsidRDefault="0020535B" w:rsidP="0020535B">
      <w:pPr>
        <w:pStyle w:val="BodyText"/>
        <w:rPr>
          <w:rFonts w:ascii="Verdana" w:hAnsi="Verdana"/>
          <w:sz w:val="18"/>
          <w:szCs w:val="18"/>
        </w:rPr>
      </w:pPr>
      <w:r w:rsidRPr="000C7CFA">
        <w:rPr>
          <w:rFonts w:ascii="Verdana" w:hAnsi="Verdana"/>
          <w:sz w:val="18"/>
          <w:szCs w:val="18"/>
        </w:rPr>
        <w:t>The mean concentration of syn-DP and anti-DP in the organisms at the start of the test were 4.38 and 14.13 μg/kg ww. The concentration of anti-DP and syn-DP were found to increase during the exposure period and the highest concentrations were reached after 14 days</w:t>
      </w:r>
      <w:r w:rsidR="00764B6D" w:rsidRPr="000C7CFA">
        <w:rPr>
          <w:rFonts w:ascii="Verdana" w:hAnsi="Verdana"/>
          <w:sz w:val="18"/>
          <w:szCs w:val="18"/>
        </w:rPr>
        <w:t>’</w:t>
      </w:r>
      <w:r w:rsidRPr="000C7CFA">
        <w:rPr>
          <w:rFonts w:ascii="Verdana" w:hAnsi="Verdana"/>
          <w:sz w:val="18"/>
          <w:szCs w:val="18"/>
        </w:rPr>
        <w:t xml:space="preserve"> exposure (34.17 μg/kg ww for syn-DP and 62.03 μg/kg ww for anti-DP). The concentrations in the control organisms were in the range 2.56-6.92 μg/kg ww for syn-DP and 10.93-20.21 μg/kg ww for anti-DP during the experiment.</w:t>
      </w:r>
    </w:p>
    <w:p w14:paraId="5D7F5B34" w14:textId="7006F274" w:rsidR="0020535B" w:rsidRPr="000C7CFA" w:rsidRDefault="0020535B" w:rsidP="0020535B">
      <w:pPr>
        <w:pStyle w:val="BodyText"/>
        <w:rPr>
          <w:rFonts w:ascii="Verdana" w:hAnsi="Verdana"/>
          <w:sz w:val="18"/>
          <w:szCs w:val="18"/>
        </w:rPr>
      </w:pPr>
      <w:r w:rsidRPr="000C7CFA">
        <w:rPr>
          <w:rFonts w:ascii="Verdana" w:hAnsi="Verdana"/>
          <w:sz w:val="18"/>
          <w:szCs w:val="18"/>
        </w:rPr>
        <w:t xml:space="preserve">Zhao </w:t>
      </w:r>
      <w:r w:rsidRPr="000C7CFA">
        <w:rPr>
          <w:rFonts w:ascii="Verdana" w:hAnsi="Verdana"/>
          <w:i/>
          <w:sz w:val="18"/>
          <w:szCs w:val="18"/>
        </w:rPr>
        <w:t>et al</w:t>
      </w:r>
      <w:r w:rsidRPr="000C7CFA">
        <w:rPr>
          <w:rFonts w:ascii="Verdana" w:hAnsi="Verdana"/>
          <w:sz w:val="18"/>
          <w:szCs w:val="18"/>
        </w:rPr>
        <w:t>. (2014) calculated the uptake and depuration rate constants for syn-DP to be 0.164 day</w:t>
      </w:r>
      <w:r w:rsidRPr="000C7CFA">
        <w:rPr>
          <w:rFonts w:ascii="Verdana" w:hAnsi="Verdana"/>
          <w:sz w:val="18"/>
          <w:szCs w:val="18"/>
          <w:vertAlign w:val="superscript"/>
        </w:rPr>
        <w:t>-1</w:t>
      </w:r>
      <w:r w:rsidRPr="000C7CFA">
        <w:rPr>
          <w:rFonts w:ascii="Verdana" w:hAnsi="Verdana"/>
          <w:sz w:val="18"/>
          <w:szCs w:val="18"/>
        </w:rPr>
        <w:t xml:space="preserve"> and 0.337 day</w:t>
      </w:r>
      <w:r w:rsidRPr="000C7CFA">
        <w:rPr>
          <w:rFonts w:ascii="Verdana" w:hAnsi="Verdana"/>
          <w:sz w:val="18"/>
          <w:szCs w:val="18"/>
          <w:vertAlign w:val="superscript"/>
        </w:rPr>
        <w:t>-1</w:t>
      </w:r>
      <w:r w:rsidRPr="000C7CFA">
        <w:rPr>
          <w:rFonts w:ascii="Verdana" w:hAnsi="Verdana"/>
          <w:sz w:val="18"/>
          <w:szCs w:val="18"/>
        </w:rPr>
        <w:t xml:space="preserve"> respectively. Assuming</w:t>
      </w:r>
      <w:r w:rsidR="00764B6D" w:rsidRPr="000C7CFA">
        <w:rPr>
          <w:rFonts w:ascii="Verdana" w:hAnsi="Verdana"/>
          <w:sz w:val="18"/>
          <w:szCs w:val="18"/>
        </w:rPr>
        <w:t xml:space="preserve"> that</w:t>
      </w:r>
      <w:r w:rsidRPr="000C7CFA">
        <w:rPr>
          <w:rFonts w:ascii="Verdana" w:hAnsi="Verdana"/>
          <w:sz w:val="18"/>
          <w:szCs w:val="18"/>
        </w:rPr>
        <w:t xml:space="preserve"> the BCF is the ratio of these two rate constants</w:t>
      </w:r>
      <w:r w:rsidR="00764B6D" w:rsidRPr="000C7CFA">
        <w:rPr>
          <w:rFonts w:ascii="Verdana" w:hAnsi="Verdana"/>
          <w:sz w:val="18"/>
          <w:szCs w:val="18"/>
        </w:rPr>
        <w:t>,</w:t>
      </w:r>
      <w:r w:rsidRPr="000C7CFA">
        <w:rPr>
          <w:rFonts w:ascii="Verdana" w:hAnsi="Verdana"/>
          <w:sz w:val="18"/>
          <w:szCs w:val="18"/>
        </w:rPr>
        <w:t xml:space="preserve"> the kinetic BCF can be estimated to be 0.49. Similarly the uptake and depuration rate constants reported by Zhao </w:t>
      </w:r>
      <w:r w:rsidRPr="000C7CFA">
        <w:rPr>
          <w:rFonts w:ascii="Verdana" w:hAnsi="Verdana"/>
          <w:i/>
          <w:sz w:val="18"/>
          <w:szCs w:val="18"/>
        </w:rPr>
        <w:t>et al.</w:t>
      </w:r>
      <w:r w:rsidRPr="000C7CFA">
        <w:rPr>
          <w:rFonts w:ascii="Verdana" w:hAnsi="Verdana"/>
          <w:sz w:val="18"/>
          <w:szCs w:val="18"/>
        </w:rPr>
        <w:t xml:space="preserve"> (2014) for anti-DP were 0.083 day</w:t>
      </w:r>
      <w:r w:rsidRPr="000C7CFA">
        <w:rPr>
          <w:rFonts w:ascii="Verdana" w:hAnsi="Verdana"/>
          <w:sz w:val="18"/>
          <w:szCs w:val="18"/>
          <w:vertAlign w:val="superscript"/>
        </w:rPr>
        <w:t xml:space="preserve">-1 </w:t>
      </w:r>
      <w:r w:rsidRPr="000C7CFA">
        <w:rPr>
          <w:rFonts w:ascii="Verdana" w:hAnsi="Verdana"/>
          <w:sz w:val="18"/>
          <w:szCs w:val="18"/>
        </w:rPr>
        <w:t>and 0.236 day</w:t>
      </w:r>
      <w:r w:rsidRPr="000C7CFA">
        <w:rPr>
          <w:rFonts w:ascii="Verdana" w:hAnsi="Verdana"/>
          <w:sz w:val="18"/>
          <w:szCs w:val="18"/>
          <w:vertAlign w:val="superscript"/>
        </w:rPr>
        <w:t>-1</w:t>
      </w:r>
      <w:r w:rsidRPr="000C7CFA">
        <w:rPr>
          <w:rFonts w:ascii="Verdana" w:hAnsi="Verdana"/>
          <w:sz w:val="18"/>
          <w:szCs w:val="18"/>
        </w:rPr>
        <w:t>, giv</w:t>
      </w:r>
      <w:r w:rsidR="00764B6D" w:rsidRPr="000C7CFA">
        <w:rPr>
          <w:rFonts w:ascii="Verdana" w:hAnsi="Verdana"/>
          <w:sz w:val="18"/>
          <w:szCs w:val="18"/>
        </w:rPr>
        <w:t>ing</w:t>
      </w:r>
      <w:r w:rsidRPr="000C7CFA">
        <w:rPr>
          <w:rFonts w:ascii="Verdana" w:hAnsi="Verdana"/>
          <w:sz w:val="18"/>
          <w:szCs w:val="18"/>
        </w:rPr>
        <w:t xml:space="preserve"> a kinetic BCF of 0.35. However</w:t>
      </w:r>
      <w:r w:rsidR="005B6B2B" w:rsidRPr="000C7CFA">
        <w:rPr>
          <w:rFonts w:ascii="Verdana" w:hAnsi="Verdana"/>
          <w:sz w:val="18"/>
          <w:szCs w:val="18"/>
        </w:rPr>
        <w:t>,</w:t>
      </w:r>
      <w:r w:rsidRPr="000C7CFA">
        <w:rPr>
          <w:rFonts w:ascii="Verdana" w:hAnsi="Verdana"/>
          <w:sz w:val="18"/>
          <w:szCs w:val="18"/>
        </w:rPr>
        <w:t xml:space="preserve"> these </w:t>
      </w:r>
      <w:r w:rsidR="005B6B2B" w:rsidRPr="000C7CFA">
        <w:rPr>
          <w:rFonts w:ascii="Verdana" w:hAnsi="Verdana"/>
          <w:sz w:val="18"/>
          <w:szCs w:val="18"/>
        </w:rPr>
        <w:t xml:space="preserve">rate constant </w:t>
      </w:r>
      <w:r w:rsidRPr="000C7CFA">
        <w:rPr>
          <w:rFonts w:ascii="Verdana" w:hAnsi="Verdana"/>
          <w:sz w:val="18"/>
          <w:szCs w:val="18"/>
        </w:rPr>
        <w:t xml:space="preserve">values </w:t>
      </w:r>
      <w:r w:rsidR="005B6B2B" w:rsidRPr="000C7CFA">
        <w:rPr>
          <w:rFonts w:ascii="Verdana" w:hAnsi="Verdana"/>
          <w:sz w:val="18"/>
          <w:szCs w:val="18"/>
        </w:rPr>
        <w:t xml:space="preserve">may not </w:t>
      </w:r>
      <w:r w:rsidRPr="000C7CFA">
        <w:rPr>
          <w:rFonts w:ascii="Verdana" w:hAnsi="Verdana"/>
          <w:sz w:val="18"/>
          <w:szCs w:val="18"/>
        </w:rPr>
        <w:t xml:space="preserve">have been estimated </w:t>
      </w:r>
      <w:r w:rsidR="005B6B2B" w:rsidRPr="000C7CFA">
        <w:rPr>
          <w:rFonts w:ascii="Verdana" w:hAnsi="Verdana"/>
          <w:sz w:val="18"/>
          <w:szCs w:val="18"/>
        </w:rPr>
        <w:t xml:space="preserve">correctly </w:t>
      </w:r>
      <w:r w:rsidRPr="000C7CFA">
        <w:rPr>
          <w:rFonts w:ascii="Verdana" w:hAnsi="Verdana"/>
          <w:sz w:val="18"/>
          <w:szCs w:val="18"/>
        </w:rPr>
        <w:t>(see below). In addition</w:t>
      </w:r>
      <w:r w:rsidR="00764B6D" w:rsidRPr="000C7CFA">
        <w:rPr>
          <w:rFonts w:ascii="Verdana" w:hAnsi="Verdana"/>
          <w:sz w:val="18"/>
          <w:szCs w:val="18"/>
        </w:rPr>
        <w:t>,</w:t>
      </w:r>
      <w:r w:rsidRPr="000C7CFA">
        <w:rPr>
          <w:rFonts w:ascii="Verdana" w:hAnsi="Verdana"/>
          <w:sz w:val="18"/>
          <w:szCs w:val="18"/>
        </w:rPr>
        <w:t xml:space="preserve"> based on the measured concentrations in the organisms at day 14 of uptake (</w:t>
      </w:r>
      <w:r w:rsidR="00764B6D" w:rsidRPr="000C7CFA">
        <w:rPr>
          <w:rFonts w:ascii="Verdana" w:hAnsi="Verdana"/>
          <w:sz w:val="18"/>
          <w:szCs w:val="18"/>
        </w:rPr>
        <w:t xml:space="preserve">the </w:t>
      </w:r>
      <w:r w:rsidRPr="000C7CFA">
        <w:rPr>
          <w:rFonts w:ascii="Verdana" w:hAnsi="Verdana"/>
          <w:sz w:val="18"/>
          <w:szCs w:val="18"/>
        </w:rPr>
        <w:t>total Dechlorane Plus concentrat</w:t>
      </w:r>
      <w:r w:rsidR="005B6B2B" w:rsidRPr="000C7CFA">
        <w:rPr>
          <w:rFonts w:ascii="Verdana" w:hAnsi="Verdana"/>
          <w:sz w:val="18"/>
          <w:szCs w:val="18"/>
        </w:rPr>
        <w:t>ion would be 34.17+62.03 = 96.2 </w:t>
      </w:r>
      <w:r w:rsidRPr="000C7CFA">
        <w:rPr>
          <w:rFonts w:ascii="Verdana" w:hAnsi="Verdana"/>
          <w:sz w:val="18"/>
          <w:szCs w:val="18"/>
        </w:rPr>
        <w:t>μg/kg ww) and the initial concentration of</w:t>
      </w:r>
      <w:r w:rsidR="005B6B2B" w:rsidRPr="000C7CFA">
        <w:rPr>
          <w:rFonts w:ascii="Verdana" w:hAnsi="Verdana"/>
          <w:sz w:val="18"/>
          <w:szCs w:val="18"/>
        </w:rPr>
        <w:t xml:space="preserve"> Dechlorane Plus in water (1.35 </w:t>
      </w:r>
      <w:r w:rsidRPr="000C7CFA">
        <w:rPr>
          <w:rFonts w:ascii="Verdana" w:hAnsi="Verdana"/>
          <w:sz w:val="18"/>
          <w:szCs w:val="18"/>
        </w:rPr>
        <w:t>μg/</w:t>
      </w:r>
      <w:r w:rsidR="005B6B2B" w:rsidRPr="000C7CFA">
        <w:rPr>
          <w:rFonts w:ascii="Verdana" w:hAnsi="Verdana"/>
          <w:sz w:val="18"/>
          <w:szCs w:val="18"/>
        </w:rPr>
        <w:t>L</w:t>
      </w:r>
      <w:r w:rsidRPr="000C7CFA">
        <w:rPr>
          <w:rFonts w:ascii="Verdana" w:hAnsi="Verdana"/>
          <w:sz w:val="18"/>
          <w:szCs w:val="18"/>
        </w:rPr>
        <w:t xml:space="preserve">; see below) this would suggest a steady state BCF of the order of at least 71. </w:t>
      </w:r>
    </w:p>
    <w:p w14:paraId="79DACC01" w14:textId="4E49B7D5" w:rsidR="0020535B" w:rsidRPr="000C7CFA" w:rsidRDefault="0060361F" w:rsidP="0020535B">
      <w:pPr>
        <w:pStyle w:val="BodyText"/>
        <w:rPr>
          <w:rFonts w:ascii="Verdana" w:hAnsi="Verdana"/>
          <w:sz w:val="18"/>
          <w:szCs w:val="18"/>
        </w:rPr>
      </w:pPr>
      <w:r w:rsidRPr="000C7CFA">
        <w:rPr>
          <w:rFonts w:ascii="Verdana" w:hAnsi="Verdana"/>
          <w:sz w:val="18"/>
          <w:szCs w:val="18"/>
        </w:rPr>
        <w:lastRenderedPageBreak/>
        <w:t>T</w:t>
      </w:r>
      <w:r w:rsidR="0020535B" w:rsidRPr="000C7CFA">
        <w:rPr>
          <w:rFonts w:ascii="Verdana" w:hAnsi="Verdana"/>
          <w:sz w:val="18"/>
          <w:szCs w:val="18"/>
        </w:rPr>
        <w:t>here are a number of uncertainties with this study that mean the results should be treated with caution. Some of these are outlined below.</w:t>
      </w:r>
    </w:p>
    <w:p w14:paraId="59D134B4" w14:textId="77777777" w:rsidR="0020535B" w:rsidRPr="000C7CFA" w:rsidRDefault="0020535B" w:rsidP="00DC3658">
      <w:pPr>
        <w:pStyle w:val="BodyText"/>
        <w:numPr>
          <w:ilvl w:val="0"/>
          <w:numId w:val="12"/>
        </w:numPr>
        <w:ind w:left="426" w:right="232"/>
        <w:rPr>
          <w:rFonts w:ascii="Verdana" w:hAnsi="Verdana"/>
          <w:sz w:val="18"/>
          <w:szCs w:val="18"/>
        </w:rPr>
      </w:pPr>
      <w:r w:rsidRPr="000C7CFA">
        <w:rPr>
          <w:rFonts w:ascii="Verdana" w:hAnsi="Verdana"/>
          <w:sz w:val="18"/>
          <w:szCs w:val="18"/>
        </w:rPr>
        <w:t>The specific growth rate (SCR in units of % per day) of the organism was stated to be calculated according to the following equation: SCR = 100×(W</w:t>
      </w:r>
      <w:r w:rsidRPr="000C7CFA">
        <w:rPr>
          <w:rFonts w:ascii="Verdana" w:hAnsi="Verdana"/>
          <w:sz w:val="18"/>
          <w:szCs w:val="18"/>
          <w:vertAlign w:val="subscript"/>
        </w:rPr>
        <w:t>t2</w:t>
      </w:r>
      <w:r w:rsidRPr="000C7CFA">
        <w:rPr>
          <w:rFonts w:ascii="Verdana" w:hAnsi="Verdana"/>
          <w:sz w:val="18"/>
          <w:szCs w:val="18"/>
        </w:rPr>
        <w:t>-W</w:t>
      </w:r>
      <w:r w:rsidRPr="000C7CFA">
        <w:rPr>
          <w:rFonts w:ascii="Verdana" w:hAnsi="Verdana"/>
          <w:sz w:val="18"/>
          <w:szCs w:val="18"/>
          <w:vertAlign w:val="subscript"/>
        </w:rPr>
        <w:t>t1</w:t>
      </w:r>
      <w:r w:rsidRPr="000C7CFA">
        <w:rPr>
          <w:rFonts w:ascii="Verdana" w:hAnsi="Verdana"/>
          <w:sz w:val="18"/>
          <w:szCs w:val="18"/>
        </w:rPr>
        <w:t>)/t, where W</w:t>
      </w:r>
      <w:r w:rsidRPr="000C7CFA">
        <w:rPr>
          <w:rFonts w:ascii="Verdana" w:hAnsi="Verdana"/>
          <w:sz w:val="18"/>
          <w:szCs w:val="18"/>
          <w:vertAlign w:val="subscript"/>
        </w:rPr>
        <w:t>t2</w:t>
      </w:r>
      <w:r w:rsidRPr="000C7CFA">
        <w:rPr>
          <w:rFonts w:ascii="Verdana" w:hAnsi="Verdana"/>
          <w:sz w:val="18"/>
          <w:szCs w:val="18"/>
        </w:rPr>
        <w:t xml:space="preserve"> is the weight at time 2, W</w:t>
      </w:r>
      <w:r w:rsidRPr="000C7CFA">
        <w:rPr>
          <w:rFonts w:ascii="Verdana" w:hAnsi="Verdana"/>
          <w:sz w:val="18"/>
          <w:szCs w:val="18"/>
          <w:vertAlign w:val="subscript"/>
        </w:rPr>
        <w:t>t1</w:t>
      </w:r>
      <w:r w:rsidRPr="000C7CFA">
        <w:rPr>
          <w:rFonts w:ascii="Verdana" w:hAnsi="Verdana"/>
          <w:sz w:val="18"/>
          <w:szCs w:val="18"/>
        </w:rPr>
        <w:t xml:space="preserve"> is the weight at time 1 and t is the time interval between time 2 and time 1. However, this equation does not give the percentage growth per day but rather the mass increase per day.</w:t>
      </w:r>
    </w:p>
    <w:p w14:paraId="49DFBE6C" w14:textId="77777777" w:rsidR="0020535B" w:rsidRPr="000C7CFA" w:rsidRDefault="0020535B" w:rsidP="00DC3658">
      <w:pPr>
        <w:pStyle w:val="BodyText"/>
        <w:numPr>
          <w:ilvl w:val="0"/>
          <w:numId w:val="12"/>
        </w:numPr>
        <w:ind w:left="426" w:right="232"/>
        <w:rPr>
          <w:rFonts w:ascii="Verdana" w:hAnsi="Verdana"/>
          <w:sz w:val="18"/>
          <w:szCs w:val="18"/>
        </w:rPr>
      </w:pPr>
      <w:r w:rsidRPr="000C7CFA">
        <w:rPr>
          <w:rFonts w:ascii="Verdana" w:hAnsi="Verdana"/>
          <w:sz w:val="18"/>
          <w:szCs w:val="18"/>
        </w:rPr>
        <w:t>Inhibition of the growth of the organism compared to the control appears to have occurred on day 7 and 14 of the uptake phase. The specific growth rates for these two time points are given as -2.36 % per day and -0.97 % per day. This suggest</w:t>
      </w:r>
      <w:r w:rsidR="00764B6D" w:rsidRPr="000C7CFA">
        <w:rPr>
          <w:rFonts w:ascii="Verdana" w:hAnsi="Verdana"/>
          <w:sz w:val="18"/>
          <w:szCs w:val="18"/>
        </w:rPr>
        <w:t>s</w:t>
      </w:r>
      <w:r w:rsidRPr="000C7CFA">
        <w:rPr>
          <w:rFonts w:ascii="Verdana" w:hAnsi="Verdana"/>
          <w:sz w:val="18"/>
          <w:szCs w:val="18"/>
        </w:rPr>
        <w:t xml:space="preserve"> that the Dechlorane Plus may have exerted a toxic effects during the uptake phase. The paper indicates that the specific growth rate returned to similar levels as the control during depuration. As noted above the equation used to estimate the specific growth rate can be questioned.</w:t>
      </w:r>
    </w:p>
    <w:p w14:paraId="279917B1" w14:textId="77777777" w:rsidR="0020535B" w:rsidRPr="000C7CFA" w:rsidRDefault="0020535B" w:rsidP="00DC3658">
      <w:pPr>
        <w:pStyle w:val="BodyText"/>
        <w:numPr>
          <w:ilvl w:val="0"/>
          <w:numId w:val="12"/>
        </w:numPr>
        <w:ind w:left="426" w:right="232"/>
        <w:rPr>
          <w:rFonts w:ascii="Verdana" w:hAnsi="Verdana"/>
          <w:sz w:val="18"/>
          <w:szCs w:val="18"/>
        </w:rPr>
      </w:pPr>
      <w:r w:rsidRPr="000C7CFA">
        <w:rPr>
          <w:rFonts w:ascii="Verdana" w:hAnsi="Verdana"/>
          <w:sz w:val="18"/>
          <w:szCs w:val="18"/>
        </w:rPr>
        <w:t>The paper incorrectly assumes that</w:t>
      </w:r>
      <w:r w:rsidR="00764B6D" w:rsidRPr="000C7CFA">
        <w:rPr>
          <w:rFonts w:ascii="Verdana" w:hAnsi="Verdana"/>
          <w:sz w:val="18"/>
          <w:szCs w:val="18"/>
        </w:rPr>
        <w:t xml:space="preserve"> growth dilution can be ignored since</w:t>
      </w:r>
      <w:r w:rsidRPr="000C7CFA">
        <w:rPr>
          <w:rFonts w:ascii="Verdana" w:hAnsi="Verdana"/>
          <w:sz w:val="18"/>
          <w:szCs w:val="18"/>
        </w:rPr>
        <w:t xml:space="preserve"> the effects of Dechlorane Plus on growth inhibition were limited. Growth inhibition and growth dilution are not the same. From the specific growth rates given it appears that the organisms may have actually been decreasing in weight during some parts of the study.</w:t>
      </w:r>
    </w:p>
    <w:p w14:paraId="372EAEB4" w14:textId="77777777" w:rsidR="0020535B" w:rsidRPr="000C7CFA" w:rsidRDefault="0020535B" w:rsidP="00DC3658">
      <w:pPr>
        <w:pStyle w:val="BodyText"/>
        <w:numPr>
          <w:ilvl w:val="0"/>
          <w:numId w:val="12"/>
        </w:numPr>
        <w:ind w:left="426" w:right="232"/>
        <w:rPr>
          <w:rFonts w:ascii="Verdana" w:hAnsi="Verdana"/>
          <w:sz w:val="18"/>
          <w:szCs w:val="18"/>
        </w:rPr>
      </w:pPr>
      <w:r w:rsidRPr="000C7CFA">
        <w:rPr>
          <w:rFonts w:ascii="Verdana" w:hAnsi="Verdana"/>
          <w:sz w:val="18"/>
          <w:szCs w:val="18"/>
        </w:rPr>
        <w:t>Dechlorane Plus was present in the organisms at the start of the test, and was detectable in the control organisms throughout the test.</w:t>
      </w:r>
    </w:p>
    <w:p w14:paraId="14F0FB39" w14:textId="77777777" w:rsidR="0020535B" w:rsidRPr="000C7CFA" w:rsidRDefault="0020535B" w:rsidP="00DC3658">
      <w:pPr>
        <w:pStyle w:val="BodyText"/>
        <w:numPr>
          <w:ilvl w:val="0"/>
          <w:numId w:val="12"/>
        </w:numPr>
        <w:ind w:left="426" w:right="232"/>
        <w:rPr>
          <w:rFonts w:ascii="Verdana" w:hAnsi="Verdana"/>
          <w:sz w:val="18"/>
          <w:szCs w:val="18"/>
        </w:rPr>
      </w:pPr>
      <w:r w:rsidRPr="000C7CFA">
        <w:rPr>
          <w:rFonts w:ascii="Verdana" w:hAnsi="Verdana"/>
          <w:sz w:val="18"/>
          <w:szCs w:val="18"/>
        </w:rPr>
        <w:t>The in</w:t>
      </w:r>
      <w:r w:rsidR="00764B6D" w:rsidRPr="000C7CFA">
        <w:rPr>
          <w:rFonts w:ascii="Verdana" w:hAnsi="Verdana"/>
          <w:sz w:val="18"/>
          <w:szCs w:val="18"/>
        </w:rPr>
        <w:t>i</w:t>
      </w:r>
      <w:r w:rsidRPr="000C7CFA">
        <w:rPr>
          <w:rFonts w:ascii="Verdana" w:hAnsi="Verdana"/>
          <w:sz w:val="18"/>
          <w:szCs w:val="18"/>
        </w:rPr>
        <w:t xml:space="preserve">tial concentration in water was 1.35 μg/L, which exceeds the water solubility of Dechlorane Plus. The concentration in water declined during the uptake period and was &lt;300 ng/L by day 7 of the uptake and was in the range 50-70 ng/L during depuration. Thus the exposure was not constant during the uptake phase and uptake could still </w:t>
      </w:r>
      <w:r w:rsidR="00764B6D" w:rsidRPr="000C7CFA">
        <w:rPr>
          <w:rFonts w:ascii="Verdana" w:hAnsi="Verdana"/>
          <w:sz w:val="18"/>
          <w:szCs w:val="18"/>
        </w:rPr>
        <w:t xml:space="preserve">have been </w:t>
      </w:r>
      <w:r w:rsidRPr="000C7CFA">
        <w:rPr>
          <w:rFonts w:ascii="Verdana" w:hAnsi="Verdana"/>
          <w:sz w:val="18"/>
          <w:szCs w:val="18"/>
        </w:rPr>
        <w:t>occur</w:t>
      </w:r>
      <w:r w:rsidR="00764B6D" w:rsidRPr="000C7CFA">
        <w:rPr>
          <w:rFonts w:ascii="Verdana" w:hAnsi="Verdana"/>
          <w:sz w:val="18"/>
          <w:szCs w:val="18"/>
        </w:rPr>
        <w:t>ring</w:t>
      </w:r>
      <w:r w:rsidRPr="000C7CFA">
        <w:rPr>
          <w:rFonts w:ascii="Verdana" w:hAnsi="Verdana"/>
          <w:sz w:val="18"/>
          <w:szCs w:val="18"/>
        </w:rPr>
        <w:t xml:space="preserve"> during the depuration phase. </w:t>
      </w:r>
    </w:p>
    <w:p w14:paraId="7BE26649" w14:textId="77777777" w:rsidR="0020535B" w:rsidRPr="000C7CFA" w:rsidRDefault="0020535B" w:rsidP="00DC3658">
      <w:pPr>
        <w:pStyle w:val="BodyText"/>
        <w:numPr>
          <w:ilvl w:val="0"/>
          <w:numId w:val="12"/>
        </w:numPr>
        <w:ind w:left="426" w:right="232"/>
        <w:rPr>
          <w:rFonts w:ascii="Verdana" w:hAnsi="Verdana"/>
          <w:sz w:val="18"/>
          <w:szCs w:val="18"/>
        </w:rPr>
      </w:pPr>
      <w:r w:rsidRPr="000C7CFA">
        <w:rPr>
          <w:rFonts w:ascii="Verdana" w:hAnsi="Verdana"/>
          <w:sz w:val="18"/>
          <w:szCs w:val="18"/>
        </w:rPr>
        <w:t>The kinetics were fitted using a two box model that included volatility loss, the metabolic rate constant and the depuration rate constant. However the study only determined the concentrations in water and the concentrations in the organism, and it is not possible to distinguish between all of these processes using these data. In particular there are several aspects that may have been oversimplified in the analysis. Firstly, the authors assumed that the loss of Dechlorane Plus from the solution without organisms was due to volatilisation loss, but there may be other explanations for this, e.g. adsorption to vessel walls</w:t>
      </w:r>
      <w:r w:rsidR="00764B6D" w:rsidRPr="000C7CFA">
        <w:rPr>
          <w:rFonts w:ascii="Verdana" w:hAnsi="Verdana"/>
          <w:sz w:val="18"/>
          <w:szCs w:val="18"/>
        </w:rPr>
        <w:t>,</w:t>
      </w:r>
      <w:r w:rsidRPr="000C7CFA">
        <w:rPr>
          <w:rFonts w:ascii="Verdana" w:hAnsi="Verdana"/>
          <w:sz w:val="18"/>
          <w:szCs w:val="18"/>
        </w:rPr>
        <w:t xml:space="preserve"> etc</w:t>
      </w:r>
      <w:r w:rsidR="00764B6D" w:rsidRPr="000C7CFA">
        <w:rPr>
          <w:rFonts w:ascii="Verdana" w:hAnsi="Verdana"/>
          <w:sz w:val="18"/>
          <w:szCs w:val="18"/>
        </w:rPr>
        <w:t>.</w:t>
      </w:r>
      <w:r w:rsidRPr="000C7CFA">
        <w:rPr>
          <w:rFonts w:ascii="Verdana" w:hAnsi="Verdana"/>
          <w:sz w:val="18"/>
          <w:szCs w:val="18"/>
        </w:rPr>
        <w:t xml:space="preserve"> (the initial concentration in water (1.35 μg/L) exceeded the water solubility of the substance). Secondly, the authors neglected the depuration processes that would have been occurring when estimating the uptake kinetics (the concentrations in the organisms at any one time during the exposure part of the experiment represent the net uptake (i.e. uptake from water and depuration from the organism)). The uptake model used </w:t>
      </w:r>
      <w:r w:rsidR="00764B6D" w:rsidRPr="000C7CFA">
        <w:rPr>
          <w:rFonts w:ascii="Verdana" w:hAnsi="Verdana"/>
          <w:sz w:val="18"/>
          <w:szCs w:val="18"/>
        </w:rPr>
        <w:t xml:space="preserve">in the paper </w:t>
      </w:r>
      <w:r w:rsidRPr="000C7CFA">
        <w:rPr>
          <w:rFonts w:ascii="Verdana" w:hAnsi="Verdana"/>
          <w:sz w:val="18"/>
          <w:szCs w:val="18"/>
        </w:rPr>
        <w:t xml:space="preserve">effectively assumes that the decline in the water concentration is a result of uptake into the organisms and loss through volatilisation and uses the decline in water concentration to </w:t>
      </w:r>
      <w:r w:rsidR="00764B6D" w:rsidRPr="000C7CFA">
        <w:rPr>
          <w:rFonts w:ascii="Verdana" w:hAnsi="Verdana"/>
          <w:sz w:val="18"/>
          <w:szCs w:val="18"/>
        </w:rPr>
        <w:t xml:space="preserve">indirectly </w:t>
      </w:r>
      <w:r w:rsidRPr="000C7CFA">
        <w:rPr>
          <w:rFonts w:ascii="Verdana" w:hAnsi="Verdana"/>
          <w:sz w:val="18"/>
          <w:szCs w:val="18"/>
        </w:rPr>
        <w:t xml:space="preserve">estimate the rate constant for uptake into the organism. Finally, the rate constant for metabolism appears to have been estimated by omitting other depuration processes from the model. </w:t>
      </w:r>
    </w:p>
    <w:p w14:paraId="377B01A5" w14:textId="77777777" w:rsidR="0020535B" w:rsidRPr="000C7CFA" w:rsidRDefault="0020535B" w:rsidP="00875ED6">
      <w:pPr>
        <w:pStyle w:val="BodyText"/>
        <w:rPr>
          <w:rFonts w:ascii="Verdana" w:hAnsi="Verdana"/>
          <w:sz w:val="18"/>
          <w:szCs w:val="18"/>
        </w:rPr>
      </w:pPr>
    </w:p>
    <w:p w14:paraId="04FAEBFD" w14:textId="1C9BCF7D" w:rsidR="004D262D" w:rsidRPr="000C7CFA" w:rsidRDefault="00BA0ECA" w:rsidP="00A13293">
      <w:pPr>
        <w:pStyle w:val="Heading5"/>
        <w:spacing w:after="120"/>
        <w:ind w:left="1009" w:hanging="1009"/>
        <w:rPr>
          <w:rFonts w:ascii="Verdana" w:hAnsi="Verdana"/>
          <w:sz w:val="18"/>
          <w:szCs w:val="18"/>
          <w:lang w:val="en-GB"/>
        </w:rPr>
      </w:pPr>
      <w:bookmarkStart w:id="64" w:name="_Ref427766234"/>
      <w:r w:rsidRPr="000C7CFA">
        <w:rPr>
          <w:rFonts w:ascii="Verdana" w:hAnsi="Verdana"/>
          <w:sz w:val="18"/>
          <w:szCs w:val="18"/>
          <w:lang w:val="en-GB"/>
        </w:rPr>
        <w:t>Dietary exposure</w:t>
      </w:r>
      <w:bookmarkEnd w:id="63"/>
      <w:bookmarkEnd w:id="64"/>
    </w:p>
    <w:p w14:paraId="293C029B" w14:textId="6C1D8B3F" w:rsidR="004D262D" w:rsidRPr="000C7CFA" w:rsidRDefault="00030CE7" w:rsidP="004D262D">
      <w:pPr>
        <w:jc w:val="both"/>
        <w:rPr>
          <w:rFonts w:ascii="Verdana" w:hAnsi="Verdana"/>
          <w:sz w:val="18"/>
          <w:szCs w:val="18"/>
          <w:lang w:val="en-GB"/>
        </w:rPr>
      </w:pPr>
      <w:r w:rsidRPr="000C7CFA">
        <w:rPr>
          <w:rFonts w:ascii="Verdana" w:hAnsi="Verdana"/>
          <w:sz w:val="18"/>
          <w:szCs w:val="18"/>
          <w:lang w:val="en-GB"/>
        </w:rPr>
        <w:t xml:space="preserve">In addition to </w:t>
      </w:r>
      <w:r w:rsidRPr="000C7CFA">
        <w:rPr>
          <w:rFonts w:ascii="Verdana" w:hAnsi="Verdana" w:cs="Utopia-Regular"/>
          <w:sz w:val="18"/>
          <w:szCs w:val="18"/>
          <w:u w:val="single"/>
        </w:rPr>
        <w:t>Tomy</w:t>
      </w:r>
      <w:r w:rsidRPr="000C7CFA">
        <w:rPr>
          <w:rFonts w:ascii="Verdana" w:hAnsi="Verdana"/>
          <w:sz w:val="18"/>
          <w:szCs w:val="18"/>
          <w:u w:val="single"/>
        </w:rPr>
        <w:t xml:space="preserve"> </w:t>
      </w:r>
      <w:r w:rsidRPr="000C7CFA">
        <w:rPr>
          <w:rFonts w:ascii="Verdana" w:hAnsi="Verdana"/>
          <w:i/>
          <w:sz w:val="18"/>
          <w:szCs w:val="18"/>
          <w:u w:val="single"/>
        </w:rPr>
        <w:t>et al</w:t>
      </w:r>
      <w:r w:rsidRPr="000C7CFA">
        <w:rPr>
          <w:rFonts w:ascii="Verdana" w:hAnsi="Verdana"/>
          <w:sz w:val="18"/>
          <w:szCs w:val="18"/>
          <w:u w:val="single"/>
        </w:rPr>
        <w:t>. (2008)</w:t>
      </w:r>
      <w:r w:rsidRPr="000C7CFA">
        <w:rPr>
          <w:rFonts w:ascii="Verdana" w:hAnsi="Verdana"/>
          <w:sz w:val="18"/>
          <w:szCs w:val="18"/>
        </w:rPr>
        <w:t>, t</w:t>
      </w:r>
      <w:r w:rsidR="00B0693F" w:rsidRPr="000C7CFA">
        <w:rPr>
          <w:rFonts w:ascii="Verdana" w:hAnsi="Verdana"/>
          <w:sz w:val="18"/>
          <w:szCs w:val="18"/>
          <w:lang w:val="en-GB"/>
        </w:rPr>
        <w:t>he</w:t>
      </w:r>
      <w:r w:rsidR="00BA0ECA" w:rsidRPr="000C7CFA">
        <w:rPr>
          <w:rFonts w:ascii="Verdana" w:hAnsi="Verdana"/>
          <w:sz w:val="18"/>
          <w:szCs w:val="18"/>
          <w:lang w:val="en-GB"/>
        </w:rPr>
        <w:t xml:space="preserve"> registration dossier </w:t>
      </w:r>
      <w:r w:rsidR="00B0693F" w:rsidRPr="000C7CFA">
        <w:rPr>
          <w:rFonts w:ascii="Verdana" w:hAnsi="Verdana"/>
          <w:sz w:val="18"/>
          <w:szCs w:val="18"/>
          <w:lang w:val="en-GB"/>
        </w:rPr>
        <w:t>includes the following</w:t>
      </w:r>
      <w:r w:rsidR="00BA0ECA" w:rsidRPr="000C7CFA">
        <w:rPr>
          <w:rFonts w:ascii="Verdana" w:hAnsi="Verdana"/>
          <w:sz w:val="18"/>
          <w:szCs w:val="18"/>
          <w:lang w:val="en-GB"/>
        </w:rPr>
        <w:t xml:space="preserve"> dietary exposure </w:t>
      </w:r>
      <w:r w:rsidR="00B0693F" w:rsidRPr="000C7CFA">
        <w:rPr>
          <w:rFonts w:ascii="Verdana" w:hAnsi="Verdana"/>
          <w:sz w:val="18"/>
          <w:szCs w:val="18"/>
          <w:lang w:val="en-GB"/>
        </w:rPr>
        <w:t>studies:</w:t>
      </w:r>
    </w:p>
    <w:p w14:paraId="7E3CC8E6" w14:textId="77777777" w:rsidR="004D262D" w:rsidRPr="000C7CFA" w:rsidRDefault="004D262D" w:rsidP="00DC3658">
      <w:pPr>
        <w:pStyle w:val="BodyText"/>
        <w:numPr>
          <w:ilvl w:val="0"/>
          <w:numId w:val="5"/>
        </w:numPr>
        <w:ind w:left="426" w:right="232" w:hanging="426"/>
        <w:rPr>
          <w:rFonts w:ascii="Verdana" w:hAnsi="Verdana"/>
          <w:sz w:val="18"/>
          <w:szCs w:val="18"/>
        </w:rPr>
      </w:pPr>
      <w:r w:rsidRPr="000C7CFA">
        <w:rPr>
          <w:rFonts w:ascii="Verdana" w:hAnsi="Verdana"/>
          <w:sz w:val="18"/>
          <w:szCs w:val="18"/>
        </w:rPr>
        <w:t xml:space="preserve">In a non-guideline study, </w:t>
      </w:r>
      <w:r w:rsidRPr="000C7CFA">
        <w:rPr>
          <w:rFonts w:ascii="Verdana" w:hAnsi="Verdana"/>
          <w:sz w:val="18"/>
          <w:szCs w:val="18"/>
          <w:u w:val="single"/>
        </w:rPr>
        <w:t>Zitko (1980)</w:t>
      </w:r>
      <w:r w:rsidRPr="000C7CFA">
        <w:rPr>
          <w:rFonts w:ascii="Verdana" w:hAnsi="Verdana"/>
          <w:sz w:val="18"/>
          <w:szCs w:val="18"/>
        </w:rPr>
        <w:t xml:space="preserve"> fed groups of three juvenile Atlantic Salmon (</w:t>
      </w:r>
      <w:r w:rsidRPr="000C7CFA">
        <w:rPr>
          <w:rFonts w:ascii="Verdana" w:hAnsi="Verdana"/>
          <w:i/>
          <w:sz w:val="18"/>
          <w:szCs w:val="18"/>
        </w:rPr>
        <w:t>Salmo salar</w:t>
      </w:r>
      <w:r w:rsidRPr="000C7CFA">
        <w:rPr>
          <w:rFonts w:ascii="Verdana" w:hAnsi="Verdana"/>
          <w:sz w:val="18"/>
          <w:szCs w:val="18"/>
        </w:rPr>
        <w:t xml:space="preserve">) </w:t>
      </w:r>
      <w:r w:rsidR="00424536" w:rsidRPr="000C7CFA">
        <w:rPr>
          <w:rFonts w:ascii="Verdana" w:hAnsi="Verdana"/>
          <w:sz w:val="18"/>
          <w:szCs w:val="18"/>
        </w:rPr>
        <w:t xml:space="preserve">with </w:t>
      </w:r>
      <w:r w:rsidRPr="000C7CFA">
        <w:rPr>
          <w:rFonts w:ascii="Verdana" w:hAnsi="Verdana"/>
          <w:sz w:val="18"/>
          <w:szCs w:val="18"/>
        </w:rPr>
        <w:t>food pellets coated with a mixture of chemicals dissolved in hexane that included Dechlorane Plus for 42 days followed by an observation phase of 71 days. The food contained 9.12 µg/g nominal (8.88 µg/g measured) Dechlorane Plus. The other chemicals in the mixture were not specified</w:t>
      </w:r>
      <w:r w:rsidR="001D7F72" w:rsidRPr="000C7CFA">
        <w:rPr>
          <w:rFonts w:ascii="Verdana" w:hAnsi="Verdana"/>
          <w:sz w:val="18"/>
          <w:szCs w:val="18"/>
        </w:rPr>
        <w:t xml:space="preserve"> in the robust study </w:t>
      </w:r>
      <w:r w:rsidR="001D7F72" w:rsidRPr="000C7CFA">
        <w:rPr>
          <w:rFonts w:ascii="Verdana" w:hAnsi="Verdana"/>
          <w:sz w:val="18"/>
          <w:szCs w:val="18"/>
        </w:rPr>
        <w:lastRenderedPageBreak/>
        <w:t>summary, but the original paper indicates that they were mirex, Dechlorane 602, Dechlorane 603</w:t>
      </w:r>
      <w:r w:rsidR="00424536" w:rsidRPr="000C7CFA">
        <w:rPr>
          <w:rFonts w:ascii="Verdana" w:hAnsi="Verdana"/>
          <w:sz w:val="18"/>
          <w:szCs w:val="18"/>
        </w:rPr>
        <w:t xml:space="preserve"> and</w:t>
      </w:r>
      <w:r w:rsidR="001D7F72" w:rsidRPr="000C7CFA">
        <w:rPr>
          <w:rFonts w:ascii="Verdana" w:hAnsi="Verdana"/>
          <w:sz w:val="18"/>
          <w:szCs w:val="18"/>
        </w:rPr>
        <w:t xml:space="preserve"> Dechlorane 604</w:t>
      </w:r>
      <w:r w:rsidRPr="000C7CFA">
        <w:rPr>
          <w:rFonts w:ascii="Verdana" w:hAnsi="Verdana"/>
          <w:sz w:val="18"/>
          <w:szCs w:val="18"/>
        </w:rPr>
        <w:t>. The test temperature was 10</w:t>
      </w:r>
      <w:r w:rsidR="001D7F72" w:rsidRPr="000C7CFA">
        <w:rPr>
          <w:rFonts w:ascii="Verdana" w:hAnsi="Verdana"/>
          <w:sz w:val="18"/>
          <w:szCs w:val="18"/>
        </w:rPr>
        <w:t xml:space="preserve"> </w:t>
      </w:r>
      <w:r w:rsidRPr="000C7CFA">
        <w:rPr>
          <w:rFonts w:ascii="Verdana" w:hAnsi="Verdana"/>
          <w:sz w:val="18"/>
          <w:szCs w:val="18"/>
        </w:rPr>
        <w:t>°C.</w:t>
      </w:r>
    </w:p>
    <w:p w14:paraId="7CF42287" w14:textId="545AC290" w:rsidR="004D262D" w:rsidRPr="000C7CFA" w:rsidRDefault="004D262D" w:rsidP="004D262D">
      <w:pPr>
        <w:pStyle w:val="BodyText"/>
        <w:ind w:left="426" w:right="232"/>
        <w:rPr>
          <w:rFonts w:ascii="Verdana" w:hAnsi="Verdana"/>
          <w:sz w:val="18"/>
          <w:szCs w:val="18"/>
        </w:rPr>
      </w:pPr>
      <w:r w:rsidRPr="000C7CFA">
        <w:rPr>
          <w:rFonts w:ascii="Verdana" w:hAnsi="Verdana"/>
          <w:sz w:val="18"/>
          <w:szCs w:val="18"/>
        </w:rPr>
        <w:t xml:space="preserve">Concentrations in fish tissue were determined </w:t>
      </w:r>
      <w:r w:rsidR="000C5286" w:rsidRPr="000C7CFA">
        <w:rPr>
          <w:rFonts w:ascii="Verdana" w:hAnsi="Verdana"/>
          <w:sz w:val="18"/>
          <w:szCs w:val="18"/>
        </w:rPr>
        <w:t xml:space="preserve">by GC-MS </w:t>
      </w:r>
      <w:r w:rsidRPr="000C7CFA">
        <w:rPr>
          <w:rFonts w:ascii="Verdana" w:hAnsi="Verdana"/>
          <w:sz w:val="18"/>
          <w:szCs w:val="18"/>
        </w:rPr>
        <w:t xml:space="preserve">at 15, 28 and 42 days of exposure, and 16, 32, 49 and 71 days post-exposure. </w:t>
      </w:r>
      <w:r w:rsidR="00F37CAD" w:rsidRPr="000C7CFA">
        <w:rPr>
          <w:rFonts w:ascii="Verdana" w:hAnsi="Verdana"/>
          <w:sz w:val="18"/>
          <w:szCs w:val="18"/>
        </w:rPr>
        <w:t xml:space="preserve">The </w:t>
      </w:r>
      <w:r w:rsidR="00BA0ECA" w:rsidRPr="000C7CFA">
        <w:rPr>
          <w:rFonts w:ascii="Verdana" w:hAnsi="Verdana"/>
          <w:sz w:val="18"/>
          <w:szCs w:val="18"/>
        </w:rPr>
        <w:t>total number of fish used in the study was not stated, but each sampling point included two fish analysed individually. Two peaks in an area ratio of 1:4 were believed to be the syn- and ant</w:t>
      </w:r>
      <w:r w:rsidR="00807CB2" w:rsidRPr="000C7CFA">
        <w:rPr>
          <w:rFonts w:ascii="Verdana" w:hAnsi="Verdana"/>
          <w:sz w:val="18"/>
          <w:szCs w:val="18"/>
        </w:rPr>
        <w:t>i- is</w:t>
      </w:r>
      <w:r w:rsidR="00BA0ECA" w:rsidRPr="000C7CFA">
        <w:rPr>
          <w:rFonts w:ascii="Verdana" w:hAnsi="Verdana"/>
          <w:sz w:val="18"/>
          <w:szCs w:val="18"/>
        </w:rPr>
        <w:t>omer, respectively. This ratio did not change during the test, so concentrations were reported as total isomers. A maximum concentration of 176 ng/g ww Dechlorane Plus was detected in fish tissue at the first time point of analysis (15 days). The concentration decreased steadily thereafter, to 61.8 ng/g ww at 28 days and 44.2 ng/g ww by the end of exposure (42 d). The study authors noted that this may be an artefact as the fish had doubled in size (from 9.4 to 20.0 g) by uptake day 42. Lipid weights dropped during the test (from 6.4</w:t>
      </w:r>
      <w:r w:rsidR="00AF7606" w:rsidRPr="000C7CFA">
        <w:rPr>
          <w:rFonts w:ascii="Verdana" w:hAnsi="Verdana"/>
          <w:sz w:val="18"/>
          <w:szCs w:val="18"/>
        </w:rPr>
        <w:t>5 %</w:t>
      </w:r>
      <w:r w:rsidR="00BA0ECA" w:rsidRPr="000C7CFA">
        <w:rPr>
          <w:rFonts w:ascii="Verdana" w:hAnsi="Verdana"/>
          <w:sz w:val="18"/>
          <w:szCs w:val="18"/>
        </w:rPr>
        <w:t xml:space="preserve"> at day 15 to 3.6</w:t>
      </w:r>
      <w:r w:rsidR="00AF7606" w:rsidRPr="000C7CFA">
        <w:rPr>
          <w:rFonts w:ascii="Verdana" w:hAnsi="Verdana"/>
          <w:sz w:val="18"/>
          <w:szCs w:val="18"/>
        </w:rPr>
        <w:t>6 %</w:t>
      </w:r>
      <w:r w:rsidR="00BA0ECA" w:rsidRPr="000C7CFA">
        <w:rPr>
          <w:rFonts w:ascii="Verdana" w:hAnsi="Verdana"/>
          <w:sz w:val="18"/>
          <w:szCs w:val="18"/>
        </w:rPr>
        <w:t xml:space="preserve"> on day 42 of uptake, then 2.9</w:t>
      </w:r>
      <w:r w:rsidR="00AF7606" w:rsidRPr="000C7CFA">
        <w:rPr>
          <w:rFonts w:ascii="Verdana" w:hAnsi="Verdana"/>
          <w:sz w:val="18"/>
          <w:szCs w:val="18"/>
        </w:rPr>
        <w:t>3 %</w:t>
      </w:r>
      <w:r w:rsidR="00BA0ECA" w:rsidRPr="000C7CFA">
        <w:rPr>
          <w:rFonts w:ascii="Verdana" w:hAnsi="Verdana"/>
          <w:sz w:val="18"/>
          <w:szCs w:val="18"/>
        </w:rPr>
        <w:t xml:space="preserve"> on day 16 of depuration rising to 4.9</w:t>
      </w:r>
      <w:r w:rsidR="00AF7606" w:rsidRPr="000C7CFA">
        <w:rPr>
          <w:rFonts w:ascii="Verdana" w:hAnsi="Verdana"/>
          <w:sz w:val="18"/>
          <w:szCs w:val="18"/>
        </w:rPr>
        <w:t>8 %</w:t>
      </w:r>
      <w:r w:rsidR="00BA0ECA" w:rsidRPr="000C7CFA">
        <w:rPr>
          <w:rFonts w:ascii="Verdana" w:hAnsi="Verdana"/>
          <w:sz w:val="18"/>
          <w:szCs w:val="18"/>
        </w:rPr>
        <w:t xml:space="preserve"> by the end of the test), and it was thought that this could have been due to reduced ingestion and/or toxicity (fish weight had also dropped to 8.3 g by day 16 of depuration, rising to 19.7 g by the end of the test). Tissue concentrations decreased further during the depuration period to 18.7 ng/g ww after 71 days of depuration. Complete elimination was not achieved, and the non-growth corrected depuration half-life was 58 days (the depuration rate constant was 0.012 d</w:t>
      </w:r>
      <w:r w:rsidR="00BA0ECA" w:rsidRPr="000C7CFA">
        <w:rPr>
          <w:rFonts w:ascii="Verdana" w:hAnsi="Verdana"/>
          <w:sz w:val="18"/>
          <w:szCs w:val="18"/>
          <w:vertAlign w:val="superscript"/>
        </w:rPr>
        <w:t>-1</w:t>
      </w:r>
      <w:r w:rsidR="00BA0ECA" w:rsidRPr="000C7CFA">
        <w:rPr>
          <w:rFonts w:ascii="Verdana" w:hAnsi="Verdana"/>
          <w:sz w:val="18"/>
          <w:szCs w:val="18"/>
        </w:rPr>
        <w:t>). A BMF was not reported, but it was concluded that all the test chemicals were accumulated when administered in food; the accumulation factor of mirex was said to be relatively high, and accumulation factors of Dechloranes “low to intermediate”.</w:t>
      </w:r>
    </w:p>
    <w:p w14:paraId="3CDD825D" w14:textId="4264DEF0" w:rsidR="00A51359" w:rsidRPr="000C7CFA" w:rsidRDefault="00A51359" w:rsidP="00A51359">
      <w:pPr>
        <w:pStyle w:val="BodyText"/>
        <w:ind w:left="426" w:right="232"/>
        <w:rPr>
          <w:rFonts w:ascii="Verdana" w:hAnsi="Verdana"/>
          <w:sz w:val="18"/>
          <w:szCs w:val="18"/>
        </w:rPr>
      </w:pPr>
      <w:r w:rsidRPr="000C7CFA">
        <w:rPr>
          <w:rFonts w:ascii="Verdana" w:hAnsi="Verdana"/>
          <w:sz w:val="18"/>
          <w:szCs w:val="18"/>
        </w:rPr>
        <w:t xml:space="preserve">In the supporting information for a paper by Arnot &amp; Quinn (2015), </w:t>
      </w:r>
      <w:r w:rsidRPr="000C7CFA">
        <w:rPr>
          <w:rFonts w:ascii="Verdana" w:hAnsi="Verdana" w:cs="TimesNewRomanPSMT"/>
          <w:sz w:val="18"/>
          <w:szCs w:val="18"/>
          <w:lang w:eastAsia="en-GB"/>
        </w:rPr>
        <w:t>a growth rate constant of 0.0055 d</w:t>
      </w:r>
      <w:r w:rsidRPr="000C7CFA">
        <w:rPr>
          <w:rFonts w:ascii="Verdana" w:hAnsi="Verdana" w:cs="TimesNewRomanPSMT"/>
          <w:sz w:val="18"/>
          <w:szCs w:val="18"/>
          <w:vertAlign w:val="superscript"/>
          <w:lang w:eastAsia="en-GB"/>
        </w:rPr>
        <w:t>-1</w:t>
      </w:r>
      <w:r w:rsidRPr="000C7CFA">
        <w:rPr>
          <w:rFonts w:ascii="Verdana" w:hAnsi="Verdana" w:cs="TimesNewRomanPSMT"/>
          <w:sz w:val="18"/>
          <w:szCs w:val="18"/>
          <w:lang w:eastAsia="en-GB"/>
        </w:rPr>
        <w:t xml:space="preserve"> is estimated based on a relatively poor fit (r</w:t>
      </w:r>
      <w:r w:rsidRPr="000C7CFA">
        <w:rPr>
          <w:rFonts w:ascii="Verdana" w:hAnsi="Verdana" w:cs="TimesNewRomanPSMT"/>
          <w:sz w:val="18"/>
          <w:szCs w:val="18"/>
          <w:vertAlign w:val="superscript"/>
          <w:lang w:eastAsia="en-GB"/>
        </w:rPr>
        <w:t>2</w:t>
      </w:r>
      <w:r w:rsidRPr="000C7CFA">
        <w:rPr>
          <w:rFonts w:ascii="Verdana" w:hAnsi="Verdana" w:cs="TimesNewRomanPSMT"/>
          <w:sz w:val="18"/>
          <w:szCs w:val="18"/>
          <w:lang w:eastAsia="en-GB"/>
        </w:rPr>
        <w:t xml:space="preserve"> = 0.32) of an exponential model to the reported fish mass data. The</w:t>
      </w:r>
      <w:r w:rsidRPr="000C7CFA">
        <w:rPr>
          <w:rFonts w:ascii="Verdana" w:hAnsi="Verdana"/>
          <w:sz w:val="18"/>
          <w:szCs w:val="18"/>
        </w:rPr>
        <w:t xml:space="preserve"> </w:t>
      </w:r>
      <w:r w:rsidR="00520167" w:rsidRPr="000C7CFA">
        <w:rPr>
          <w:rFonts w:ascii="Verdana" w:hAnsi="Verdana"/>
          <w:sz w:val="18"/>
          <w:szCs w:val="18"/>
        </w:rPr>
        <w:t xml:space="preserve">resulting </w:t>
      </w:r>
      <w:r w:rsidRPr="000C7CFA">
        <w:rPr>
          <w:rFonts w:ascii="Verdana" w:hAnsi="Verdana"/>
          <w:sz w:val="18"/>
          <w:szCs w:val="18"/>
        </w:rPr>
        <w:t>growth-corrected depuration rate constant</w:t>
      </w:r>
      <w:r w:rsidRPr="000C7CFA">
        <w:rPr>
          <w:rFonts w:ascii="Verdana" w:hAnsi="Verdana" w:cs="TimesNewRomanPSMT"/>
          <w:sz w:val="18"/>
          <w:szCs w:val="18"/>
          <w:lang w:eastAsia="en-GB"/>
        </w:rPr>
        <w:t xml:space="preserve"> is 0.0065 d</w:t>
      </w:r>
      <w:r w:rsidRPr="000C7CFA">
        <w:rPr>
          <w:rFonts w:ascii="Verdana" w:hAnsi="Verdana" w:cs="TimesNewRomanPSMT"/>
          <w:sz w:val="18"/>
          <w:szCs w:val="18"/>
          <w:vertAlign w:val="superscript"/>
          <w:lang w:eastAsia="en-GB"/>
        </w:rPr>
        <w:t>-1</w:t>
      </w:r>
      <w:r w:rsidRPr="000C7CFA">
        <w:rPr>
          <w:rFonts w:ascii="Verdana" w:hAnsi="Verdana" w:cs="TimesNewRomanPSMT"/>
          <w:sz w:val="18"/>
          <w:szCs w:val="18"/>
          <w:lang w:eastAsia="en-GB"/>
        </w:rPr>
        <w:t xml:space="preserve">, corresponding to a growth-corrected depuration half-life of about 100 days for ca. 15 g, </w:t>
      </w:r>
      <w:r w:rsidR="00AF7606" w:rsidRPr="000C7CFA">
        <w:rPr>
          <w:rFonts w:ascii="Verdana" w:hAnsi="Verdana" w:cs="TimesNewRomanPSMT"/>
          <w:sz w:val="18"/>
          <w:szCs w:val="18"/>
          <w:lang w:eastAsia="en-GB"/>
        </w:rPr>
        <w:t>5 %</w:t>
      </w:r>
      <w:r w:rsidRPr="000C7CFA">
        <w:rPr>
          <w:rFonts w:ascii="Verdana" w:hAnsi="Verdana" w:cs="TimesNewRomanPSMT"/>
          <w:sz w:val="18"/>
          <w:szCs w:val="18"/>
          <w:lang w:eastAsia="en-GB"/>
        </w:rPr>
        <w:t xml:space="preserve"> lipid content fish.</w:t>
      </w:r>
    </w:p>
    <w:p w14:paraId="18DF043A" w14:textId="77777777" w:rsidR="00487B88" w:rsidRPr="000C7CFA" w:rsidRDefault="00BA0ECA" w:rsidP="00487B88">
      <w:pPr>
        <w:pStyle w:val="BodyText"/>
        <w:ind w:left="426" w:right="232"/>
        <w:rPr>
          <w:rFonts w:ascii="Verdana" w:hAnsi="Verdana"/>
          <w:sz w:val="18"/>
          <w:szCs w:val="18"/>
        </w:rPr>
      </w:pPr>
      <w:r w:rsidRPr="000C7CFA">
        <w:rPr>
          <w:rFonts w:ascii="Verdana" w:hAnsi="Verdana"/>
          <w:sz w:val="18"/>
          <w:szCs w:val="18"/>
        </w:rPr>
        <w:t xml:space="preserve">The </w:t>
      </w:r>
      <w:r w:rsidR="007666BB" w:rsidRPr="000C7CFA">
        <w:rPr>
          <w:rFonts w:ascii="Verdana" w:hAnsi="Verdana"/>
          <w:sz w:val="18"/>
          <w:szCs w:val="18"/>
        </w:rPr>
        <w:t>Registrant</w:t>
      </w:r>
      <w:r w:rsidRPr="000C7CFA">
        <w:rPr>
          <w:rFonts w:ascii="Verdana" w:hAnsi="Verdana"/>
          <w:sz w:val="18"/>
          <w:szCs w:val="18"/>
        </w:rPr>
        <w:t xml:space="preserve"> assigned a reliability code of 2 (reliable with restrictions) to this study, on the basis that methods, results and the interpretation of results are not described in sufficient detail. </w:t>
      </w:r>
    </w:p>
    <w:p w14:paraId="3EB1E1C3" w14:textId="77777777" w:rsidR="00487B88" w:rsidRPr="000C7CFA" w:rsidRDefault="00487B88" w:rsidP="004D262D">
      <w:pPr>
        <w:pStyle w:val="BodyText"/>
        <w:ind w:left="426" w:right="232"/>
        <w:rPr>
          <w:rFonts w:ascii="Verdana" w:hAnsi="Verdana"/>
          <w:sz w:val="18"/>
          <w:szCs w:val="18"/>
        </w:rPr>
      </w:pPr>
    </w:p>
    <w:p w14:paraId="3483A00B" w14:textId="77777777" w:rsidR="005974BC" w:rsidRPr="000C7CFA" w:rsidRDefault="00432CF6" w:rsidP="00DC3658">
      <w:pPr>
        <w:pStyle w:val="BodyText"/>
        <w:numPr>
          <w:ilvl w:val="0"/>
          <w:numId w:val="5"/>
        </w:numPr>
        <w:autoSpaceDE w:val="0"/>
        <w:autoSpaceDN w:val="0"/>
        <w:adjustRightInd w:val="0"/>
        <w:ind w:left="425" w:right="232" w:hanging="425"/>
        <w:rPr>
          <w:rFonts w:ascii="Verdana" w:hAnsi="Verdana"/>
          <w:sz w:val="18"/>
          <w:szCs w:val="18"/>
        </w:rPr>
      </w:pPr>
      <w:r w:rsidRPr="000C7CFA">
        <w:rPr>
          <w:rFonts w:ascii="Verdana" w:hAnsi="Verdana"/>
          <w:sz w:val="18"/>
          <w:szCs w:val="18"/>
          <w:u w:val="single"/>
        </w:rPr>
        <w:t xml:space="preserve">Xiao </w:t>
      </w:r>
      <w:r w:rsidRPr="000C7CFA">
        <w:rPr>
          <w:rFonts w:ascii="Verdana" w:hAnsi="Verdana"/>
          <w:i/>
          <w:sz w:val="18"/>
          <w:szCs w:val="18"/>
          <w:u w:val="single"/>
        </w:rPr>
        <w:t>et al</w:t>
      </w:r>
      <w:r w:rsidRPr="000C7CFA">
        <w:rPr>
          <w:rFonts w:ascii="Verdana" w:hAnsi="Verdana"/>
          <w:sz w:val="18"/>
          <w:szCs w:val="18"/>
          <w:u w:val="single"/>
        </w:rPr>
        <w:t>. (2013)</w:t>
      </w:r>
      <w:r w:rsidRPr="000C7CFA">
        <w:rPr>
          <w:rFonts w:ascii="Verdana" w:hAnsi="Verdana"/>
          <w:sz w:val="18"/>
          <w:szCs w:val="18"/>
        </w:rPr>
        <w:t xml:space="preserve"> investigated the gastro</w:t>
      </w:r>
      <w:r w:rsidR="00BA0ECA" w:rsidRPr="000C7CFA">
        <w:rPr>
          <w:rFonts w:ascii="Verdana" w:hAnsi="Verdana"/>
          <w:sz w:val="18"/>
          <w:szCs w:val="18"/>
        </w:rPr>
        <w:t xml:space="preserve">-intestinal absorption efficiency of Dechlorane Plus as part of a study that exposed Rainbow Trout (scientific name not given but presumably </w:t>
      </w:r>
      <w:r w:rsidR="00BA0ECA" w:rsidRPr="000C7CFA">
        <w:rPr>
          <w:rFonts w:ascii="Verdana" w:hAnsi="Verdana"/>
          <w:i/>
          <w:sz w:val="18"/>
          <w:szCs w:val="18"/>
        </w:rPr>
        <w:t>Oncorhynchus mykiss</w:t>
      </w:r>
      <w:r w:rsidR="00BA0ECA" w:rsidRPr="000C7CFA">
        <w:rPr>
          <w:rFonts w:ascii="Verdana" w:hAnsi="Verdana"/>
          <w:sz w:val="18"/>
          <w:szCs w:val="18"/>
        </w:rPr>
        <w:t xml:space="preserve">) to fifteen chemicals simultaneously via the diet. Following acclimation to laboratory conditions for a month, six juvenile (13-month old, 25 g) fish were allocated to each of four 50-L stainless steel aquaria. After one day, the fish were fed with a single meal of 1.5 g contaminated feed (prepared by shaking a slurry of the chemical mixture dissolved in toluene with 2 mm food pellets for 16 hours, followed by drying for 20 hours). It is not stated whether all the fish were exposed to the same chemical mixture, but presumably this was the case. Five control fish were fed the same food but without the test chemicals. The water flow rate was 12 L/h, giving a water exchange rate of </w:t>
      </w:r>
      <w:r w:rsidR="001059D2" w:rsidRPr="000C7CFA">
        <w:rPr>
          <w:rFonts w:ascii="Verdana" w:hAnsi="Verdana"/>
          <w:sz w:val="18"/>
          <w:szCs w:val="18"/>
        </w:rPr>
        <w:t>six</w:t>
      </w:r>
      <w:r w:rsidR="00BA0ECA" w:rsidRPr="000C7CFA">
        <w:rPr>
          <w:rFonts w:ascii="Verdana" w:hAnsi="Verdana"/>
          <w:sz w:val="18"/>
          <w:szCs w:val="18"/>
        </w:rPr>
        <w:t xml:space="preserve"> times</w:t>
      </w:r>
      <w:r w:rsidR="001059D2" w:rsidRPr="000C7CFA">
        <w:rPr>
          <w:rFonts w:ascii="Verdana" w:hAnsi="Verdana"/>
          <w:sz w:val="18"/>
          <w:szCs w:val="18"/>
        </w:rPr>
        <w:t xml:space="preserve"> per </w:t>
      </w:r>
      <w:r w:rsidR="00BA0ECA" w:rsidRPr="000C7CFA">
        <w:rPr>
          <w:rFonts w:ascii="Verdana" w:hAnsi="Verdana"/>
          <w:sz w:val="18"/>
          <w:szCs w:val="18"/>
        </w:rPr>
        <w:t>day. The water temperature was maintained at 13 °C. All of the food was consumed within 10 minutes, and faeces were removed from the aquaria by siphoning twice a day (the slurry of faeces and water was filtered through up to eight pre-weighed glass-fibre filters (depending on the amount of faeces); the filters were allowed to dry overnight and then kept in the dark at room temperature until extraction). After five days</w:t>
      </w:r>
      <w:r w:rsidR="000C4FC7" w:rsidRPr="000C7CFA">
        <w:rPr>
          <w:rStyle w:val="FootnoteReference"/>
          <w:rFonts w:ascii="Verdana" w:hAnsi="Verdana"/>
          <w:sz w:val="18"/>
          <w:szCs w:val="18"/>
        </w:rPr>
        <w:footnoteReference w:id="12"/>
      </w:r>
      <w:r w:rsidR="005974BC" w:rsidRPr="000C7CFA">
        <w:rPr>
          <w:rFonts w:ascii="Verdana" w:hAnsi="Verdana"/>
          <w:sz w:val="18"/>
          <w:szCs w:val="18"/>
        </w:rPr>
        <w:t xml:space="preserve">, </w:t>
      </w:r>
      <w:r w:rsidR="0021162E" w:rsidRPr="000C7CFA">
        <w:rPr>
          <w:rFonts w:ascii="Verdana" w:hAnsi="Verdana"/>
          <w:sz w:val="18"/>
          <w:szCs w:val="18"/>
        </w:rPr>
        <w:t xml:space="preserve">the </w:t>
      </w:r>
      <w:r w:rsidR="005974BC" w:rsidRPr="000C7CFA">
        <w:rPr>
          <w:rFonts w:ascii="Verdana" w:hAnsi="Verdana"/>
          <w:sz w:val="18"/>
          <w:szCs w:val="18"/>
        </w:rPr>
        <w:t>fish were killed and</w:t>
      </w:r>
      <w:r w:rsidR="0021162E" w:rsidRPr="000C7CFA">
        <w:rPr>
          <w:rFonts w:ascii="Verdana" w:hAnsi="Verdana"/>
          <w:sz w:val="18"/>
          <w:szCs w:val="18"/>
        </w:rPr>
        <w:t xml:space="preserve"> </w:t>
      </w:r>
      <w:r w:rsidR="005974BC" w:rsidRPr="000C7CFA">
        <w:rPr>
          <w:rFonts w:ascii="Verdana" w:hAnsi="Verdana"/>
          <w:sz w:val="18"/>
          <w:szCs w:val="18"/>
        </w:rPr>
        <w:t xml:space="preserve">stored at </w:t>
      </w:r>
      <w:r w:rsidR="0021162E" w:rsidRPr="000C7CFA">
        <w:rPr>
          <w:rFonts w:ascii="Verdana" w:hAnsi="Verdana"/>
          <w:sz w:val="18"/>
          <w:szCs w:val="18"/>
        </w:rPr>
        <w:t xml:space="preserve">minus </w:t>
      </w:r>
      <w:r w:rsidR="005974BC" w:rsidRPr="000C7CFA">
        <w:rPr>
          <w:rFonts w:ascii="Verdana" w:hAnsi="Verdana"/>
          <w:sz w:val="18"/>
          <w:szCs w:val="18"/>
        </w:rPr>
        <w:t xml:space="preserve">18 </w:t>
      </w:r>
      <w:r w:rsidR="0021162E" w:rsidRPr="000C7CFA">
        <w:rPr>
          <w:rFonts w:ascii="Verdana" w:hAnsi="Verdana"/>
          <w:sz w:val="18"/>
          <w:szCs w:val="18"/>
        </w:rPr>
        <w:t>°</w:t>
      </w:r>
      <w:r w:rsidR="005974BC" w:rsidRPr="000C7CFA">
        <w:rPr>
          <w:rFonts w:ascii="Verdana" w:hAnsi="Verdana"/>
          <w:sz w:val="18"/>
          <w:szCs w:val="18"/>
        </w:rPr>
        <w:t>C until analysis.</w:t>
      </w:r>
      <w:r w:rsidR="0021162E" w:rsidRPr="000C7CFA">
        <w:rPr>
          <w:rFonts w:ascii="Verdana" w:hAnsi="Verdana"/>
          <w:sz w:val="18"/>
          <w:szCs w:val="18"/>
        </w:rPr>
        <w:t xml:space="preserve"> Dechlorane Plus was analysed by </w:t>
      </w:r>
      <w:r w:rsidR="00D20F58" w:rsidRPr="000C7CFA">
        <w:rPr>
          <w:rFonts w:ascii="Verdana" w:hAnsi="Verdana"/>
          <w:sz w:val="18"/>
          <w:szCs w:val="18"/>
        </w:rPr>
        <w:t>GC-MS</w:t>
      </w:r>
      <w:r w:rsidR="0021162E" w:rsidRPr="000C7CFA">
        <w:rPr>
          <w:rFonts w:ascii="Verdana" w:hAnsi="Verdana"/>
          <w:sz w:val="18"/>
          <w:szCs w:val="18"/>
        </w:rPr>
        <w:t xml:space="preserve"> with electron capture negative ionization (ECNI).</w:t>
      </w:r>
      <w:r w:rsidR="00BA0ECA" w:rsidRPr="000C7CFA">
        <w:rPr>
          <w:rFonts w:ascii="Verdana" w:hAnsi="Verdana"/>
          <w:sz w:val="18"/>
          <w:szCs w:val="18"/>
        </w:rPr>
        <w:t xml:space="preserve"> Procedural blanks were run in parallel for each batch of extractions. The feed was analyzed in </w:t>
      </w:r>
      <w:r w:rsidR="00BA0ECA" w:rsidRPr="000C7CFA">
        <w:rPr>
          <w:rFonts w:ascii="Verdana" w:hAnsi="Verdana"/>
          <w:sz w:val="18"/>
          <w:szCs w:val="18"/>
        </w:rPr>
        <w:lastRenderedPageBreak/>
        <w:t xml:space="preserve">triplicate, faeces samples were analyzed once, and fish samples were </w:t>
      </w:r>
      <w:r w:rsidR="009718E6" w:rsidRPr="000C7CFA">
        <w:rPr>
          <w:rFonts w:ascii="Verdana" w:hAnsi="Verdana"/>
          <w:sz w:val="18"/>
          <w:szCs w:val="18"/>
          <w:lang w:eastAsia="en-GB"/>
        </w:rPr>
        <w:t>analyzed in duplicate.</w:t>
      </w:r>
    </w:p>
    <w:p w14:paraId="389F889C" w14:textId="52B05812" w:rsidR="00E91517" w:rsidRPr="000C7CFA" w:rsidRDefault="0021162E" w:rsidP="009718E6">
      <w:pPr>
        <w:pStyle w:val="BodyText"/>
        <w:ind w:left="426" w:right="232"/>
        <w:rPr>
          <w:rFonts w:ascii="Verdana" w:hAnsi="Verdana"/>
          <w:sz w:val="18"/>
          <w:szCs w:val="18"/>
        </w:rPr>
      </w:pPr>
      <w:r w:rsidRPr="000C7CFA">
        <w:rPr>
          <w:rFonts w:ascii="Verdana" w:hAnsi="Verdana"/>
          <w:sz w:val="18"/>
          <w:szCs w:val="18"/>
        </w:rPr>
        <w:t xml:space="preserve">The </w:t>
      </w:r>
      <w:r w:rsidR="000C4FC7" w:rsidRPr="000C7CFA">
        <w:rPr>
          <w:rFonts w:ascii="Verdana" w:hAnsi="Verdana"/>
          <w:sz w:val="18"/>
          <w:szCs w:val="18"/>
        </w:rPr>
        <w:t>measured</w:t>
      </w:r>
      <w:r w:rsidRPr="000C7CFA">
        <w:rPr>
          <w:rFonts w:ascii="Verdana" w:hAnsi="Verdana"/>
          <w:sz w:val="18"/>
          <w:szCs w:val="18"/>
        </w:rPr>
        <w:t xml:space="preserve"> dose of Dechlorane Plus in the food was</w:t>
      </w:r>
      <w:r w:rsidR="00432CF6" w:rsidRPr="000C7CFA">
        <w:rPr>
          <w:rFonts w:ascii="Verdana" w:hAnsi="Verdana"/>
          <w:sz w:val="18"/>
          <w:szCs w:val="18"/>
        </w:rPr>
        <w:t xml:space="preserve"> 1.9 µg</w:t>
      </w:r>
      <w:r w:rsidR="002E41D4" w:rsidRPr="000C7CFA">
        <w:rPr>
          <w:rFonts w:ascii="Verdana" w:hAnsi="Verdana"/>
          <w:sz w:val="18"/>
          <w:szCs w:val="18"/>
        </w:rPr>
        <w:t xml:space="preserve"> (although not reported, the </w:t>
      </w:r>
      <w:r w:rsidR="008610EB" w:rsidRPr="000C7CFA">
        <w:rPr>
          <w:rFonts w:ascii="Verdana" w:hAnsi="Verdana"/>
          <w:sz w:val="18"/>
          <w:szCs w:val="18"/>
        </w:rPr>
        <w:t>concentration would have been 1 </w:t>
      </w:r>
      <w:r w:rsidR="002E41D4" w:rsidRPr="000C7CFA">
        <w:rPr>
          <w:rFonts w:ascii="Verdana" w:hAnsi="Verdana"/>
          <w:sz w:val="18"/>
          <w:szCs w:val="18"/>
        </w:rPr>
        <w:t>270 µg/kg)</w:t>
      </w:r>
      <w:r w:rsidR="00432CF6" w:rsidRPr="000C7CFA">
        <w:rPr>
          <w:rFonts w:ascii="Verdana" w:hAnsi="Verdana"/>
          <w:sz w:val="18"/>
          <w:szCs w:val="18"/>
        </w:rPr>
        <w:t xml:space="preserve">. The amount detected in the fish </w:t>
      </w:r>
      <w:r w:rsidRPr="000C7CFA">
        <w:rPr>
          <w:rFonts w:ascii="Verdana" w:hAnsi="Verdana"/>
          <w:sz w:val="18"/>
          <w:szCs w:val="18"/>
        </w:rPr>
        <w:t xml:space="preserve">and faeces </w:t>
      </w:r>
      <w:r w:rsidR="00432CF6" w:rsidRPr="000C7CFA">
        <w:rPr>
          <w:rFonts w:ascii="Verdana" w:hAnsi="Verdana"/>
          <w:sz w:val="18"/>
          <w:szCs w:val="18"/>
        </w:rPr>
        <w:t>was 0.3 µg and 0.61 µg</w:t>
      </w:r>
      <w:r w:rsidR="005974BC" w:rsidRPr="000C7CFA">
        <w:rPr>
          <w:rFonts w:ascii="Verdana" w:hAnsi="Verdana"/>
          <w:sz w:val="18"/>
          <w:szCs w:val="18"/>
        </w:rPr>
        <w:t>,</w:t>
      </w:r>
      <w:r w:rsidRPr="000C7CFA">
        <w:rPr>
          <w:rFonts w:ascii="Verdana" w:hAnsi="Verdana"/>
          <w:sz w:val="18"/>
          <w:szCs w:val="18"/>
        </w:rPr>
        <w:t xml:space="preserve"> respectively,</w:t>
      </w:r>
      <w:r w:rsidR="005974BC" w:rsidRPr="000C7CFA">
        <w:rPr>
          <w:rFonts w:ascii="Verdana" w:hAnsi="Verdana"/>
          <w:sz w:val="18"/>
          <w:szCs w:val="18"/>
        </w:rPr>
        <w:t xml:space="preserve"> giving an analytical recovery of 5</w:t>
      </w:r>
      <w:r w:rsidR="00AF7606" w:rsidRPr="000C7CFA">
        <w:rPr>
          <w:rFonts w:ascii="Verdana" w:hAnsi="Verdana"/>
          <w:sz w:val="18"/>
          <w:szCs w:val="18"/>
        </w:rPr>
        <w:t>1 %</w:t>
      </w:r>
      <w:r w:rsidR="00432CF6" w:rsidRPr="000C7CFA">
        <w:rPr>
          <w:rFonts w:ascii="Verdana" w:hAnsi="Verdana"/>
          <w:sz w:val="18"/>
          <w:szCs w:val="18"/>
        </w:rPr>
        <w:t xml:space="preserve">. </w:t>
      </w:r>
      <w:r w:rsidR="002E41D4" w:rsidRPr="000C7CFA">
        <w:rPr>
          <w:rFonts w:ascii="Verdana" w:hAnsi="Verdana"/>
          <w:sz w:val="18"/>
          <w:szCs w:val="18"/>
        </w:rPr>
        <w:t xml:space="preserve">As the fish were unlikely to have grown significantly during the study, the approximate whole body concentration would have been 12 µg/kg, although this is not reported in the paper. </w:t>
      </w:r>
      <w:r w:rsidR="00432CF6" w:rsidRPr="000C7CFA">
        <w:rPr>
          <w:rFonts w:ascii="Verdana" w:hAnsi="Verdana"/>
          <w:sz w:val="18"/>
          <w:szCs w:val="18"/>
        </w:rPr>
        <w:t>The apparent absorption efficiency (calculated as the ratio of the amount of chemical in the fish to the sum of the amount in fish and faeces) was 0.37 (standard deviation 0.17</w:t>
      </w:r>
      <w:r w:rsidR="00167988" w:rsidRPr="000C7CFA">
        <w:rPr>
          <w:rFonts w:ascii="Verdana" w:hAnsi="Verdana"/>
          <w:sz w:val="18"/>
          <w:szCs w:val="18"/>
        </w:rPr>
        <w:t>; no other information about concentration variability is provided</w:t>
      </w:r>
      <w:r w:rsidR="00BA0ECA" w:rsidRPr="000C7CFA">
        <w:rPr>
          <w:rFonts w:ascii="Verdana" w:hAnsi="Verdana"/>
          <w:sz w:val="18"/>
          <w:szCs w:val="18"/>
        </w:rPr>
        <w:t>). Control fish were reported to contain negligible amounts of the test chemicals relative to the fish fed contaminated feed (the actual amounts are not stated).</w:t>
      </w:r>
    </w:p>
    <w:p w14:paraId="5B488E81" w14:textId="644C46BA" w:rsidR="00432CF6" w:rsidRPr="000C7CFA" w:rsidRDefault="00BA0ECA" w:rsidP="002E41D4">
      <w:pPr>
        <w:pStyle w:val="BodyText"/>
        <w:ind w:left="426" w:right="232"/>
        <w:rPr>
          <w:rFonts w:ascii="Verdana" w:hAnsi="Verdana"/>
          <w:sz w:val="18"/>
          <w:szCs w:val="18"/>
        </w:rPr>
      </w:pPr>
      <w:r w:rsidRPr="000C7CFA">
        <w:rPr>
          <w:rFonts w:ascii="Verdana" w:hAnsi="Verdana"/>
          <w:sz w:val="18"/>
          <w:szCs w:val="18"/>
        </w:rPr>
        <w:t>Given the relatively poor analytical recovery (presumably due to either metabolism of the parent substance, degradation during the analytical procedure, poor extraction efficiency and/or measurement error), the accuracy of the absorption efficiency estimate is unclear. In addition, the gross absorption efficiency for a short-period, single-meal exposure is different from the net absorption efficiency for continuous dietary exposure (the calculation method is not the same as that required in OECD TG 305). The influence of co-exposure with the other substances on uptake kinetics is also unknown. The study is therefore unreliable for regulatory purposes, although it does imply that gastro-intestinal absorption following a single oral dose is not insignificant – a single exposure to 1</w:t>
      </w:r>
      <w:r w:rsidR="008610EB" w:rsidRPr="000C7CFA">
        <w:rPr>
          <w:rFonts w:ascii="Verdana" w:hAnsi="Verdana"/>
          <w:sz w:val="18"/>
          <w:szCs w:val="18"/>
        </w:rPr>
        <w:t> </w:t>
      </w:r>
      <w:r w:rsidRPr="000C7CFA">
        <w:rPr>
          <w:rFonts w:ascii="Verdana" w:hAnsi="Verdana"/>
          <w:sz w:val="18"/>
          <w:szCs w:val="18"/>
        </w:rPr>
        <w:t>270 µg/kg in food</w:t>
      </w:r>
      <w:r w:rsidR="00D20F58" w:rsidRPr="000C7CFA">
        <w:rPr>
          <w:rFonts w:ascii="Verdana" w:hAnsi="Verdana"/>
          <w:sz w:val="18"/>
          <w:szCs w:val="18"/>
        </w:rPr>
        <w:t xml:space="preserve"> le</w:t>
      </w:r>
      <w:r w:rsidRPr="000C7CFA">
        <w:rPr>
          <w:rFonts w:ascii="Verdana" w:hAnsi="Verdana"/>
          <w:sz w:val="18"/>
          <w:szCs w:val="18"/>
        </w:rPr>
        <w:t>d to a whole body concentration of around 12 µg/kg; when the amount in fish is compared to the amount in the food, at least 1</w:t>
      </w:r>
      <w:r w:rsidR="00AF7606" w:rsidRPr="000C7CFA">
        <w:rPr>
          <w:rFonts w:ascii="Verdana" w:hAnsi="Verdana"/>
          <w:sz w:val="18"/>
          <w:szCs w:val="18"/>
        </w:rPr>
        <w:t>6 %</w:t>
      </w:r>
      <w:r w:rsidRPr="000C7CFA">
        <w:rPr>
          <w:rFonts w:ascii="Verdana" w:hAnsi="Verdana"/>
          <w:sz w:val="18"/>
          <w:szCs w:val="18"/>
        </w:rPr>
        <w:t xml:space="preserve"> of the dose appears to have been absorbed.</w:t>
      </w:r>
    </w:p>
    <w:p w14:paraId="098FCFCC" w14:textId="77777777" w:rsidR="000A653E" w:rsidRPr="000C7CFA" w:rsidRDefault="000A653E" w:rsidP="002E41D4">
      <w:pPr>
        <w:pStyle w:val="BodyText"/>
        <w:ind w:left="426" w:right="232"/>
        <w:rPr>
          <w:rFonts w:ascii="Verdana" w:hAnsi="Verdana"/>
          <w:sz w:val="18"/>
          <w:szCs w:val="18"/>
        </w:rPr>
      </w:pPr>
      <w:r w:rsidRPr="000C7CFA">
        <w:rPr>
          <w:rFonts w:ascii="Verdana" w:hAnsi="Verdana"/>
          <w:color w:val="000000"/>
          <w:sz w:val="18"/>
          <w:szCs w:val="18"/>
        </w:rPr>
        <w:t>This study is not included in the registration dossier.</w:t>
      </w:r>
    </w:p>
    <w:p w14:paraId="6D236BEB" w14:textId="77777777" w:rsidR="00432CF6" w:rsidRPr="000C7CFA" w:rsidRDefault="00432CF6" w:rsidP="00432CF6">
      <w:pPr>
        <w:pStyle w:val="BodyText"/>
        <w:ind w:right="232"/>
        <w:rPr>
          <w:rFonts w:ascii="Verdana" w:hAnsi="Verdana"/>
          <w:sz w:val="18"/>
          <w:szCs w:val="18"/>
        </w:rPr>
      </w:pPr>
    </w:p>
    <w:p w14:paraId="02F01A06" w14:textId="77777777" w:rsidR="00C673B5" w:rsidRPr="000C7CFA" w:rsidRDefault="00BA0ECA" w:rsidP="00DC3658">
      <w:pPr>
        <w:pStyle w:val="BodyText"/>
        <w:numPr>
          <w:ilvl w:val="0"/>
          <w:numId w:val="5"/>
        </w:numPr>
        <w:ind w:left="426" w:right="232" w:hanging="426"/>
        <w:rPr>
          <w:rFonts w:ascii="Verdana" w:hAnsi="Verdana"/>
          <w:sz w:val="18"/>
          <w:szCs w:val="18"/>
        </w:rPr>
      </w:pPr>
      <w:r w:rsidRPr="000C7CFA">
        <w:rPr>
          <w:rFonts w:ascii="Verdana" w:hAnsi="Verdana"/>
          <w:sz w:val="18"/>
          <w:szCs w:val="18"/>
          <w:u w:val="single"/>
        </w:rPr>
        <w:t xml:space="preserve">Zeng </w:t>
      </w:r>
      <w:r w:rsidRPr="000C7CFA">
        <w:rPr>
          <w:rFonts w:ascii="Verdana" w:hAnsi="Verdana"/>
          <w:i/>
          <w:sz w:val="18"/>
          <w:szCs w:val="18"/>
          <w:u w:val="single"/>
        </w:rPr>
        <w:t>et al</w:t>
      </w:r>
      <w:r w:rsidRPr="000C7CFA">
        <w:rPr>
          <w:rFonts w:ascii="Verdana" w:hAnsi="Verdana"/>
          <w:sz w:val="18"/>
          <w:szCs w:val="18"/>
          <w:u w:val="single"/>
        </w:rPr>
        <w:t>. (2014</w:t>
      </w:r>
      <w:r w:rsidR="00371E30" w:rsidRPr="000C7CFA">
        <w:rPr>
          <w:rFonts w:ascii="Verdana" w:hAnsi="Verdana"/>
          <w:sz w:val="18"/>
          <w:szCs w:val="18"/>
          <w:u w:val="single"/>
        </w:rPr>
        <w:t>a</w:t>
      </w:r>
      <w:r w:rsidRPr="000C7CFA">
        <w:rPr>
          <w:rFonts w:ascii="Verdana" w:hAnsi="Verdana"/>
          <w:sz w:val="18"/>
          <w:szCs w:val="18"/>
          <w:u w:val="single"/>
        </w:rPr>
        <w:t>)</w:t>
      </w:r>
      <w:r w:rsidRPr="000C7CFA">
        <w:rPr>
          <w:rFonts w:ascii="Verdana" w:hAnsi="Verdana"/>
          <w:sz w:val="18"/>
          <w:szCs w:val="18"/>
        </w:rPr>
        <w:t xml:space="preserve"> exposed 36 Common Carp (</w:t>
      </w:r>
      <w:r w:rsidRPr="000C7CFA">
        <w:rPr>
          <w:rFonts w:ascii="Verdana" w:hAnsi="Verdana"/>
          <w:i/>
          <w:sz w:val="18"/>
          <w:szCs w:val="18"/>
        </w:rPr>
        <w:t>Cyprinus carpio</w:t>
      </w:r>
      <w:r w:rsidRPr="000C7CFA">
        <w:rPr>
          <w:rFonts w:ascii="Verdana" w:hAnsi="Verdana"/>
          <w:sz w:val="18"/>
          <w:szCs w:val="18"/>
        </w:rPr>
        <w:t xml:space="preserve">) (approximately 12 cm in length) to commercial Dechlorane Plus via their diet to investigate gastrointestinal absorption and tissue-specific bioaccumulation in muscle, serum, liver and gonad (including unlaid eggs). The fish were kept in one tank at 22 ºC, and four further fish were used as controls. </w:t>
      </w:r>
    </w:p>
    <w:p w14:paraId="50231133" w14:textId="77777777" w:rsidR="00252AD5" w:rsidRPr="000C7CFA" w:rsidRDefault="00BA0ECA" w:rsidP="00C673B5">
      <w:pPr>
        <w:pStyle w:val="BodyText"/>
        <w:ind w:left="426" w:right="232"/>
        <w:rPr>
          <w:rFonts w:ascii="Verdana" w:hAnsi="Verdana"/>
          <w:sz w:val="18"/>
          <w:szCs w:val="18"/>
        </w:rPr>
      </w:pPr>
      <w:r w:rsidRPr="000C7CFA">
        <w:rPr>
          <w:rFonts w:ascii="Verdana" w:hAnsi="Verdana"/>
          <w:sz w:val="18"/>
          <w:szCs w:val="18"/>
        </w:rPr>
        <w:t>Samples were analysed using GC-MS. The ant</w:t>
      </w:r>
      <w:r w:rsidR="00807CB2" w:rsidRPr="000C7CFA">
        <w:rPr>
          <w:rFonts w:ascii="Verdana" w:hAnsi="Verdana"/>
          <w:sz w:val="18"/>
          <w:szCs w:val="18"/>
        </w:rPr>
        <w:t>i- is</w:t>
      </w:r>
      <w:r w:rsidRPr="000C7CFA">
        <w:rPr>
          <w:rFonts w:ascii="Verdana" w:hAnsi="Verdana"/>
          <w:sz w:val="18"/>
          <w:szCs w:val="18"/>
        </w:rPr>
        <w:t>omer was detected in the procedural blanks, and both isomers were detected in the control fish and non-spiked food, but at levels several orders of magnitude below those of the exposure group (e.g. average concentrations in the control fish were 34.7 and 19.7 µg/kg ww for the anti- and sy</w:t>
      </w:r>
      <w:r w:rsidR="00807CB2" w:rsidRPr="000C7CFA">
        <w:rPr>
          <w:rFonts w:ascii="Verdana" w:hAnsi="Verdana"/>
          <w:sz w:val="18"/>
          <w:szCs w:val="18"/>
        </w:rPr>
        <w:t>n- i</w:t>
      </w:r>
      <w:r w:rsidRPr="000C7CFA">
        <w:rPr>
          <w:rFonts w:ascii="Verdana" w:hAnsi="Verdana"/>
          <w:sz w:val="18"/>
          <w:szCs w:val="18"/>
        </w:rPr>
        <w:t>somers, respectively).</w:t>
      </w:r>
    </w:p>
    <w:p w14:paraId="6C57B422" w14:textId="77777777" w:rsidR="00553188" w:rsidRPr="000C7CFA" w:rsidRDefault="00BA0ECA" w:rsidP="00553188">
      <w:pPr>
        <w:pStyle w:val="BodyText"/>
        <w:ind w:left="426" w:right="232"/>
        <w:rPr>
          <w:rFonts w:ascii="Verdana" w:hAnsi="Verdana"/>
          <w:sz w:val="18"/>
          <w:szCs w:val="18"/>
        </w:rPr>
      </w:pPr>
      <w:r w:rsidRPr="000C7CFA">
        <w:rPr>
          <w:rFonts w:ascii="Verdana" w:hAnsi="Verdana"/>
          <w:sz w:val="18"/>
          <w:szCs w:val="18"/>
        </w:rPr>
        <w:t>Contaminated feed was prepared by dissolving the substance in iso-octane followed by dilution in cod liver oil. 1 mL of this mixture was added to 10 g of fish food pellets, followed by homogenization in a shaking incubator for 24 hours at 25 ºC. Fish were fed contaminated food for 50 days at a rate of 1 per cent of their body weight per day, followed by a 40-day depuration period using non-spiked food. Uneaten food was collected on days 5 and 45 of the uptake period and on days 55 and 90 of the depuration period. The average concentration of the anti- and sy</w:t>
      </w:r>
      <w:r w:rsidR="00807CB2" w:rsidRPr="000C7CFA">
        <w:rPr>
          <w:rFonts w:ascii="Verdana" w:hAnsi="Verdana"/>
          <w:sz w:val="18"/>
          <w:szCs w:val="18"/>
        </w:rPr>
        <w:t>n- i</w:t>
      </w:r>
      <w:r w:rsidRPr="000C7CFA">
        <w:rPr>
          <w:rFonts w:ascii="Verdana" w:hAnsi="Verdana"/>
          <w:sz w:val="18"/>
          <w:szCs w:val="18"/>
        </w:rPr>
        <w:t xml:space="preserve">somers in the spiked food was 7.8 and 2.1 mg/kg </w:t>
      </w:r>
      <w:proofErr w:type="gramStart"/>
      <w:r w:rsidRPr="000C7CFA">
        <w:rPr>
          <w:rFonts w:ascii="Verdana" w:hAnsi="Verdana"/>
          <w:sz w:val="18"/>
          <w:szCs w:val="18"/>
        </w:rPr>
        <w:t>dw</w:t>
      </w:r>
      <w:proofErr w:type="gramEnd"/>
      <w:r w:rsidRPr="000C7CFA">
        <w:rPr>
          <w:rFonts w:ascii="Verdana" w:hAnsi="Verdana"/>
          <w:sz w:val="18"/>
          <w:szCs w:val="18"/>
        </w:rPr>
        <w:t>, respectively (anti- and syn-DP-1Cl were also present at 0.03 and 0.004 mg/kg dw, respectively). The dose of Dechlorane Plus was approximately 1.5 mg per day for each fish, and there was no fish growth during the study.</w:t>
      </w:r>
    </w:p>
    <w:p w14:paraId="7BA66EB0" w14:textId="77777777" w:rsidR="0021041A" w:rsidRPr="000C7CFA" w:rsidRDefault="00BA0ECA" w:rsidP="005E2E07">
      <w:pPr>
        <w:pStyle w:val="BodyText"/>
        <w:ind w:left="426" w:right="232"/>
        <w:rPr>
          <w:rFonts w:ascii="Verdana" w:hAnsi="Verdana"/>
          <w:sz w:val="18"/>
          <w:szCs w:val="18"/>
        </w:rPr>
      </w:pPr>
      <w:r w:rsidRPr="000C7CFA">
        <w:rPr>
          <w:rFonts w:ascii="Verdana" w:hAnsi="Verdana"/>
          <w:sz w:val="18"/>
          <w:szCs w:val="18"/>
        </w:rPr>
        <w:t>Faeces were collected on days 5, 10, 15, 25, 35, 40 and 50 (uptake period), and on days 60, 70, 80, 85 and 90 (depuration period). The Dechlorane Plus concentration in faeces during the uptake phase was in the range 1.5-5 times higher than in the spiked food, indicating a low absorption efficiency and/or a high excretion efficiency. The relative proportion of the ant</w:t>
      </w:r>
      <w:r w:rsidR="00807CB2" w:rsidRPr="000C7CFA">
        <w:rPr>
          <w:rFonts w:ascii="Verdana" w:hAnsi="Verdana"/>
          <w:sz w:val="18"/>
          <w:szCs w:val="18"/>
        </w:rPr>
        <w:t>i- is</w:t>
      </w:r>
      <w:r w:rsidRPr="000C7CFA">
        <w:rPr>
          <w:rFonts w:ascii="Verdana" w:hAnsi="Verdana"/>
          <w:sz w:val="18"/>
          <w:szCs w:val="18"/>
        </w:rPr>
        <w:t xml:space="preserve">omer in food was marginally higher than in faeces at each sampling point during uptake (except day 50). The study authors suggested that this indicates a slightly higher absorption efficiency for this isomer. The concentration in faeces at the first sampling point during depuration was around </w:t>
      </w:r>
      <w:r w:rsidRPr="000C7CFA">
        <w:rPr>
          <w:rFonts w:ascii="Verdana" w:hAnsi="Verdana"/>
          <w:sz w:val="18"/>
          <w:szCs w:val="18"/>
        </w:rPr>
        <w:lastRenderedPageBreak/>
        <w:t>one order of magnitude lower than during uptake, with an exponential decrease thereafter. The faeces</w:t>
      </w:r>
      <w:proofErr w:type="gramStart"/>
      <w:r w:rsidRPr="000C7CFA">
        <w:rPr>
          <w:rFonts w:ascii="Verdana" w:hAnsi="Verdana"/>
          <w:sz w:val="18"/>
          <w:szCs w:val="18"/>
        </w:rPr>
        <w:t>:non</w:t>
      </w:r>
      <w:proofErr w:type="gramEnd"/>
      <w:r w:rsidRPr="000C7CFA">
        <w:rPr>
          <w:rFonts w:ascii="Verdana" w:hAnsi="Verdana"/>
          <w:sz w:val="18"/>
          <w:szCs w:val="18"/>
        </w:rPr>
        <w:t>-spiked feed concentration ratio indicated that there were no systematic stereoselective differences in excretion for the two isomers.</w:t>
      </w:r>
    </w:p>
    <w:p w14:paraId="3AF15D55" w14:textId="77777777" w:rsidR="00DB2B79" w:rsidRPr="000C7CFA" w:rsidRDefault="00BA0ECA" w:rsidP="00DB2B79">
      <w:pPr>
        <w:pStyle w:val="BodyText"/>
        <w:ind w:left="426" w:right="232"/>
        <w:rPr>
          <w:rFonts w:ascii="Verdana" w:hAnsi="Verdana"/>
          <w:sz w:val="18"/>
          <w:szCs w:val="18"/>
        </w:rPr>
      </w:pPr>
      <w:r w:rsidRPr="000C7CFA">
        <w:rPr>
          <w:rFonts w:ascii="Verdana" w:hAnsi="Verdana"/>
          <w:sz w:val="18"/>
          <w:szCs w:val="18"/>
        </w:rPr>
        <w:t>Two fish were sampled every 5 days, dissected and the blood, liver and gonad tissues pooled for that day, resulting 36 fish carcasses, 18 serum, 18 liver and 18 gonad samples. Dechlorane Plus isomers were detected in all samples, although there was significant variation between individual fish. Normalization to total lipid content produced higher variations in fish tissue concentrations, so the wet weight data were used for the analysis.</w:t>
      </w:r>
    </w:p>
    <w:p w14:paraId="58966869" w14:textId="77777777" w:rsidR="009B797C" w:rsidRPr="000C7CFA" w:rsidRDefault="00BA0ECA" w:rsidP="009B797C">
      <w:pPr>
        <w:pStyle w:val="BodyText"/>
        <w:ind w:left="426" w:right="232"/>
        <w:rPr>
          <w:rFonts w:ascii="Verdana" w:hAnsi="Verdana"/>
          <w:sz w:val="18"/>
          <w:szCs w:val="18"/>
        </w:rPr>
      </w:pPr>
      <w:r w:rsidRPr="000C7CFA">
        <w:rPr>
          <w:rFonts w:ascii="Verdana" w:hAnsi="Verdana"/>
          <w:sz w:val="18"/>
          <w:szCs w:val="18"/>
        </w:rPr>
        <w:t>The mean assimilation efficiencies of the anti- and sy</w:t>
      </w:r>
      <w:r w:rsidR="00807CB2" w:rsidRPr="000C7CFA">
        <w:rPr>
          <w:rFonts w:ascii="Verdana" w:hAnsi="Verdana"/>
          <w:sz w:val="18"/>
          <w:szCs w:val="18"/>
        </w:rPr>
        <w:t>n- i</w:t>
      </w:r>
      <w:r w:rsidRPr="000C7CFA">
        <w:rPr>
          <w:rFonts w:ascii="Verdana" w:hAnsi="Verdana"/>
          <w:sz w:val="18"/>
          <w:szCs w:val="18"/>
        </w:rPr>
        <w:t>somers were estimated to be 3.2 and 3.8 per cent, respectively, although the calculation method is not consistent with the recommendation of OECD TG 305-III. The study authors speculated that the lower assimilation efficiency of the ant</w:t>
      </w:r>
      <w:r w:rsidR="00807CB2" w:rsidRPr="000C7CFA">
        <w:rPr>
          <w:rFonts w:ascii="Verdana" w:hAnsi="Verdana"/>
          <w:sz w:val="18"/>
          <w:szCs w:val="18"/>
        </w:rPr>
        <w:t>i- is</w:t>
      </w:r>
      <w:r w:rsidRPr="000C7CFA">
        <w:rPr>
          <w:rFonts w:ascii="Verdana" w:hAnsi="Verdana"/>
          <w:sz w:val="18"/>
          <w:szCs w:val="18"/>
        </w:rPr>
        <w:t xml:space="preserve">omer could be attributed to stereoselective metabolism (although this difference may just be an artefact of the study and other explanations are possible). </w:t>
      </w:r>
    </w:p>
    <w:p w14:paraId="1D305884" w14:textId="77777777" w:rsidR="00711389" w:rsidRPr="000C7CFA" w:rsidRDefault="00BA0ECA" w:rsidP="00207CA3">
      <w:pPr>
        <w:pStyle w:val="BodyText"/>
        <w:ind w:left="426" w:right="232"/>
        <w:rPr>
          <w:rFonts w:ascii="Verdana" w:hAnsi="Verdana"/>
          <w:sz w:val="18"/>
          <w:szCs w:val="18"/>
        </w:rPr>
      </w:pPr>
      <w:r w:rsidRPr="000C7CFA">
        <w:rPr>
          <w:rFonts w:ascii="Verdana" w:hAnsi="Verdana"/>
          <w:sz w:val="18"/>
          <w:szCs w:val="18"/>
        </w:rPr>
        <w:t>Concentrations in the liver were higher than those in the muscle, serum and gonad throughout the experiment. Lipid content did not explain this difference (the liver lipid content (1.7 per cent) was significantly lower than that in muscle (3.4 per cent) and gonad (3.7 per cent). The liver also exhibited a high affinity for ant</w:t>
      </w:r>
      <w:r w:rsidR="00807CB2" w:rsidRPr="000C7CFA">
        <w:rPr>
          <w:rFonts w:ascii="Verdana" w:hAnsi="Verdana"/>
          <w:sz w:val="18"/>
          <w:szCs w:val="18"/>
        </w:rPr>
        <w:t>i- is</w:t>
      </w:r>
      <w:r w:rsidRPr="000C7CFA">
        <w:rPr>
          <w:rFonts w:ascii="Verdana" w:hAnsi="Verdana"/>
          <w:sz w:val="18"/>
          <w:szCs w:val="18"/>
        </w:rPr>
        <w:t>omers during the experiment. Other tissues, such as serum, muscle, and gonad, showed a selective accumulation of the sy</w:t>
      </w:r>
      <w:r w:rsidR="00807CB2" w:rsidRPr="000C7CFA">
        <w:rPr>
          <w:rFonts w:ascii="Verdana" w:hAnsi="Verdana"/>
          <w:sz w:val="18"/>
          <w:szCs w:val="18"/>
        </w:rPr>
        <w:t>n- i</w:t>
      </w:r>
      <w:r w:rsidRPr="000C7CFA">
        <w:rPr>
          <w:rFonts w:ascii="Verdana" w:hAnsi="Verdana"/>
          <w:sz w:val="18"/>
          <w:szCs w:val="18"/>
        </w:rPr>
        <w:t>somer in the early stages of the experiment, particularly the serum. A dynamic tissue distribution was observed, with an increasing proportion in the muscle along with a decreasing proportion in the liver over time. Indeed, due to its volume, muscle was the main tissue for deposition, accounting for more than 60 percent of the Dechlorane Plus accumulated during the entire experimental period, reaching 95 per cent by day 75 (though declining thereafter).</w:t>
      </w:r>
    </w:p>
    <w:p w14:paraId="62C087A8" w14:textId="77777777" w:rsidR="00207CA3" w:rsidRPr="000C7CFA" w:rsidRDefault="00BA0ECA" w:rsidP="00207CA3">
      <w:pPr>
        <w:pStyle w:val="BodyText"/>
        <w:ind w:left="426" w:right="232"/>
        <w:rPr>
          <w:rFonts w:ascii="Verdana" w:hAnsi="Verdana"/>
          <w:sz w:val="18"/>
          <w:szCs w:val="18"/>
        </w:rPr>
      </w:pPr>
      <w:r w:rsidRPr="000C7CFA">
        <w:rPr>
          <w:rFonts w:ascii="Verdana" w:hAnsi="Verdana"/>
          <w:sz w:val="18"/>
          <w:szCs w:val="18"/>
        </w:rPr>
        <w:t>Uptake kinetics were linear in serum and muscle, with the highest concentrations recorded on day 50 (~280 and ~68 µg/kg ww for the ant</w:t>
      </w:r>
      <w:r w:rsidR="00807CB2" w:rsidRPr="000C7CFA">
        <w:rPr>
          <w:rFonts w:ascii="Verdana" w:hAnsi="Verdana"/>
          <w:sz w:val="18"/>
          <w:szCs w:val="18"/>
        </w:rPr>
        <w:t>i- is</w:t>
      </w:r>
      <w:r w:rsidRPr="000C7CFA">
        <w:rPr>
          <w:rFonts w:ascii="Verdana" w:hAnsi="Verdana"/>
          <w:sz w:val="18"/>
          <w:szCs w:val="18"/>
        </w:rPr>
        <w:t>omer, and ~80 and ~20 µg/kg ww for the sy</w:t>
      </w:r>
      <w:r w:rsidR="00807CB2" w:rsidRPr="000C7CFA">
        <w:rPr>
          <w:rFonts w:ascii="Verdana" w:hAnsi="Verdana"/>
          <w:sz w:val="18"/>
          <w:szCs w:val="18"/>
        </w:rPr>
        <w:t>n- i</w:t>
      </w:r>
      <w:r w:rsidRPr="000C7CFA">
        <w:rPr>
          <w:rFonts w:ascii="Verdana" w:hAnsi="Verdana"/>
          <w:sz w:val="18"/>
          <w:szCs w:val="18"/>
        </w:rPr>
        <w:t>somer, respectively (values read from a graph)). A steady-state was not reached in these tissues. In contrast, the uptake kinetics in liver and gonad were not linear. The highest concentration in liver was also measured on day 50 (~490 and ~125 µg/kg ww for the anti- and sy</w:t>
      </w:r>
      <w:r w:rsidR="00807CB2" w:rsidRPr="000C7CFA">
        <w:rPr>
          <w:rFonts w:ascii="Verdana" w:hAnsi="Verdana"/>
          <w:sz w:val="18"/>
          <w:szCs w:val="18"/>
        </w:rPr>
        <w:t>n- i</w:t>
      </w:r>
      <w:r w:rsidRPr="000C7CFA">
        <w:rPr>
          <w:rFonts w:ascii="Verdana" w:hAnsi="Verdana"/>
          <w:sz w:val="18"/>
          <w:szCs w:val="18"/>
        </w:rPr>
        <w:t>somer, respectively (values read from a graph)), indicating that steady state had not been reached. However, the concentration in gonads peaked on day 40, at ~450 and ~125 µg/kg ww for the anti- and sy</w:t>
      </w:r>
      <w:r w:rsidR="00807CB2" w:rsidRPr="000C7CFA">
        <w:rPr>
          <w:rFonts w:ascii="Verdana" w:hAnsi="Verdana"/>
          <w:sz w:val="18"/>
          <w:szCs w:val="18"/>
        </w:rPr>
        <w:t>n- i</w:t>
      </w:r>
      <w:r w:rsidRPr="000C7CFA">
        <w:rPr>
          <w:rFonts w:ascii="Verdana" w:hAnsi="Verdana"/>
          <w:sz w:val="18"/>
          <w:szCs w:val="18"/>
        </w:rPr>
        <w:t>somer, respectively (values read from a graph).</w:t>
      </w:r>
    </w:p>
    <w:p w14:paraId="0F2131B8" w14:textId="77777777" w:rsidR="00DB481B" w:rsidRPr="000C7CFA" w:rsidRDefault="00BA0ECA" w:rsidP="00DB481B">
      <w:pPr>
        <w:pStyle w:val="BodyText"/>
        <w:ind w:left="426" w:right="232"/>
        <w:rPr>
          <w:rFonts w:ascii="Verdana" w:hAnsi="Verdana"/>
          <w:sz w:val="18"/>
          <w:szCs w:val="18"/>
        </w:rPr>
      </w:pPr>
      <w:r w:rsidRPr="000C7CFA">
        <w:rPr>
          <w:rFonts w:ascii="Verdana" w:hAnsi="Verdana"/>
          <w:sz w:val="18"/>
          <w:szCs w:val="18"/>
        </w:rPr>
        <w:t>Depuration in both muscle and serum was rapid for the first 10 days,  followed by fluctuating concentrations over the remainder of the experiment with no obvious trend during the last 30 days of depuration (the concentrations on day 75/80 were in fact higher than on day 50). Depuration in the liver showed two-stage elimination kinetics, with an initial decrease to day 70, followed by a slight increase until the end of the experiment. A zigzag pattern was observed for gonads, with higher concentrations found than during uptake on some days.</w:t>
      </w:r>
    </w:p>
    <w:p w14:paraId="077D12B9" w14:textId="013F5294" w:rsidR="00711389" w:rsidRPr="000C7CFA" w:rsidRDefault="00BA0ECA" w:rsidP="00711389">
      <w:pPr>
        <w:pStyle w:val="BodyText"/>
        <w:ind w:left="426" w:right="232"/>
        <w:rPr>
          <w:rFonts w:ascii="Verdana" w:hAnsi="Verdana"/>
          <w:sz w:val="18"/>
          <w:szCs w:val="18"/>
        </w:rPr>
      </w:pPr>
      <w:r w:rsidRPr="000C7CFA">
        <w:rPr>
          <w:rFonts w:ascii="Verdana" w:hAnsi="Verdana"/>
          <w:sz w:val="18"/>
          <w:szCs w:val="18"/>
        </w:rPr>
        <w:t xml:space="preserve">The concentration ratios of dechlorinated </w:t>
      </w:r>
      <w:r w:rsidR="00BB3D8A" w:rsidRPr="000C7CFA">
        <w:rPr>
          <w:rFonts w:ascii="Verdana" w:hAnsi="Verdana"/>
          <w:sz w:val="18"/>
          <w:szCs w:val="18"/>
        </w:rPr>
        <w:t>analogues</w:t>
      </w:r>
      <w:r w:rsidRPr="000C7CFA">
        <w:rPr>
          <w:rFonts w:ascii="Verdana" w:hAnsi="Verdana"/>
          <w:sz w:val="18"/>
          <w:szCs w:val="18"/>
        </w:rPr>
        <w:t xml:space="preserve"> to their parent isomer in muscle decreased during the depuration period, suggesting that dechlorination is not a significant process in carp.</w:t>
      </w:r>
    </w:p>
    <w:p w14:paraId="6444037E" w14:textId="77777777" w:rsidR="00577297" w:rsidRPr="000C7CFA" w:rsidRDefault="00BA0ECA" w:rsidP="00577297">
      <w:pPr>
        <w:pStyle w:val="BodyText"/>
        <w:ind w:left="426" w:right="232"/>
        <w:rPr>
          <w:rFonts w:ascii="Verdana" w:hAnsi="Verdana"/>
          <w:color w:val="000000"/>
          <w:sz w:val="18"/>
          <w:szCs w:val="18"/>
        </w:rPr>
      </w:pPr>
      <w:r w:rsidRPr="000C7CFA">
        <w:rPr>
          <w:rFonts w:ascii="Verdana" w:hAnsi="Verdana"/>
          <w:sz w:val="18"/>
          <w:szCs w:val="18"/>
        </w:rPr>
        <w:t xml:space="preserve">Overall, the study suggest that the bioaccumulation of Dechlorane Plus is a complex and multi-factorial process. </w:t>
      </w:r>
      <w:r w:rsidR="000A653E" w:rsidRPr="000C7CFA">
        <w:rPr>
          <w:rFonts w:ascii="Verdana" w:hAnsi="Verdana"/>
          <w:color w:val="000000"/>
          <w:sz w:val="18"/>
          <w:szCs w:val="18"/>
        </w:rPr>
        <w:t>This study is included in the registration dossier and is considered fully reliable by the</w:t>
      </w:r>
      <w:r w:rsidR="00A43C45" w:rsidRPr="000C7CFA">
        <w:rPr>
          <w:rFonts w:ascii="Verdana" w:hAnsi="Verdana"/>
          <w:color w:val="000000"/>
          <w:sz w:val="18"/>
          <w:szCs w:val="18"/>
        </w:rPr>
        <w:t xml:space="preserve"> Registrant</w:t>
      </w:r>
      <w:r w:rsidR="000A653E" w:rsidRPr="000C7CFA">
        <w:rPr>
          <w:rFonts w:ascii="Verdana" w:hAnsi="Verdana"/>
          <w:color w:val="000000"/>
          <w:sz w:val="18"/>
          <w:szCs w:val="18"/>
        </w:rPr>
        <w:t>.</w:t>
      </w:r>
    </w:p>
    <w:p w14:paraId="7F440DA9" w14:textId="77777777" w:rsidR="007335AC" w:rsidRPr="000C7CFA" w:rsidRDefault="007335AC" w:rsidP="007335AC">
      <w:pPr>
        <w:pStyle w:val="BodyText"/>
        <w:spacing w:after="0"/>
        <w:ind w:left="425" w:right="232"/>
        <w:rPr>
          <w:rFonts w:ascii="Verdana" w:hAnsi="Verdana"/>
          <w:sz w:val="18"/>
          <w:szCs w:val="18"/>
        </w:rPr>
      </w:pPr>
    </w:p>
    <w:p w14:paraId="70CCF6DD" w14:textId="30A03FD0" w:rsidR="007335AC" w:rsidRPr="000C7CFA" w:rsidRDefault="007335AC" w:rsidP="00DC3658">
      <w:pPr>
        <w:pStyle w:val="BodyText"/>
        <w:numPr>
          <w:ilvl w:val="0"/>
          <w:numId w:val="5"/>
        </w:numPr>
        <w:ind w:left="426" w:right="232" w:hanging="426"/>
        <w:rPr>
          <w:rFonts w:ascii="Verdana" w:hAnsi="Verdana"/>
          <w:sz w:val="18"/>
          <w:szCs w:val="18"/>
        </w:rPr>
      </w:pPr>
      <w:r w:rsidRPr="000C7CFA">
        <w:rPr>
          <w:rFonts w:ascii="Verdana" w:hAnsi="Verdana"/>
          <w:sz w:val="18"/>
          <w:szCs w:val="18"/>
          <w:u w:val="single"/>
        </w:rPr>
        <w:t>Hang et al. (2013) [ABST]</w:t>
      </w:r>
      <w:r w:rsidRPr="000C7CFA">
        <w:rPr>
          <w:rFonts w:ascii="Verdana" w:hAnsi="Verdana"/>
          <w:sz w:val="18"/>
          <w:szCs w:val="18"/>
        </w:rPr>
        <w:t xml:space="preserve"> reported accumulation of concentrations of up to 1.9 mg/kg in adult Zebrafish (</w:t>
      </w:r>
      <w:r w:rsidRPr="000C7CFA">
        <w:rPr>
          <w:rFonts w:ascii="Verdana" w:hAnsi="Verdana"/>
          <w:i/>
          <w:sz w:val="18"/>
          <w:szCs w:val="18"/>
        </w:rPr>
        <w:t>Danio rerio</w:t>
      </w:r>
      <w:r w:rsidRPr="000C7CFA">
        <w:rPr>
          <w:rFonts w:ascii="Verdana" w:hAnsi="Verdana"/>
          <w:sz w:val="18"/>
          <w:szCs w:val="18"/>
        </w:rPr>
        <w:t xml:space="preserve">) following dietary exposure for 7 days (this study is summarised in Section 5.1.1.1.2 as it focussed on toxicity). Only limited details are available, and it is not clear whether the measurement excluded gut contents. Since actual food concentrations are not provided, it is not possible to estimate a BAF (some of the doses were above 1 g/kg bw/d, which may not be </w:t>
      </w:r>
      <w:r w:rsidRPr="000C7CFA">
        <w:rPr>
          <w:rFonts w:ascii="Verdana" w:hAnsi="Verdana"/>
          <w:sz w:val="18"/>
          <w:szCs w:val="18"/>
        </w:rPr>
        <w:lastRenderedPageBreak/>
        <w:t xml:space="preserve">environmentally relevant). Its overall reliability cannot be assessed. </w:t>
      </w:r>
      <w:r w:rsidR="0060361F" w:rsidRPr="000C7CFA">
        <w:rPr>
          <w:rFonts w:ascii="Verdana" w:hAnsi="Verdana"/>
          <w:sz w:val="18"/>
          <w:szCs w:val="18"/>
        </w:rPr>
        <w:t>T</w:t>
      </w:r>
      <w:r w:rsidRPr="000C7CFA">
        <w:rPr>
          <w:rFonts w:ascii="Verdana" w:hAnsi="Verdana"/>
          <w:sz w:val="18"/>
          <w:szCs w:val="18"/>
        </w:rPr>
        <w:t>hese results</w:t>
      </w:r>
      <w:r w:rsidR="0060361F" w:rsidRPr="000C7CFA">
        <w:rPr>
          <w:rFonts w:ascii="Verdana" w:hAnsi="Verdana"/>
          <w:sz w:val="18"/>
          <w:szCs w:val="18"/>
        </w:rPr>
        <w:t xml:space="preserve"> therefore</w:t>
      </w:r>
      <w:r w:rsidRPr="000C7CFA">
        <w:rPr>
          <w:rFonts w:ascii="Verdana" w:hAnsi="Verdana"/>
          <w:sz w:val="18"/>
          <w:szCs w:val="18"/>
        </w:rPr>
        <w:t xml:space="preserve"> can</w:t>
      </w:r>
      <w:r w:rsidR="0060361F" w:rsidRPr="000C7CFA">
        <w:rPr>
          <w:rFonts w:ascii="Verdana" w:hAnsi="Verdana"/>
          <w:sz w:val="18"/>
          <w:szCs w:val="18"/>
        </w:rPr>
        <w:t>not</w:t>
      </w:r>
      <w:r w:rsidRPr="000C7CFA">
        <w:rPr>
          <w:rFonts w:ascii="Verdana" w:hAnsi="Verdana"/>
          <w:sz w:val="18"/>
          <w:szCs w:val="18"/>
        </w:rPr>
        <w:t xml:space="preserve"> be used for bioaccumulation assessment, but the data are provided for comparison with </w:t>
      </w:r>
      <w:r w:rsidR="0060361F" w:rsidRPr="000C7CFA">
        <w:rPr>
          <w:rFonts w:ascii="Verdana" w:hAnsi="Verdana"/>
          <w:sz w:val="18"/>
          <w:szCs w:val="18"/>
        </w:rPr>
        <w:t xml:space="preserve">the </w:t>
      </w:r>
      <w:r w:rsidRPr="000C7CFA">
        <w:rPr>
          <w:rFonts w:ascii="Verdana" w:hAnsi="Verdana"/>
          <w:sz w:val="18"/>
          <w:szCs w:val="18"/>
        </w:rPr>
        <w:t>other studies.</w:t>
      </w:r>
    </w:p>
    <w:p w14:paraId="5CEA2A94" w14:textId="77777777" w:rsidR="00311563" w:rsidRPr="000C7CFA" w:rsidRDefault="00BA0ECA" w:rsidP="008E026E">
      <w:pPr>
        <w:pStyle w:val="BodyText"/>
        <w:keepNext/>
        <w:tabs>
          <w:tab w:val="left" w:pos="2905"/>
        </w:tabs>
        <w:rPr>
          <w:rFonts w:ascii="Verdana" w:hAnsi="Verdana"/>
          <w:b/>
          <w:i/>
          <w:sz w:val="18"/>
          <w:szCs w:val="18"/>
        </w:rPr>
      </w:pPr>
      <w:r w:rsidRPr="000C7CFA">
        <w:rPr>
          <w:rFonts w:ascii="Verdana" w:hAnsi="Verdana"/>
          <w:b/>
          <w:i/>
          <w:sz w:val="18"/>
          <w:szCs w:val="18"/>
        </w:rPr>
        <w:t>Discussion</w:t>
      </w:r>
    </w:p>
    <w:p w14:paraId="56E0F8AB" w14:textId="5590508A" w:rsidR="000C5286" w:rsidRPr="000C7CFA" w:rsidRDefault="00BA0ECA" w:rsidP="0070525B">
      <w:pPr>
        <w:pStyle w:val="BodyText"/>
        <w:rPr>
          <w:rFonts w:ascii="Verdana" w:hAnsi="Verdana"/>
          <w:sz w:val="18"/>
          <w:szCs w:val="18"/>
        </w:rPr>
      </w:pPr>
      <w:r w:rsidRPr="000C7CFA">
        <w:rPr>
          <w:rFonts w:ascii="Verdana" w:hAnsi="Verdana"/>
          <w:sz w:val="18"/>
          <w:szCs w:val="18"/>
        </w:rPr>
        <w:t xml:space="preserve">Contrary to the validity marking given by the </w:t>
      </w:r>
      <w:r w:rsidR="007666BB" w:rsidRPr="000C7CFA">
        <w:rPr>
          <w:rFonts w:ascii="Verdana" w:hAnsi="Verdana"/>
          <w:sz w:val="18"/>
          <w:szCs w:val="18"/>
        </w:rPr>
        <w:t>Registrant</w:t>
      </w:r>
      <w:r w:rsidRPr="000C7CFA">
        <w:rPr>
          <w:rFonts w:ascii="Verdana" w:hAnsi="Verdana"/>
          <w:sz w:val="18"/>
          <w:szCs w:val="18"/>
        </w:rPr>
        <w:t>, the non-guideline study by Zitko (1980)</w:t>
      </w:r>
      <w:r w:rsidR="00801FF2" w:rsidRPr="000C7CFA">
        <w:rPr>
          <w:rFonts w:ascii="Verdana" w:hAnsi="Verdana"/>
          <w:sz w:val="18"/>
          <w:szCs w:val="18"/>
        </w:rPr>
        <w:t xml:space="preserve"> with </w:t>
      </w:r>
      <w:r w:rsidR="00801FF2" w:rsidRPr="000C7CFA">
        <w:rPr>
          <w:rFonts w:ascii="Verdana" w:hAnsi="Verdana"/>
          <w:i/>
          <w:sz w:val="18"/>
          <w:szCs w:val="18"/>
        </w:rPr>
        <w:t>S. salar</w:t>
      </w:r>
      <w:r w:rsidRPr="000C7CFA">
        <w:rPr>
          <w:rFonts w:ascii="Verdana" w:hAnsi="Verdana"/>
          <w:sz w:val="18"/>
          <w:szCs w:val="18"/>
        </w:rPr>
        <w:t xml:space="preserve"> is not valid. The feed preparation technique did not conform to OECD TG 305-III requirements, and there are no details about the feeding regime (amount, frequency, etc.), number of fish or controls. The significant changes in fish size and lipid content during the uptake and depuration phases make the results very difficult to analyse. The study included other related substances that might have affected the uptake or metabolism of Dechlorane Plus, as well as the health of the fish. The study was also carried out under static conditions, whereas OECD TG 305-III recommends using either flow-through or semi-static conditions, to limit potential exposure to the test substance via water as a result of any desorption from spiked food or faeces. No BMF was calculated from the dietary exposure data, and in view of the uncertainties in the exposure regime and changes in the fish, it is not relevant to do so. </w:t>
      </w:r>
    </w:p>
    <w:p w14:paraId="6430D26D" w14:textId="77777777" w:rsidR="009D7E56" w:rsidRPr="000C7CFA" w:rsidRDefault="009D7E56" w:rsidP="00341452">
      <w:pPr>
        <w:pStyle w:val="BodyText"/>
        <w:rPr>
          <w:rFonts w:ascii="Verdana" w:hAnsi="Verdana"/>
          <w:sz w:val="18"/>
          <w:szCs w:val="18"/>
        </w:rPr>
      </w:pPr>
    </w:p>
    <w:p w14:paraId="40058B7F" w14:textId="5CAD8A20" w:rsidR="00BE0280" w:rsidRPr="000C7CFA" w:rsidRDefault="00BA0ECA" w:rsidP="00BE0280">
      <w:pPr>
        <w:pStyle w:val="Heading4"/>
        <w:rPr>
          <w:rFonts w:ascii="Verdana" w:hAnsi="Verdana"/>
          <w:i/>
          <w:sz w:val="18"/>
          <w:szCs w:val="18"/>
        </w:rPr>
      </w:pPr>
      <w:bookmarkStart w:id="65" w:name="_Ref403921182"/>
      <w:r w:rsidRPr="000C7CFA">
        <w:rPr>
          <w:rFonts w:ascii="Verdana" w:hAnsi="Verdana"/>
          <w:i/>
          <w:sz w:val="18"/>
          <w:szCs w:val="18"/>
        </w:rPr>
        <w:t>Field studies</w:t>
      </w:r>
      <w:bookmarkEnd w:id="65"/>
    </w:p>
    <w:p w14:paraId="2FC55031" w14:textId="4AC72BF6" w:rsidR="00C81703" w:rsidRPr="000C7CFA" w:rsidRDefault="000A653E" w:rsidP="000A10E2">
      <w:pPr>
        <w:pStyle w:val="BodyText"/>
        <w:rPr>
          <w:rFonts w:ascii="Verdana" w:hAnsi="Verdana"/>
          <w:sz w:val="18"/>
          <w:szCs w:val="18"/>
        </w:rPr>
      </w:pPr>
      <w:r w:rsidRPr="000C7CFA">
        <w:rPr>
          <w:rFonts w:ascii="Verdana" w:hAnsi="Verdana"/>
          <w:sz w:val="18"/>
          <w:szCs w:val="18"/>
        </w:rPr>
        <w:t xml:space="preserve">Several biota monitoring studies have been included </w:t>
      </w:r>
      <w:r w:rsidR="00BA0ECA" w:rsidRPr="000C7CFA">
        <w:rPr>
          <w:rFonts w:ascii="Verdana" w:hAnsi="Verdana"/>
          <w:sz w:val="18"/>
          <w:szCs w:val="18"/>
        </w:rPr>
        <w:t>in the REACH registration dossier</w:t>
      </w:r>
      <w:r w:rsidRPr="000C7CFA">
        <w:rPr>
          <w:rFonts w:ascii="Verdana" w:hAnsi="Verdana"/>
          <w:sz w:val="18"/>
          <w:szCs w:val="18"/>
        </w:rPr>
        <w:t xml:space="preserve"> and</w:t>
      </w:r>
      <w:r w:rsidR="009D7E56" w:rsidRPr="000C7CFA">
        <w:rPr>
          <w:rFonts w:ascii="Verdana" w:hAnsi="Verdana"/>
          <w:sz w:val="18"/>
          <w:szCs w:val="18"/>
        </w:rPr>
        <w:t xml:space="preserve"> </w:t>
      </w:r>
      <w:r w:rsidR="00BA0ECA" w:rsidRPr="000C7CFA">
        <w:rPr>
          <w:rFonts w:ascii="Verdana" w:hAnsi="Verdana"/>
          <w:sz w:val="18"/>
          <w:szCs w:val="18"/>
        </w:rPr>
        <w:t xml:space="preserve">identified by a literature search (refer to </w:t>
      </w:r>
      <w:r w:rsidR="00A61F6D" w:rsidRPr="000C7CFA">
        <w:rPr>
          <w:rFonts w:ascii="Verdana" w:hAnsi="Verdana"/>
          <w:sz w:val="18"/>
          <w:szCs w:val="18"/>
        </w:rPr>
        <w:t xml:space="preserve">the </w:t>
      </w:r>
      <w:r w:rsidR="00BA0ECA" w:rsidRPr="000C7CFA">
        <w:rPr>
          <w:rFonts w:ascii="Verdana" w:hAnsi="Verdana"/>
          <w:sz w:val="18"/>
          <w:szCs w:val="18"/>
        </w:rPr>
        <w:t>Annex</w:t>
      </w:r>
      <w:r w:rsidR="00A61F6D" w:rsidRPr="000C7CFA">
        <w:rPr>
          <w:rFonts w:ascii="Verdana" w:hAnsi="Verdana"/>
          <w:sz w:val="18"/>
          <w:szCs w:val="18"/>
        </w:rPr>
        <w:t xml:space="preserve"> of this report</w:t>
      </w:r>
      <w:r w:rsidR="00BA0ECA" w:rsidRPr="000C7CFA">
        <w:rPr>
          <w:rFonts w:ascii="Verdana" w:hAnsi="Verdana"/>
          <w:sz w:val="18"/>
          <w:szCs w:val="18"/>
        </w:rPr>
        <w:t xml:space="preserve"> for information on search terms/period)</w:t>
      </w:r>
      <w:r w:rsidRPr="000C7CFA">
        <w:rPr>
          <w:rFonts w:ascii="Verdana" w:hAnsi="Verdana"/>
          <w:sz w:val="18"/>
          <w:szCs w:val="18"/>
        </w:rPr>
        <w:t>:</w:t>
      </w:r>
      <w:r w:rsidR="00BA0ECA" w:rsidRPr="000C7CFA">
        <w:rPr>
          <w:rFonts w:ascii="Verdana" w:hAnsi="Verdana"/>
          <w:sz w:val="18"/>
          <w:szCs w:val="18"/>
        </w:rPr>
        <w:t xml:space="preserve"> </w:t>
      </w:r>
    </w:p>
    <w:p w14:paraId="3FA24576" w14:textId="77777777" w:rsidR="00446DC9" w:rsidRPr="000C7CFA" w:rsidRDefault="00BA0ECA" w:rsidP="00DC3658">
      <w:pPr>
        <w:pStyle w:val="BodyText"/>
        <w:numPr>
          <w:ilvl w:val="0"/>
          <w:numId w:val="6"/>
        </w:numPr>
        <w:ind w:right="657"/>
        <w:rPr>
          <w:rFonts w:ascii="Verdana" w:hAnsi="Verdana"/>
          <w:sz w:val="18"/>
          <w:szCs w:val="18"/>
        </w:rPr>
      </w:pPr>
      <w:r w:rsidRPr="000C7CFA">
        <w:rPr>
          <w:rFonts w:ascii="Verdana" w:hAnsi="Verdana"/>
          <w:sz w:val="18"/>
          <w:szCs w:val="18"/>
          <w:u w:val="single"/>
        </w:rPr>
        <w:t>Wu</w:t>
      </w:r>
      <w:r w:rsidR="00147605" w:rsidRPr="000C7CFA">
        <w:rPr>
          <w:rFonts w:ascii="Verdana" w:hAnsi="Verdana"/>
          <w:sz w:val="18"/>
          <w:szCs w:val="18"/>
          <w:u w:val="single"/>
        </w:rPr>
        <w:t xml:space="preserve"> </w:t>
      </w:r>
      <w:r w:rsidR="00147605" w:rsidRPr="000C7CFA">
        <w:rPr>
          <w:rFonts w:ascii="Verdana" w:hAnsi="Verdana"/>
          <w:i/>
          <w:sz w:val="18"/>
          <w:szCs w:val="18"/>
          <w:u w:val="single"/>
        </w:rPr>
        <w:t>et al</w:t>
      </w:r>
      <w:r w:rsidR="00147605" w:rsidRPr="000C7CFA">
        <w:rPr>
          <w:rFonts w:ascii="Verdana" w:hAnsi="Verdana"/>
          <w:sz w:val="18"/>
          <w:szCs w:val="18"/>
          <w:u w:val="single"/>
        </w:rPr>
        <w:t xml:space="preserve">. </w:t>
      </w:r>
      <w:r w:rsidR="00D93B76" w:rsidRPr="000C7CFA">
        <w:rPr>
          <w:rFonts w:ascii="Verdana" w:hAnsi="Verdana"/>
          <w:sz w:val="18"/>
          <w:szCs w:val="18"/>
          <w:u w:val="single"/>
        </w:rPr>
        <w:t>(</w:t>
      </w:r>
      <w:r w:rsidR="00147605" w:rsidRPr="000C7CFA">
        <w:rPr>
          <w:rFonts w:ascii="Verdana" w:hAnsi="Verdana"/>
          <w:sz w:val="18"/>
          <w:szCs w:val="18"/>
          <w:u w:val="single"/>
        </w:rPr>
        <w:t>2010</w:t>
      </w:r>
      <w:r w:rsidR="00D93B76" w:rsidRPr="000C7CFA">
        <w:rPr>
          <w:rFonts w:ascii="Verdana" w:hAnsi="Verdana"/>
          <w:sz w:val="18"/>
          <w:szCs w:val="18"/>
          <w:u w:val="single"/>
        </w:rPr>
        <w:t>)</w:t>
      </w:r>
      <w:r w:rsidR="00147605" w:rsidRPr="000C7CFA">
        <w:rPr>
          <w:rFonts w:ascii="Verdana" w:hAnsi="Verdana"/>
          <w:sz w:val="18"/>
          <w:szCs w:val="18"/>
        </w:rPr>
        <w:t xml:space="preserve"> </w:t>
      </w:r>
      <w:r w:rsidR="00C629D4" w:rsidRPr="000C7CFA">
        <w:rPr>
          <w:rFonts w:ascii="Verdana" w:hAnsi="Verdana"/>
          <w:sz w:val="18"/>
          <w:szCs w:val="18"/>
        </w:rPr>
        <w:t>investigated</w:t>
      </w:r>
      <w:r w:rsidR="000D671A" w:rsidRPr="000C7CFA">
        <w:rPr>
          <w:rFonts w:ascii="Verdana" w:hAnsi="Verdana"/>
          <w:sz w:val="18"/>
          <w:szCs w:val="18"/>
        </w:rPr>
        <w:t xml:space="preserve"> the trophic transfer of Dechlorane Plus in </w:t>
      </w:r>
      <w:r w:rsidR="00C629D4" w:rsidRPr="000C7CFA">
        <w:rPr>
          <w:rFonts w:ascii="Verdana" w:hAnsi="Verdana"/>
          <w:sz w:val="18"/>
          <w:szCs w:val="18"/>
        </w:rPr>
        <w:t>a</w:t>
      </w:r>
      <w:r w:rsidR="000D671A" w:rsidRPr="000C7CFA">
        <w:rPr>
          <w:rFonts w:ascii="Verdana" w:hAnsi="Verdana"/>
          <w:sz w:val="18"/>
          <w:szCs w:val="18"/>
        </w:rPr>
        <w:t xml:space="preserve"> freshwater food web from a highly contaminated site in South China.</w:t>
      </w:r>
      <w:r w:rsidR="002D0974" w:rsidRPr="000C7CFA">
        <w:rPr>
          <w:rFonts w:ascii="Verdana" w:hAnsi="Verdana"/>
          <w:sz w:val="18"/>
          <w:szCs w:val="18"/>
        </w:rPr>
        <w:t xml:space="preserve"> A total of eighty-eight wild aquatic biota samples, six water samples, and six surficial sediment samples were concurrently collected from a reservoir near the e-waste recycling plants, South China (23.6021 N, 113.0785 E) in 2006. The biota samples comprised two invertebrates (Chinese mystery snail </w:t>
      </w:r>
      <w:r w:rsidR="002D0974" w:rsidRPr="000C7CFA">
        <w:rPr>
          <w:rFonts w:ascii="Verdana" w:hAnsi="Verdana"/>
          <w:i/>
          <w:sz w:val="18"/>
          <w:szCs w:val="18"/>
        </w:rPr>
        <w:t>Cipangopalundina chinensis</w:t>
      </w:r>
      <w:r w:rsidR="009E47ED" w:rsidRPr="000C7CFA">
        <w:rPr>
          <w:rFonts w:ascii="Verdana" w:hAnsi="Verdana"/>
          <w:sz w:val="18"/>
          <w:szCs w:val="18"/>
        </w:rPr>
        <w:t xml:space="preserve"> (n=43, 3 composite samples</w:t>
      </w:r>
      <w:r w:rsidR="002D0974" w:rsidRPr="000C7CFA">
        <w:rPr>
          <w:rFonts w:ascii="Verdana" w:hAnsi="Verdana"/>
          <w:sz w:val="18"/>
          <w:szCs w:val="18"/>
        </w:rPr>
        <w:t xml:space="preserve">) and prawn </w:t>
      </w:r>
      <w:r w:rsidRPr="000C7CFA">
        <w:rPr>
          <w:rFonts w:ascii="Verdana" w:hAnsi="Verdana"/>
          <w:i/>
          <w:sz w:val="18"/>
          <w:szCs w:val="18"/>
        </w:rPr>
        <w:t>Macrobrachium nipponense</w:t>
      </w:r>
      <w:r w:rsidR="009E47ED" w:rsidRPr="000C7CFA">
        <w:rPr>
          <w:rFonts w:ascii="Verdana" w:hAnsi="Verdana"/>
          <w:sz w:val="18"/>
          <w:szCs w:val="18"/>
        </w:rPr>
        <w:t xml:space="preserve"> (n=7, 3 composite samples)</w:t>
      </w:r>
      <w:r w:rsidR="00DC6E32" w:rsidRPr="000C7CFA">
        <w:rPr>
          <w:rFonts w:ascii="Verdana" w:hAnsi="Verdana"/>
          <w:sz w:val="18"/>
          <w:szCs w:val="18"/>
        </w:rPr>
        <w:t>), four fish species (M</w:t>
      </w:r>
      <w:r w:rsidRPr="000C7CFA">
        <w:rPr>
          <w:rFonts w:ascii="Verdana" w:hAnsi="Verdana"/>
          <w:sz w:val="18"/>
          <w:szCs w:val="18"/>
        </w:rPr>
        <w:t xml:space="preserve">ud </w:t>
      </w:r>
      <w:r w:rsidR="00DC6E32" w:rsidRPr="000C7CFA">
        <w:rPr>
          <w:rFonts w:ascii="Verdana" w:hAnsi="Verdana"/>
          <w:sz w:val="18"/>
          <w:szCs w:val="18"/>
        </w:rPr>
        <w:t>C</w:t>
      </w:r>
      <w:r w:rsidRPr="000C7CFA">
        <w:rPr>
          <w:rFonts w:ascii="Verdana" w:hAnsi="Verdana"/>
          <w:sz w:val="18"/>
          <w:szCs w:val="18"/>
        </w:rPr>
        <w:t xml:space="preserve">arp </w:t>
      </w:r>
      <w:r w:rsidRPr="000C7CFA">
        <w:rPr>
          <w:rFonts w:ascii="Verdana" w:hAnsi="Verdana"/>
          <w:i/>
          <w:sz w:val="18"/>
          <w:szCs w:val="18"/>
        </w:rPr>
        <w:t>Cirrhinus molitorella</w:t>
      </w:r>
      <w:r w:rsidR="009E47ED" w:rsidRPr="000C7CFA">
        <w:rPr>
          <w:rFonts w:ascii="Verdana" w:hAnsi="Verdana"/>
          <w:sz w:val="18"/>
          <w:szCs w:val="18"/>
        </w:rPr>
        <w:t xml:space="preserve"> (n=12, 8 composite samples</w:t>
      </w:r>
      <w:r w:rsidRPr="000C7CFA">
        <w:rPr>
          <w:rFonts w:ascii="Verdana" w:hAnsi="Verdana"/>
          <w:sz w:val="18"/>
          <w:szCs w:val="18"/>
        </w:rPr>
        <w:t xml:space="preserve">), </w:t>
      </w:r>
      <w:r w:rsidR="00DC6E32" w:rsidRPr="000C7CFA">
        <w:rPr>
          <w:rFonts w:ascii="Verdana" w:hAnsi="Verdana"/>
          <w:sz w:val="18"/>
          <w:szCs w:val="18"/>
        </w:rPr>
        <w:t>Crucian C</w:t>
      </w:r>
      <w:r w:rsidRPr="000C7CFA">
        <w:rPr>
          <w:rFonts w:ascii="Verdana" w:hAnsi="Verdana"/>
          <w:sz w:val="18"/>
          <w:szCs w:val="18"/>
        </w:rPr>
        <w:t>arp</w:t>
      </w:r>
      <w:r w:rsidR="00E97B67" w:rsidRPr="000C7CFA">
        <w:rPr>
          <w:rStyle w:val="FootnoteReference"/>
          <w:rFonts w:ascii="Verdana" w:hAnsi="Verdana"/>
          <w:sz w:val="18"/>
          <w:szCs w:val="18"/>
        </w:rPr>
        <w:footnoteReference w:id="13"/>
      </w:r>
      <w:r w:rsidRPr="000C7CFA">
        <w:rPr>
          <w:rFonts w:ascii="Verdana" w:hAnsi="Verdana"/>
          <w:sz w:val="18"/>
          <w:szCs w:val="18"/>
        </w:rPr>
        <w:t xml:space="preserve"> </w:t>
      </w:r>
      <w:r w:rsidRPr="000C7CFA">
        <w:rPr>
          <w:rFonts w:ascii="Verdana" w:hAnsi="Verdana"/>
          <w:i/>
          <w:sz w:val="18"/>
          <w:szCs w:val="18"/>
        </w:rPr>
        <w:t>Carassius auratus</w:t>
      </w:r>
      <w:r w:rsidR="009E47ED" w:rsidRPr="000C7CFA">
        <w:rPr>
          <w:rFonts w:ascii="Verdana" w:hAnsi="Verdana"/>
          <w:sz w:val="18"/>
          <w:szCs w:val="18"/>
        </w:rPr>
        <w:t xml:space="preserve"> (n=18, 7 composite samples</w:t>
      </w:r>
      <w:r w:rsidRPr="000C7CFA">
        <w:rPr>
          <w:rFonts w:ascii="Verdana" w:hAnsi="Verdana"/>
          <w:sz w:val="18"/>
          <w:szCs w:val="18"/>
        </w:rPr>
        <w:t xml:space="preserve">), and </w:t>
      </w:r>
      <w:r w:rsidR="00DC6E32" w:rsidRPr="000C7CFA">
        <w:rPr>
          <w:rFonts w:ascii="Verdana" w:hAnsi="Verdana"/>
          <w:sz w:val="18"/>
          <w:szCs w:val="18"/>
        </w:rPr>
        <w:t>Northern S</w:t>
      </w:r>
      <w:r w:rsidRPr="000C7CFA">
        <w:rPr>
          <w:rFonts w:ascii="Verdana" w:hAnsi="Verdana"/>
          <w:sz w:val="18"/>
          <w:szCs w:val="18"/>
        </w:rPr>
        <w:t xml:space="preserve">nakehead </w:t>
      </w:r>
      <w:r w:rsidRPr="000C7CFA">
        <w:rPr>
          <w:rFonts w:ascii="Verdana" w:hAnsi="Verdana"/>
          <w:i/>
          <w:sz w:val="18"/>
          <w:szCs w:val="18"/>
        </w:rPr>
        <w:t>Ophicephalus argus</w:t>
      </w:r>
      <w:r w:rsidR="009E47ED" w:rsidRPr="000C7CFA">
        <w:rPr>
          <w:rFonts w:ascii="Verdana" w:hAnsi="Verdana"/>
          <w:sz w:val="18"/>
          <w:szCs w:val="18"/>
        </w:rPr>
        <w:t xml:space="preserve"> (n=6</w:t>
      </w:r>
      <w:r w:rsidRPr="000C7CFA">
        <w:rPr>
          <w:rFonts w:ascii="Verdana" w:hAnsi="Verdana"/>
          <w:sz w:val="18"/>
          <w:szCs w:val="18"/>
        </w:rPr>
        <w:t xml:space="preserve">)) and one reptile (water snake </w:t>
      </w:r>
      <w:r w:rsidRPr="000C7CFA">
        <w:rPr>
          <w:rFonts w:ascii="Verdana" w:hAnsi="Verdana"/>
          <w:i/>
          <w:sz w:val="18"/>
          <w:szCs w:val="18"/>
        </w:rPr>
        <w:t>Enhydris chinensis</w:t>
      </w:r>
      <w:r w:rsidR="00E97B67" w:rsidRPr="000C7CFA">
        <w:rPr>
          <w:rFonts w:ascii="Verdana" w:hAnsi="Verdana"/>
          <w:sz w:val="18"/>
          <w:szCs w:val="18"/>
        </w:rPr>
        <w:t xml:space="preserve"> (n=2)</w:t>
      </w:r>
      <w:r w:rsidR="00DC6E32" w:rsidRPr="000C7CFA">
        <w:rPr>
          <w:rFonts w:ascii="Verdana" w:hAnsi="Verdana"/>
          <w:sz w:val="18"/>
          <w:szCs w:val="18"/>
        </w:rPr>
        <w:t>). Mud C</w:t>
      </w:r>
      <w:r w:rsidRPr="000C7CFA">
        <w:rPr>
          <w:rFonts w:ascii="Verdana" w:hAnsi="Verdana"/>
          <w:sz w:val="18"/>
          <w:szCs w:val="18"/>
        </w:rPr>
        <w:t xml:space="preserve">arp </w:t>
      </w:r>
      <w:r w:rsidR="009E47ED" w:rsidRPr="000C7CFA">
        <w:rPr>
          <w:rFonts w:ascii="Verdana" w:hAnsi="Verdana"/>
          <w:sz w:val="18"/>
          <w:szCs w:val="18"/>
        </w:rPr>
        <w:t xml:space="preserve">(n=5) </w:t>
      </w:r>
      <w:r w:rsidRPr="000C7CFA">
        <w:rPr>
          <w:rFonts w:ascii="Verdana" w:hAnsi="Verdana"/>
          <w:sz w:val="18"/>
          <w:szCs w:val="18"/>
        </w:rPr>
        <w:t xml:space="preserve">were </w:t>
      </w:r>
      <w:r w:rsidR="00E4682D" w:rsidRPr="000C7CFA">
        <w:rPr>
          <w:rFonts w:ascii="Verdana" w:hAnsi="Verdana"/>
          <w:sz w:val="18"/>
          <w:szCs w:val="18"/>
        </w:rPr>
        <w:t xml:space="preserve">also </w:t>
      </w:r>
      <w:r w:rsidRPr="000C7CFA">
        <w:rPr>
          <w:rFonts w:ascii="Verdana" w:hAnsi="Verdana"/>
          <w:sz w:val="18"/>
          <w:szCs w:val="18"/>
        </w:rPr>
        <w:t xml:space="preserve">collected from another pond 5 km away from the e-waste recycling plant and used as reference samples. Stable isotope analysis of nitrogen was </w:t>
      </w:r>
      <w:r w:rsidR="009E47ED" w:rsidRPr="000C7CFA">
        <w:rPr>
          <w:rFonts w:ascii="Verdana" w:hAnsi="Verdana"/>
          <w:sz w:val="18"/>
          <w:szCs w:val="18"/>
        </w:rPr>
        <w:t xml:space="preserve">said to have been </w:t>
      </w:r>
      <w:r w:rsidRPr="000C7CFA">
        <w:rPr>
          <w:rFonts w:ascii="Verdana" w:hAnsi="Verdana"/>
          <w:sz w:val="18"/>
          <w:szCs w:val="18"/>
        </w:rPr>
        <w:t xml:space="preserve">previously determined by the authors </w:t>
      </w:r>
      <w:r w:rsidR="009E47ED" w:rsidRPr="000C7CFA">
        <w:rPr>
          <w:rFonts w:ascii="Verdana" w:hAnsi="Verdana"/>
          <w:sz w:val="18"/>
          <w:szCs w:val="18"/>
        </w:rPr>
        <w:t>in another study</w:t>
      </w:r>
      <w:r w:rsidRPr="000C7CFA">
        <w:rPr>
          <w:rFonts w:ascii="Verdana" w:hAnsi="Verdana"/>
          <w:sz w:val="18"/>
          <w:szCs w:val="18"/>
        </w:rPr>
        <w:t xml:space="preserve">. </w:t>
      </w:r>
      <w:r w:rsidR="00446DC9" w:rsidRPr="000C7CFA">
        <w:rPr>
          <w:rFonts w:ascii="Verdana" w:hAnsi="Verdana"/>
          <w:sz w:val="18"/>
          <w:szCs w:val="18"/>
        </w:rPr>
        <w:t xml:space="preserve"> Trophic level was calculated using the equation </w:t>
      </w:r>
      <w:r w:rsidR="00446DC9" w:rsidRPr="000C7CFA">
        <w:rPr>
          <w:rFonts w:ascii="Verdana" w:hAnsi="Verdana"/>
          <w:color w:val="000000"/>
          <w:sz w:val="18"/>
          <w:szCs w:val="18"/>
        </w:rPr>
        <w:t>TL</w:t>
      </w:r>
      <w:r w:rsidR="00446DC9" w:rsidRPr="000C7CFA">
        <w:rPr>
          <w:rFonts w:ascii="Verdana" w:hAnsi="Verdana"/>
          <w:color w:val="000000"/>
          <w:sz w:val="18"/>
          <w:szCs w:val="18"/>
          <w:vertAlign w:val="subscript"/>
        </w:rPr>
        <w:t>consumer</w:t>
      </w:r>
      <w:r w:rsidR="00446DC9" w:rsidRPr="000C7CFA">
        <w:rPr>
          <w:rFonts w:ascii="Verdana" w:hAnsi="Verdana"/>
          <w:color w:val="000000"/>
          <w:sz w:val="18"/>
          <w:szCs w:val="18"/>
        </w:rPr>
        <w:t xml:space="preserve"> = [(δ</w:t>
      </w:r>
      <w:r w:rsidR="00446DC9" w:rsidRPr="000C7CFA">
        <w:rPr>
          <w:rFonts w:ascii="Verdana" w:hAnsi="Verdana"/>
          <w:color w:val="000000"/>
          <w:sz w:val="18"/>
          <w:szCs w:val="18"/>
          <w:vertAlign w:val="superscript"/>
        </w:rPr>
        <w:t>15</w:t>
      </w:r>
      <w:r w:rsidR="00446DC9" w:rsidRPr="000C7CFA">
        <w:rPr>
          <w:rFonts w:ascii="Verdana" w:hAnsi="Verdana"/>
          <w:color w:val="000000"/>
          <w:sz w:val="18"/>
          <w:szCs w:val="18"/>
        </w:rPr>
        <w:t>N</w:t>
      </w:r>
      <w:r w:rsidR="00446DC9" w:rsidRPr="000C7CFA">
        <w:rPr>
          <w:rFonts w:ascii="Verdana" w:hAnsi="Verdana"/>
          <w:color w:val="000000"/>
          <w:sz w:val="18"/>
          <w:szCs w:val="18"/>
          <w:vertAlign w:val="subscript"/>
        </w:rPr>
        <w:t>consumer</w:t>
      </w:r>
      <w:r w:rsidR="00446DC9" w:rsidRPr="000C7CFA">
        <w:rPr>
          <w:rFonts w:ascii="Verdana" w:hAnsi="Verdana"/>
          <w:color w:val="000000"/>
          <w:sz w:val="18"/>
          <w:szCs w:val="18"/>
        </w:rPr>
        <w:t xml:space="preserve"> - δ</w:t>
      </w:r>
      <w:r w:rsidR="00446DC9" w:rsidRPr="000C7CFA">
        <w:rPr>
          <w:rFonts w:ascii="Verdana" w:hAnsi="Verdana"/>
          <w:color w:val="000000"/>
          <w:sz w:val="18"/>
          <w:szCs w:val="18"/>
          <w:vertAlign w:val="superscript"/>
        </w:rPr>
        <w:t>15</w:t>
      </w:r>
      <w:r w:rsidR="00446DC9" w:rsidRPr="000C7CFA">
        <w:rPr>
          <w:rFonts w:ascii="Verdana" w:hAnsi="Verdana"/>
          <w:color w:val="000000"/>
          <w:sz w:val="18"/>
          <w:szCs w:val="18"/>
        </w:rPr>
        <w:t>N</w:t>
      </w:r>
      <w:r w:rsidR="00446DC9" w:rsidRPr="000C7CFA">
        <w:rPr>
          <w:rFonts w:ascii="Verdana" w:hAnsi="Verdana"/>
          <w:color w:val="000000"/>
          <w:sz w:val="18"/>
          <w:szCs w:val="18"/>
          <w:vertAlign w:val="subscript"/>
        </w:rPr>
        <w:t>primary consumer</w:t>
      </w:r>
      <w:r w:rsidR="00446DC9" w:rsidRPr="000C7CFA">
        <w:rPr>
          <w:rFonts w:ascii="Verdana" w:hAnsi="Verdana"/>
          <w:color w:val="000000"/>
          <w:sz w:val="18"/>
          <w:szCs w:val="18"/>
        </w:rPr>
        <w:t>)]/3.4 + 2 (</w:t>
      </w:r>
      <w:r w:rsidR="00446DC9" w:rsidRPr="000C7CFA">
        <w:rPr>
          <w:rFonts w:ascii="Verdana" w:hAnsi="Verdana"/>
          <w:sz w:val="18"/>
          <w:szCs w:val="18"/>
        </w:rPr>
        <w:t>where 3.4 is the isotopic trophic enrichment factor).</w:t>
      </w:r>
    </w:p>
    <w:p w14:paraId="4F4F9BA7" w14:textId="36E6AA2A" w:rsidR="009E47ED" w:rsidRPr="000C7CFA" w:rsidRDefault="00C54A46" w:rsidP="009E47ED">
      <w:pPr>
        <w:pStyle w:val="BodyText"/>
        <w:ind w:left="360" w:right="657"/>
        <w:rPr>
          <w:rFonts w:ascii="Verdana" w:hAnsi="Verdana" w:cs="Utopia-Regular"/>
          <w:sz w:val="18"/>
          <w:szCs w:val="18"/>
          <w:lang w:eastAsia="en-GB"/>
        </w:rPr>
      </w:pPr>
      <w:r w:rsidRPr="000C7CFA">
        <w:rPr>
          <w:rFonts w:ascii="Verdana" w:hAnsi="Verdana"/>
          <w:sz w:val="18"/>
          <w:szCs w:val="18"/>
        </w:rPr>
        <w:t xml:space="preserve">Whole organism samples were extracted and </w:t>
      </w:r>
      <w:r w:rsidR="009E47ED" w:rsidRPr="000C7CFA">
        <w:rPr>
          <w:rFonts w:ascii="Verdana" w:hAnsi="Verdana"/>
          <w:sz w:val="18"/>
          <w:szCs w:val="18"/>
        </w:rPr>
        <w:t xml:space="preserve">Dechlorane Plus isomers were measured using gas chromatography/electron capture negative ionization (ECNI) mass spectrometry. Quality control procedures included recoveries of surrogate standards (CDE 99 and </w:t>
      </w:r>
      <w:r w:rsidR="009E47ED" w:rsidRPr="000C7CFA">
        <w:rPr>
          <w:rFonts w:ascii="Verdana" w:hAnsi="Verdana"/>
          <w:sz w:val="18"/>
          <w:szCs w:val="18"/>
          <w:vertAlign w:val="superscript"/>
        </w:rPr>
        <w:t>13</w:t>
      </w:r>
      <w:r w:rsidR="009E47ED" w:rsidRPr="000C7CFA">
        <w:rPr>
          <w:rFonts w:ascii="Verdana" w:hAnsi="Verdana"/>
          <w:sz w:val="18"/>
          <w:szCs w:val="18"/>
        </w:rPr>
        <w:t>C-BDE 209, 72.2 ± 19.</w:t>
      </w:r>
      <w:r w:rsidR="00AF7606" w:rsidRPr="000C7CFA">
        <w:rPr>
          <w:rFonts w:ascii="Verdana" w:hAnsi="Verdana"/>
          <w:sz w:val="18"/>
          <w:szCs w:val="18"/>
        </w:rPr>
        <w:t>8 %</w:t>
      </w:r>
      <w:r w:rsidR="009E47ED" w:rsidRPr="000C7CFA">
        <w:rPr>
          <w:rFonts w:ascii="Verdana" w:hAnsi="Verdana"/>
          <w:sz w:val="18"/>
          <w:szCs w:val="18"/>
        </w:rPr>
        <w:t xml:space="preserve"> and 76.3 ± 6.</w:t>
      </w:r>
      <w:r w:rsidR="00AF7606" w:rsidRPr="000C7CFA">
        <w:rPr>
          <w:rFonts w:ascii="Verdana" w:hAnsi="Verdana"/>
          <w:sz w:val="18"/>
          <w:szCs w:val="18"/>
        </w:rPr>
        <w:t>9 %</w:t>
      </w:r>
      <w:r w:rsidR="009E47ED" w:rsidRPr="000C7CFA">
        <w:rPr>
          <w:rFonts w:ascii="Verdana" w:hAnsi="Verdana"/>
          <w:sz w:val="18"/>
          <w:szCs w:val="18"/>
        </w:rPr>
        <w:t>, respectively). Five spiking blanks with the Dechlorane Plus isomers and five procedural blanks were performed. The recoveries of the sy</w:t>
      </w:r>
      <w:r w:rsidR="00807CB2" w:rsidRPr="000C7CFA">
        <w:rPr>
          <w:rFonts w:ascii="Verdana" w:hAnsi="Verdana"/>
          <w:sz w:val="18"/>
          <w:szCs w:val="18"/>
        </w:rPr>
        <w:t>n- i</w:t>
      </w:r>
      <w:r w:rsidR="009E47ED" w:rsidRPr="000C7CFA">
        <w:rPr>
          <w:rFonts w:ascii="Verdana" w:hAnsi="Verdana"/>
          <w:sz w:val="18"/>
          <w:szCs w:val="18"/>
        </w:rPr>
        <w:t>somer were between 10</w:t>
      </w:r>
      <w:r w:rsidR="00AF7606" w:rsidRPr="000C7CFA">
        <w:rPr>
          <w:rFonts w:ascii="Verdana" w:hAnsi="Verdana"/>
          <w:sz w:val="18"/>
          <w:szCs w:val="18"/>
        </w:rPr>
        <w:t>1 %</w:t>
      </w:r>
      <w:r w:rsidR="009E47ED" w:rsidRPr="000C7CFA">
        <w:rPr>
          <w:rFonts w:ascii="Verdana" w:hAnsi="Verdana"/>
          <w:sz w:val="18"/>
          <w:szCs w:val="18"/>
        </w:rPr>
        <w:t xml:space="preserve"> and 11</w:t>
      </w:r>
      <w:r w:rsidR="00AF7606" w:rsidRPr="000C7CFA">
        <w:rPr>
          <w:rFonts w:ascii="Verdana" w:hAnsi="Verdana"/>
          <w:sz w:val="18"/>
          <w:szCs w:val="18"/>
        </w:rPr>
        <w:t>7 %</w:t>
      </w:r>
      <w:r w:rsidR="009E47ED" w:rsidRPr="000C7CFA">
        <w:rPr>
          <w:rFonts w:ascii="Verdana" w:hAnsi="Verdana"/>
          <w:sz w:val="18"/>
          <w:szCs w:val="18"/>
        </w:rPr>
        <w:t xml:space="preserve"> with a mean of 10</w:t>
      </w:r>
      <w:r w:rsidR="00AF7606" w:rsidRPr="000C7CFA">
        <w:rPr>
          <w:rFonts w:ascii="Verdana" w:hAnsi="Verdana"/>
          <w:sz w:val="18"/>
          <w:szCs w:val="18"/>
        </w:rPr>
        <w:t>7 %</w:t>
      </w:r>
      <w:r w:rsidR="009E47ED" w:rsidRPr="000C7CFA">
        <w:rPr>
          <w:rFonts w:ascii="Verdana" w:hAnsi="Verdana"/>
          <w:sz w:val="18"/>
          <w:szCs w:val="18"/>
        </w:rPr>
        <w:t>. The recoveries of the ant</w:t>
      </w:r>
      <w:r w:rsidR="00807CB2" w:rsidRPr="000C7CFA">
        <w:rPr>
          <w:rFonts w:ascii="Verdana" w:hAnsi="Verdana"/>
          <w:sz w:val="18"/>
          <w:szCs w:val="18"/>
        </w:rPr>
        <w:t>i- is</w:t>
      </w:r>
      <w:r w:rsidR="009E47ED" w:rsidRPr="000C7CFA">
        <w:rPr>
          <w:rFonts w:ascii="Verdana" w:hAnsi="Verdana"/>
          <w:sz w:val="18"/>
          <w:szCs w:val="18"/>
        </w:rPr>
        <w:t>omer ranged from 9</w:t>
      </w:r>
      <w:r w:rsidR="00AF7606" w:rsidRPr="000C7CFA">
        <w:rPr>
          <w:rFonts w:ascii="Verdana" w:hAnsi="Verdana"/>
          <w:sz w:val="18"/>
          <w:szCs w:val="18"/>
        </w:rPr>
        <w:t>2 %</w:t>
      </w:r>
      <w:r w:rsidR="009E47ED" w:rsidRPr="000C7CFA">
        <w:rPr>
          <w:rFonts w:ascii="Verdana" w:hAnsi="Verdana"/>
          <w:sz w:val="18"/>
          <w:szCs w:val="18"/>
        </w:rPr>
        <w:t xml:space="preserve"> to 10</w:t>
      </w:r>
      <w:r w:rsidR="00AF7606" w:rsidRPr="000C7CFA">
        <w:rPr>
          <w:rFonts w:ascii="Verdana" w:hAnsi="Verdana"/>
          <w:sz w:val="18"/>
          <w:szCs w:val="18"/>
        </w:rPr>
        <w:t>8 %</w:t>
      </w:r>
      <w:r w:rsidR="009E47ED" w:rsidRPr="000C7CFA">
        <w:rPr>
          <w:rFonts w:ascii="Verdana" w:hAnsi="Verdana"/>
          <w:sz w:val="18"/>
          <w:szCs w:val="18"/>
        </w:rPr>
        <w:t xml:space="preserve"> with a mean of 10</w:t>
      </w:r>
      <w:r w:rsidR="00AF7606" w:rsidRPr="000C7CFA">
        <w:rPr>
          <w:rFonts w:ascii="Verdana" w:hAnsi="Verdana"/>
          <w:sz w:val="18"/>
          <w:szCs w:val="18"/>
        </w:rPr>
        <w:t>2 %</w:t>
      </w:r>
      <w:r w:rsidR="009E47ED" w:rsidRPr="000C7CFA">
        <w:rPr>
          <w:rFonts w:ascii="Verdana" w:hAnsi="Verdana"/>
          <w:sz w:val="18"/>
          <w:szCs w:val="18"/>
        </w:rPr>
        <w:t xml:space="preserve">. No Dechlorane Plus isomers were detected in any procedural blanks. The limit of quantification was 4.4 and 1.9 pg/g for the syn- and anti- isomers, respectively. </w:t>
      </w:r>
    </w:p>
    <w:p w14:paraId="3C134310" w14:textId="437FC1F6" w:rsidR="000632C0" w:rsidRPr="000C7CFA" w:rsidRDefault="00BA0ECA" w:rsidP="009E47ED">
      <w:pPr>
        <w:pStyle w:val="BodyText"/>
        <w:ind w:left="360" w:right="657"/>
        <w:rPr>
          <w:rFonts w:ascii="Verdana" w:hAnsi="Verdana"/>
          <w:sz w:val="18"/>
          <w:szCs w:val="18"/>
        </w:rPr>
      </w:pPr>
      <w:r w:rsidRPr="000C7CFA">
        <w:rPr>
          <w:rFonts w:ascii="Verdana" w:hAnsi="Verdana"/>
          <w:sz w:val="18"/>
          <w:szCs w:val="18"/>
        </w:rPr>
        <w:lastRenderedPageBreak/>
        <w:t>The total Dechlorane Plus concentrations in the collected aquatic species ranged from 19 – 9</w:t>
      </w:r>
      <w:r w:rsidR="002D4EB9" w:rsidRPr="000C7CFA">
        <w:rPr>
          <w:rFonts w:ascii="Verdana" w:hAnsi="Verdana"/>
          <w:sz w:val="18"/>
          <w:szCs w:val="18"/>
        </w:rPr>
        <w:t> </w:t>
      </w:r>
      <w:r w:rsidRPr="000C7CFA">
        <w:rPr>
          <w:rFonts w:ascii="Verdana" w:hAnsi="Verdana"/>
          <w:sz w:val="18"/>
          <w:szCs w:val="18"/>
        </w:rPr>
        <w:t xml:space="preserve">630 ng/g </w:t>
      </w:r>
      <w:proofErr w:type="gramStart"/>
      <w:r w:rsidR="0047043A" w:rsidRPr="000C7CFA">
        <w:rPr>
          <w:rFonts w:ascii="Verdana" w:hAnsi="Verdana"/>
          <w:sz w:val="18"/>
          <w:szCs w:val="18"/>
        </w:rPr>
        <w:t>lw</w:t>
      </w:r>
      <w:proofErr w:type="gramEnd"/>
      <w:r w:rsidRPr="000C7CFA">
        <w:rPr>
          <w:rFonts w:ascii="Verdana" w:hAnsi="Verdana"/>
          <w:sz w:val="18"/>
          <w:szCs w:val="18"/>
        </w:rPr>
        <w:t>. The highest average concentration was found in water snake (1</w:t>
      </w:r>
      <w:r w:rsidR="008610EB" w:rsidRPr="000C7CFA">
        <w:rPr>
          <w:rFonts w:ascii="Verdana" w:hAnsi="Verdana"/>
          <w:sz w:val="18"/>
          <w:szCs w:val="18"/>
        </w:rPr>
        <w:t> </w:t>
      </w:r>
      <w:r w:rsidRPr="000C7CFA">
        <w:rPr>
          <w:rFonts w:ascii="Verdana" w:hAnsi="Verdana"/>
          <w:sz w:val="18"/>
          <w:szCs w:val="18"/>
        </w:rPr>
        <w:t>970 ng/g</w:t>
      </w:r>
      <w:r w:rsidR="00DC6E32" w:rsidRPr="000C7CFA">
        <w:rPr>
          <w:rFonts w:ascii="Verdana" w:hAnsi="Verdana"/>
          <w:sz w:val="18"/>
          <w:szCs w:val="18"/>
        </w:rPr>
        <w:t xml:space="preserve"> </w:t>
      </w:r>
      <w:proofErr w:type="gramStart"/>
      <w:r w:rsidR="0047043A" w:rsidRPr="000C7CFA">
        <w:rPr>
          <w:rFonts w:ascii="Verdana" w:hAnsi="Verdana"/>
          <w:sz w:val="18"/>
          <w:szCs w:val="18"/>
        </w:rPr>
        <w:t>lw</w:t>
      </w:r>
      <w:proofErr w:type="gramEnd"/>
      <w:r w:rsidRPr="000C7CFA">
        <w:rPr>
          <w:rFonts w:ascii="Verdana" w:hAnsi="Verdana"/>
          <w:sz w:val="18"/>
          <w:szCs w:val="18"/>
        </w:rPr>
        <w:t xml:space="preserve">), followed by </w:t>
      </w:r>
      <w:r w:rsidR="00DC6E32" w:rsidRPr="000C7CFA">
        <w:rPr>
          <w:rFonts w:ascii="Verdana" w:hAnsi="Verdana"/>
          <w:sz w:val="18"/>
          <w:szCs w:val="18"/>
        </w:rPr>
        <w:t>M</w:t>
      </w:r>
      <w:r w:rsidRPr="000C7CFA">
        <w:rPr>
          <w:rFonts w:ascii="Verdana" w:hAnsi="Verdana"/>
          <w:sz w:val="18"/>
          <w:szCs w:val="18"/>
        </w:rPr>
        <w:t xml:space="preserve">ud </w:t>
      </w:r>
      <w:r w:rsidR="00DC6E32" w:rsidRPr="000C7CFA">
        <w:rPr>
          <w:rFonts w:ascii="Verdana" w:hAnsi="Verdana"/>
          <w:sz w:val="18"/>
          <w:szCs w:val="18"/>
        </w:rPr>
        <w:t>C</w:t>
      </w:r>
      <w:r w:rsidRPr="000C7CFA">
        <w:rPr>
          <w:rFonts w:ascii="Verdana" w:hAnsi="Verdana"/>
          <w:sz w:val="18"/>
          <w:szCs w:val="18"/>
        </w:rPr>
        <w:t>arp (1</w:t>
      </w:r>
      <w:r w:rsidR="008610EB" w:rsidRPr="000C7CFA">
        <w:rPr>
          <w:rFonts w:ascii="Verdana" w:hAnsi="Verdana"/>
          <w:sz w:val="18"/>
          <w:szCs w:val="18"/>
        </w:rPr>
        <w:t> </w:t>
      </w:r>
      <w:r w:rsidRPr="000C7CFA">
        <w:rPr>
          <w:rFonts w:ascii="Verdana" w:hAnsi="Verdana"/>
          <w:sz w:val="18"/>
          <w:szCs w:val="18"/>
        </w:rPr>
        <w:t>710 ng/g</w:t>
      </w:r>
      <w:r w:rsidR="00DC6E32" w:rsidRPr="000C7CFA">
        <w:rPr>
          <w:rFonts w:ascii="Verdana" w:hAnsi="Verdana"/>
          <w:sz w:val="18"/>
          <w:szCs w:val="18"/>
        </w:rPr>
        <w:t xml:space="preserve"> </w:t>
      </w:r>
      <w:r w:rsidR="0047043A" w:rsidRPr="000C7CFA">
        <w:rPr>
          <w:rFonts w:ascii="Verdana" w:hAnsi="Verdana"/>
          <w:sz w:val="18"/>
          <w:szCs w:val="18"/>
        </w:rPr>
        <w:t>lw</w:t>
      </w:r>
      <w:r w:rsidRPr="000C7CFA">
        <w:rPr>
          <w:rFonts w:ascii="Verdana" w:hAnsi="Verdana"/>
          <w:sz w:val="18"/>
          <w:szCs w:val="18"/>
        </w:rPr>
        <w:t xml:space="preserve">), </w:t>
      </w:r>
      <w:r w:rsidR="00DC6E32" w:rsidRPr="000C7CFA">
        <w:rPr>
          <w:rFonts w:ascii="Verdana" w:hAnsi="Verdana"/>
          <w:sz w:val="18"/>
          <w:szCs w:val="18"/>
        </w:rPr>
        <w:t>Crucian C</w:t>
      </w:r>
      <w:r w:rsidRPr="000C7CFA">
        <w:rPr>
          <w:rFonts w:ascii="Verdana" w:hAnsi="Verdana"/>
          <w:sz w:val="18"/>
          <w:szCs w:val="18"/>
        </w:rPr>
        <w:t>arp (277 ng/g</w:t>
      </w:r>
      <w:r w:rsidR="00DC6E32" w:rsidRPr="000C7CFA">
        <w:rPr>
          <w:rFonts w:ascii="Verdana" w:hAnsi="Verdana"/>
          <w:sz w:val="18"/>
          <w:szCs w:val="18"/>
        </w:rPr>
        <w:t xml:space="preserve"> </w:t>
      </w:r>
      <w:r w:rsidR="0047043A" w:rsidRPr="000C7CFA">
        <w:rPr>
          <w:rFonts w:ascii="Verdana" w:hAnsi="Verdana"/>
          <w:sz w:val="18"/>
          <w:szCs w:val="18"/>
        </w:rPr>
        <w:t>lw</w:t>
      </w:r>
      <w:r w:rsidRPr="000C7CFA">
        <w:rPr>
          <w:rFonts w:ascii="Verdana" w:hAnsi="Verdana"/>
          <w:sz w:val="18"/>
          <w:szCs w:val="18"/>
        </w:rPr>
        <w:t xml:space="preserve">), </w:t>
      </w:r>
      <w:r w:rsidR="00DC6E32" w:rsidRPr="000C7CFA">
        <w:rPr>
          <w:rFonts w:ascii="Verdana" w:hAnsi="Verdana"/>
          <w:sz w:val="18"/>
          <w:szCs w:val="18"/>
        </w:rPr>
        <w:t>N</w:t>
      </w:r>
      <w:r w:rsidRPr="000C7CFA">
        <w:rPr>
          <w:rFonts w:ascii="Verdana" w:hAnsi="Verdana"/>
          <w:sz w:val="18"/>
          <w:szCs w:val="18"/>
        </w:rPr>
        <w:t xml:space="preserve">orthern </w:t>
      </w:r>
      <w:r w:rsidR="00DC6E32" w:rsidRPr="000C7CFA">
        <w:rPr>
          <w:rFonts w:ascii="Verdana" w:hAnsi="Verdana"/>
          <w:sz w:val="18"/>
          <w:szCs w:val="18"/>
        </w:rPr>
        <w:t>S</w:t>
      </w:r>
      <w:r w:rsidRPr="000C7CFA">
        <w:rPr>
          <w:rFonts w:ascii="Verdana" w:hAnsi="Verdana"/>
          <w:sz w:val="18"/>
          <w:szCs w:val="18"/>
        </w:rPr>
        <w:t>nakehead (255 ng/g</w:t>
      </w:r>
      <w:r w:rsidR="00DC6E32" w:rsidRPr="000C7CFA">
        <w:rPr>
          <w:rFonts w:ascii="Verdana" w:hAnsi="Verdana"/>
          <w:sz w:val="18"/>
          <w:szCs w:val="18"/>
        </w:rPr>
        <w:t xml:space="preserve"> </w:t>
      </w:r>
      <w:r w:rsidR="0047043A" w:rsidRPr="000C7CFA">
        <w:rPr>
          <w:rFonts w:ascii="Verdana" w:hAnsi="Verdana"/>
          <w:sz w:val="18"/>
          <w:szCs w:val="18"/>
        </w:rPr>
        <w:t>lw</w:t>
      </w:r>
      <w:r w:rsidRPr="000C7CFA">
        <w:rPr>
          <w:rFonts w:ascii="Verdana" w:hAnsi="Verdana"/>
          <w:sz w:val="18"/>
          <w:szCs w:val="18"/>
        </w:rPr>
        <w:t>), prawn (190 ng/g</w:t>
      </w:r>
      <w:r w:rsidR="00DC6E32" w:rsidRPr="000C7CFA">
        <w:rPr>
          <w:rFonts w:ascii="Verdana" w:hAnsi="Verdana"/>
          <w:sz w:val="18"/>
          <w:szCs w:val="18"/>
        </w:rPr>
        <w:t xml:space="preserve"> </w:t>
      </w:r>
      <w:r w:rsidR="0047043A" w:rsidRPr="000C7CFA">
        <w:rPr>
          <w:rFonts w:ascii="Verdana" w:hAnsi="Verdana"/>
          <w:sz w:val="18"/>
          <w:szCs w:val="18"/>
        </w:rPr>
        <w:t>lw</w:t>
      </w:r>
      <w:r w:rsidRPr="000C7CFA">
        <w:rPr>
          <w:rFonts w:ascii="Verdana" w:hAnsi="Verdana"/>
          <w:sz w:val="18"/>
          <w:szCs w:val="18"/>
        </w:rPr>
        <w:t>) and Chinese mystery snail (20.2 ng/g</w:t>
      </w:r>
      <w:r w:rsidR="00DC6E32" w:rsidRPr="000C7CFA">
        <w:rPr>
          <w:rFonts w:ascii="Verdana" w:hAnsi="Verdana"/>
          <w:sz w:val="18"/>
          <w:szCs w:val="18"/>
        </w:rPr>
        <w:t xml:space="preserve"> </w:t>
      </w:r>
      <w:r w:rsidR="0047043A" w:rsidRPr="000C7CFA">
        <w:rPr>
          <w:rFonts w:ascii="Verdana" w:hAnsi="Verdana"/>
          <w:sz w:val="18"/>
          <w:szCs w:val="18"/>
        </w:rPr>
        <w:t>lw</w:t>
      </w:r>
      <w:r w:rsidRPr="000C7CFA">
        <w:rPr>
          <w:rFonts w:ascii="Verdana" w:hAnsi="Verdana"/>
          <w:sz w:val="18"/>
          <w:szCs w:val="18"/>
        </w:rPr>
        <w:t xml:space="preserve">). </w:t>
      </w:r>
      <w:r w:rsidR="009E47ED" w:rsidRPr="000C7CFA">
        <w:rPr>
          <w:rFonts w:ascii="Verdana" w:hAnsi="Verdana"/>
          <w:sz w:val="18"/>
          <w:szCs w:val="18"/>
        </w:rPr>
        <w:t>The paper does not report wet weight data</w:t>
      </w:r>
      <w:r w:rsidR="00E97B67" w:rsidRPr="000C7CFA">
        <w:rPr>
          <w:rFonts w:ascii="Verdana" w:hAnsi="Verdana"/>
          <w:sz w:val="18"/>
          <w:szCs w:val="18"/>
        </w:rPr>
        <w:t xml:space="preserve"> separately</w:t>
      </w:r>
      <w:r w:rsidR="00E70D26" w:rsidRPr="000C7CFA">
        <w:rPr>
          <w:rStyle w:val="FootnoteReference"/>
          <w:rFonts w:ascii="Verdana" w:hAnsi="Verdana"/>
          <w:sz w:val="18"/>
          <w:szCs w:val="18"/>
        </w:rPr>
        <w:footnoteReference w:id="14"/>
      </w:r>
      <w:r w:rsidR="009E47ED" w:rsidRPr="000C7CFA">
        <w:rPr>
          <w:rFonts w:ascii="Verdana" w:hAnsi="Verdana"/>
          <w:sz w:val="18"/>
          <w:szCs w:val="18"/>
        </w:rPr>
        <w:t xml:space="preserve">. </w:t>
      </w:r>
      <w:r w:rsidRPr="000C7CFA">
        <w:rPr>
          <w:rFonts w:ascii="Verdana" w:hAnsi="Verdana"/>
          <w:sz w:val="18"/>
          <w:szCs w:val="18"/>
        </w:rPr>
        <w:t>The average concentration on Dechlorane Plus in the water dissolved phase, suspended particles and surficial sediments were 0.80</w:t>
      </w:r>
      <w:r w:rsidR="00E97B67" w:rsidRPr="000C7CFA">
        <w:rPr>
          <w:rFonts w:ascii="Verdana" w:hAnsi="Verdana"/>
          <w:sz w:val="18"/>
          <w:szCs w:val="18"/>
        </w:rPr>
        <w:t> </w:t>
      </w:r>
      <w:r w:rsidR="001C7584" w:rsidRPr="000C7CFA">
        <w:rPr>
          <w:rFonts w:ascii="Verdana" w:hAnsi="Verdana"/>
          <w:sz w:val="18"/>
          <w:szCs w:val="18"/>
        </w:rPr>
        <w:t>ng/L</w:t>
      </w:r>
      <w:r w:rsidRPr="000C7CFA">
        <w:rPr>
          <w:rFonts w:ascii="Verdana" w:hAnsi="Verdana"/>
          <w:sz w:val="18"/>
          <w:szCs w:val="18"/>
        </w:rPr>
        <w:t>, 3</w:t>
      </w:r>
      <w:r w:rsidR="002D4EB9" w:rsidRPr="000C7CFA">
        <w:rPr>
          <w:rFonts w:ascii="Verdana" w:hAnsi="Verdana"/>
          <w:sz w:val="18"/>
          <w:szCs w:val="18"/>
        </w:rPr>
        <w:t> </w:t>
      </w:r>
      <w:r w:rsidRPr="000C7CFA">
        <w:rPr>
          <w:rFonts w:ascii="Verdana" w:hAnsi="Verdana"/>
          <w:sz w:val="18"/>
          <w:szCs w:val="18"/>
        </w:rPr>
        <w:t xml:space="preserve">930 ng/g </w:t>
      </w:r>
      <w:proofErr w:type="gramStart"/>
      <w:r w:rsidRPr="000C7CFA">
        <w:rPr>
          <w:rFonts w:ascii="Verdana" w:hAnsi="Verdana"/>
          <w:sz w:val="18"/>
          <w:szCs w:val="18"/>
        </w:rPr>
        <w:t>dw</w:t>
      </w:r>
      <w:proofErr w:type="gramEnd"/>
      <w:r w:rsidRPr="000C7CFA">
        <w:rPr>
          <w:rFonts w:ascii="Verdana" w:hAnsi="Verdana"/>
          <w:sz w:val="18"/>
          <w:szCs w:val="18"/>
        </w:rPr>
        <w:t xml:space="preserve"> and 7</w:t>
      </w:r>
      <w:r w:rsidR="002D4EB9" w:rsidRPr="000C7CFA">
        <w:rPr>
          <w:rFonts w:ascii="Verdana" w:hAnsi="Verdana"/>
          <w:sz w:val="18"/>
          <w:szCs w:val="18"/>
        </w:rPr>
        <w:t> </w:t>
      </w:r>
      <w:r w:rsidRPr="000C7CFA">
        <w:rPr>
          <w:rFonts w:ascii="Verdana" w:hAnsi="Verdana"/>
          <w:sz w:val="18"/>
          <w:szCs w:val="18"/>
        </w:rPr>
        <w:t xml:space="preserve">590 ng/g dw, respectively. Dechlorane Plus was detected in all </w:t>
      </w:r>
      <w:r w:rsidR="00DC6E32" w:rsidRPr="000C7CFA">
        <w:rPr>
          <w:rFonts w:ascii="Verdana" w:hAnsi="Verdana"/>
          <w:sz w:val="18"/>
          <w:szCs w:val="18"/>
        </w:rPr>
        <w:t>M</w:t>
      </w:r>
      <w:r w:rsidRPr="000C7CFA">
        <w:rPr>
          <w:rFonts w:ascii="Verdana" w:hAnsi="Verdana"/>
          <w:sz w:val="18"/>
          <w:szCs w:val="18"/>
        </w:rPr>
        <w:t xml:space="preserve">ud </w:t>
      </w:r>
      <w:r w:rsidR="00DC6E32" w:rsidRPr="000C7CFA">
        <w:rPr>
          <w:rFonts w:ascii="Verdana" w:hAnsi="Verdana"/>
          <w:sz w:val="18"/>
          <w:szCs w:val="18"/>
        </w:rPr>
        <w:t>C</w:t>
      </w:r>
      <w:r w:rsidRPr="000C7CFA">
        <w:rPr>
          <w:rFonts w:ascii="Verdana" w:hAnsi="Verdana"/>
          <w:sz w:val="18"/>
          <w:szCs w:val="18"/>
        </w:rPr>
        <w:t>arp</w:t>
      </w:r>
      <w:r w:rsidR="00DC6E32" w:rsidRPr="000C7CFA">
        <w:rPr>
          <w:rFonts w:ascii="Verdana" w:hAnsi="Verdana"/>
          <w:sz w:val="18"/>
          <w:szCs w:val="18"/>
        </w:rPr>
        <w:t xml:space="preserve"> sample</w:t>
      </w:r>
      <w:r w:rsidRPr="000C7CFA">
        <w:rPr>
          <w:rFonts w:ascii="Verdana" w:hAnsi="Verdana"/>
          <w:sz w:val="18"/>
          <w:szCs w:val="18"/>
        </w:rPr>
        <w:t xml:space="preserve">s from the e-waste recycling site, but was detected in only one of the five reference </w:t>
      </w:r>
      <w:r w:rsidR="009E47ED" w:rsidRPr="000C7CFA">
        <w:rPr>
          <w:rFonts w:ascii="Verdana" w:hAnsi="Verdana"/>
          <w:sz w:val="18"/>
          <w:szCs w:val="18"/>
        </w:rPr>
        <w:t>fish</w:t>
      </w:r>
      <w:r w:rsidRPr="000C7CFA">
        <w:rPr>
          <w:rFonts w:ascii="Verdana" w:hAnsi="Verdana"/>
          <w:sz w:val="18"/>
          <w:szCs w:val="18"/>
        </w:rPr>
        <w:t xml:space="preserve">, at </w:t>
      </w:r>
      <w:r w:rsidR="00E97B67" w:rsidRPr="000C7CFA">
        <w:rPr>
          <w:rFonts w:ascii="Verdana" w:hAnsi="Verdana"/>
          <w:sz w:val="18"/>
          <w:szCs w:val="18"/>
        </w:rPr>
        <w:t xml:space="preserve">a </w:t>
      </w:r>
      <w:r w:rsidRPr="000C7CFA">
        <w:rPr>
          <w:rFonts w:ascii="Verdana" w:hAnsi="Verdana"/>
          <w:sz w:val="18"/>
          <w:szCs w:val="18"/>
        </w:rPr>
        <w:t xml:space="preserve">concentration </w:t>
      </w:r>
      <w:r w:rsidR="00E97B67" w:rsidRPr="000C7CFA">
        <w:rPr>
          <w:rFonts w:ascii="Verdana" w:hAnsi="Verdana"/>
          <w:sz w:val="18"/>
          <w:szCs w:val="18"/>
        </w:rPr>
        <w:t xml:space="preserve">of 8.76 ng/g </w:t>
      </w:r>
      <w:proofErr w:type="gramStart"/>
      <w:r w:rsidR="0047043A" w:rsidRPr="000C7CFA">
        <w:rPr>
          <w:rFonts w:ascii="Verdana" w:hAnsi="Verdana"/>
          <w:sz w:val="18"/>
          <w:szCs w:val="18"/>
        </w:rPr>
        <w:t>lw</w:t>
      </w:r>
      <w:proofErr w:type="gramEnd"/>
      <w:r w:rsidRPr="000C7CFA">
        <w:rPr>
          <w:rFonts w:ascii="Verdana" w:hAnsi="Verdana"/>
          <w:sz w:val="18"/>
          <w:szCs w:val="18"/>
        </w:rPr>
        <w:t>.</w:t>
      </w:r>
    </w:p>
    <w:p w14:paraId="4A009E25" w14:textId="7E2379DD" w:rsidR="000632C0" w:rsidRPr="000C7CFA" w:rsidRDefault="00C62BF5" w:rsidP="00C62BF5">
      <w:pPr>
        <w:pStyle w:val="BodyText"/>
        <w:ind w:left="360" w:right="657"/>
        <w:rPr>
          <w:rFonts w:ascii="Verdana" w:hAnsi="Verdana"/>
          <w:sz w:val="18"/>
          <w:szCs w:val="18"/>
        </w:rPr>
      </w:pPr>
      <w:r w:rsidRPr="000C7CFA">
        <w:rPr>
          <w:rFonts w:ascii="Verdana" w:hAnsi="Verdana"/>
          <w:sz w:val="18"/>
          <w:szCs w:val="18"/>
        </w:rPr>
        <w:t>With the exception of two Chinese mystery snail samples in which the sy</w:t>
      </w:r>
      <w:r w:rsidR="00807CB2" w:rsidRPr="000C7CFA">
        <w:rPr>
          <w:rFonts w:ascii="Verdana" w:hAnsi="Verdana"/>
          <w:sz w:val="18"/>
          <w:szCs w:val="18"/>
        </w:rPr>
        <w:t>n- i</w:t>
      </w:r>
      <w:r w:rsidRPr="000C7CFA">
        <w:rPr>
          <w:rFonts w:ascii="Verdana" w:hAnsi="Verdana"/>
          <w:sz w:val="18"/>
          <w:szCs w:val="18"/>
        </w:rPr>
        <w:t>somer was below the limit of quantitation, all of the biota samples had a higher syn-/ant</w:t>
      </w:r>
      <w:r w:rsidR="00807CB2" w:rsidRPr="000C7CFA">
        <w:rPr>
          <w:rFonts w:ascii="Verdana" w:hAnsi="Verdana"/>
          <w:sz w:val="18"/>
          <w:szCs w:val="18"/>
        </w:rPr>
        <w:t>i- is</w:t>
      </w:r>
      <w:r w:rsidRPr="000C7CFA">
        <w:rPr>
          <w:rFonts w:ascii="Verdana" w:hAnsi="Verdana"/>
          <w:sz w:val="18"/>
          <w:szCs w:val="18"/>
        </w:rPr>
        <w:t xml:space="preserve">omer ratio compared to sediment. </w:t>
      </w:r>
      <w:r w:rsidR="00E97B67" w:rsidRPr="000C7CFA">
        <w:rPr>
          <w:rFonts w:ascii="Verdana" w:hAnsi="Verdana"/>
          <w:sz w:val="18"/>
          <w:szCs w:val="18"/>
        </w:rPr>
        <w:t xml:space="preserve">Enrichment was highest in Northern Snakehead, which occupies the highest trophic level in the sampled food web. </w:t>
      </w:r>
      <w:r w:rsidR="00BA0ECA" w:rsidRPr="000C7CFA">
        <w:rPr>
          <w:rFonts w:ascii="Verdana" w:hAnsi="Verdana"/>
          <w:sz w:val="18"/>
          <w:szCs w:val="18"/>
        </w:rPr>
        <w:t>Bioaccumulation factors (BAFs) for Dechlorane Plus were calculated by dividing the concentrations of Dechlorane Plus in biota (ng/g wwt) by the mean concentrations of Dechlorane Plus in the dissolved phase of water</w:t>
      </w:r>
      <w:r w:rsidR="00ED76D4" w:rsidRPr="000C7CFA">
        <w:rPr>
          <w:rFonts w:ascii="Verdana" w:hAnsi="Verdana"/>
          <w:sz w:val="18"/>
          <w:szCs w:val="18"/>
        </w:rPr>
        <w:t xml:space="preserve"> (ng/mL)</w:t>
      </w:r>
      <w:r w:rsidR="00BA0ECA" w:rsidRPr="000C7CFA">
        <w:rPr>
          <w:rFonts w:ascii="Verdana" w:hAnsi="Verdana"/>
          <w:sz w:val="18"/>
          <w:szCs w:val="18"/>
        </w:rPr>
        <w:t>. The average log BAF of total Dechlorane Plus ranged from 2.13 (Chinese mystery snail)</w:t>
      </w:r>
      <w:r w:rsidR="00ED76D4" w:rsidRPr="000C7CFA">
        <w:rPr>
          <w:rFonts w:ascii="Verdana" w:hAnsi="Verdana"/>
          <w:sz w:val="18"/>
          <w:szCs w:val="18"/>
        </w:rPr>
        <w:t xml:space="preserve"> at the base of the food web</w:t>
      </w:r>
      <w:r w:rsidR="00BA0ECA" w:rsidRPr="000C7CFA">
        <w:rPr>
          <w:rFonts w:ascii="Verdana" w:hAnsi="Verdana"/>
          <w:sz w:val="18"/>
          <w:szCs w:val="18"/>
        </w:rPr>
        <w:t xml:space="preserve"> to 4.40 (water snake)</w:t>
      </w:r>
      <w:r w:rsidR="00ED76D4" w:rsidRPr="000C7CFA">
        <w:rPr>
          <w:rFonts w:ascii="Verdana" w:hAnsi="Verdana"/>
          <w:sz w:val="18"/>
          <w:szCs w:val="18"/>
        </w:rPr>
        <w:t xml:space="preserve"> near the top</w:t>
      </w:r>
      <w:r w:rsidR="00BA0ECA" w:rsidRPr="000C7CFA">
        <w:rPr>
          <w:rFonts w:ascii="Verdana" w:hAnsi="Verdana"/>
          <w:sz w:val="18"/>
          <w:szCs w:val="18"/>
        </w:rPr>
        <w:t xml:space="preserve">. </w:t>
      </w:r>
      <w:r w:rsidR="00ED76D4" w:rsidRPr="000C7CFA">
        <w:rPr>
          <w:rFonts w:ascii="Verdana" w:hAnsi="Verdana"/>
          <w:sz w:val="18"/>
          <w:szCs w:val="18"/>
        </w:rPr>
        <w:t>All species except Chinese mystery</w:t>
      </w:r>
      <w:r w:rsidRPr="000C7CFA">
        <w:rPr>
          <w:rFonts w:ascii="Verdana" w:hAnsi="Verdana"/>
          <w:sz w:val="18"/>
          <w:szCs w:val="18"/>
        </w:rPr>
        <w:t xml:space="preserve"> </w:t>
      </w:r>
      <w:r w:rsidR="00ED76D4" w:rsidRPr="000C7CFA">
        <w:rPr>
          <w:rFonts w:ascii="Verdana" w:hAnsi="Verdana"/>
          <w:sz w:val="18"/>
          <w:szCs w:val="18"/>
        </w:rPr>
        <w:t>snail and Northern Snakehead showed log BAF values higher than 3.70 (equivalent to a BAF of 5,000 L/kg</w:t>
      </w:r>
      <w:r w:rsidR="00C54A46" w:rsidRPr="000C7CFA">
        <w:rPr>
          <w:rStyle w:val="FootnoteReference"/>
          <w:rFonts w:ascii="Verdana" w:hAnsi="Verdana"/>
          <w:sz w:val="18"/>
          <w:szCs w:val="18"/>
        </w:rPr>
        <w:footnoteReference w:id="15"/>
      </w:r>
      <w:r w:rsidR="00ED76D4" w:rsidRPr="000C7CFA">
        <w:rPr>
          <w:rFonts w:ascii="Verdana" w:hAnsi="Verdana"/>
          <w:sz w:val="18"/>
          <w:szCs w:val="18"/>
        </w:rPr>
        <w:t xml:space="preserve">). The log BAF values of the syn- isomer were significantly greater than those of the anti- isomer in each species (paired samples </w:t>
      </w:r>
      <w:r w:rsidR="00ED76D4" w:rsidRPr="000C7CFA">
        <w:rPr>
          <w:rFonts w:ascii="Verdana" w:hAnsi="Verdana"/>
          <w:i/>
          <w:sz w:val="18"/>
          <w:szCs w:val="18"/>
        </w:rPr>
        <w:t>t</w:t>
      </w:r>
      <w:r w:rsidR="00ED76D4" w:rsidRPr="000C7CFA">
        <w:rPr>
          <w:rFonts w:ascii="Verdana" w:hAnsi="Verdana"/>
          <w:sz w:val="18"/>
          <w:szCs w:val="18"/>
        </w:rPr>
        <w:t xml:space="preserve"> test, p &lt; 0.05). This supports the hypothesis that fish may have a higher assimilation efficiency for the syn- isomer than for the anti- isomer.</w:t>
      </w:r>
      <w:r w:rsidR="00916AC4" w:rsidRPr="000C7CFA">
        <w:rPr>
          <w:rFonts w:ascii="Verdana" w:hAnsi="Verdana"/>
          <w:sz w:val="18"/>
          <w:szCs w:val="18"/>
        </w:rPr>
        <w:t xml:space="preserve"> The highest wet weight concentration based on these data appears to be ca. 20 ng/g (µg/kg) wwt for the water snake.</w:t>
      </w:r>
    </w:p>
    <w:p w14:paraId="14BFC969" w14:textId="14FD0B4C" w:rsidR="00871D69" w:rsidRPr="000C7CFA" w:rsidRDefault="00BA0ECA" w:rsidP="000632C0">
      <w:pPr>
        <w:pStyle w:val="BodyText"/>
        <w:ind w:left="360" w:right="657"/>
        <w:rPr>
          <w:rFonts w:ascii="Verdana" w:hAnsi="Verdana"/>
          <w:sz w:val="18"/>
          <w:szCs w:val="18"/>
        </w:rPr>
      </w:pPr>
      <w:r w:rsidRPr="000C7CFA">
        <w:rPr>
          <w:rFonts w:ascii="Verdana" w:hAnsi="Verdana"/>
          <w:sz w:val="18"/>
          <w:szCs w:val="18"/>
        </w:rPr>
        <w:t>The food web biomagnification potential of Dechlorane Plus was evaluated via estimation of trophic magnification factors (TMFs), which are de</w:t>
      </w:r>
      <w:r w:rsidR="009D7E56" w:rsidRPr="000C7CFA">
        <w:rPr>
          <w:rFonts w:ascii="Verdana" w:hAnsi="Verdana"/>
          <w:sz w:val="18"/>
          <w:szCs w:val="18"/>
        </w:rPr>
        <w:t>riv</w:t>
      </w:r>
      <w:r w:rsidRPr="000C7CFA">
        <w:rPr>
          <w:rFonts w:ascii="Verdana" w:hAnsi="Verdana"/>
          <w:sz w:val="18"/>
          <w:szCs w:val="18"/>
        </w:rPr>
        <w:t xml:space="preserve">ed mathematically </w:t>
      </w:r>
      <w:r w:rsidR="009D7E56" w:rsidRPr="000C7CFA">
        <w:rPr>
          <w:rFonts w:ascii="Verdana" w:hAnsi="Verdana"/>
          <w:sz w:val="18"/>
          <w:szCs w:val="18"/>
        </w:rPr>
        <w:t>from</w:t>
      </w:r>
      <w:r w:rsidRPr="000C7CFA">
        <w:rPr>
          <w:rFonts w:ascii="Verdana" w:hAnsi="Verdana"/>
          <w:sz w:val="18"/>
          <w:szCs w:val="18"/>
        </w:rPr>
        <w:t xml:space="preserve"> the slope of the regression model obtained from a plot of lipid-normalised contaminant concentrations in organisms versus trophic level. </w:t>
      </w:r>
      <w:r w:rsidR="00871D69" w:rsidRPr="000C7CFA">
        <w:rPr>
          <w:rFonts w:ascii="Verdana" w:hAnsi="Verdana"/>
          <w:sz w:val="18"/>
          <w:szCs w:val="18"/>
        </w:rPr>
        <w:t xml:space="preserve">The plots in the paper are replicated in Figure </w:t>
      </w:r>
      <w:r w:rsidR="00504011" w:rsidRPr="000C7CFA">
        <w:rPr>
          <w:rFonts w:ascii="Verdana" w:hAnsi="Verdana"/>
          <w:sz w:val="18"/>
          <w:szCs w:val="18"/>
        </w:rPr>
        <w:t>1</w:t>
      </w:r>
      <w:r w:rsidR="00871D69" w:rsidRPr="000C7CFA">
        <w:rPr>
          <w:rFonts w:ascii="Verdana" w:hAnsi="Verdana"/>
          <w:sz w:val="18"/>
          <w:szCs w:val="18"/>
        </w:rPr>
        <w:t>.</w:t>
      </w:r>
    </w:p>
    <w:p w14:paraId="6E30F7FF" w14:textId="77777777" w:rsidR="00007A38" w:rsidRPr="000C7CFA" w:rsidRDefault="00007A38" w:rsidP="00007A38">
      <w:pPr>
        <w:pStyle w:val="BodyText"/>
        <w:ind w:left="360" w:right="657"/>
        <w:rPr>
          <w:rFonts w:ascii="Verdana" w:hAnsi="Verdana"/>
          <w:sz w:val="18"/>
          <w:szCs w:val="18"/>
        </w:rPr>
      </w:pPr>
      <w:r w:rsidRPr="000C7CFA">
        <w:rPr>
          <w:rFonts w:ascii="Verdana" w:hAnsi="Verdana"/>
          <w:sz w:val="18"/>
          <w:szCs w:val="18"/>
        </w:rPr>
        <w:t>Northern Snakehead had unexpectedly low concentrations considering its trophic position at the top of the food web, which significantly distorted the general relationship for Dechlorane Plus (the authors thought that this species might have been able to metabolise the substance more effectively than the others, and/or have a lower uptake rate for the anti- isomer). These data were therefore excluded when calculating the TMF. The calculated TMFs of the syn- and anti- isomers were 11.3 and 6.5, respectively (10.2 for total isomers).</w:t>
      </w:r>
    </w:p>
    <w:p w14:paraId="55C47E5F" w14:textId="77777777" w:rsidR="00007A38" w:rsidRPr="000C7CFA" w:rsidRDefault="00007A38" w:rsidP="000632C0">
      <w:pPr>
        <w:pStyle w:val="BodyText"/>
        <w:ind w:left="360" w:right="657"/>
        <w:rPr>
          <w:rFonts w:ascii="Verdana" w:hAnsi="Verdana"/>
          <w:sz w:val="18"/>
          <w:szCs w:val="18"/>
        </w:rPr>
      </w:pPr>
    </w:p>
    <w:p w14:paraId="0756F924" w14:textId="64262634" w:rsidR="00591815" w:rsidRPr="000C7CFA" w:rsidRDefault="00030CE7" w:rsidP="00591815">
      <w:pPr>
        <w:pStyle w:val="Caption"/>
        <w:ind w:left="1418" w:hanging="1361"/>
        <w:rPr>
          <w:rFonts w:ascii="Verdana" w:hAnsi="Verdana"/>
          <w:b/>
          <w:sz w:val="18"/>
          <w:szCs w:val="18"/>
        </w:rPr>
      </w:pPr>
      <w:bookmarkStart w:id="66" w:name="_Toc489434275"/>
      <w:r w:rsidRPr="000C7CFA">
        <w:rPr>
          <w:rFonts w:ascii="Verdana" w:hAnsi="Verdana"/>
          <w:noProof/>
          <w:sz w:val="18"/>
          <w:szCs w:val="18"/>
          <w:lang w:eastAsia="en-GB"/>
        </w:rPr>
        <w:lastRenderedPageBreak/>
        <w:drawing>
          <wp:anchor distT="0" distB="0" distL="114300" distR="114300" simplePos="0" relativeHeight="251676672" behindDoc="1" locked="0" layoutInCell="1" allowOverlap="1" wp14:anchorId="28E8A724" wp14:editId="68C56325">
            <wp:simplePos x="0" y="0"/>
            <wp:positionH relativeFrom="column">
              <wp:posOffset>14300</wp:posOffset>
            </wp:positionH>
            <wp:positionV relativeFrom="paragraph">
              <wp:posOffset>868045</wp:posOffset>
            </wp:positionV>
            <wp:extent cx="2560320" cy="2037080"/>
            <wp:effectExtent l="0" t="0" r="0" b="1270"/>
            <wp:wrapTight wrapText="bothSides">
              <wp:wrapPolygon edited="0">
                <wp:start x="0" y="0"/>
                <wp:lineTo x="0" y="21411"/>
                <wp:lineTo x="21375" y="21411"/>
                <wp:lineTo x="21375" y="0"/>
                <wp:lineTo x="0" y="0"/>
              </wp:wrapPolygon>
            </wp:wrapTight>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0320" cy="2037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C7CFA">
        <w:rPr>
          <w:rFonts w:ascii="Verdana" w:hAnsi="Verdana"/>
          <w:noProof/>
          <w:sz w:val="18"/>
          <w:szCs w:val="18"/>
          <w:lang w:eastAsia="en-GB"/>
        </w:rPr>
        <w:drawing>
          <wp:anchor distT="0" distB="0" distL="114300" distR="114300" simplePos="0" relativeHeight="251677696" behindDoc="1" locked="0" layoutInCell="1" allowOverlap="1" wp14:anchorId="3304519A" wp14:editId="269476ED">
            <wp:simplePos x="0" y="0"/>
            <wp:positionH relativeFrom="column">
              <wp:posOffset>2581910</wp:posOffset>
            </wp:positionH>
            <wp:positionV relativeFrom="paragraph">
              <wp:posOffset>802005</wp:posOffset>
            </wp:positionV>
            <wp:extent cx="2635885" cy="2140585"/>
            <wp:effectExtent l="0" t="0" r="0" b="0"/>
            <wp:wrapTight wrapText="bothSides">
              <wp:wrapPolygon edited="0">
                <wp:start x="0" y="0"/>
                <wp:lineTo x="0" y="21337"/>
                <wp:lineTo x="21387" y="21337"/>
                <wp:lineTo x="21387" y="0"/>
                <wp:lineTo x="0" y="0"/>
              </wp:wrapPolygon>
            </wp:wrapTight>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5885" cy="21405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91815" w:rsidRPr="000C7CFA">
        <w:rPr>
          <w:rFonts w:ascii="Verdana" w:hAnsi="Verdana"/>
          <w:b/>
          <w:sz w:val="18"/>
          <w:szCs w:val="18"/>
        </w:rPr>
        <w:t xml:space="preserve">Figure </w:t>
      </w:r>
      <w:r w:rsidR="0005445F" w:rsidRPr="000C7CFA">
        <w:rPr>
          <w:rFonts w:ascii="Verdana" w:hAnsi="Verdana"/>
          <w:b/>
          <w:sz w:val="18"/>
          <w:szCs w:val="18"/>
        </w:rPr>
        <w:fldChar w:fldCharType="begin"/>
      </w:r>
      <w:r w:rsidR="0005445F" w:rsidRPr="000C7CFA">
        <w:rPr>
          <w:rFonts w:ascii="Verdana" w:hAnsi="Verdana"/>
          <w:b/>
          <w:sz w:val="18"/>
          <w:szCs w:val="18"/>
        </w:rPr>
        <w:instrText xml:space="preserve"> SEQ Figure \* ARABIC </w:instrText>
      </w:r>
      <w:r w:rsidR="0005445F" w:rsidRPr="000C7CFA">
        <w:rPr>
          <w:rFonts w:ascii="Verdana" w:hAnsi="Verdana"/>
          <w:b/>
          <w:sz w:val="18"/>
          <w:szCs w:val="18"/>
        </w:rPr>
        <w:fldChar w:fldCharType="separate"/>
      </w:r>
      <w:r w:rsidR="00BA2885" w:rsidRPr="000C7CFA">
        <w:rPr>
          <w:rFonts w:ascii="Verdana" w:hAnsi="Verdana"/>
          <w:b/>
          <w:noProof/>
          <w:sz w:val="18"/>
          <w:szCs w:val="18"/>
        </w:rPr>
        <w:t>1</w:t>
      </w:r>
      <w:r w:rsidR="0005445F" w:rsidRPr="000C7CFA">
        <w:rPr>
          <w:rFonts w:ascii="Verdana" w:hAnsi="Verdana"/>
          <w:b/>
          <w:noProof/>
          <w:sz w:val="18"/>
          <w:szCs w:val="18"/>
        </w:rPr>
        <w:fldChar w:fldCharType="end"/>
      </w:r>
      <w:r w:rsidR="00591815" w:rsidRPr="000C7CFA">
        <w:rPr>
          <w:rFonts w:ascii="Verdana" w:hAnsi="Verdana"/>
          <w:b/>
          <w:sz w:val="18"/>
          <w:szCs w:val="18"/>
        </w:rPr>
        <w:t xml:space="preserve">: </w:t>
      </w:r>
      <w:r w:rsidR="00591815" w:rsidRPr="000C7CFA">
        <w:rPr>
          <w:rFonts w:ascii="Verdana" w:hAnsi="Verdana"/>
          <w:b/>
          <w:sz w:val="18"/>
          <w:szCs w:val="18"/>
        </w:rPr>
        <w:tab/>
        <w:t>Regressions between trophic level and concentrations of syn- and anti- isomers in aquatic species</w:t>
      </w:r>
      <w:r w:rsidR="00591815" w:rsidRPr="000C7CFA">
        <w:rPr>
          <w:rFonts w:ascii="Verdana" w:hAnsi="Verdana"/>
          <w:sz w:val="18"/>
          <w:szCs w:val="18"/>
        </w:rPr>
        <w:t xml:space="preserve"> </w:t>
      </w:r>
      <w:r w:rsidR="00591815" w:rsidRPr="000C7CFA">
        <w:rPr>
          <w:rFonts w:ascii="Verdana" w:hAnsi="Verdana"/>
          <w:b/>
          <w:sz w:val="18"/>
          <w:szCs w:val="18"/>
        </w:rPr>
        <w:t>at a contaminated site in South China (bars represent ± 1 standard error)</w:t>
      </w:r>
      <w:bookmarkEnd w:id="66"/>
      <w:r w:rsidR="00591815" w:rsidRPr="000C7CFA">
        <w:rPr>
          <w:rFonts w:ascii="Verdana" w:hAnsi="Verdana"/>
          <w:b/>
          <w:sz w:val="18"/>
          <w:szCs w:val="18"/>
        </w:rPr>
        <w:t xml:space="preserve"> </w:t>
      </w:r>
    </w:p>
    <w:p w14:paraId="4D277E00" w14:textId="5178622A" w:rsidR="00591815" w:rsidRPr="000C7CFA" w:rsidRDefault="00591815" w:rsidP="00030CE7">
      <w:pPr>
        <w:pStyle w:val="BodyText"/>
        <w:ind w:left="360" w:right="657"/>
        <w:jc w:val="center"/>
        <w:rPr>
          <w:rFonts w:ascii="Verdana" w:hAnsi="Verdana"/>
          <w:b/>
          <w:sz w:val="18"/>
          <w:szCs w:val="18"/>
        </w:rPr>
      </w:pPr>
      <w:r w:rsidRPr="000C7CFA">
        <w:rPr>
          <w:rFonts w:ascii="Verdana" w:hAnsi="Verdana"/>
          <w:b/>
          <w:sz w:val="18"/>
          <w:szCs w:val="18"/>
        </w:rPr>
        <w:t>(</w:t>
      </w:r>
      <w:proofErr w:type="gramStart"/>
      <w:r w:rsidRPr="000C7CFA">
        <w:rPr>
          <w:rFonts w:ascii="Verdana" w:hAnsi="Verdana"/>
          <w:b/>
          <w:sz w:val="18"/>
          <w:szCs w:val="18"/>
        </w:rPr>
        <w:t>reprinted</w:t>
      </w:r>
      <w:proofErr w:type="gramEnd"/>
      <w:r w:rsidRPr="000C7CFA">
        <w:rPr>
          <w:rFonts w:ascii="Verdana" w:hAnsi="Verdana"/>
          <w:b/>
          <w:sz w:val="18"/>
          <w:szCs w:val="18"/>
        </w:rPr>
        <w:t xml:space="preserve"> with permission from Wu </w:t>
      </w:r>
      <w:r w:rsidRPr="000C7CFA">
        <w:rPr>
          <w:rFonts w:ascii="Verdana" w:hAnsi="Verdana"/>
          <w:b/>
          <w:i/>
          <w:sz w:val="18"/>
          <w:szCs w:val="18"/>
        </w:rPr>
        <w:t>et al</w:t>
      </w:r>
      <w:r w:rsidRPr="000C7CFA">
        <w:rPr>
          <w:rFonts w:ascii="Verdana" w:hAnsi="Verdana"/>
          <w:b/>
          <w:sz w:val="18"/>
          <w:szCs w:val="18"/>
        </w:rPr>
        <w:t>. (2010). Copyright 2010: American Chemical Society)</w:t>
      </w:r>
    </w:p>
    <w:p w14:paraId="7F199E69" w14:textId="77777777" w:rsidR="00591815" w:rsidRPr="000C7CFA" w:rsidRDefault="00591815" w:rsidP="00591815">
      <w:pPr>
        <w:pStyle w:val="BodyText"/>
        <w:spacing w:after="0"/>
        <w:ind w:left="357" w:right="658"/>
        <w:rPr>
          <w:rFonts w:ascii="Verdana" w:hAnsi="Verdana"/>
          <w:sz w:val="18"/>
          <w:szCs w:val="18"/>
        </w:rPr>
      </w:pPr>
    </w:p>
    <w:p w14:paraId="5DAFCE18" w14:textId="77777777" w:rsidR="00030CE7" w:rsidRPr="000C7CFA" w:rsidRDefault="00030CE7" w:rsidP="00030CE7">
      <w:pPr>
        <w:pStyle w:val="BodyText"/>
        <w:ind w:left="360" w:right="657"/>
        <w:rPr>
          <w:rFonts w:ascii="Verdana" w:hAnsi="Verdana"/>
          <w:sz w:val="18"/>
          <w:szCs w:val="18"/>
        </w:rPr>
      </w:pPr>
      <w:r w:rsidRPr="000C7CFA">
        <w:rPr>
          <w:rFonts w:ascii="Verdana" w:hAnsi="Verdana"/>
          <w:sz w:val="18"/>
          <w:szCs w:val="18"/>
        </w:rPr>
        <w:t>The figure indicates that there was significant overlap in measured anti- isomer concentrations between some of the species, whereas there was clearer separation for the syn- isomer. Dechlorane Plus concentrations in biota measured in the study were 1 – 2 orders of magnitude lower than concentrations of BDE-47 and PCB-153 (the most abundant congeners found in the species studied) found in previous studies by the authors. However, the TMF for total Dechlorane Plus was approximately five times higher than that of total PBDEs (2.3), and was similar to that of total PCBs (11.1).</w:t>
      </w:r>
    </w:p>
    <w:p w14:paraId="3C8265EE" w14:textId="77777777" w:rsidR="00030CE7" w:rsidRPr="000C7CFA" w:rsidRDefault="00030CE7" w:rsidP="00030CE7">
      <w:pPr>
        <w:pStyle w:val="BodyText"/>
        <w:ind w:left="360" w:right="657"/>
        <w:rPr>
          <w:rFonts w:ascii="Verdana" w:hAnsi="Verdana"/>
          <w:sz w:val="18"/>
          <w:szCs w:val="18"/>
        </w:rPr>
      </w:pPr>
      <w:r w:rsidRPr="000C7CFA">
        <w:rPr>
          <w:rFonts w:ascii="Verdana" w:hAnsi="Verdana"/>
          <w:sz w:val="18"/>
          <w:szCs w:val="18"/>
        </w:rPr>
        <w:t>No information is provided in the paper about the age of the fish and reptile species sampled. Body burden might be linked with age, with older animals potentially accumulating more substance than younger ones due to increased exposure time (although growth dilution may limit the overall concentration). However, one of the study authors (Luo, pers. comm., 2015</w:t>
      </w:r>
      <w:r w:rsidRPr="000C7CFA">
        <w:rPr>
          <w:rStyle w:val="FootnoteReference"/>
          <w:rFonts w:ascii="Verdana" w:hAnsi="Verdana"/>
          <w:sz w:val="18"/>
          <w:szCs w:val="18"/>
        </w:rPr>
        <w:footnoteReference w:id="16"/>
      </w:r>
      <w:r w:rsidRPr="000C7CFA">
        <w:rPr>
          <w:rFonts w:ascii="Verdana" w:hAnsi="Verdana"/>
          <w:sz w:val="18"/>
          <w:szCs w:val="18"/>
        </w:rPr>
        <w:t xml:space="preserve">) confirmed that although the age of the sampled species was not established, </w:t>
      </w:r>
      <w:r w:rsidRPr="000C7CFA">
        <w:rPr>
          <w:rFonts w:ascii="Verdana" w:hAnsi="Verdana"/>
          <w:sz w:val="18"/>
          <w:szCs w:val="18"/>
          <w:lang w:val="en-US"/>
        </w:rPr>
        <w:t xml:space="preserve">fish length (5-12 cm) suggests that the fish at least were not more than two years old. </w:t>
      </w:r>
      <w:r w:rsidRPr="000C7CFA">
        <w:rPr>
          <w:rFonts w:ascii="Verdana" w:hAnsi="Verdana"/>
          <w:color w:val="000000"/>
          <w:sz w:val="18"/>
          <w:szCs w:val="18"/>
          <w:lang w:eastAsia="en-GB"/>
        </w:rPr>
        <w:t>Zhang</w:t>
      </w:r>
      <w:r w:rsidRPr="000C7CFA">
        <w:rPr>
          <w:rFonts w:ascii="Verdana" w:hAnsi="Verdana"/>
          <w:i/>
          <w:color w:val="000000"/>
          <w:sz w:val="18"/>
          <w:szCs w:val="18"/>
          <w:lang w:eastAsia="en-GB"/>
        </w:rPr>
        <w:t xml:space="preserve"> et al</w:t>
      </w:r>
      <w:r w:rsidRPr="000C7CFA">
        <w:rPr>
          <w:rFonts w:ascii="Verdana" w:hAnsi="Verdana"/>
          <w:color w:val="000000"/>
          <w:sz w:val="18"/>
          <w:szCs w:val="18"/>
          <w:lang w:eastAsia="en-GB"/>
        </w:rPr>
        <w:t>. (2011c) (see below) specifically said that t</w:t>
      </w:r>
      <w:r w:rsidRPr="000C7CFA">
        <w:rPr>
          <w:rFonts w:ascii="Verdana" w:hAnsi="Verdana"/>
          <w:sz w:val="18"/>
          <w:szCs w:val="18"/>
          <w:lang w:val="en-US"/>
        </w:rPr>
        <w:t>he body length of the sampled Northern Snakehead (14.1 – 16.7 cm) indicated that they were 1–2 years old.</w:t>
      </w:r>
    </w:p>
    <w:p w14:paraId="6A1B3ED1" w14:textId="4C3CB4D5" w:rsidR="00591815" w:rsidRPr="000C7CFA" w:rsidRDefault="00591815" w:rsidP="00591815">
      <w:pPr>
        <w:pStyle w:val="BodyText"/>
        <w:ind w:left="360" w:right="657"/>
        <w:rPr>
          <w:rFonts w:ascii="Verdana" w:hAnsi="Verdana"/>
          <w:sz w:val="18"/>
          <w:szCs w:val="18"/>
        </w:rPr>
      </w:pPr>
      <w:r w:rsidRPr="000C7CFA">
        <w:rPr>
          <w:rFonts w:ascii="Verdana" w:hAnsi="Verdana"/>
          <w:sz w:val="18"/>
          <w:szCs w:val="18"/>
        </w:rPr>
        <w:t>The paper does not indicate whether all the species sampled were in the same food web. The water snake feeds mainly on fish and occasionally amphibians</w:t>
      </w:r>
      <w:r w:rsidRPr="000C7CFA">
        <w:rPr>
          <w:rStyle w:val="FootnoteReference"/>
          <w:rFonts w:ascii="Verdana" w:hAnsi="Verdana"/>
          <w:sz w:val="18"/>
          <w:szCs w:val="18"/>
        </w:rPr>
        <w:footnoteReference w:id="17"/>
      </w:r>
      <w:r w:rsidRPr="000C7CFA">
        <w:rPr>
          <w:rFonts w:ascii="Verdana" w:hAnsi="Verdana"/>
          <w:sz w:val="18"/>
          <w:szCs w:val="18"/>
        </w:rPr>
        <w:t xml:space="preserve">, but it is not stated whether the size and species of fish included in this study would be part of its normal diet. In response, Luo (pers. comm., 2015) </w:t>
      </w:r>
      <w:r w:rsidRPr="000C7CFA">
        <w:rPr>
          <w:rFonts w:ascii="Verdana" w:hAnsi="Verdana"/>
          <w:sz w:val="18"/>
          <w:szCs w:val="18"/>
          <w:lang w:val="en-US"/>
        </w:rPr>
        <w:t>indicated that all the species sampled were from the same food chain as they were collected from the same small lake (100  m wide by 500 m long), and that the fish sampled would have been food items for the water snake</w:t>
      </w:r>
      <w:r w:rsidRPr="000C7CFA">
        <w:rPr>
          <w:rStyle w:val="FootnoteReference"/>
          <w:rFonts w:ascii="Verdana" w:hAnsi="Verdana"/>
          <w:sz w:val="18"/>
          <w:szCs w:val="18"/>
          <w:lang w:val="en-US"/>
        </w:rPr>
        <w:footnoteReference w:id="18"/>
      </w:r>
      <w:r w:rsidRPr="000C7CFA">
        <w:rPr>
          <w:rFonts w:ascii="Verdana" w:hAnsi="Verdana"/>
          <w:sz w:val="18"/>
          <w:szCs w:val="18"/>
          <w:lang w:val="en-US"/>
        </w:rPr>
        <w:t>.</w:t>
      </w:r>
      <w:r w:rsidRPr="000C7CFA">
        <w:rPr>
          <w:rFonts w:ascii="Verdana" w:hAnsi="Verdana"/>
          <w:sz w:val="18"/>
          <w:szCs w:val="18"/>
        </w:rPr>
        <w:t xml:space="preserve"> </w:t>
      </w:r>
    </w:p>
    <w:p w14:paraId="3245BC1B" w14:textId="77777777" w:rsidR="00A82C9E" w:rsidRPr="000C7CFA" w:rsidRDefault="00C62BF5" w:rsidP="007D0BEA">
      <w:pPr>
        <w:pStyle w:val="BodyText"/>
        <w:ind w:left="360" w:right="657"/>
        <w:rPr>
          <w:rFonts w:ascii="Verdana" w:hAnsi="Verdana"/>
          <w:sz w:val="18"/>
          <w:szCs w:val="18"/>
        </w:rPr>
      </w:pPr>
      <w:r w:rsidRPr="000C7CFA">
        <w:rPr>
          <w:rFonts w:ascii="Verdana" w:hAnsi="Verdana"/>
          <w:sz w:val="18"/>
          <w:szCs w:val="18"/>
        </w:rPr>
        <w:t>It should be noted that the Northern Snakehead data indicate a lack of biomagnification (and even biodilution for the ant</w:t>
      </w:r>
      <w:r w:rsidR="00807CB2" w:rsidRPr="000C7CFA">
        <w:rPr>
          <w:rFonts w:ascii="Verdana" w:hAnsi="Verdana"/>
          <w:sz w:val="18"/>
          <w:szCs w:val="18"/>
        </w:rPr>
        <w:t>i- is</w:t>
      </w:r>
      <w:r w:rsidRPr="000C7CFA">
        <w:rPr>
          <w:rFonts w:ascii="Verdana" w:hAnsi="Verdana"/>
          <w:sz w:val="18"/>
          <w:szCs w:val="18"/>
        </w:rPr>
        <w:t xml:space="preserve">omer) in at least some </w:t>
      </w:r>
      <w:r w:rsidRPr="000C7CFA">
        <w:rPr>
          <w:rFonts w:ascii="Verdana" w:hAnsi="Verdana"/>
          <w:sz w:val="18"/>
          <w:szCs w:val="18"/>
        </w:rPr>
        <w:lastRenderedPageBreak/>
        <w:t xml:space="preserve">feeding relationships. </w:t>
      </w:r>
      <w:r w:rsidR="00894FBD" w:rsidRPr="000C7CFA">
        <w:rPr>
          <w:rFonts w:ascii="Verdana" w:hAnsi="Verdana"/>
          <w:sz w:val="18"/>
          <w:szCs w:val="18"/>
        </w:rPr>
        <w:t>Only two snakes were sampled, so the representivity of the results are uncertain.</w:t>
      </w:r>
    </w:p>
    <w:p w14:paraId="384E2C07" w14:textId="77777777" w:rsidR="00A82C9E" w:rsidRPr="000C7CFA" w:rsidRDefault="00E30A11" w:rsidP="00C62BF5">
      <w:pPr>
        <w:pStyle w:val="BodyText"/>
        <w:ind w:left="360" w:right="657"/>
        <w:rPr>
          <w:rFonts w:ascii="Verdana" w:hAnsi="Verdana"/>
          <w:sz w:val="18"/>
          <w:szCs w:val="18"/>
        </w:rPr>
      </w:pPr>
      <w:r w:rsidRPr="000C7CFA">
        <w:rPr>
          <w:rFonts w:ascii="Verdana" w:hAnsi="Verdana"/>
          <w:sz w:val="18"/>
          <w:szCs w:val="18"/>
        </w:rPr>
        <w:t>Th</w:t>
      </w:r>
      <w:r w:rsidR="00C62BF5" w:rsidRPr="000C7CFA">
        <w:rPr>
          <w:rFonts w:ascii="Verdana" w:hAnsi="Verdana"/>
          <w:sz w:val="18"/>
          <w:szCs w:val="18"/>
        </w:rPr>
        <w:t xml:space="preserve">e three benthic-feeding carp species all have lipid normalised concentrations that are higher than both prawn and Chinese mystery snail, which seem likely to be part of their diet to some extent. However, </w:t>
      </w:r>
      <w:r w:rsidRPr="000C7CFA">
        <w:rPr>
          <w:rFonts w:ascii="Verdana" w:hAnsi="Verdana"/>
          <w:sz w:val="18"/>
          <w:szCs w:val="18"/>
        </w:rPr>
        <w:t>these fish species are bottom feeders so may also be exposed to the substance adsorbed to sediment (which is significantly contaminated at this location</w:t>
      </w:r>
      <w:r w:rsidR="005F6769" w:rsidRPr="000C7CFA">
        <w:rPr>
          <w:rFonts w:ascii="Verdana" w:hAnsi="Verdana"/>
          <w:sz w:val="18"/>
          <w:szCs w:val="18"/>
        </w:rPr>
        <w:t xml:space="preserve"> – see below</w:t>
      </w:r>
      <w:r w:rsidRPr="000C7CFA">
        <w:rPr>
          <w:rFonts w:ascii="Verdana" w:hAnsi="Verdana"/>
          <w:sz w:val="18"/>
          <w:szCs w:val="18"/>
        </w:rPr>
        <w:t xml:space="preserve">). </w:t>
      </w:r>
    </w:p>
    <w:p w14:paraId="29FBE8AD" w14:textId="77777777" w:rsidR="00A82C9E" w:rsidRPr="000C7CFA" w:rsidRDefault="00E30A11" w:rsidP="00C62BF5">
      <w:pPr>
        <w:pStyle w:val="BodyText"/>
        <w:ind w:left="360" w:right="657"/>
        <w:rPr>
          <w:rFonts w:ascii="Verdana" w:hAnsi="Verdana"/>
          <w:sz w:val="18"/>
          <w:szCs w:val="18"/>
        </w:rPr>
      </w:pPr>
      <w:r w:rsidRPr="000C7CFA">
        <w:rPr>
          <w:rFonts w:ascii="Verdana" w:hAnsi="Verdana"/>
          <w:sz w:val="18"/>
          <w:szCs w:val="18"/>
        </w:rPr>
        <w:t>In addition, some oth</w:t>
      </w:r>
      <w:r w:rsidR="00C62BF5" w:rsidRPr="000C7CFA">
        <w:rPr>
          <w:rFonts w:ascii="Verdana" w:hAnsi="Verdana"/>
          <w:sz w:val="18"/>
          <w:szCs w:val="18"/>
        </w:rPr>
        <w:t xml:space="preserve">er studies have suggested that factors other than lipid may be important for the bioaccumulation of this substance, which may make lipid normalisation of the data less appropriate. </w:t>
      </w:r>
    </w:p>
    <w:p w14:paraId="401A1069" w14:textId="5BB5B111" w:rsidR="00C62BF5" w:rsidRPr="000C7CFA" w:rsidRDefault="00C62BF5" w:rsidP="00C62BF5">
      <w:pPr>
        <w:pStyle w:val="BodyText"/>
        <w:ind w:left="360" w:right="657"/>
        <w:rPr>
          <w:rFonts w:ascii="Verdana" w:hAnsi="Verdana"/>
          <w:sz w:val="18"/>
          <w:szCs w:val="18"/>
        </w:rPr>
      </w:pPr>
      <w:r w:rsidRPr="000C7CFA">
        <w:rPr>
          <w:rFonts w:ascii="Verdana" w:hAnsi="Verdana"/>
          <w:sz w:val="18"/>
          <w:szCs w:val="18"/>
        </w:rPr>
        <w:t xml:space="preserve">Therefore, </w:t>
      </w:r>
      <w:r w:rsidR="00A82C9E" w:rsidRPr="000C7CFA">
        <w:rPr>
          <w:rFonts w:ascii="Verdana" w:hAnsi="Verdana"/>
          <w:sz w:val="18"/>
          <w:szCs w:val="18"/>
        </w:rPr>
        <w:t>it appears reasonable to conclude that the study indicates biomagnification for some feeding relationships</w:t>
      </w:r>
      <w:r w:rsidR="00416E84" w:rsidRPr="000C7CFA">
        <w:rPr>
          <w:rFonts w:ascii="Verdana" w:hAnsi="Verdana"/>
          <w:sz w:val="18"/>
          <w:szCs w:val="18"/>
        </w:rPr>
        <w:t xml:space="preserve"> in this aquatic food chain</w:t>
      </w:r>
      <w:r w:rsidR="00E655CD" w:rsidRPr="000C7CFA">
        <w:rPr>
          <w:rFonts w:ascii="Verdana" w:hAnsi="Verdana"/>
          <w:sz w:val="18"/>
          <w:szCs w:val="18"/>
        </w:rPr>
        <w:t>, although given the small sample numbers involved, this conclusion is not unequivocal</w:t>
      </w:r>
      <w:r w:rsidRPr="000C7CFA">
        <w:rPr>
          <w:rFonts w:ascii="Verdana" w:hAnsi="Verdana"/>
          <w:sz w:val="18"/>
          <w:szCs w:val="18"/>
        </w:rPr>
        <w:t xml:space="preserve">.  </w:t>
      </w:r>
      <w:r w:rsidR="000A653E" w:rsidRPr="000C7CFA">
        <w:rPr>
          <w:rFonts w:ascii="Verdana" w:hAnsi="Verdana"/>
          <w:color w:val="000000"/>
          <w:sz w:val="18"/>
          <w:szCs w:val="18"/>
        </w:rPr>
        <w:t>This study is included in the registration dossier and is considered fully reliable by the</w:t>
      </w:r>
      <w:r w:rsidR="00A43C45" w:rsidRPr="000C7CFA">
        <w:rPr>
          <w:rFonts w:ascii="Verdana" w:hAnsi="Verdana"/>
          <w:color w:val="000000"/>
          <w:sz w:val="18"/>
          <w:szCs w:val="18"/>
        </w:rPr>
        <w:t xml:space="preserve"> Registrant</w:t>
      </w:r>
      <w:r w:rsidR="000A653E" w:rsidRPr="000C7CFA">
        <w:rPr>
          <w:rFonts w:ascii="Verdana" w:hAnsi="Verdana"/>
          <w:color w:val="000000"/>
          <w:sz w:val="18"/>
          <w:szCs w:val="18"/>
        </w:rPr>
        <w:t>.</w:t>
      </w:r>
    </w:p>
    <w:p w14:paraId="42F464A3" w14:textId="2E04720F" w:rsidR="0022668F" w:rsidRPr="000C7CFA" w:rsidRDefault="0022668F" w:rsidP="0022668F">
      <w:pPr>
        <w:pStyle w:val="NoSpacing"/>
        <w:spacing w:after="180"/>
        <w:ind w:left="360" w:right="657"/>
        <w:jc w:val="both"/>
        <w:rPr>
          <w:rFonts w:ascii="Verdana" w:hAnsi="Verdana"/>
          <w:sz w:val="18"/>
          <w:szCs w:val="18"/>
        </w:rPr>
      </w:pPr>
      <w:r w:rsidRPr="000C7CFA">
        <w:rPr>
          <w:rFonts w:ascii="Verdana" w:hAnsi="Verdana" w:cs="Times New Roman"/>
          <w:color w:val="000000"/>
          <w:sz w:val="18"/>
          <w:szCs w:val="18"/>
          <w:lang w:eastAsia="en-GB"/>
        </w:rPr>
        <w:t>Zhang</w:t>
      </w:r>
      <w:r w:rsidRPr="000C7CFA">
        <w:rPr>
          <w:rFonts w:ascii="Verdana" w:hAnsi="Verdana" w:cs="Times New Roman"/>
          <w:i/>
          <w:color w:val="000000"/>
          <w:sz w:val="18"/>
          <w:szCs w:val="18"/>
          <w:lang w:eastAsia="en-GB"/>
        </w:rPr>
        <w:t xml:space="preserve"> et al</w:t>
      </w:r>
      <w:r w:rsidRPr="000C7CFA">
        <w:rPr>
          <w:rFonts w:ascii="Verdana" w:hAnsi="Verdana" w:cs="Times New Roman"/>
          <w:color w:val="000000"/>
          <w:sz w:val="18"/>
          <w:szCs w:val="18"/>
          <w:lang w:eastAsia="en-GB"/>
        </w:rPr>
        <w:t>. (2011c) reported biota-sediment accumulation factors (BSAFs) using the same data set</w:t>
      </w:r>
      <w:r w:rsidRPr="000C7CFA">
        <w:rPr>
          <w:rFonts w:ascii="Verdana" w:hAnsi="Verdana" w:cs="Times New Roman"/>
          <w:sz w:val="18"/>
          <w:szCs w:val="18"/>
          <w:lang w:val="en-US"/>
        </w:rPr>
        <w:t xml:space="preserve">. </w:t>
      </w:r>
      <w:r w:rsidR="00BE4203" w:rsidRPr="000C7CFA">
        <w:rPr>
          <w:rFonts w:ascii="Verdana" w:hAnsi="Verdana" w:cs="Times New Roman"/>
          <w:color w:val="000000"/>
          <w:sz w:val="18"/>
          <w:szCs w:val="18"/>
        </w:rPr>
        <w:t>This study is</w:t>
      </w:r>
      <w:r w:rsidR="000A653E" w:rsidRPr="000C7CFA">
        <w:rPr>
          <w:rFonts w:ascii="Verdana" w:hAnsi="Verdana" w:cs="Times New Roman"/>
          <w:color w:val="000000"/>
          <w:sz w:val="18"/>
          <w:szCs w:val="18"/>
        </w:rPr>
        <w:t xml:space="preserve"> also</w:t>
      </w:r>
      <w:r w:rsidR="00BE4203" w:rsidRPr="000C7CFA">
        <w:rPr>
          <w:rFonts w:ascii="Verdana" w:hAnsi="Verdana" w:cs="Times New Roman"/>
          <w:color w:val="000000"/>
          <w:sz w:val="18"/>
          <w:szCs w:val="18"/>
        </w:rPr>
        <w:t xml:space="preserve"> included in the registration dossier and is considered fully reliable by the</w:t>
      </w:r>
      <w:r w:rsidR="00A43C45" w:rsidRPr="000C7CFA">
        <w:rPr>
          <w:rFonts w:ascii="Verdana" w:hAnsi="Verdana" w:cs="Times New Roman"/>
          <w:color w:val="000000"/>
          <w:sz w:val="18"/>
          <w:szCs w:val="18"/>
        </w:rPr>
        <w:t xml:space="preserve"> Registrant</w:t>
      </w:r>
      <w:r w:rsidR="00BE4203" w:rsidRPr="000C7CFA">
        <w:rPr>
          <w:rFonts w:ascii="Verdana" w:hAnsi="Verdana" w:cs="Times New Roman"/>
          <w:color w:val="000000"/>
          <w:sz w:val="18"/>
          <w:szCs w:val="18"/>
        </w:rPr>
        <w:t xml:space="preserve">. </w:t>
      </w:r>
      <w:r w:rsidRPr="000C7CFA">
        <w:rPr>
          <w:rFonts w:ascii="Verdana" w:hAnsi="Verdana" w:cs="Times New Roman"/>
          <w:sz w:val="18"/>
          <w:szCs w:val="18"/>
          <w:lang w:val="en-US"/>
        </w:rPr>
        <w:t>Average BSAFs for total isomers (defined as the lipid normalized concentration in the fish divided by the organic carbon normalized sediment concentration) were 0.004, 0.025, and 0.003 in Crucian Carp</w:t>
      </w:r>
      <w:r w:rsidR="00034D2E" w:rsidRPr="000C7CFA">
        <w:rPr>
          <w:rFonts w:ascii="Verdana" w:hAnsi="Verdana" w:cs="Times New Roman"/>
          <w:sz w:val="18"/>
          <w:szCs w:val="18"/>
          <w:lang w:val="en-US"/>
        </w:rPr>
        <w:t xml:space="preserve"> (n=6)</w:t>
      </w:r>
      <w:r w:rsidRPr="000C7CFA">
        <w:rPr>
          <w:rFonts w:ascii="Verdana" w:hAnsi="Verdana" w:cs="Times New Roman"/>
          <w:sz w:val="18"/>
          <w:szCs w:val="18"/>
          <w:lang w:val="en-US"/>
        </w:rPr>
        <w:t xml:space="preserve">, Mud Carp </w:t>
      </w:r>
      <w:r w:rsidR="00034D2E" w:rsidRPr="000C7CFA">
        <w:rPr>
          <w:rFonts w:ascii="Verdana" w:hAnsi="Verdana" w:cs="Times New Roman"/>
          <w:sz w:val="18"/>
          <w:szCs w:val="18"/>
          <w:lang w:val="en-US"/>
        </w:rPr>
        <w:t xml:space="preserve">(n=7) </w:t>
      </w:r>
      <w:r w:rsidRPr="000C7CFA">
        <w:rPr>
          <w:rFonts w:ascii="Verdana" w:hAnsi="Verdana" w:cs="Times New Roman"/>
          <w:sz w:val="18"/>
          <w:szCs w:val="18"/>
          <w:lang w:val="en-US"/>
        </w:rPr>
        <w:t>and Northern Snakehead</w:t>
      </w:r>
      <w:r w:rsidR="00034D2E" w:rsidRPr="000C7CFA">
        <w:rPr>
          <w:rFonts w:ascii="Verdana" w:hAnsi="Verdana" w:cs="Times New Roman"/>
          <w:sz w:val="18"/>
          <w:szCs w:val="18"/>
          <w:lang w:val="en-US"/>
        </w:rPr>
        <w:t xml:space="preserve"> (n=6)</w:t>
      </w:r>
      <w:r w:rsidRPr="000C7CFA">
        <w:rPr>
          <w:rFonts w:ascii="Verdana" w:hAnsi="Verdana" w:cs="Times New Roman"/>
          <w:sz w:val="18"/>
          <w:szCs w:val="18"/>
          <w:lang w:val="en-US"/>
        </w:rPr>
        <w:t xml:space="preserve"> respectively</w:t>
      </w:r>
      <w:r w:rsidR="00034D2E" w:rsidRPr="000C7CFA">
        <w:rPr>
          <w:rFonts w:ascii="Verdana" w:hAnsi="Verdana" w:cs="Times New Roman"/>
          <w:sz w:val="18"/>
          <w:szCs w:val="18"/>
          <w:lang w:val="en-US"/>
        </w:rPr>
        <w:t>. These values are based on mean sediment concentrations from three samples.</w:t>
      </w:r>
      <w:r w:rsidRPr="000C7CFA">
        <w:rPr>
          <w:rFonts w:ascii="Verdana" w:hAnsi="Verdana" w:cs="Times New Roman"/>
          <w:sz w:val="18"/>
          <w:szCs w:val="18"/>
          <w:lang w:val="en-US"/>
        </w:rPr>
        <w:t xml:space="preserve"> </w:t>
      </w:r>
      <w:r w:rsidR="0060361F" w:rsidRPr="000C7CFA">
        <w:rPr>
          <w:rFonts w:ascii="Verdana" w:hAnsi="Verdana" w:cs="Times New Roman"/>
          <w:sz w:val="18"/>
          <w:szCs w:val="18"/>
        </w:rPr>
        <w:t>The</w:t>
      </w:r>
      <w:r w:rsidRPr="000C7CFA">
        <w:rPr>
          <w:rFonts w:ascii="Verdana" w:hAnsi="Verdana" w:cs="Times New Roman"/>
          <w:sz w:val="18"/>
          <w:szCs w:val="18"/>
        </w:rPr>
        <w:t xml:space="preserve">re is no information about how the BSAF varies with sediment concentration, but the study authors noted that much higher BSAFs were obtained in the studies of Shen </w:t>
      </w:r>
      <w:r w:rsidRPr="000C7CFA">
        <w:rPr>
          <w:rFonts w:ascii="Verdana" w:hAnsi="Verdana" w:cs="Times New Roman"/>
          <w:i/>
          <w:sz w:val="18"/>
          <w:szCs w:val="18"/>
        </w:rPr>
        <w:t>et al</w:t>
      </w:r>
      <w:r w:rsidRPr="000C7CFA">
        <w:rPr>
          <w:rFonts w:ascii="Verdana" w:hAnsi="Verdana" w:cs="Times New Roman"/>
          <w:sz w:val="18"/>
          <w:szCs w:val="18"/>
        </w:rPr>
        <w:t xml:space="preserve">. (2011) and Jia </w:t>
      </w:r>
      <w:r w:rsidRPr="000C7CFA">
        <w:rPr>
          <w:rFonts w:ascii="Verdana" w:hAnsi="Verdana" w:cs="Times New Roman"/>
          <w:i/>
          <w:sz w:val="18"/>
          <w:szCs w:val="18"/>
        </w:rPr>
        <w:t>et al</w:t>
      </w:r>
      <w:r w:rsidRPr="000C7CFA">
        <w:rPr>
          <w:rFonts w:ascii="Verdana" w:hAnsi="Verdana" w:cs="Times New Roman"/>
          <w:sz w:val="18"/>
          <w:szCs w:val="18"/>
        </w:rPr>
        <w:t>. (2011)</w:t>
      </w:r>
      <w:r w:rsidR="00E7491E" w:rsidRPr="000C7CFA">
        <w:rPr>
          <w:rFonts w:ascii="Verdana" w:hAnsi="Verdana" w:cs="Times New Roman"/>
          <w:sz w:val="18"/>
          <w:szCs w:val="18"/>
        </w:rPr>
        <w:t xml:space="preserve"> (see below)</w:t>
      </w:r>
      <w:r w:rsidRPr="000C7CFA">
        <w:rPr>
          <w:rFonts w:ascii="Verdana" w:hAnsi="Verdana" w:cs="Times New Roman"/>
          <w:sz w:val="18"/>
          <w:szCs w:val="18"/>
        </w:rPr>
        <w:t xml:space="preserve">. </w:t>
      </w:r>
      <w:r w:rsidR="0060361F" w:rsidRPr="000C7CFA">
        <w:rPr>
          <w:rFonts w:ascii="Verdana" w:hAnsi="Verdana" w:cs="Times New Roman"/>
          <w:sz w:val="18"/>
          <w:szCs w:val="18"/>
          <w:lang w:val="en-US"/>
        </w:rPr>
        <w:t>The</w:t>
      </w:r>
      <w:r w:rsidR="00A44305" w:rsidRPr="000C7CFA">
        <w:rPr>
          <w:rFonts w:ascii="Verdana" w:hAnsi="Verdana" w:cs="Times New Roman"/>
          <w:sz w:val="18"/>
          <w:szCs w:val="18"/>
          <w:lang w:val="en-US"/>
        </w:rPr>
        <w:t xml:space="preserve">y were derived on different bases, but the paper comments that the </w:t>
      </w:r>
      <w:r w:rsidRPr="000C7CFA">
        <w:rPr>
          <w:rFonts w:ascii="Verdana" w:hAnsi="Verdana" w:cs="Times New Roman"/>
          <w:sz w:val="18"/>
          <w:szCs w:val="18"/>
          <w:lang w:val="en-US"/>
        </w:rPr>
        <w:t xml:space="preserve">lower BSAFs in this study may reflect non-equilibrium conditions between sediment and fish (although there is no direct evidence for this).  </w:t>
      </w:r>
    </w:p>
    <w:p w14:paraId="34C5888C" w14:textId="754FB594" w:rsidR="005F6769" w:rsidRPr="000C7CFA" w:rsidRDefault="0022668F" w:rsidP="00034D2E">
      <w:pPr>
        <w:pStyle w:val="NoSpacing"/>
        <w:spacing w:after="180"/>
        <w:ind w:left="360" w:right="657"/>
        <w:jc w:val="both"/>
        <w:rPr>
          <w:rFonts w:ascii="Verdana" w:hAnsi="Verdana" w:cs="Times New Roman"/>
          <w:sz w:val="18"/>
          <w:szCs w:val="18"/>
          <w:lang w:val="en-US"/>
        </w:rPr>
      </w:pPr>
      <w:r w:rsidRPr="000C7CFA">
        <w:rPr>
          <w:rFonts w:ascii="Verdana" w:hAnsi="Verdana" w:cs="Times New Roman"/>
          <w:sz w:val="18"/>
          <w:szCs w:val="18"/>
          <w:lang w:val="en-US"/>
        </w:rPr>
        <w:t xml:space="preserve">Several extremely hydrophobic polychlorobiphenyls (PCB-199, -203, -207 and -208) and decabromodiphenyl ether (BDE-209) were also investigated in the same sample set. The average BSAFs for PCBs were higher than those for Dechlorane Plus, which was thought to reflect their higher </w:t>
      </w:r>
      <w:r w:rsidR="00F064B6" w:rsidRPr="000C7CFA">
        <w:rPr>
          <w:rFonts w:ascii="Verdana" w:hAnsi="Verdana" w:cs="Times New Roman"/>
          <w:sz w:val="18"/>
          <w:szCs w:val="18"/>
          <w:lang w:val="en-US"/>
        </w:rPr>
        <w:t>bioavaila</w:t>
      </w:r>
      <w:r w:rsidR="00BB3D8A" w:rsidRPr="000C7CFA">
        <w:rPr>
          <w:rFonts w:ascii="Verdana" w:hAnsi="Verdana" w:cs="Times New Roman"/>
          <w:sz w:val="18"/>
          <w:szCs w:val="18"/>
          <w:lang w:val="en-US"/>
        </w:rPr>
        <w:t>b</w:t>
      </w:r>
      <w:r w:rsidR="00F064B6" w:rsidRPr="000C7CFA">
        <w:rPr>
          <w:rFonts w:ascii="Verdana" w:hAnsi="Verdana" w:cs="Times New Roman"/>
          <w:sz w:val="18"/>
          <w:szCs w:val="18"/>
          <w:lang w:val="en-US"/>
        </w:rPr>
        <w:t>ility/</w:t>
      </w:r>
      <w:r w:rsidRPr="000C7CFA">
        <w:rPr>
          <w:rFonts w:ascii="Verdana" w:hAnsi="Verdana" w:cs="Times New Roman"/>
          <w:sz w:val="18"/>
          <w:szCs w:val="18"/>
          <w:lang w:val="en-US"/>
        </w:rPr>
        <w:t>biomagnifica</w:t>
      </w:r>
      <w:r w:rsidR="008A0AAE" w:rsidRPr="000C7CFA">
        <w:rPr>
          <w:rFonts w:ascii="Verdana" w:hAnsi="Verdana" w:cs="Times New Roman"/>
          <w:sz w:val="18"/>
          <w:szCs w:val="18"/>
          <w:lang w:val="en-US"/>
        </w:rPr>
        <w:t>t</w:t>
      </w:r>
      <w:r w:rsidRPr="000C7CFA">
        <w:rPr>
          <w:rFonts w:ascii="Verdana" w:hAnsi="Verdana" w:cs="Times New Roman"/>
          <w:sz w:val="18"/>
          <w:szCs w:val="18"/>
          <w:lang w:val="en-US"/>
        </w:rPr>
        <w:t>ion potential.</w:t>
      </w:r>
      <w:r w:rsidR="00F064B6" w:rsidRPr="000C7CFA">
        <w:rPr>
          <w:rFonts w:ascii="Verdana" w:hAnsi="Verdana" w:cs="Times New Roman"/>
          <w:sz w:val="18"/>
          <w:szCs w:val="18"/>
          <w:lang w:val="en-US"/>
        </w:rPr>
        <w:t xml:space="preserve"> </w:t>
      </w:r>
      <w:r w:rsidR="00034D2E" w:rsidRPr="000C7CFA">
        <w:rPr>
          <w:rFonts w:ascii="Verdana" w:hAnsi="Verdana" w:cs="Times New Roman"/>
          <w:sz w:val="18"/>
          <w:szCs w:val="18"/>
          <w:lang w:val="en-US"/>
        </w:rPr>
        <w:t xml:space="preserve">However, the sediment concentrations of both Dechlorane Plus and BDE-209 were much higher than the PCBs, so if the levels in the organisms had reached saturation, the BSAF based on these high sediment concentrations could underestimate the level of bioaccumulation. Levels of BDE-209 in two of the fish species were in fact greater than all the other substances (levels of Dechlorane Plus were </w:t>
      </w:r>
      <w:r w:rsidR="00A96C56" w:rsidRPr="000C7CFA">
        <w:rPr>
          <w:rFonts w:ascii="Verdana" w:hAnsi="Verdana" w:cs="Times New Roman"/>
          <w:sz w:val="18"/>
          <w:szCs w:val="18"/>
          <w:lang w:val="en-US"/>
        </w:rPr>
        <w:t xml:space="preserve">also </w:t>
      </w:r>
      <w:r w:rsidR="00034D2E" w:rsidRPr="000C7CFA">
        <w:rPr>
          <w:rFonts w:ascii="Verdana" w:hAnsi="Verdana" w:cs="Times New Roman"/>
          <w:sz w:val="18"/>
          <w:szCs w:val="18"/>
          <w:lang w:val="en-US"/>
        </w:rPr>
        <w:t>higher than those of PCB-207 and -208 in all three species).</w:t>
      </w:r>
    </w:p>
    <w:p w14:paraId="191439B4" w14:textId="77777777" w:rsidR="00034D2E" w:rsidRPr="000C7CFA" w:rsidRDefault="00034D2E" w:rsidP="00034D2E">
      <w:pPr>
        <w:pStyle w:val="NoSpacing"/>
        <w:spacing w:after="180"/>
        <w:ind w:left="360" w:right="657"/>
        <w:jc w:val="both"/>
        <w:rPr>
          <w:rFonts w:ascii="Verdana" w:hAnsi="Verdana" w:cs="Times New Roman"/>
          <w:sz w:val="18"/>
          <w:szCs w:val="18"/>
          <w:lang w:val="en-US"/>
        </w:rPr>
      </w:pPr>
    </w:p>
    <w:p w14:paraId="37F675DF" w14:textId="77777777" w:rsidR="00C4272C" w:rsidRPr="000C7CFA" w:rsidRDefault="00C4272C" w:rsidP="00DC3658">
      <w:pPr>
        <w:pStyle w:val="BodyText"/>
        <w:numPr>
          <w:ilvl w:val="0"/>
          <w:numId w:val="6"/>
        </w:numPr>
        <w:ind w:right="657"/>
        <w:rPr>
          <w:rFonts w:ascii="Verdana" w:hAnsi="Verdana"/>
          <w:sz w:val="18"/>
          <w:szCs w:val="18"/>
        </w:rPr>
      </w:pPr>
      <w:r w:rsidRPr="000C7CFA">
        <w:rPr>
          <w:rFonts w:ascii="Verdana" w:hAnsi="Verdana"/>
          <w:sz w:val="18"/>
          <w:szCs w:val="18"/>
          <w:u w:val="single"/>
        </w:rPr>
        <w:t xml:space="preserve">Tomy </w:t>
      </w:r>
      <w:r w:rsidRPr="000C7CFA">
        <w:rPr>
          <w:rFonts w:ascii="Verdana" w:hAnsi="Verdana"/>
          <w:i/>
          <w:sz w:val="18"/>
          <w:szCs w:val="18"/>
          <w:u w:val="single"/>
        </w:rPr>
        <w:t>et al</w:t>
      </w:r>
      <w:r w:rsidRPr="000C7CFA">
        <w:rPr>
          <w:rFonts w:ascii="Verdana" w:hAnsi="Verdana"/>
          <w:sz w:val="18"/>
          <w:szCs w:val="18"/>
          <w:u w:val="single"/>
        </w:rPr>
        <w:t>. (2007)</w:t>
      </w:r>
      <w:r w:rsidRPr="000C7CFA">
        <w:rPr>
          <w:rFonts w:ascii="Verdana" w:hAnsi="Verdana"/>
          <w:sz w:val="18"/>
          <w:szCs w:val="18"/>
        </w:rPr>
        <w:t xml:space="preserve"> assessed the extent of bioaccumulation of Dechlorane Plus using archived samples from Lake Ontario and Lake Winnipeg (Canada). Samples were said to </w:t>
      </w:r>
      <w:r w:rsidR="003D063E" w:rsidRPr="000C7CFA">
        <w:rPr>
          <w:rFonts w:ascii="Verdana" w:hAnsi="Verdana"/>
          <w:sz w:val="18"/>
          <w:szCs w:val="18"/>
        </w:rPr>
        <w:t xml:space="preserve">have </w:t>
      </w:r>
      <w:r w:rsidRPr="000C7CFA">
        <w:rPr>
          <w:rFonts w:ascii="Verdana" w:hAnsi="Verdana"/>
          <w:sz w:val="18"/>
          <w:szCs w:val="18"/>
        </w:rPr>
        <w:t>be</w:t>
      </w:r>
      <w:r w:rsidR="003D063E" w:rsidRPr="000C7CFA">
        <w:rPr>
          <w:rFonts w:ascii="Verdana" w:hAnsi="Verdana"/>
          <w:sz w:val="18"/>
          <w:szCs w:val="18"/>
        </w:rPr>
        <w:t>en</w:t>
      </w:r>
      <w:r w:rsidRPr="000C7CFA">
        <w:rPr>
          <w:rFonts w:ascii="Verdana" w:hAnsi="Verdana"/>
          <w:sz w:val="18"/>
          <w:szCs w:val="18"/>
        </w:rPr>
        <w:t xml:space="preserve"> collected between 2000 and 2003 (although the source documents suggest 2000 and 2002). Additional sediment samples from the central basin of Lake Ontario c</w:t>
      </w:r>
      <w:r w:rsidR="003D063E" w:rsidRPr="000C7CFA">
        <w:rPr>
          <w:rFonts w:ascii="Verdana" w:hAnsi="Verdana"/>
          <w:sz w:val="18"/>
          <w:szCs w:val="18"/>
        </w:rPr>
        <w:t>ollected in 1998 were also used</w:t>
      </w:r>
      <w:r w:rsidRPr="000C7CFA">
        <w:rPr>
          <w:rFonts w:ascii="Verdana" w:hAnsi="Verdana"/>
          <w:sz w:val="18"/>
          <w:szCs w:val="18"/>
        </w:rPr>
        <w:t>.</w:t>
      </w:r>
    </w:p>
    <w:p w14:paraId="0514D0CB" w14:textId="0DF5E95A" w:rsidR="00C4272C" w:rsidRPr="000C7CFA" w:rsidRDefault="00C4272C" w:rsidP="00C4272C">
      <w:pPr>
        <w:pStyle w:val="BodyText"/>
        <w:ind w:left="360" w:right="657"/>
        <w:rPr>
          <w:rFonts w:ascii="Verdana" w:hAnsi="Verdana"/>
          <w:sz w:val="18"/>
          <w:szCs w:val="18"/>
        </w:rPr>
      </w:pPr>
      <w:r w:rsidRPr="000C7CFA">
        <w:rPr>
          <w:rFonts w:ascii="Verdana" w:hAnsi="Verdana"/>
          <w:sz w:val="18"/>
          <w:szCs w:val="18"/>
        </w:rPr>
        <w:t xml:space="preserve">The sampling regime is reported in two separate papers. For Lake Winnipeg, Law </w:t>
      </w:r>
      <w:r w:rsidRPr="000C7CFA">
        <w:rPr>
          <w:rFonts w:ascii="Verdana" w:hAnsi="Verdana"/>
          <w:i/>
          <w:sz w:val="18"/>
          <w:szCs w:val="18"/>
        </w:rPr>
        <w:t>et al</w:t>
      </w:r>
      <w:r w:rsidRPr="000C7CFA">
        <w:rPr>
          <w:rFonts w:ascii="Verdana" w:hAnsi="Verdana"/>
          <w:sz w:val="18"/>
          <w:szCs w:val="18"/>
        </w:rPr>
        <w:t xml:space="preserve">. (2006) reported that the biota samples were collected between 2000 and 2002 offshore of the town of Gimli on the south basin of the lake. Skinless muscle tissue samples were prepared for each fish, and mussels (zooplankton and some smaller fish species were processed as composites due to the limited quantity of sample material). Surface sediment (top 2 cm) grab samples (n = 4) were collected from four sites in the south basin of the lake. Biota samples included Walleye </w:t>
      </w:r>
      <w:r w:rsidRPr="000C7CFA">
        <w:rPr>
          <w:rFonts w:ascii="Verdana" w:hAnsi="Verdana"/>
          <w:i/>
          <w:sz w:val="18"/>
          <w:szCs w:val="18"/>
        </w:rPr>
        <w:t>Stizostedion vitreum</w:t>
      </w:r>
      <w:r w:rsidRPr="000C7CFA">
        <w:rPr>
          <w:rFonts w:ascii="Verdana" w:hAnsi="Verdana"/>
          <w:sz w:val="18"/>
          <w:szCs w:val="18"/>
        </w:rPr>
        <w:t xml:space="preserve"> (n = 5), Burbot </w:t>
      </w:r>
      <w:r w:rsidRPr="000C7CFA">
        <w:rPr>
          <w:rFonts w:ascii="Verdana" w:hAnsi="Verdana"/>
          <w:i/>
          <w:sz w:val="18"/>
          <w:szCs w:val="18"/>
        </w:rPr>
        <w:t>Lota</w:t>
      </w:r>
      <w:r w:rsidRPr="000C7CFA">
        <w:rPr>
          <w:rFonts w:ascii="Verdana" w:hAnsi="Verdana"/>
          <w:sz w:val="18"/>
          <w:szCs w:val="18"/>
        </w:rPr>
        <w:t xml:space="preserve"> (n = 5), Emerald Shiner </w:t>
      </w:r>
      <w:r w:rsidRPr="000C7CFA">
        <w:rPr>
          <w:rFonts w:ascii="Verdana" w:hAnsi="Verdana"/>
          <w:i/>
          <w:sz w:val="18"/>
          <w:szCs w:val="18"/>
        </w:rPr>
        <w:t>Notropis atherinoides</w:t>
      </w:r>
      <w:r w:rsidRPr="000C7CFA">
        <w:rPr>
          <w:rFonts w:ascii="Verdana" w:hAnsi="Verdana"/>
          <w:sz w:val="18"/>
          <w:szCs w:val="18"/>
        </w:rPr>
        <w:t xml:space="preserve"> (n = 5), Whitefish </w:t>
      </w:r>
      <w:r w:rsidRPr="000C7CFA">
        <w:rPr>
          <w:rFonts w:ascii="Verdana" w:hAnsi="Verdana"/>
          <w:i/>
          <w:sz w:val="18"/>
          <w:szCs w:val="18"/>
        </w:rPr>
        <w:t>Coregonus clupeaformis</w:t>
      </w:r>
      <w:r w:rsidRPr="000C7CFA">
        <w:rPr>
          <w:rFonts w:ascii="Verdana" w:hAnsi="Verdana"/>
          <w:sz w:val="18"/>
          <w:szCs w:val="18"/>
        </w:rPr>
        <w:t xml:space="preserve"> (n = 5), White Sucker </w:t>
      </w:r>
      <w:r w:rsidRPr="000C7CFA">
        <w:rPr>
          <w:rFonts w:ascii="Verdana" w:hAnsi="Verdana"/>
          <w:i/>
          <w:sz w:val="18"/>
          <w:szCs w:val="18"/>
        </w:rPr>
        <w:t>Catostomus commersoni</w:t>
      </w:r>
      <w:r w:rsidRPr="000C7CFA">
        <w:rPr>
          <w:rFonts w:ascii="Verdana" w:hAnsi="Verdana"/>
          <w:sz w:val="18"/>
          <w:szCs w:val="18"/>
        </w:rPr>
        <w:t xml:space="preserve"> (n = 5), Goldeye </w:t>
      </w:r>
      <w:r w:rsidRPr="000C7CFA">
        <w:rPr>
          <w:rFonts w:ascii="Verdana" w:hAnsi="Verdana"/>
          <w:i/>
          <w:sz w:val="18"/>
          <w:szCs w:val="18"/>
        </w:rPr>
        <w:t>Hiodon alosoides</w:t>
      </w:r>
      <w:r w:rsidRPr="000C7CFA">
        <w:rPr>
          <w:rFonts w:ascii="Verdana" w:hAnsi="Verdana"/>
          <w:sz w:val="18"/>
          <w:szCs w:val="18"/>
        </w:rPr>
        <w:t xml:space="preserve"> (n = 5), zooplankton (n = 5), and mussels </w:t>
      </w:r>
      <w:r w:rsidRPr="000C7CFA">
        <w:rPr>
          <w:rFonts w:ascii="Verdana" w:hAnsi="Verdana"/>
          <w:i/>
          <w:sz w:val="18"/>
          <w:szCs w:val="18"/>
        </w:rPr>
        <w:t>Lampsilis radiata</w:t>
      </w:r>
      <w:r w:rsidRPr="000C7CFA">
        <w:rPr>
          <w:rFonts w:ascii="Verdana" w:hAnsi="Verdana"/>
          <w:sz w:val="18"/>
          <w:szCs w:val="18"/>
        </w:rPr>
        <w:t xml:space="preserve"> (n = 5).</w:t>
      </w:r>
    </w:p>
    <w:p w14:paraId="0A9ABAFD" w14:textId="51BBDD5D" w:rsidR="00C4272C" w:rsidRPr="000C7CFA" w:rsidRDefault="00C4272C" w:rsidP="00C4272C">
      <w:pPr>
        <w:pStyle w:val="BodyText"/>
        <w:ind w:left="360" w:right="657"/>
        <w:rPr>
          <w:rFonts w:ascii="Verdana" w:hAnsi="Verdana"/>
          <w:sz w:val="18"/>
          <w:szCs w:val="18"/>
        </w:rPr>
      </w:pPr>
      <w:r w:rsidRPr="000C7CFA">
        <w:rPr>
          <w:rFonts w:ascii="Verdana" w:hAnsi="Verdana"/>
          <w:sz w:val="18"/>
          <w:szCs w:val="18"/>
        </w:rPr>
        <w:lastRenderedPageBreak/>
        <w:t xml:space="preserve">For Lake Ontario, Tomy </w:t>
      </w:r>
      <w:r w:rsidRPr="000C7CFA">
        <w:rPr>
          <w:rFonts w:ascii="Verdana" w:hAnsi="Verdana"/>
          <w:i/>
          <w:sz w:val="18"/>
          <w:szCs w:val="18"/>
        </w:rPr>
        <w:t>et al</w:t>
      </w:r>
      <w:r w:rsidRPr="000C7CFA">
        <w:rPr>
          <w:rFonts w:ascii="Verdana" w:hAnsi="Verdana"/>
          <w:sz w:val="18"/>
          <w:szCs w:val="18"/>
        </w:rPr>
        <w:t>. (2004</w:t>
      </w:r>
      <w:r w:rsidR="00B870F4" w:rsidRPr="000C7CFA">
        <w:rPr>
          <w:rFonts w:ascii="Verdana" w:hAnsi="Verdana"/>
          <w:sz w:val="18"/>
          <w:szCs w:val="18"/>
        </w:rPr>
        <w:t>b</w:t>
      </w:r>
      <w:r w:rsidRPr="000C7CFA">
        <w:rPr>
          <w:rFonts w:ascii="Verdana" w:hAnsi="Verdana"/>
          <w:sz w:val="18"/>
          <w:szCs w:val="18"/>
        </w:rPr>
        <w:t xml:space="preserve">) reported that biota samples were collected between June and September 2002 at offshore stations. Sediment (n=3) was also sampled, but the locations are not stated. Biota samples included adult Lake Trout </w:t>
      </w:r>
      <w:r w:rsidRPr="000C7CFA">
        <w:rPr>
          <w:rFonts w:ascii="Verdana" w:hAnsi="Verdana"/>
          <w:i/>
          <w:sz w:val="18"/>
          <w:szCs w:val="18"/>
        </w:rPr>
        <w:t>Salvelinus namaycush</w:t>
      </w:r>
      <w:r w:rsidRPr="000C7CFA">
        <w:rPr>
          <w:rFonts w:ascii="Verdana" w:hAnsi="Verdana"/>
          <w:sz w:val="18"/>
          <w:szCs w:val="18"/>
        </w:rPr>
        <w:t xml:space="preserve"> (whole fish, n = 4), Alewife </w:t>
      </w:r>
      <w:r w:rsidRPr="000C7CFA">
        <w:rPr>
          <w:rFonts w:ascii="Verdana" w:hAnsi="Verdana"/>
          <w:i/>
          <w:sz w:val="18"/>
          <w:szCs w:val="18"/>
        </w:rPr>
        <w:t>Alosa pseudoharengus</w:t>
      </w:r>
      <w:r w:rsidRPr="000C7CFA">
        <w:rPr>
          <w:rFonts w:ascii="Verdana" w:hAnsi="Verdana"/>
          <w:sz w:val="18"/>
          <w:szCs w:val="18"/>
        </w:rPr>
        <w:t xml:space="preserve"> (composites of 5 fish, n = 4), Rainbow Smelt </w:t>
      </w:r>
      <w:r w:rsidRPr="000C7CFA">
        <w:rPr>
          <w:rFonts w:ascii="Verdana" w:hAnsi="Verdana"/>
          <w:i/>
          <w:sz w:val="18"/>
          <w:szCs w:val="18"/>
        </w:rPr>
        <w:t>Osmerus mordax</w:t>
      </w:r>
      <w:r w:rsidRPr="000C7CFA">
        <w:rPr>
          <w:rFonts w:ascii="Verdana" w:hAnsi="Verdana"/>
          <w:sz w:val="18"/>
          <w:szCs w:val="18"/>
        </w:rPr>
        <w:t xml:space="preserve"> (composites of 5 or 20 fish, n = 4), Slimy Sculpin </w:t>
      </w:r>
      <w:r w:rsidRPr="000C7CFA">
        <w:rPr>
          <w:rFonts w:ascii="Verdana" w:hAnsi="Verdana"/>
          <w:i/>
          <w:sz w:val="18"/>
          <w:szCs w:val="18"/>
        </w:rPr>
        <w:t>Cottus cognatus</w:t>
      </w:r>
      <w:r w:rsidRPr="000C7CFA">
        <w:rPr>
          <w:rFonts w:ascii="Verdana" w:hAnsi="Verdana"/>
          <w:sz w:val="18"/>
          <w:szCs w:val="18"/>
        </w:rPr>
        <w:t xml:space="preserve"> (composites of 10 or 15 fish, n = 4), mysids </w:t>
      </w:r>
      <w:r w:rsidRPr="000C7CFA">
        <w:rPr>
          <w:rFonts w:ascii="Verdana" w:hAnsi="Verdana"/>
          <w:i/>
          <w:sz w:val="18"/>
          <w:szCs w:val="18"/>
        </w:rPr>
        <w:t>Mysis relicta</w:t>
      </w:r>
      <w:r w:rsidRPr="000C7CFA">
        <w:rPr>
          <w:rFonts w:ascii="Verdana" w:hAnsi="Verdana"/>
          <w:sz w:val="18"/>
          <w:szCs w:val="18"/>
        </w:rPr>
        <w:t xml:space="preserve"> (composites of &gt;100 individuals, n = 1), amphipods </w:t>
      </w:r>
      <w:r w:rsidRPr="000C7CFA">
        <w:rPr>
          <w:rFonts w:ascii="Verdana" w:hAnsi="Verdana"/>
          <w:i/>
          <w:sz w:val="18"/>
          <w:szCs w:val="18"/>
        </w:rPr>
        <w:t>Diporeia hoyi</w:t>
      </w:r>
      <w:r w:rsidRPr="000C7CFA">
        <w:rPr>
          <w:rFonts w:ascii="Verdana" w:hAnsi="Verdana"/>
          <w:sz w:val="18"/>
          <w:szCs w:val="18"/>
        </w:rPr>
        <w:t xml:space="preserve"> (composites of &gt;100 individuals, n = 3) and zooplankton (n=1). The invertebrates and forage fish (Alewife, Smelt and Sculpin) were processed as composites of whole individuals, whereas all Lake Trout (a top predator fish species) were individual whole fish.</w:t>
      </w:r>
    </w:p>
    <w:p w14:paraId="6D043B13" w14:textId="1EEA7042" w:rsidR="00C4272C" w:rsidRPr="000C7CFA" w:rsidRDefault="00C4272C" w:rsidP="00C4272C">
      <w:pPr>
        <w:pStyle w:val="BodyText"/>
        <w:ind w:left="360" w:right="657"/>
        <w:rPr>
          <w:rFonts w:ascii="Verdana" w:hAnsi="Verdana"/>
          <w:sz w:val="18"/>
          <w:szCs w:val="18"/>
        </w:rPr>
      </w:pPr>
      <w:r w:rsidRPr="000C7CFA">
        <w:rPr>
          <w:rFonts w:ascii="Verdana" w:hAnsi="Verdana"/>
          <w:sz w:val="18"/>
          <w:szCs w:val="18"/>
        </w:rPr>
        <w:t xml:space="preserve">Biological samples were homogenized with dry ice, spiked with a suite of recovery internal standards, and extracted using accelerated solvent extraction, lipid removal by gel permeation chromatography, and further </w:t>
      </w:r>
      <w:r w:rsidR="00BB3D8A" w:rsidRPr="000C7CFA">
        <w:rPr>
          <w:rFonts w:ascii="Verdana" w:hAnsi="Verdana"/>
          <w:sz w:val="18"/>
          <w:szCs w:val="18"/>
        </w:rPr>
        <w:t>clean-up</w:t>
      </w:r>
      <w:r w:rsidRPr="000C7CFA">
        <w:rPr>
          <w:rFonts w:ascii="Verdana" w:hAnsi="Verdana"/>
          <w:sz w:val="18"/>
          <w:szCs w:val="18"/>
        </w:rPr>
        <w:t xml:space="preserve"> using Florisil. Samples from the two lakes were analysed at separate laboratories, using identical methodologies involving GC-mass selective detectors. </w:t>
      </w:r>
      <w:r w:rsidRPr="000C7CFA">
        <w:rPr>
          <w:rFonts w:ascii="Verdana" w:hAnsi="Verdana"/>
          <w:bCs/>
          <w:sz w:val="18"/>
          <w:szCs w:val="18"/>
        </w:rPr>
        <w:t xml:space="preserve">Quality control procedures included the use of </w:t>
      </w:r>
      <w:r w:rsidRPr="000C7CFA">
        <w:rPr>
          <w:rFonts w:ascii="Verdana" w:hAnsi="Verdana"/>
          <w:sz w:val="18"/>
          <w:szCs w:val="18"/>
        </w:rPr>
        <w:t xml:space="preserve">chlorinated diphenyl ethers and mass </w:t>
      </w:r>
      <w:r w:rsidR="00BB3D8A" w:rsidRPr="000C7CFA">
        <w:rPr>
          <w:rFonts w:ascii="Verdana" w:hAnsi="Verdana"/>
          <w:sz w:val="18"/>
          <w:szCs w:val="18"/>
        </w:rPr>
        <w:t>labelled</w:t>
      </w:r>
      <w:r w:rsidRPr="000C7CFA">
        <w:rPr>
          <w:rFonts w:ascii="Verdana" w:hAnsi="Verdana"/>
          <w:sz w:val="18"/>
          <w:szCs w:val="18"/>
        </w:rPr>
        <w:t xml:space="preserve"> hexabromocyclododecane isomers as recovery internal standards. There was no statistically significant difference between the recoveries of the recovery standards or Dechlorane Plus isomers, and no recovery correction was applied to the data. Duplicates of Sculpin from Lake Ontario, extracted separately and analyzed to check for repeatability, were within 9</w:t>
      </w:r>
      <w:r w:rsidR="00AF7606" w:rsidRPr="000C7CFA">
        <w:rPr>
          <w:rFonts w:ascii="Verdana" w:hAnsi="Verdana"/>
          <w:sz w:val="18"/>
          <w:szCs w:val="18"/>
        </w:rPr>
        <w:t>4 %</w:t>
      </w:r>
      <w:r w:rsidRPr="000C7CFA">
        <w:rPr>
          <w:rFonts w:ascii="Verdana" w:hAnsi="Verdana"/>
          <w:sz w:val="18"/>
          <w:szCs w:val="18"/>
        </w:rPr>
        <w:t xml:space="preserve"> of each other for both isomers suggesting good repeatability. An interlaboratory comparison using four sediment extracts gave good agreement (63 to 8</w:t>
      </w:r>
      <w:r w:rsidR="00AF7606" w:rsidRPr="000C7CFA">
        <w:rPr>
          <w:rFonts w:ascii="Verdana" w:hAnsi="Verdana"/>
          <w:sz w:val="18"/>
          <w:szCs w:val="18"/>
        </w:rPr>
        <w:t>6 %</w:t>
      </w:r>
      <w:r w:rsidRPr="000C7CFA">
        <w:rPr>
          <w:rFonts w:ascii="Verdana" w:hAnsi="Verdana"/>
          <w:sz w:val="18"/>
          <w:szCs w:val="18"/>
        </w:rPr>
        <w:t>) between the measured Dechlorane Plus isomer values. Trace amounts of both isomers (</w:t>
      </w:r>
      <w:r w:rsidRPr="000C7CFA">
        <w:rPr>
          <w:rFonts w:ascii="Verdana" w:hAnsi="Verdana"/>
          <w:iCs/>
          <w:sz w:val="18"/>
          <w:szCs w:val="18"/>
        </w:rPr>
        <w:t>syn-</w:t>
      </w:r>
      <w:r w:rsidRPr="000C7CFA">
        <w:rPr>
          <w:rFonts w:ascii="Verdana" w:hAnsi="Verdana"/>
          <w:sz w:val="18"/>
          <w:szCs w:val="18"/>
        </w:rPr>
        <w:t xml:space="preserve">, 0.6 pg; </w:t>
      </w:r>
      <w:r w:rsidRPr="000C7CFA">
        <w:rPr>
          <w:rFonts w:ascii="Verdana" w:hAnsi="Verdana"/>
          <w:iCs/>
          <w:sz w:val="18"/>
          <w:szCs w:val="18"/>
        </w:rPr>
        <w:t>anti-</w:t>
      </w:r>
      <w:r w:rsidRPr="000C7CFA">
        <w:rPr>
          <w:rFonts w:ascii="Verdana" w:hAnsi="Verdana"/>
          <w:sz w:val="18"/>
          <w:szCs w:val="18"/>
        </w:rPr>
        <w:t xml:space="preserve">, 2.6 pg) were present in the blanks. Using an average sample mass of 15 g, method detection limits were 0.3 and 1.5 pg/g (µg/kg) for </w:t>
      </w:r>
      <w:r w:rsidRPr="000C7CFA">
        <w:rPr>
          <w:rFonts w:ascii="Verdana" w:hAnsi="Verdana"/>
          <w:iCs/>
          <w:sz w:val="18"/>
          <w:szCs w:val="18"/>
        </w:rPr>
        <w:t>syn</w:t>
      </w:r>
      <w:r w:rsidRPr="000C7CFA">
        <w:rPr>
          <w:rFonts w:ascii="Verdana" w:hAnsi="Verdana"/>
          <w:sz w:val="18"/>
          <w:szCs w:val="18"/>
        </w:rPr>
        <w:t xml:space="preserve">- and </w:t>
      </w:r>
      <w:r w:rsidRPr="000C7CFA">
        <w:rPr>
          <w:rFonts w:ascii="Verdana" w:hAnsi="Verdana"/>
          <w:iCs/>
          <w:sz w:val="18"/>
          <w:szCs w:val="18"/>
        </w:rPr>
        <w:t>ant</w:t>
      </w:r>
      <w:r w:rsidR="00807CB2" w:rsidRPr="000C7CFA">
        <w:rPr>
          <w:rFonts w:ascii="Verdana" w:hAnsi="Verdana"/>
          <w:iCs/>
          <w:sz w:val="18"/>
          <w:szCs w:val="18"/>
        </w:rPr>
        <w:t>i- is</w:t>
      </w:r>
      <w:r w:rsidRPr="000C7CFA">
        <w:rPr>
          <w:rFonts w:ascii="Verdana" w:hAnsi="Verdana"/>
          <w:sz w:val="18"/>
          <w:szCs w:val="18"/>
        </w:rPr>
        <w:t xml:space="preserve">omers, respectively. Fish wet weight concentrations are not reported in the paper (nor its data supplement). </w:t>
      </w:r>
    </w:p>
    <w:p w14:paraId="565B2676" w14:textId="780480E6" w:rsidR="00C4272C" w:rsidRPr="000C7CFA" w:rsidRDefault="00C4272C" w:rsidP="00C4272C">
      <w:pPr>
        <w:pStyle w:val="BodyText"/>
        <w:ind w:left="360" w:right="657"/>
        <w:rPr>
          <w:rFonts w:ascii="Verdana" w:hAnsi="Verdana"/>
          <w:sz w:val="18"/>
          <w:szCs w:val="18"/>
        </w:rPr>
      </w:pPr>
      <w:r w:rsidRPr="000C7CFA">
        <w:rPr>
          <w:rFonts w:ascii="Verdana" w:hAnsi="Verdana"/>
          <w:sz w:val="18"/>
          <w:szCs w:val="18"/>
        </w:rPr>
        <w:t>In Lake Winnipeg, the sy</w:t>
      </w:r>
      <w:r w:rsidR="00807CB2" w:rsidRPr="000C7CFA">
        <w:rPr>
          <w:rFonts w:ascii="Verdana" w:hAnsi="Verdana"/>
          <w:sz w:val="18"/>
          <w:szCs w:val="18"/>
        </w:rPr>
        <w:t>n- i</w:t>
      </w:r>
      <w:r w:rsidRPr="000C7CFA">
        <w:rPr>
          <w:rFonts w:ascii="Verdana" w:hAnsi="Verdana"/>
          <w:sz w:val="18"/>
          <w:szCs w:val="18"/>
        </w:rPr>
        <w:t>somer was consistently detected in all samples, while the ant</w:t>
      </w:r>
      <w:r w:rsidR="00807CB2" w:rsidRPr="000C7CFA">
        <w:rPr>
          <w:rFonts w:ascii="Verdana" w:hAnsi="Verdana"/>
          <w:sz w:val="18"/>
          <w:szCs w:val="18"/>
        </w:rPr>
        <w:t>i- is</w:t>
      </w:r>
      <w:r w:rsidRPr="000C7CFA">
        <w:rPr>
          <w:rFonts w:ascii="Verdana" w:hAnsi="Verdana"/>
          <w:sz w:val="18"/>
          <w:szCs w:val="18"/>
        </w:rPr>
        <w:t>omer was less frequently detected (</w:t>
      </w:r>
      <w:r w:rsidR="003D063E" w:rsidRPr="000C7CFA">
        <w:rPr>
          <w:rFonts w:ascii="Verdana" w:hAnsi="Verdana"/>
          <w:sz w:val="18"/>
          <w:szCs w:val="18"/>
        </w:rPr>
        <w:t xml:space="preserve">ca. </w:t>
      </w:r>
      <w:r w:rsidRPr="000C7CFA">
        <w:rPr>
          <w:rFonts w:ascii="Verdana" w:hAnsi="Verdana"/>
          <w:sz w:val="18"/>
          <w:szCs w:val="18"/>
        </w:rPr>
        <w:t>4</w:t>
      </w:r>
      <w:r w:rsidR="00AF7606" w:rsidRPr="000C7CFA">
        <w:rPr>
          <w:rFonts w:ascii="Verdana" w:hAnsi="Verdana"/>
          <w:sz w:val="18"/>
          <w:szCs w:val="18"/>
        </w:rPr>
        <w:t>5 %</w:t>
      </w:r>
      <w:r w:rsidRPr="000C7CFA">
        <w:rPr>
          <w:rFonts w:ascii="Verdana" w:hAnsi="Verdana"/>
          <w:sz w:val="18"/>
          <w:szCs w:val="18"/>
        </w:rPr>
        <w:t xml:space="preserve"> of samples). Lipid-corrected and blank-adjusted concentrations of the sy</w:t>
      </w:r>
      <w:r w:rsidR="00807CB2" w:rsidRPr="000C7CFA">
        <w:rPr>
          <w:rFonts w:ascii="Verdana" w:hAnsi="Verdana"/>
          <w:sz w:val="18"/>
          <w:szCs w:val="18"/>
        </w:rPr>
        <w:t>n- i</w:t>
      </w:r>
      <w:r w:rsidRPr="000C7CFA">
        <w:rPr>
          <w:rFonts w:ascii="Verdana" w:hAnsi="Verdana"/>
          <w:sz w:val="18"/>
          <w:szCs w:val="18"/>
        </w:rPr>
        <w:t>somer were greatest in Burbot (median: 415 pg/g lipid, range: 67 – 773 pg/g lipid), zooplankton (median: 542 pg/g lipid, range: 469 – 647 pg/g lipid) and mussels (median: 504 pg/g lipid, range: 76 - 823 pg/g lipid). Concentrations of the ant</w:t>
      </w:r>
      <w:r w:rsidR="00807CB2" w:rsidRPr="000C7CFA">
        <w:rPr>
          <w:rFonts w:ascii="Verdana" w:hAnsi="Verdana"/>
          <w:sz w:val="18"/>
          <w:szCs w:val="18"/>
        </w:rPr>
        <w:t>i- is</w:t>
      </w:r>
      <w:r w:rsidRPr="000C7CFA">
        <w:rPr>
          <w:rFonts w:ascii="Verdana" w:hAnsi="Verdana"/>
          <w:sz w:val="18"/>
          <w:szCs w:val="18"/>
        </w:rPr>
        <w:t>omer were greatest in the higher trophic level species Walleye (median: 714 pg/g lipid, range: 608 – 883 pg/g lipid) and Goldeye (median: 763 pg/g lipid, range: 594 – 932 pg/g lipid). Concentrations of both isomers were similar in Whitefish but varied considerably in Walleye and Goldeye; respective concentrations of the ant</w:t>
      </w:r>
      <w:r w:rsidR="00807CB2" w:rsidRPr="000C7CFA">
        <w:rPr>
          <w:rFonts w:ascii="Verdana" w:hAnsi="Verdana"/>
          <w:sz w:val="18"/>
          <w:szCs w:val="18"/>
        </w:rPr>
        <w:t>i- is</w:t>
      </w:r>
      <w:r w:rsidRPr="000C7CFA">
        <w:rPr>
          <w:rFonts w:ascii="Verdana" w:hAnsi="Verdana"/>
          <w:sz w:val="18"/>
          <w:szCs w:val="18"/>
        </w:rPr>
        <w:t>omer were 25 and 14 times greater than that of the sy</w:t>
      </w:r>
      <w:r w:rsidR="00807CB2" w:rsidRPr="000C7CFA">
        <w:rPr>
          <w:rFonts w:ascii="Verdana" w:hAnsi="Verdana"/>
          <w:sz w:val="18"/>
          <w:szCs w:val="18"/>
        </w:rPr>
        <w:t>n- i</w:t>
      </w:r>
      <w:r w:rsidRPr="000C7CFA">
        <w:rPr>
          <w:rFonts w:ascii="Verdana" w:hAnsi="Verdana"/>
          <w:sz w:val="18"/>
          <w:szCs w:val="18"/>
        </w:rPr>
        <w:t>somer in these species. Concentrations in sediment were small (11.7 pg/g dwt sy</w:t>
      </w:r>
      <w:r w:rsidR="00807CB2" w:rsidRPr="000C7CFA">
        <w:rPr>
          <w:rFonts w:ascii="Verdana" w:hAnsi="Verdana"/>
          <w:sz w:val="18"/>
          <w:szCs w:val="18"/>
        </w:rPr>
        <w:t>n- i</w:t>
      </w:r>
      <w:r w:rsidRPr="000C7CFA">
        <w:rPr>
          <w:rFonts w:ascii="Verdana" w:hAnsi="Verdana"/>
          <w:sz w:val="18"/>
          <w:szCs w:val="18"/>
        </w:rPr>
        <w:t>somer and 18.3 pg/g dwt ant</w:t>
      </w:r>
      <w:r w:rsidR="00807CB2" w:rsidRPr="000C7CFA">
        <w:rPr>
          <w:rFonts w:ascii="Verdana" w:hAnsi="Verdana"/>
          <w:sz w:val="18"/>
          <w:szCs w:val="18"/>
        </w:rPr>
        <w:t>i- is</w:t>
      </w:r>
      <w:r w:rsidRPr="000C7CFA">
        <w:rPr>
          <w:rFonts w:ascii="Verdana" w:hAnsi="Verdana"/>
          <w:sz w:val="18"/>
          <w:szCs w:val="18"/>
        </w:rPr>
        <w:t xml:space="preserve">omer). Total Dechlorane Plus concentrations were 2-3 orders of magnitude lower than those of total PBDEs and total hexabromocyclododecanes in biota from Lake Winnipeg. (In sediments, total Dechlorane Plus concentrations were only slightly less than total hexabromocyclododecane concentrations, suggesting that the former substance has </w:t>
      </w:r>
      <w:r w:rsidR="00547702" w:rsidRPr="000C7CFA">
        <w:rPr>
          <w:rFonts w:ascii="Verdana" w:hAnsi="Verdana"/>
          <w:sz w:val="18"/>
          <w:szCs w:val="18"/>
        </w:rPr>
        <w:t xml:space="preserve">lower </w:t>
      </w:r>
      <w:r w:rsidRPr="000C7CFA">
        <w:rPr>
          <w:rFonts w:ascii="Verdana" w:hAnsi="Verdana"/>
          <w:sz w:val="18"/>
          <w:szCs w:val="18"/>
        </w:rPr>
        <w:t>bioavailability.)</w:t>
      </w:r>
    </w:p>
    <w:p w14:paraId="01DF5FB4" w14:textId="1D589699" w:rsidR="00C4272C" w:rsidRPr="000C7CFA" w:rsidRDefault="00C4272C" w:rsidP="00C4272C">
      <w:pPr>
        <w:pStyle w:val="BodyText"/>
        <w:ind w:left="360" w:right="657"/>
        <w:rPr>
          <w:rFonts w:ascii="Verdana" w:hAnsi="Verdana"/>
          <w:sz w:val="18"/>
          <w:szCs w:val="18"/>
        </w:rPr>
      </w:pPr>
      <w:r w:rsidRPr="000C7CFA">
        <w:rPr>
          <w:rFonts w:ascii="Verdana" w:hAnsi="Verdana"/>
          <w:sz w:val="18"/>
          <w:szCs w:val="18"/>
        </w:rPr>
        <w:t>In Lake Ontario (which is downstream of a manufacturing site), both isomers of Dechlorane Plus were detected in all samples, with the ant</w:t>
      </w:r>
      <w:r w:rsidR="00807CB2" w:rsidRPr="000C7CFA">
        <w:rPr>
          <w:rFonts w:ascii="Verdana" w:hAnsi="Verdana"/>
          <w:sz w:val="18"/>
          <w:szCs w:val="18"/>
        </w:rPr>
        <w:t>i- is</w:t>
      </w:r>
      <w:r w:rsidRPr="000C7CFA">
        <w:rPr>
          <w:rFonts w:ascii="Verdana" w:hAnsi="Verdana"/>
          <w:sz w:val="18"/>
          <w:szCs w:val="18"/>
        </w:rPr>
        <w:t>omer at consistently higher concentrations than the sy</w:t>
      </w:r>
      <w:r w:rsidR="00807CB2" w:rsidRPr="000C7CFA">
        <w:rPr>
          <w:rFonts w:ascii="Verdana" w:hAnsi="Verdana"/>
          <w:sz w:val="18"/>
          <w:szCs w:val="18"/>
        </w:rPr>
        <w:t>n- i</w:t>
      </w:r>
      <w:r w:rsidRPr="000C7CFA">
        <w:rPr>
          <w:rFonts w:ascii="Verdana" w:hAnsi="Verdana"/>
          <w:sz w:val="18"/>
          <w:szCs w:val="18"/>
        </w:rPr>
        <w:t>somer. Similar median concentrations of both isomers were observed in Lake Trout (syn = 44.3, anti = 47.2 pg/g lipid</w:t>
      </w:r>
      <w:r w:rsidR="000954E5" w:rsidRPr="000C7CFA">
        <w:rPr>
          <w:rFonts w:ascii="Verdana" w:hAnsi="Verdana"/>
          <w:sz w:val="18"/>
          <w:szCs w:val="18"/>
        </w:rPr>
        <w:t>), Smelt (syn = 5.5, anti = 6.5 </w:t>
      </w:r>
      <w:r w:rsidRPr="000C7CFA">
        <w:rPr>
          <w:rFonts w:ascii="Verdana" w:hAnsi="Verdana"/>
          <w:sz w:val="18"/>
          <w:szCs w:val="18"/>
        </w:rPr>
        <w:t xml:space="preserve">pg/g lipid), Alewife (syn = 48.3, anti = 54.2 pg/g lipid) and Sculpin (syn = 626, anti = 777 pg/g lipid). Concentrations of both isomers were greatest in the lower trophic level benthic organism </w:t>
      </w:r>
      <w:r w:rsidRPr="000C7CFA">
        <w:rPr>
          <w:rFonts w:ascii="Verdana" w:hAnsi="Verdana"/>
          <w:i/>
          <w:sz w:val="18"/>
          <w:szCs w:val="18"/>
        </w:rPr>
        <w:t>Diporeia</w:t>
      </w:r>
      <w:r w:rsidRPr="000C7CFA">
        <w:rPr>
          <w:rFonts w:ascii="Verdana" w:hAnsi="Verdana"/>
          <w:sz w:val="18"/>
          <w:szCs w:val="18"/>
        </w:rPr>
        <w:t xml:space="preserve"> (syn, 1</w:t>
      </w:r>
      <w:r w:rsidR="008610EB" w:rsidRPr="000C7CFA">
        <w:rPr>
          <w:rFonts w:ascii="Verdana" w:hAnsi="Verdana"/>
          <w:sz w:val="18"/>
          <w:szCs w:val="18"/>
        </w:rPr>
        <w:t> </w:t>
      </w:r>
      <w:r w:rsidR="000954E5" w:rsidRPr="000C7CFA">
        <w:rPr>
          <w:rFonts w:ascii="Verdana" w:hAnsi="Verdana"/>
          <w:sz w:val="18"/>
          <w:szCs w:val="18"/>
        </w:rPr>
        <w:t>307 </w:t>
      </w:r>
      <w:r w:rsidRPr="000C7CFA">
        <w:rPr>
          <w:rFonts w:ascii="Verdana" w:hAnsi="Verdana"/>
          <w:sz w:val="18"/>
          <w:szCs w:val="18"/>
        </w:rPr>
        <w:t>± 554; and anti, 3</w:t>
      </w:r>
      <w:r w:rsidR="008610EB" w:rsidRPr="000C7CFA">
        <w:rPr>
          <w:rFonts w:ascii="Verdana" w:hAnsi="Verdana"/>
          <w:sz w:val="18"/>
          <w:szCs w:val="18"/>
        </w:rPr>
        <w:t> </w:t>
      </w:r>
      <w:r w:rsidRPr="000C7CFA">
        <w:rPr>
          <w:rFonts w:ascii="Verdana" w:hAnsi="Verdana"/>
          <w:sz w:val="18"/>
          <w:szCs w:val="18"/>
        </w:rPr>
        <w:t xml:space="preserve">108 ± 898 pg/g </w:t>
      </w:r>
      <w:proofErr w:type="gramStart"/>
      <w:r w:rsidRPr="000C7CFA">
        <w:rPr>
          <w:rFonts w:ascii="Verdana" w:hAnsi="Verdana"/>
          <w:sz w:val="18"/>
          <w:szCs w:val="18"/>
        </w:rPr>
        <w:t>lw</w:t>
      </w:r>
      <w:proofErr w:type="gramEnd"/>
      <w:r w:rsidRPr="000C7CFA">
        <w:rPr>
          <w:rFonts w:ascii="Verdana" w:hAnsi="Verdana"/>
          <w:sz w:val="18"/>
          <w:szCs w:val="18"/>
        </w:rPr>
        <w:t>) and also high in zoo</w:t>
      </w:r>
      <w:r w:rsidR="008610EB" w:rsidRPr="000C7CFA">
        <w:rPr>
          <w:rFonts w:ascii="Verdana" w:hAnsi="Verdana"/>
          <w:sz w:val="18"/>
          <w:szCs w:val="18"/>
        </w:rPr>
        <w:t>plankton (syn, 719; and anti, 1 </w:t>
      </w:r>
      <w:r w:rsidRPr="000C7CFA">
        <w:rPr>
          <w:rFonts w:ascii="Verdana" w:hAnsi="Verdana"/>
          <w:sz w:val="18"/>
          <w:szCs w:val="18"/>
        </w:rPr>
        <w:t xml:space="preserve">332 pg/g lw). In addition, concentrations of anti-Dechlorane Plus were approximately 2.5 times greater than syn-Dechlorane Plus in </w:t>
      </w:r>
      <w:r w:rsidRPr="000C7CFA">
        <w:rPr>
          <w:rFonts w:ascii="Verdana" w:hAnsi="Verdana"/>
          <w:i/>
          <w:sz w:val="18"/>
          <w:szCs w:val="18"/>
        </w:rPr>
        <w:t>Diporeia</w:t>
      </w:r>
      <w:r w:rsidRPr="000C7CFA">
        <w:rPr>
          <w:rFonts w:ascii="Verdana" w:hAnsi="Verdana"/>
          <w:sz w:val="18"/>
          <w:szCs w:val="18"/>
        </w:rPr>
        <w:t xml:space="preserve">, three times greater in </w:t>
      </w:r>
      <w:r w:rsidRPr="000C7CFA">
        <w:rPr>
          <w:rFonts w:ascii="Verdana" w:hAnsi="Verdana"/>
          <w:i/>
          <w:sz w:val="18"/>
          <w:szCs w:val="18"/>
        </w:rPr>
        <w:t>Mysis</w:t>
      </w:r>
      <w:r w:rsidRPr="000C7CFA">
        <w:rPr>
          <w:rFonts w:ascii="Verdana" w:hAnsi="Verdana"/>
          <w:sz w:val="18"/>
          <w:szCs w:val="18"/>
        </w:rPr>
        <w:t xml:space="preserve"> and two times greater in plankton. Concentration of the ant</w:t>
      </w:r>
      <w:r w:rsidR="00807CB2" w:rsidRPr="000C7CFA">
        <w:rPr>
          <w:rFonts w:ascii="Verdana" w:hAnsi="Verdana"/>
          <w:sz w:val="18"/>
          <w:szCs w:val="18"/>
        </w:rPr>
        <w:t>i- is</w:t>
      </w:r>
      <w:r w:rsidRPr="000C7CFA">
        <w:rPr>
          <w:rFonts w:ascii="Verdana" w:hAnsi="Verdana"/>
          <w:sz w:val="18"/>
          <w:szCs w:val="18"/>
        </w:rPr>
        <w:t>omer in sediment was ~8</w:t>
      </w:r>
      <w:r w:rsidR="00AF7606" w:rsidRPr="000C7CFA">
        <w:rPr>
          <w:rFonts w:ascii="Verdana" w:hAnsi="Verdana"/>
          <w:sz w:val="18"/>
          <w:szCs w:val="18"/>
        </w:rPr>
        <w:t>5 %</w:t>
      </w:r>
      <w:r w:rsidRPr="000C7CFA">
        <w:rPr>
          <w:rFonts w:ascii="Verdana" w:hAnsi="Verdana"/>
          <w:sz w:val="18"/>
          <w:szCs w:val="18"/>
        </w:rPr>
        <w:t xml:space="preserve"> of </w:t>
      </w:r>
      <w:r w:rsidRPr="000C7CFA">
        <w:rPr>
          <w:rFonts w:ascii="Verdana" w:hAnsi="Verdana"/>
          <w:sz w:val="18"/>
          <w:szCs w:val="18"/>
        </w:rPr>
        <w:lastRenderedPageBreak/>
        <w:t>the total Dechlorane Plus concentration (mean 206 ng/g dwt), which were orders of magnitude greater than sediment concentrations in Lake Winnipeg.</w:t>
      </w:r>
    </w:p>
    <w:p w14:paraId="71671FE7" w14:textId="77777777" w:rsidR="00C4272C" w:rsidRPr="000C7CFA" w:rsidRDefault="00C4272C" w:rsidP="00C4272C">
      <w:pPr>
        <w:pStyle w:val="BodyText"/>
        <w:ind w:left="360" w:right="657"/>
        <w:rPr>
          <w:rFonts w:ascii="Verdana" w:hAnsi="Verdana"/>
          <w:sz w:val="18"/>
          <w:szCs w:val="18"/>
        </w:rPr>
      </w:pPr>
      <w:r w:rsidRPr="000C7CFA">
        <w:rPr>
          <w:rFonts w:ascii="Verdana" w:hAnsi="Verdana"/>
          <w:sz w:val="18"/>
          <w:szCs w:val="18"/>
        </w:rPr>
        <w:t>In Lake Winnipeg, trophic level-adjusted BMFs (based on the ratio of lipid-corrected concentrations) were calculated for Walleye/Whitefish, Walleye/Whitesucker, Walleye/Goldeye, and Goldeye/zooplankton feeding relationships.  These were all below 1 for both syn- and ant</w:t>
      </w:r>
      <w:r w:rsidR="00807CB2" w:rsidRPr="000C7CFA">
        <w:rPr>
          <w:rFonts w:ascii="Verdana" w:hAnsi="Verdana"/>
          <w:sz w:val="18"/>
          <w:szCs w:val="18"/>
        </w:rPr>
        <w:t>i- is</w:t>
      </w:r>
      <w:r w:rsidRPr="000C7CFA">
        <w:rPr>
          <w:rFonts w:ascii="Verdana" w:hAnsi="Verdana"/>
          <w:sz w:val="18"/>
          <w:szCs w:val="18"/>
        </w:rPr>
        <w:t>omers, with the exception of the Walleye/Whitefish predator-prey relationship (BMF of 11, for the ant</w:t>
      </w:r>
      <w:r w:rsidR="00807CB2" w:rsidRPr="000C7CFA">
        <w:rPr>
          <w:rFonts w:ascii="Verdana" w:hAnsi="Verdana"/>
          <w:sz w:val="18"/>
          <w:szCs w:val="18"/>
        </w:rPr>
        <w:t>i- is</w:t>
      </w:r>
      <w:r w:rsidRPr="000C7CFA">
        <w:rPr>
          <w:rFonts w:ascii="Verdana" w:hAnsi="Verdana"/>
          <w:sz w:val="18"/>
          <w:szCs w:val="18"/>
        </w:rPr>
        <w:t>omer only). In Lake Ontario, trophic level-adjusted BMFs were calculated for Lake Trout/Alewife, Lake Trout/Smelt, Lake Trout/Sculpin, and Sculpin/</w:t>
      </w:r>
      <w:r w:rsidRPr="000C7CFA">
        <w:rPr>
          <w:rFonts w:ascii="Verdana" w:hAnsi="Verdana"/>
          <w:i/>
          <w:sz w:val="18"/>
          <w:szCs w:val="18"/>
        </w:rPr>
        <w:t>Diporeia</w:t>
      </w:r>
      <w:r w:rsidRPr="000C7CFA">
        <w:rPr>
          <w:rFonts w:ascii="Verdana" w:hAnsi="Verdana"/>
          <w:sz w:val="18"/>
          <w:szCs w:val="18"/>
        </w:rPr>
        <w:t xml:space="preserve"> feeding relationships. The only BMF &gt;1 was for the Lake Trout/Smelt predator-prey relationship, for both isomers (12 for the sy</w:t>
      </w:r>
      <w:r w:rsidR="00807CB2" w:rsidRPr="000C7CFA">
        <w:rPr>
          <w:rFonts w:ascii="Verdana" w:hAnsi="Verdana"/>
          <w:sz w:val="18"/>
          <w:szCs w:val="18"/>
        </w:rPr>
        <w:t>n- i</w:t>
      </w:r>
      <w:r w:rsidRPr="000C7CFA">
        <w:rPr>
          <w:rFonts w:ascii="Verdana" w:hAnsi="Verdana"/>
          <w:sz w:val="18"/>
          <w:szCs w:val="18"/>
        </w:rPr>
        <w:t>somer and 11 for the ant</w:t>
      </w:r>
      <w:r w:rsidR="00807CB2" w:rsidRPr="000C7CFA">
        <w:rPr>
          <w:rFonts w:ascii="Verdana" w:hAnsi="Verdana"/>
          <w:sz w:val="18"/>
          <w:szCs w:val="18"/>
        </w:rPr>
        <w:t>i- is</w:t>
      </w:r>
      <w:r w:rsidRPr="000C7CFA">
        <w:rPr>
          <w:rFonts w:ascii="Verdana" w:hAnsi="Verdana"/>
          <w:sz w:val="18"/>
          <w:szCs w:val="18"/>
        </w:rPr>
        <w:t>omer). BMFs of 1.0 (syn</w:t>
      </w:r>
      <w:r w:rsidRPr="000C7CFA">
        <w:rPr>
          <w:rFonts w:ascii="Verdana" w:hAnsi="Verdana"/>
          <w:sz w:val="18"/>
          <w:szCs w:val="18"/>
        </w:rPr>
        <w:noBreakHyphen/>
        <w:t xml:space="preserve">) and 0.9 (anti-) were also obtained for the Trout/Alewife feeding relationship. </w:t>
      </w:r>
    </w:p>
    <w:p w14:paraId="1C3FE4DF" w14:textId="77777777" w:rsidR="00C4272C" w:rsidRPr="000C7CFA" w:rsidRDefault="00C4272C" w:rsidP="00C4272C">
      <w:pPr>
        <w:pStyle w:val="BodyText"/>
        <w:ind w:left="360" w:right="657"/>
        <w:rPr>
          <w:rFonts w:ascii="Verdana" w:hAnsi="Verdana"/>
          <w:sz w:val="18"/>
          <w:szCs w:val="18"/>
        </w:rPr>
      </w:pPr>
      <w:r w:rsidRPr="000C7CFA">
        <w:rPr>
          <w:rFonts w:ascii="Verdana" w:hAnsi="Verdana"/>
          <w:sz w:val="18"/>
          <w:szCs w:val="18"/>
        </w:rPr>
        <w:t>These results suggest that interspecies differences in bioaccumulation and biotransformation are likely. However, the BMFs assume that a predator consumes one prey species only, and as this is unlikely to be the case in reality, they should be treated with caution.</w:t>
      </w:r>
    </w:p>
    <w:p w14:paraId="5A3C0478" w14:textId="082C4E7A" w:rsidR="00657F57" w:rsidRPr="000C7CFA" w:rsidRDefault="00C4272C" w:rsidP="00420A13">
      <w:pPr>
        <w:pStyle w:val="BodyText"/>
        <w:ind w:left="360" w:right="657"/>
        <w:rPr>
          <w:rFonts w:ascii="Verdana" w:hAnsi="Verdana"/>
          <w:sz w:val="18"/>
          <w:szCs w:val="18"/>
        </w:rPr>
      </w:pPr>
      <w:r w:rsidRPr="000C7CFA">
        <w:rPr>
          <w:rFonts w:ascii="Verdana" w:hAnsi="Verdana"/>
          <w:sz w:val="18"/>
          <w:szCs w:val="18"/>
        </w:rPr>
        <w:t xml:space="preserve">Regressions of the trophic level against concentrations were statistically significant for both isomers only in the Lake Winnipeg food web. The trophic positions of the species sampled in Lake Winnipeg, based on </w:t>
      </w:r>
      <w:r w:rsidRPr="000C7CFA">
        <w:rPr>
          <w:rFonts w:ascii="Verdana" w:hAnsi="Verdana"/>
          <w:sz w:val="18"/>
          <w:szCs w:val="18"/>
          <w:vertAlign w:val="superscript"/>
        </w:rPr>
        <w:t>15</w:t>
      </w:r>
      <w:r w:rsidRPr="000C7CFA">
        <w:rPr>
          <w:rFonts w:ascii="Verdana" w:hAnsi="Verdana"/>
          <w:sz w:val="18"/>
          <w:szCs w:val="18"/>
        </w:rPr>
        <w:t>N:</w:t>
      </w:r>
      <w:r w:rsidRPr="000C7CFA">
        <w:rPr>
          <w:rFonts w:ascii="Verdana" w:hAnsi="Verdana"/>
          <w:sz w:val="18"/>
          <w:szCs w:val="18"/>
          <w:vertAlign w:val="superscript"/>
        </w:rPr>
        <w:t>14</w:t>
      </w:r>
      <w:r w:rsidRPr="000C7CFA">
        <w:rPr>
          <w:rFonts w:ascii="Verdana" w:hAnsi="Verdana"/>
          <w:sz w:val="18"/>
          <w:szCs w:val="18"/>
        </w:rPr>
        <w:t xml:space="preserve">N ratios and assuming a constant enrichment factor, were as follows: mussel </w:t>
      </w:r>
      <w:r w:rsidRPr="000C7CFA">
        <w:rPr>
          <w:rFonts w:ascii="Arial" w:hAnsi="Arial" w:cs="Arial"/>
          <w:sz w:val="18"/>
          <w:szCs w:val="18"/>
        </w:rPr>
        <w:t>→</w:t>
      </w:r>
      <w:r w:rsidRPr="000C7CFA">
        <w:rPr>
          <w:rFonts w:ascii="Verdana" w:hAnsi="Verdana"/>
          <w:sz w:val="18"/>
          <w:szCs w:val="18"/>
        </w:rPr>
        <w:t xml:space="preserve"> zooplankton, Whitefish </w:t>
      </w:r>
      <w:r w:rsidRPr="000C7CFA">
        <w:rPr>
          <w:rFonts w:ascii="Arial" w:hAnsi="Arial" w:cs="Arial"/>
          <w:sz w:val="18"/>
          <w:szCs w:val="18"/>
        </w:rPr>
        <w:t>→</w:t>
      </w:r>
      <w:r w:rsidRPr="000C7CFA">
        <w:rPr>
          <w:rFonts w:ascii="Verdana" w:hAnsi="Verdana"/>
          <w:sz w:val="18"/>
          <w:szCs w:val="18"/>
        </w:rPr>
        <w:t xml:space="preserve"> Goldeye, White Sucker </w:t>
      </w:r>
      <w:r w:rsidRPr="000C7CFA">
        <w:rPr>
          <w:rFonts w:ascii="Arial" w:hAnsi="Arial" w:cs="Arial"/>
          <w:sz w:val="18"/>
          <w:szCs w:val="18"/>
        </w:rPr>
        <w:t>→</w:t>
      </w:r>
      <w:r w:rsidRPr="000C7CFA">
        <w:rPr>
          <w:rFonts w:ascii="Verdana" w:hAnsi="Verdana"/>
          <w:sz w:val="18"/>
          <w:szCs w:val="18"/>
        </w:rPr>
        <w:t xml:space="preserve"> Burbot, Walleye (</w:t>
      </w:r>
      <w:r w:rsidRPr="000C7CFA">
        <w:rPr>
          <w:rFonts w:ascii="Verdana" w:hAnsi="Verdana"/>
          <w:i/>
          <w:sz w:val="18"/>
          <w:szCs w:val="18"/>
        </w:rPr>
        <w:t>Stizostedion vitreum</w:t>
      </w:r>
      <w:r w:rsidRPr="000C7CFA">
        <w:rPr>
          <w:rFonts w:ascii="Verdana" w:hAnsi="Verdana"/>
          <w:sz w:val="18"/>
          <w:szCs w:val="18"/>
        </w:rPr>
        <w:t>) (top predators). The lipid weight TMF value was 2.5 (r</w:t>
      </w:r>
      <w:r w:rsidRPr="000C7CFA">
        <w:rPr>
          <w:rFonts w:ascii="Verdana" w:hAnsi="Verdana"/>
          <w:sz w:val="18"/>
          <w:szCs w:val="18"/>
          <w:vertAlign w:val="superscript"/>
        </w:rPr>
        <w:t>2</w:t>
      </w:r>
      <w:r w:rsidRPr="000C7CFA">
        <w:rPr>
          <w:rFonts w:ascii="Verdana" w:hAnsi="Verdana"/>
          <w:sz w:val="18"/>
          <w:szCs w:val="18"/>
        </w:rPr>
        <w:t xml:space="preserve"> = 0.12, p = 0.04) for the ant</w:t>
      </w:r>
      <w:r w:rsidR="00807CB2" w:rsidRPr="000C7CFA">
        <w:rPr>
          <w:rFonts w:ascii="Verdana" w:hAnsi="Verdana"/>
          <w:sz w:val="18"/>
          <w:szCs w:val="18"/>
        </w:rPr>
        <w:t>i- is</w:t>
      </w:r>
      <w:r w:rsidRPr="000C7CFA">
        <w:rPr>
          <w:rFonts w:ascii="Verdana" w:hAnsi="Verdana"/>
          <w:sz w:val="18"/>
          <w:szCs w:val="18"/>
        </w:rPr>
        <w:t>omer</w:t>
      </w:r>
      <w:r w:rsidR="00E85E5D" w:rsidRPr="000C7CFA">
        <w:rPr>
          <w:rFonts w:ascii="Verdana" w:hAnsi="Verdana"/>
          <w:sz w:val="18"/>
          <w:szCs w:val="18"/>
        </w:rPr>
        <w:t xml:space="preserve"> (see Figure </w:t>
      </w:r>
      <w:r w:rsidR="00504011" w:rsidRPr="000C7CFA">
        <w:rPr>
          <w:rFonts w:ascii="Verdana" w:hAnsi="Verdana"/>
          <w:sz w:val="18"/>
          <w:szCs w:val="18"/>
        </w:rPr>
        <w:t>2</w:t>
      </w:r>
      <w:r w:rsidRPr="000C7CFA">
        <w:rPr>
          <w:rFonts w:ascii="Verdana" w:hAnsi="Verdana"/>
          <w:sz w:val="18"/>
          <w:szCs w:val="18"/>
        </w:rPr>
        <w:t>), suggesting biomagnification, and 0.45 (r</w:t>
      </w:r>
      <w:r w:rsidRPr="000C7CFA">
        <w:rPr>
          <w:rFonts w:ascii="Verdana" w:hAnsi="Verdana"/>
          <w:sz w:val="18"/>
          <w:szCs w:val="18"/>
          <w:vertAlign w:val="superscript"/>
        </w:rPr>
        <w:t>2</w:t>
      </w:r>
      <w:r w:rsidRPr="000C7CFA">
        <w:rPr>
          <w:rFonts w:ascii="Verdana" w:hAnsi="Verdana"/>
          <w:sz w:val="18"/>
          <w:szCs w:val="18"/>
        </w:rPr>
        <w:t xml:space="preserve"> = 0.17, p = 0.01) for the sy</w:t>
      </w:r>
      <w:r w:rsidR="00807CB2" w:rsidRPr="000C7CFA">
        <w:rPr>
          <w:rFonts w:ascii="Verdana" w:hAnsi="Verdana"/>
          <w:sz w:val="18"/>
          <w:szCs w:val="18"/>
        </w:rPr>
        <w:t>n- i</w:t>
      </w:r>
      <w:r w:rsidRPr="000C7CFA">
        <w:rPr>
          <w:rFonts w:ascii="Verdana" w:hAnsi="Verdana"/>
          <w:sz w:val="18"/>
          <w:szCs w:val="18"/>
        </w:rPr>
        <w:t xml:space="preserve">somer, suggesting biodilution. </w:t>
      </w:r>
    </w:p>
    <w:p w14:paraId="4B84580B" w14:textId="72102DDE" w:rsidR="00FA2BE0" w:rsidRPr="000C7CFA" w:rsidRDefault="00FA2BE0" w:rsidP="00FA2BE0">
      <w:pPr>
        <w:pStyle w:val="BodyText"/>
        <w:ind w:left="360" w:right="657"/>
        <w:rPr>
          <w:rFonts w:ascii="Verdana" w:hAnsi="Verdana"/>
          <w:sz w:val="18"/>
          <w:szCs w:val="18"/>
        </w:rPr>
      </w:pPr>
      <w:r w:rsidRPr="000C7CFA">
        <w:rPr>
          <w:rFonts w:ascii="Verdana" w:hAnsi="Verdana"/>
          <w:sz w:val="18"/>
          <w:szCs w:val="18"/>
        </w:rPr>
        <w:t xml:space="preserve">It can be seen that concentrations of species other than Goldeye and Walleye were similar, which explains the poor correlation. </w:t>
      </w:r>
    </w:p>
    <w:p w14:paraId="183596E3" w14:textId="598F7FB7" w:rsidR="002D0E79" w:rsidRPr="000C7CFA" w:rsidRDefault="00FA2BE0" w:rsidP="00FA2BE0">
      <w:pPr>
        <w:pStyle w:val="BodyText"/>
        <w:ind w:left="360" w:right="657"/>
        <w:rPr>
          <w:rFonts w:ascii="Verdana" w:hAnsi="Verdana"/>
          <w:sz w:val="18"/>
          <w:szCs w:val="18"/>
        </w:rPr>
      </w:pPr>
      <w:r w:rsidRPr="000C7CFA">
        <w:rPr>
          <w:rFonts w:ascii="Verdana" w:hAnsi="Verdana"/>
          <w:sz w:val="18"/>
          <w:szCs w:val="18"/>
        </w:rPr>
        <w:t>For Lake Ontario, plots using both wet weight (not presented in the paper) and lipid weight concentrations failed to give a statistically significant relationship for either isomer. The study does not discuss whether all the species sampled in a particular lake were in the same food web. However, based on information from the Great Lakes Environmental Research Laboratory</w:t>
      </w:r>
      <w:r w:rsidRPr="000C7CFA">
        <w:rPr>
          <w:rStyle w:val="FootnoteReference"/>
          <w:rFonts w:ascii="Verdana" w:hAnsi="Verdana"/>
          <w:sz w:val="18"/>
          <w:szCs w:val="18"/>
        </w:rPr>
        <w:footnoteReference w:id="19"/>
      </w:r>
      <w:r w:rsidRPr="000C7CFA">
        <w:rPr>
          <w:rFonts w:ascii="Verdana" w:hAnsi="Verdana"/>
          <w:sz w:val="18"/>
          <w:szCs w:val="18"/>
        </w:rPr>
        <w:t xml:space="preserve">, </w:t>
      </w:r>
      <w:r w:rsidR="005B6B2B" w:rsidRPr="000C7CFA">
        <w:rPr>
          <w:rFonts w:ascii="Verdana" w:hAnsi="Verdana"/>
          <w:sz w:val="18"/>
          <w:szCs w:val="18"/>
        </w:rPr>
        <w:t xml:space="preserve">it seems that </w:t>
      </w:r>
      <w:r w:rsidRPr="000C7CFA">
        <w:rPr>
          <w:rFonts w:ascii="Verdana" w:hAnsi="Verdana"/>
          <w:sz w:val="18"/>
          <w:szCs w:val="18"/>
        </w:rPr>
        <w:t xml:space="preserve">they were (the species in the Lake Erie food web documented in the sources are similar to the species sampled in Lake Winnipeg). Nevertheless, the analysis places Emerald Shiner at a higher trophic level than Whitefish in Lake Winnipeg, which is unexpected based on their ecology and feeding habits. The Emerald Shiner is a relatively small fish (up to ~13 cm) that feeds mainly on microcrustaceans, midge larvae and algae, whereas the Whitefish is larger (up to ~100 cm) and similarly feeds on aquatic insects, molluscs and amphipods, but also other fish and fish eggs (information taken from </w:t>
      </w:r>
      <w:hyperlink r:id="rId14" w:history="1">
        <w:r w:rsidRPr="000C7CFA">
          <w:rPr>
            <w:rFonts w:ascii="Verdana" w:hAnsi="Verdana"/>
            <w:sz w:val="18"/>
            <w:szCs w:val="18"/>
          </w:rPr>
          <w:t>www.fishbase.org</w:t>
        </w:r>
      </w:hyperlink>
      <w:r w:rsidRPr="000C7CFA">
        <w:rPr>
          <w:rFonts w:ascii="Verdana" w:hAnsi="Verdana"/>
          <w:sz w:val="18"/>
          <w:szCs w:val="18"/>
        </w:rPr>
        <w:t>).</w:t>
      </w:r>
    </w:p>
    <w:p w14:paraId="66BF7A4E" w14:textId="760BF846" w:rsidR="0005764A" w:rsidRPr="000C7CFA" w:rsidRDefault="00410A2A" w:rsidP="00FA2BE0">
      <w:pPr>
        <w:pStyle w:val="Caption"/>
        <w:ind w:left="1418" w:hanging="1361"/>
        <w:rPr>
          <w:rFonts w:ascii="Verdana" w:hAnsi="Verdana"/>
          <w:b/>
          <w:sz w:val="18"/>
          <w:szCs w:val="18"/>
        </w:rPr>
      </w:pPr>
      <w:bookmarkStart w:id="67" w:name="_Toc489434276"/>
      <w:r w:rsidRPr="000C7CFA">
        <w:rPr>
          <w:rFonts w:ascii="Verdana" w:hAnsi="Verdana"/>
          <w:b/>
          <w:sz w:val="18"/>
          <w:szCs w:val="18"/>
        </w:rPr>
        <w:lastRenderedPageBreak/>
        <w:t xml:space="preserve">Figure </w:t>
      </w:r>
      <w:r w:rsidR="0005445F" w:rsidRPr="000C7CFA">
        <w:rPr>
          <w:rFonts w:ascii="Verdana" w:hAnsi="Verdana"/>
          <w:b/>
          <w:sz w:val="18"/>
          <w:szCs w:val="18"/>
        </w:rPr>
        <w:fldChar w:fldCharType="begin"/>
      </w:r>
      <w:r w:rsidR="0005445F" w:rsidRPr="000C7CFA">
        <w:rPr>
          <w:rFonts w:ascii="Verdana" w:hAnsi="Verdana"/>
          <w:b/>
          <w:sz w:val="18"/>
          <w:szCs w:val="18"/>
        </w:rPr>
        <w:instrText xml:space="preserve"> SEQ Figure \* ARABIC </w:instrText>
      </w:r>
      <w:r w:rsidR="0005445F" w:rsidRPr="000C7CFA">
        <w:rPr>
          <w:rFonts w:ascii="Verdana" w:hAnsi="Verdana"/>
          <w:b/>
          <w:sz w:val="18"/>
          <w:szCs w:val="18"/>
        </w:rPr>
        <w:fldChar w:fldCharType="separate"/>
      </w:r>
      <w:r w:rsidR="00BA2885" w:rsidRPr="000C7CFA">
        <w:rPr>
          <w:rFonts w:ascii="Verdana" w:hAnsi="Verdana"/>
          <w:b/>
          <w:noProof/>
          <w:sz w:val="18"/>
          <w:szCs w:val="18"/>
        </w:rPr>
        <w:t>2</w:t>
      </w:r>
      <w:r w:rsidR="0005445F" w:rsidRPr="000C7CFA">
        <w:rPr>
          <w:rFonts w:ascii="Verdana" w:hAnsi="Verdana"/>
          <w:b/>
          <w:noProof/>
          <w:sz w:val="18"/>
          <w:szCs w:val="18"/>
        </w:rPr>
        <w:fldChar w:fldCharType="end"/>
      </w:r>
      <w:r w:rsidR="00E85E5D" w:rsidRPr="000C7CFA">
        <w:rPr>
          <w:rFonts w:ascii="Verdana" w:hAnsi="Verdana"/>
          <w:b/>
          <w:sz w:val="18"/>
          <w:szCs w:val="18"/>
        </w:rPr>
        <w:t xml:space="preserve">: </w:t>
      </w:r>
      <w:r w:rsidR="00E85E5D" w:rsidRPr="000C7CFA">
        <w:rPr>
          <w:rFonts w:ascii="Verdana" w:hAnsi="Verdana"/>
          <w:b/>
          <w:sz w:val="18"/>
          <w:szCs w:val="18"/>
        </w:rPr>
        <w:tab/>
        <w:t>Regression between trophic level and concentrations of the anti- isomer in aquatic species in Lake Winnipeg (error bars represent ±</w:t>
      </w:r>
      <w:r w:rsidR="00FA2BE0" w:rsidRPr="000C7CFA">
        <w:rPr>
          <w:rFonts w:ascii="Verdana" w:hAnsi="Verdana"/>
          <w:b/>
          <w:sz w:val="18"/>
          <w:szCs w:val="18"/>
        </w:rPr>
        <w:t> </w:t>
      </w:r>
      <w:r w:rsidR="00E85E5D" w:rsidRPr="000C7CFA">
        <w:rPr>
          <w:rFonts w:ascii="Verdana" w:hAnsi="Verdana"/>
          <w:b/>
          <w:sz w:val="18"/>
          <w:szCs w:val="18"/>
        </w:rPr>
        <w:t>1 standard error)</w:t>
      </w:r>
      <w:bookmarkEnd w:id="67"/>
    </w:p>
    <w:p w14:paraId="5AC3F846" w14:textId="0EC701D2" w:rsidR="0005764A" w:rsidRPr="000C7CFA" w:rsidRDefault="00007A38" w:rsidP="003E7741">
      <w:pPr>
        <w:autoSpaceDE w:val="0"/>
        <w:autoSpaceDN w:val="0"/>
        <w:adjustRightInd w:val="0"/>
        <w:spacing w:after="240"/>
        <w:ind w:left="1134" w:right="658"/>
        <w:jc w:val="center"/>
        <w:rPr>
          <w:rFonts w:ascii="Verdana" w:hAnsi="Verdana"/>
          <w:b/>
          <w:sz w:val="18"/>
          <w:szCs w:val="18"/>
          <w:lang w:val="en-GB"/>
        </w:rPr>
      </w:pPr>
      <w:r w:rsidRPr="000C7CFA">
        <w:rPr>
          <w:rFonts w:ascii="Verdana" w:hAnsi="Verdana"/>
          <w:b/>
          <w:noProof/>
          <w:sz w:val="18"/>
          <w:szCs w:val="18"/>
          <w:lang w:val="en-GB" w:eastAsia="en-GB"/>
        </w:rPr>
        <w:drawing>
          <wp:anchor distT="0" distB="0" distL="114300" distR="114300" simplePos="0" relativeHeight="251666432" behindDoc="1" locked="0" layoutInCell="1" allowOverlap="1" wp14:anchorId="3CD75DEB" wp14:editId="3BD52952">
            <wp:simplePos x="0" y="0"/>
            <wp:positionH relativeFrom="margin">
              <wp:posOffset>1014882</wp:posOffset>
            </wp:positionH>
            <wp:positionV relativeFrom="margin">
              <wp:posOffset>4817186</wp:posOffset>
            </wp:positionV>
            <wp:extent cx="2865755" cy="213550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865755" cy="21355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C1D894" w14:textId="7EF1A245" w:rsidR="0005764A" w:rsidRPr="000C7CFA" w:rsidRDefault="0005764A" w:rsidP="003E7741">
      <w:pPr>
        <w:autoSpaceDE w:val="0"/>
        <w:autoSpaceDN w:val="0"/>
        <w:adjustRightInd w:val="0"/>
        <w:spacing w:after="240"/>
        <w:ind w:left="1134" w:right="658"/>
        <w:jc w:val="center"/>
        <w:rPr>
          <w:rFonts w:ascii="Verdana" w:hAnsi="Verdana"/>
          <w:b/>
          <w:sz w:val="18"/>
          <w:szCs w:val="18"/>
          <w:lang w:val="en-GB"/>
        </w:rPr>
      </w:pPr>
    </w:p>
    <w:p w14:paraId="369E9290" w14:textId="40F46C8F" w:rsidR="0005764A" w:rsidRPr="000C7CFA" w:rsidRDefault="0005764A" w:rsidP="003E7741">
      <w:pPr>
        <w:autoSpaceDE w:val="0"/>
        <w:autoSpaceDN w:val="0"/>
        <w:adjustRightInd w:val="0"/>
        <w:spacing w:after="240"/>
        <w:ind w:left="1134" w:right="658"/>
        <w:jc w:val="center"/>
        <w:rPr>
          <w:rFonts w:ascii="Verdana" w:hAnsi="Verdana"/>
          <w:b/>
          <w:sz w:val="18"/>
          <w:szCs w:val="18"/>
          <w:lang w:val="en-GB"/>
        </w:rPr>
      </w:pPr>
    </w:p>
    <w:p w14:paraId="7C696E42" w14:textId="77800A46" w:rsidR="0005764A" w:rsidRPr="000C7CFA" w:rsidRDefault="0005764A" w:rsidP="003E7741">
      <w:pPr>
        <w:autoSpaceDE w:val="0"/>
        <w:autoSpaceDN w:val="0"/>
        <w:adjustRightInd w:val="0"/>
        <w:spacing w:after="240"/>
        <w:ind w:left="1134" w:right="658"/>
        <w:jc w:val="center"/>
        <w:rPr>
          <w:rFonts w:ascii="Verdana" w:hAnsi="Verdana"/>
          <w:b/>
          <w:sz w:val="18"/>
          <w:szCs w:val="18"/>
          <w:lang w:val="en-GB"/>
        </w:rPr>
      </w:pPr>
    </w:p>
    <w:p w14:paraId="73B7D2E8" w14:textId="3B1EF966" w:rsidR="0005764A" w:rsidRPr="000C7CFA" w:rsidRDefault="0005764A" w:rsidP="003E7741">
      <w:pPr>
        <w:autoSpaceDE w:val="0"/>
        <w:autoSpaceDN w:val="0"/>
        <w:adjustRightInd w:val="0"/>
        <w:spacing w:after="240"/>
        <w:ind w:left="1134" w:right="658"/>
        <w:jc w:val="center"/>
        <w:rPr>
          <w:rFonts w:ascii="Verdana" w:hAnsi="Verdana"/>
          <w:b/>
          <w:sz w:val="18"/>
          <w:szCs w:val="18"/>
          <w:lang w:val="en-GB"/>
        </w:rPr>
      </w:pPr>
    </w:p>
    <w:p w14:paraId="6E231513" w14:textId="15989A04" w:rsidR="0005764A" w:rsidRPr="000C7CFA" w:rsidRDefault="0005764A" w:rsidP="003E7741">
      <w:pPr>
        <w:autoSpaceDE w:val="0"/>
        <w:autoSpaceDN w:val="0"/>
        <w:adjustRightInd w:val="0"/>
        <w:spacing w:after="240"/>
        <w:ind w:left="1134" w:right="658"/>
        <w:jc w:val="center"/>
        <w:rPr>
          <w:rFonts w:ascii="Verdana" w:hAnsi="Verdana"/>
          <w:b/>
          <w:sz w:val="18"/>
          <w:szCs w:val="18"/>
          <w:lang w:val="en-GB"/>
        </w:rPr>
      </w:pPr>
    </w:p>
    <w:p w14:paraId="7B9EF897" w14:textId="77777777" w:rsidR="00007A38" w:rsidRPr="000C7CFA" w:rsidRDefault="00007A38" w:rsidP="003E7741">
      <w:pPr>
        <w:autoSpaceDE w:val="0"/>
        <w:autoSpaceDN w:val="0"/>
        <w:adjustRightInd w:val="0"/>
        <w:spacing w:after="240"/>
        <w:ind w:left="1134" w:right="658"/>
        <w:jc w:val="center"/>
        <w:rPr>
          <w:rFonts w:ascii="Verdana" w:hAnsi="Verdana"/>
          <w:b/>
          <w:sz w:val="18"/>
          <w:szCs w:val="18"/>
          <w:lang w:val="en-GB"/>
        </w:rPr>
      </w:pPr>
    </w:p>
    <w:p w14:paraId="52EC716A" w14:textId="0ADCD42F" w:rsidR="003E7741" w:rsidRPr="000C7CFA" w:rsidRDefault="00420A13" w:rsidP="003E7741">
      <w:pPr>
        <w:autoSpaceDE w:val="0"/>
        <w:autoSpaceDN w:val="0"/>
        <w:adjustRightInd w:val="0"/>
        <w:spacing w:after="240"/>
        <w:ind w:left="1134" w:right="658"/>
        <w:jc w:val="center"/>
        <w:rPr>
          <w:rFonts w:ascii="Verdana" w:hAnsi="Verdana"/>
          <w:b/>
          <w:sz w:val="18"/>
          <w:szCs w:val="18"/>
          <w:lang w:val="en-GB"/>
        </w:rPr>
      </w:pPr>
      <w:r w:rsidRPr="000C7CFA">
        <w:rPr>
          <w:rFonts w:ascii="Verdana" w:hAnsi="Verdana"/>
          <w:b/>
          <w:sz w:val="18"/>
          <w:szCs w:val="18"/>
          <w:lang w:val="en-GB"/>
        </w:rPr>
        <w:t>(</w:t>
      </w:r>
      <w:proofErr w:type="gramStart"/>
      <w:r w:rsidR="003E7741" w:rsidRPr="000C7CFA">
        <w:rPr>
          <w:rFonts w:ascii="Verdana" w:hAnsi="Verdana"/>
          <w:b/>
          <w:sz w:val="18"/>
          <w:szCs w:val="18"/>
          <w:lang w:val="en-GB"/>
        </w:rPr>
        <w:t>reprinted</w:t>
      </w:r>
      <w:proofErr w:type="gramEnd"/>
      <w:r w:rsidR="003E7741" w:rsidRPr="000C7CFA">
        <w:rPr>
          <w:rFonts w:ascii="Verdana" w:hAnsi="Verdana"/>
          <w:b/>
          <w:sz w:val="18"/>
          <w:szCs w:val="18"/>
          <w:lang w:val="en-GB"/>
        </w:rPr>
        <w:t xml:space="preserve"> with permission from Tomy</w:t>
      </w:r>
      <w:r w:rsidR="003E7741" w:rsidRPr="000C7CFA">
        <w:rPr>
          <w:rFonts w:ascii="Verdana" w:hAnsi="Verdana"/>
          <w:b/>
          <w:sz w:val="18"/>
          <w:szCs w:val="18"/>
        </w:rPr>
        <w:t xml:space="preserve"> </w:t>
      </w:r>
      <w:r w:rsidR="003E7741" w:rsidRPr="000C7CFA">
        <w:rPr>
          <w:rFonts w:ascii="Verdana" w:hAnsi="Verdana"/>
          <w:b/>
          <w:i/>
          <w:sz w:val="18"/>
          <w:szCs w:val="18"/>
        </w:rPr>
        <w:t>et al</w:t>
      </w:r>
      <w:r w:rsidR="003E7741" w:rsidRPr="000C7CFA">
        <w:rPr>
          <w:rFonts w:ascii="Verdana" w:hAnsi="Verdana"/>
          <w:b/>
          <w:sz w:val="18"/>
          <w:szCs w:val="18"/>
        </w:rPr>
        <w:t>. (2007). Copyright 2007: American Chemical Society</w:t>
      </w:r>
      <w:r w:rsidR="003E7741" w:rsidRPr="000C7CFA">
        <w:rPr>
          <w:rFonts w:ascii="Verdana" w:hAnsi="Verdana"/>
          <w:b/>
          <w:sz w:val="18"/>
          <w:szCs w:val="18"/>
          <w:lang w:val="en-GB"/>
        </w:rPr>
        <w:t>)</w:t>
      </w:r>
    </w:p>
    <w:p w14:paraId="53C7BE8E" w14:textId="77777777" w:rsidR="00C4272C" w:rsidRPr="000C7CFA" w:rsidRDefault="00C4272C" w:rsidP="00C4272C">
      <w:pPr>
        <w:pStyle w:val="BodyText"/>
        <w:ind w:left="360" w:right="657"/>
        <w:rPr>
          <w:rFonts w:ascii="Verdana" w:hAnsi="Verdana"/>
          <w:sz w:val="18"/>
          <w:szCs w:val="18"/>
        </w:rPr>
      </w:pPr>
      <w:r w:rsidRPr="000C7CFA">
        <w:rPr>
          <w:rFonts w:ascii="Verdana" w:hAnsi="Verdana"/>
          <w:sz w:val="18"/>
          <w:szCs w:val="18"/>
        </w:rPr>
        <w:t xml:space="preserve">The results from Lake Ontario were based on whole fish samples, whereas those for Lake Winnipeg were based on fish muscle only. These might not reflect whole body concentrations, and so this introduces some uncertainty in any comparisons and the analysis. Levels in the biota samples were also relatively low (generally &lt; 1 µg/kg </w:t>
      </w:r>
      <w:proofErr w:type="gramStart"/>
      <w:r w:rsidRPr="000C7CFA">
        <w:rPr>
          <w:rFonts w:ascii="Verdana" w:hAnsi="Verdana"/>
          <w:sz w:val="18"/>
          <w:szCs w:val="18"/>
        </w:rPr>
        <w:t>lw</w:t>
      </w:r>
      <w:proofErr w:type="gramEnd"/>
      <w:r w:rsidRPr="000C7CFA">
        <w:rPr>
          <w:rFonts w:ascii="Verdana" w:hAnsi="Verdana"/>
          <w:sz w:val="18"/>
          <w:szCs w:val="18"/>
        </w:rPr>
        <w:t xml:space="preserve">), and the very small sample sizes and possibility of variable sediment exposure (as samples were not </w:t>
      </w:r>
      <w:r w:rsidR="003D063E" w:rsidRPr="000C7CFA">
        <w:rPr>
          <w:rFonts w:ascii="Verdana" w:hAnsi="Verdana"/>
          <w:sz w:val="18"/>
          <w:szCs w:val="18"/>
        </w:rPr>
        <w:t xml:space="preserve">necessarily </w:t>
      </w:r>
      <w:r w:rsidRPr="000C7CFA">
        <w:rPr>
          <w:rFonts w:ascii="Verdana" w:hAnsi="Verdana"/>
          <w:sz w:val="18"/>
          <w:szCs w:val="18"/>
        </w:rPr>
        <w:t xml:space="preserve">collected from the same location or at the same time) raise additional uncertainties about the representivity of the data for these food chains. Other studies have suggested that factors other than lipid may be important in the accumulation of this substance, so lipid normalisation might not be relevant. </w:t>
      </w:r>
    </w:p>
    <w:p w14:paraId="30E63FA1" w14:textId="71236E90" w:rsidR="00C4272C" w:rsidRPr="000C7CFA" w:rsidRDefault="00BE4203" w:rsidP="00C4272C">
      <w:pPr>
        <w:ind w:left="360" w:right="657"/>
        <w:jc w:val="both"/>
        <w:rPr>
          <w:rFonts w:ascii="Verdana" w:hAnsi="Verdana"/>
          <w:sz w:val="18"/>
          <w:szCs w:val="18"/>
        </w:rPr>
      </w:pPr>
      <w:r w:rsidRPr="000C7CFA">
        <w:rPr>
          <w:rFonts w:ascii="Verdana" w:hAnsi="Verdana"/>
          <w:color w:val="000000"/>
          <w:sz w:val="18"/>
          <w:szCs w:val="18"/>
        </w:rPr>
        <w:t>This study is included in the registration dossier and is considered reliable with restrictions by the</w:t>
      </w:r>
      <w:r w:rsidR="00A43C45" w:rsidRPr="000C7CFA">
        <w:rPr>
          <w:rFonts w:ascii="Verdana" w:hAnsi="Verdana"/>
          <w:color w:val="000000"/>
          <w:sz w:val="18"/>
          <w:szCs w:val="18"/>
        </w:rPr>
        <w:t xml:space="preserve"> Registrant</w:t>
      </w:r>
      <w:r w:rsidRPr="000C7CFA">
        <w:rPr>
          <w:rFonts w:ascii="Verdana" w:hAnsi="Verdana"/>
          <w:color w:val="000000"/>
          <w:sz w:val="18"/>
          <w:szCs w:val="18"/>
        </w:rPr>
        <w:t xml:space="preserve">. </w:t>
      </w:r>
      <w:r w:rsidR="00C4272C" w:rsidRPr="000C7CFA">
        <w:rPr>
          <w:rFonts w:ascii="Verdana" w:hAnsi="Verdana"/>
          <w:sz w:val="18"/>
          <w:szCs w:val="18"/>
        </w:rPr>
        <w:t>Overall, this study indicates that</w:t>
      </w:r>
      <w:r w:rsidR="00C4272C" w:rsidRPr="000C7CFA">
        <w:rPr>
          <w:rStyle w:val="Formatmall11pt"/>
          <w:rFonts w:ascii="Verdana" w:hAnsi="Verdana"/>
          <w:sz w:val="18"/>
          <w:szCs w:val="18"/>
        </w:rPr>
        <w:t xml:space="preserve"> </w:t>
      </w:r>
      <w:r w:rsidR="00C4272C" w:rsidRPr="000C7CFA">
        <w:rPr>
          <w:rFonts w:ascii="Verdana" w:hAnsi="Verdana"/>
          <w:sz w:val="18"/>
          <w:szCs w:val="18"/>
        </w:rPr>
        <w:t>uptake</w:t>
      </w:r>
      <w:r w:rsidR="00C4272C" w:rsidRPr="000C7CFA">
        <w:rPr>
          <w:rStyle w:val="Formatmall11pt"/>
          <w:rFonts w:ascii="Verdana" w:hAnsi="Verdana"/>
          <w:sz w:val="18"/>
          <w:szCs w:val="18"/>
        </w:rPr>
        <w:t xml:space="preserve"> of Dechlorane </w:t>
      </w:r>
      <w:proofErr w:type="gramStart"/>
      <w:r w:rsidR="00C4272C" w:rsidRPr="000C7CFA">
        <w:rPr>
          <w:rStyle w:val="Formatmall11pt"/>
          <w:rFonts w:ascii="Verdana" w:hAnsi="Verdana"/>
          <w:sz w:val="18"/>
          <w:szCs w:val="18"/>
        </w:rPr>
        <w:t>Plus</w:t>
      </w:r>
      <w:proofErr w:type="gramEnd"/>
      <w:r w:rsidR="00C4272C" w:rsidRPr="000C7CFA">
        <w:rPr>
          <w:rStyle w:val="Formatmall11pt"/>
          <w:rFonts w:ascii="Verdana" w:hAnsi="Verdana"/>
          <w:sz w:val="18"/>
          <w:szCs w:val="18"/>
        </w:rPr>
        <w:t xml:space="preserve"> occurs</w:t>
      </w:r>
      <w:r w:rsidR="00C4272C" w:rsidRPr="000C7CFA">
        <w:rPr>
          <w:rFonts w:ascii="Verdana" w:hAnsi="Verdana"/>
          <w:sz w:val="18"/>
          <w:szCs w:val="18"/>
        </w:rPr>
        <w:t xml:space="preserve"> in wild fish</w:t>
      </w:r>
      <w:r w:rsidR="00C4272C" w:rsidRPr="000C7CFA">
        <w:rPr>
          <w:rStyle w:val="Formatmall11pt"/>
          <w:rFonts w:ascii="Verdana" w:hAnsi="Verdana"/>
          <w:sz w:val="18"/>
          <w:szCs w:val="18"/>
        </w:rPr>
        <w:t>, either directly from the dissolved phase or via food.</w:t>
      </w:r>
      <w:r w:rsidR="00C4272C" w:rsidRPr="000C7CFA">
        <w:rPr>
          <w:rFonts w:ascii="Verdana" w:hAnsi="Verdana"/>
          <w:sz w:val="18"/>
          <w:szCs w:val="18"/>
        </w:rPr>
        <w:t xml:space="preserve"> However, the results and reported conclusions must be interpreted with caution: </w:t>
      </w:r>
      <w:r w:rsidR="000A653E" w:rsidRPr="000C7CFA">
        <w:rPr>
          <w:rFonts w:ascii="Verdana" w:hAnsi="Verdana"/>
          <w:sz w:val="18"/>
          <w:szCs w:val="18"/>
        </w:rPr>
        <w:t xml:space="preserve">whilst </w:t>
      </w:r>
      <w:r w:rsidR="00C4272C" w:rsidRPr="000C7CFA">
        <w:rPr>
          <w:rFonts w:ascii="Verdana" w:hAnsi="Verdana"/>
          <w:sz w:val="18"/>
          <w:szCs w:val="18"/>
        </w:rPr>
        <w:t>the study suggests that interspecies differences in bioaccumulation/</w:t>
      </w:r>
      <w:r w:rsidR="003D063E" w:rsidRPr="000C7CFA">
        <w:rPr>
          <w:rFonts w:ascii="Verdana" w:hAnsi="Verdana"/>
          <w:sz w:val="18"/>
          <w:szCs w:val="18"/>
        </w:rPr>
        <w:t xml:space="preserve"> </w:t>
      </w:r>
      <w:r w:rsidR="00C4272C" w:rsidRPr="000C7CFA">
        <w:rPr>
          <w:rFonts w:ascii="Verdana" w:hAnsi="Verdana"/>
          <w:sz w:val="18"/>
          <w:szCs w:val="18"/>
        </w:rPr>
        <w:t>biotransformation are likely, and that biomagnification may be taking place in some aquatic food webs and feeding relationships, the evidence is equivocal.</w:t>
      </w:r>
    </w:p>
    <w:p w14:paraId="0C23C880" w14:textId="77777777" w:rsidR="00E129D4" w:rsidRPr="000C7CFA" w:rsidRDefault="00E129D4" w:rsidP="00E129D4">
      <w:pPr>
        <w:pStyle w:val="BodyText"/>
        <w:ind w:right="90"/>
        <w:rPr>
          <w:rFonts w:ascii="Verdana" w:hAnsi="Verdana"/>
          <w:sz w:val="18"/>
          <w:szCs w:val="18"/>
        </w:rPr>
      </w:pPr>
    </w:p>
    <w:p w14:paraId="53CF9524" w14:textId="2F5271C3" w:rsidR="000A653E" w:rsidRPr="000C7CFA" w:rsidRDefault="000C035D" w:rsidP="00DC3658">
      <w:pPr>
        <w:pStyle w:val="BodyText"/>
        <w:numPr>
          <w:ilvl w:val="0"/>
          <w:numId w:val="6"/>
        </w:numPr>
        <w:ind w:right="657"/>
        <w:rPr>
          <w:rFonts w:ascii="Verdana" w:hAnsi="Verdana"/>
          <w:sz w:val="18"/>
          <w:szCs w:val="18"/>
        </w:rPr>
      </w:pPr>
      <w:r w:rsidRPr="000C7CFA">
        <w:rPr>
          <w:rFonts w:ascii="Verdana" w:eastAsiaTheme="minorHAnsi" w:hAnsi="Verdana"/>
          <w:sz w:val="18"/>
          <w:szCs w:val="18"/>
          <w:u w:val="single"/>
        </w:rPr>
        <w:t xml:space="preserve">Mo </w:t>
      </w:r>
      <w:r w:rsidRPr="000C7CFA">
        <w:rPr>
          <w:rFonts w:ascii="Verdana" w:eastAsiaTheme="minorHAnsi" w:hAnsi="Verdana"/>
          <w:i/>
          <w:sz w:val="18"/>
          <w:szCs w:val="18"/>
          <w:u w:val="single"/>
        </w:rPr>
        <w:t>et al</w:t>
      </w:r>
      <w:r w:rsidRPr="000C7CFA">
        <w:rPr>
          <w:rFonts w:ascii="Verdana" w:eastAsiaTheme="minorHAnsi" w:hAnsi="Verdana"/>
          <w:sz w:val="18"/>
          <w:szCs w:val="18"/>
          <w:u w:val="single"/>
        </w:rPr>
        <w:t>. (2013)</w:t>
      </w:r>
      <w:r w:rsidRPr="000C7CFA">
        <w:rPr>
          <w:rFonts w:ascii="Verdana" w:eastAsiaTheme="minorHAnsi" w:hAnsi="Verdana"/>
          <w:sz w:val="18"/>
          <w:szCs w:val="18"/>
        </w:rPr>
        <w:t xml:space="preserve"> investigated Dechlorane Plus levels in Common Kingfishers (</w:t>
      </w:r>
      <w:r w:rsidRPr="000C7CFA">
        <w:rPr>
          <w:rFonts w:ascii="Verdana" w:eastAsiaTheme="minorHAnsi" w:hAnsi="Verdana"/>
          <w:i/>
          <w:sz w:val="18"/>
          <w:szCs w:val="18"/>
        </w:rPr>
        <w:t>Alcedo atthis</w:t>
      </w:r>
      <w:r w:rsidRPr="000C7CFA">
        <w:rPr>
          <w:rFonts w:ascii="Verdana" w:eastAsiaTheme="minorHAnsi" w:hAnsi="Verdana"/>
          <w:sz w:val="18"/>
          <w:szCs w:val="18"/>
        </w:rPr>
        <w:t xml:space="preserve">) and their prey fish collected at the same time from an electronic waste (e-waste) recycling site and a reference site in southern China. </w:t>
      </w:r>
      <w:r w:rsidR="002033B6" w:rsidRPr="000C7CFA">
        <w:rPr>
          <w:rFonts w:ascii="Verdana" w:eastAsiaTheme="minorHAnsi" w:hAnsi="Verdana"/>
          <w:sz w:val="18"/>
          <w:szCs w:val="18"/>
        </w:rPr>
        <w:t>Total concentrations</w:t>
      </w:r>
      <w:r w:rsidRPr="000C7CFA">
        <w:rPr>
          <w:rFonts w:ascii="Verdana" w:eastAsiaTheme="minorHAnsi" w:hAnsi="Verdana"/>
          <w:sz w:val="18"/>
          <w:szCs w:val="18"/>
        </w:rPr>
        <w:t xml:space="preserve"> on a lipid weight basis in whole fish were similar to or higher than those in the birds (pectoral muscle) collected at the same locations</w:t>
      </w:r>
      <w:r w:rsidR="00B7221C" w:rsidRPr="000C7CFA">
        <w:rPr>
          <w:rFonts w:ascii="Verdana" w:eastAsiaTheme="minorHAnsi" w:hAnsi="Verdana"/>
          <w:sz w:val="18"/>
          <w:szCs w:val="18"/>
        </w:rPr>
        <w:t xml:space="preserve"> (see </w:t>
      </w:r>
      <w:r w:rsidR="0000000F" w:rsidRPr="000C7CFA">
        <w:rPr>
          <w:rFonts w:ascii="Verdana" w:eastAsiaTheme="minorHAnsi" w:hAnsi="Verdana"/>
          <w:sz w:val="18"/>
          <w:szCs w:val="18"/>
        </w:rPr>
        <w:t xml:space="preserve">Appendix </w:t>
      </w:r>
      <w:r w:rsidR="00FB3AD7" w:rsidRPr="000C7CFA">
        <w:rPr>
          <w:rFonts w:ascii="Verdana" w:eastAsiaTheme="minorHAnsi" w:hAnsi="Verdana"/>
          <w:sz w:val="18"/>
          <w:szCs w:val="18"/>
        </w:rPr>
        <w:t>3</w:t>
      </w:r>
      <w:r w:rsidR="008C3195" w:rsidRPr="000C7CFA">
        <w:rPr>
          <w:rFonts w:ascii="Verdana" w:eastAsiaTheme="minorHAnsi" w:hAnsi="Verdana"/>
          <w:sz w:val="18"/>
          <w:szCs w:val="18"/>
        </w:rPr>
        <w:fldChar w:fldCharType="begin"/>
      </w:r>
      <w:r w:rsidR="00160FED" w:rsidRPr="000C7CFA">
        <w:rPr>
          <w:rFonts w:ascii="Verdana" w:eastAsiaTheme="minorHAnsi" w:hAnsi="Verdana"/>
          <w:sz w:val="18"/>
          <w:szCs w:val="18"/>
        </w:rPr>
        <w:instrText xml:space="preserve"> REF _Ref427767104 \h </w:instrText>
      </w:r>
      <w:r w:rsidR="008640CB" w:rsidRPr="000C7CFA">
        <w:rPr>
          <w:rFonts w:ascii="Verdana" w:eastAsiaTheme="minorHAnsi" w:hAnsi="Verdana"/>
          <w:sz w:val="18"/>
          <w:szCs w:val="18"/>
        </w:rPr>
        <w:instrText xml:space="preserve"> \* MERGEFORMAT </w:instrText>
      </w:r>
      <w:r w:rsidR="008C3195" w:rsidRPr="000C7CFA">
        <w:rPr>
          <w:rFonts w:ascii="Verdana" w:eastAsiaTheme="minorHAnsi" w:hAnsi="Verdana"/>
          <w:sz w:val="18"/>
          <w:szCs w:val="18"/>
        </w:rPr>
      </w:r>
      <w:r w:rsidR="008C3195" w:rsidRPr="000C7CFA">
        <w:rPr>
          <w:rFonts w:ascii="Verdana" w:eastAsiaTheme="minorHAnsi" w:hAnsi="Verdana"/>
          <w:sz w:val="18"/>
          <w:szCs w:val="18"/>
        </w:rPr>
        <w:fldChar w:fldCharType="separate"/>
      </w:r>
      <w:r w:rsidR="00BA2885" w:rsidRPr="000C7CFA">
        <w:rPr>
          <w:rFonts w:ascii="Verdana" w:eastAsia="BatangChe" w:hAnsi="Verdana"/>
          <w:sz w:val="18"/>
          <w:szCs w:val="18"/>
        </w:rPr>
        <w:t>Appendix 3</w:t>
      </w:r>
      <w:r w:rsidR="00BA2885" w:rsidRPr="000C7CFA">
        <w:rPr>
          <w:rFonts w:ascii="Verdana" w:eastAsia="BatangChe" w:hAnsi="Verdana"/>
          <w:sz w:val="18"/>
          <w:szCs w:val="18"/>
        </w:rPr>
        <w:tab/>
      </w:r>
      <w:r w:rsidR="008C3195" w:rsidRPr="000C7CFA">
        <w:rPr>
          <w:rFonts w:ascii="Verdana" w:eastAsiaTheme="minorHAnsi" w:hAnsi="Verdana"/>
          <w:sz w:val="18"/>
          <w:szCs w:val="18"/>
        </w:rPr>
        <w:fldChar w:fldCharType="end"/>
      </w:r>
      <w:r w:rsidR="00B7221C" w:rsidRPr="000C7CFA">
        <w:rPr>
          <w:rFonts w:ascii="Verdana" w:eastAsiaTheme="minorHAnsi" w:hAnsi="Verdana"/>
          <w:sz w:val="18"/>
          <w:szCs w:val="18"/>
        </w:rPr>
        <w:t xml:space="preserve"> for the actual values)</w:t>
      </w:r>
      <w:r w:rsidRPr="000C7CFA">
        <w:rPr>
          <w:rFonts w:ascii="Verdana" w:eastAsiaTheme="minorHAnsi" w:hAnsi="Verdana"/>
          <w:sz w:val="18"/>
          <w:szCs w:val="18"/>
        </w:rPr>
        <w:t xml:space="preserve">, suggesting that trophic magnification </w:t>
      </w:r>
      <w:r w:rsidRPr="000C7CFA">
        <w:rPr>
          <w:rFonts w:ascii="Verdana" w:eastAsiaTheme="minorHAnsi" w:hAnsi="Verdana"/>
          <w:sz w:val="18"/>
          <w:szCs w:val="18"/>
        </w:rPr>
        <w:lastRenderedPageBreak/>
        <w:t>was not occurring in this food chain.</w:t>
      </w:r>
      <w:r w:rsidR="002033B6" w:rsidRPr="000C7CFA">
        <w:rPr>
          <w:rFonts w:ascii="Verdana" w:eastAsiaTheme="minorHAnsi" w:hAnsi="Verdana"/>
          <w:sz w:val="18"/>
          <w:szCs w:val="18"/>
        </w:rPr>
        <w:t xml:space="preserve"> This assumes that muscle is a representative tissue for</w:t>
      </w:r>
      <w:r w:rsidR="00BA0ECA" w:rsidRPr="000C7CFA">
        <w:rPr>
          <w:rFonts w:ascii="Verdana" w:eastAsiaTheme="minorHAnsi" w:hAnsi="Verdana"/>
          <w:sz w:val="18"/>
          <w:szCs w:val="18"/>
        </w:rPr>
        <w:t xml:space="preserve"> the birds. </w:t>
      </w:r>
      <w:r w:rsidR="000A653E" w:rsidRPr="000C7CFA">
        <w:rPr>
          <w:rFonts w:ascii="Verdana" w:hAnsi="Verdana"/>
          <w:color w:val="000000"/>
          <w:sz w:val="18"/>
          <w:szCs w:val="18"/>
        </w:rPr>
        <w:t>This study is not included in the registration dossier.</w:t>
      </w:r>
    </w:p>
    <w:p w14:paraId="5D995A39" w14:textId="77777777" w:rsidR="00786015" w:rsidRPr="000C7CFA" w:rsidRDefault="00786015" w:rsidP="00786015">
      <w:pPr>
        <w:pStyle w:val="BodyText"/>
        <w:ind w:right="657"/>
        <w:rPr>
          <w:rFonts w:ascii="Verdana" w:hAnsi="Verdana"/>
          <w:sz w:val="18"/>
          <w:szCs w:val="18"/>
        </w:rPr>
      </w:pPr>
    </w:p>
    <w:p w14:paraId="5F2715DF" w14:textId="77777777" w:rsidR="00786015" w:rsidRPr="000C7CFA" w:rsidRDefault="00786015" w:rsidP="00DC3658">
      <w:pPr>
        <w:pStyle w:val="NoSpacing"/>
        <w:numPr>
          <w:ilvl w:val="0"/>
          <w:numId w:val="6"/>
        </w:numPr>
        <w:spacing w:after="180"/>
        <w:ind w:right="657"/>
        <w:jc w:val="both"/>
        <w:rPr>
          <w:rFonts w:ascii="Verdana" w:eastAsia="BatangChe" w:hAnsi="Verdana" w:cs="Times New Roman"/>
          <w:sz w:val="18"/>
          <w:szCs w:val="18"/>
        </w:rPr>
      </w:pPr>
      <w:r w:rsidRPr="000C7CFA">
        <w:rPr>
          <w:rFonts w:ascii="Verdana" w:eastAsia="BatangChe" w:hAnsi="Verdana" w:cs="Times New Roman"/>
          <w:sz w:val="18"/>
          <w:szCs w:val="18"/>
          <w:u w:val="single"/>
        </w:rPr>
        <w:t xml:space="preserve">Klosterhaus </w:t>
      </w:r>
      <w:r w:rsidRPr="000C7CFA">
        <w:rPr>
          <w:rFonts w:ascii="Verdana" w:eastAsia="BatangChe" w:hAnsi="Verdana" w:cs="Times New Roman"/>
          <w:i/>
          <w:sz w:val="18"/>
          <w:szCs w:val="18"/>
          <w:u w:val="single"/>
        </w:rPr>
        <w:t>et al</w:t>
      </w:r>
      <w:r w:rsidRPr="000C7CFA">
        <w:rPr>
          <w:rFonts w:ascii="Verdana" w:eastAsia="BatangChe" w:hAnsi="Verdana" w:cs="Times New Roman"/>
          <w:sz w:val="18"/>
          <w:szCs w:val="18"/>
          <w:u w:val="single"/>
        </w:rPr>
        <w:t>. (2012)</w:t>
      </w:r>
      <w:r w:rsidRPr="000C7CFA">
        <w:rPr>
          <w:rFonts w:ascii="Verdana" w:eastAsia="BatangChe" w:hAnsi="Verdana" w:cs="Times New Roman"/>
          <w:sz w:val="18"/>
          <w:szCs w:val="18"/>
        </w:rPr>
        <w:t xml:space="preserve"> conducted a survey of flame retardants in San Francisco Bay, USA. Surface sediments (top 5 cm) were collected in 2007 from ten spatially distributed sites. Shiner Surfperch (</w:t>
      </w:r>
      <w:r w:rsidRPr="000C7CFA">
        <w:rPr>
          <w:rFonts w:ascii="Verdana" w:eastAsia="BatangChe" w:hAnsi="Verdana" w:cs="Times New Roman"/>
          <w:i/>
          <w:sz w:val="18"/>
          <w:szCs w:val="18"/>
        </w:rPr>
        <w:t>Cymatogaster aggregata</w:t>
      </w:r>
      <w:r w:rsidRPr="000C7CFA">
        <w:rPr>
          <w:rFonts w:ascii="Verdana" w:eastAsia="BatangChe" w:hAnsi="Verdana" w:cs="Times New Roman"/>
          <w:sz w:val="18"/>
          <w:szCs w:val="18"/>
        </w:rPr>
        <w:t>) (n=8 composite samples, 20 fish per composite) and White Croaker (</w:t>
      </w:r>
      <w:r w:rsidRPr="000C7CFA">
        <w:rPr>
          <w:rFonts w:ascii="Verdana" w:eastAsia="BatangChe" w:hAnsi="Verdana" w:cs="Times New Roman"/>
          <w:i/>
          <w:sz w:val="18"/>
          <w:szCs w:val="18"/>
        </w:rPr>
        <w:t>Genyonemus lineatus</w:t>
      </w:r>
      <w:r w:rsidRPr="000C7CFA">
        <w:rPr>
          <w:rFonts w:ascii="Verdana" w:eastAsia="BatangChe" w:hAnsi="Verdana" w:cs="Times New Roman"/>
          <w:sz w:val="18"/>
          <w:szCs w:val="18"/>
        </w:rPr>
        <w:t>) (n=6 composite samples, five fish per composite) were collected in 2006 from popular recreational fishing sites in three areas. These two species were selected because they are known to contain high concentrations of organic chemical contaminants. Three composites of Double-crested Cormorant (</w:t>
      </w:r>
      <w:r w:rsidRPr="000C7CFA">
        <w:rPr>
          <w:rFonts w:ascii="Verdana" w:eastAsia="BatangChe" w:hAnsi="Verdana" w:cs="Times New Roman"/>
          <w:i/>
          <w:sz w:val="18"/>
          <w:szCs w:val="18"/>
        </w:rPr>
        <w:t>Phalacrocorax auritus</w:t>
      </w:r>
      <w:r w:rsidRPr="000C7CFA">
        <w:rPr>
          <w:rFonts w:ascii="Verdana" w:eastAsia="BatangChe" w:hAnsi="Verdana" w:cs="Times New Roman"/>
          <w:sz w:val="18"/>
          <w:szCs w:val="18"/>
        </w:rPr>
        <w:t>) eggs (seven eggs per composite) were collected in 2008 from active nests at a single site. Harbour Seal (</w:t>
      </w:r>
      <w:r w:rsidRPr="000C7CFA">
        <w:rPr>
          <w:rFonts w:ascii="Verdana" w:eastAsia="BatangChe" w:hAnsi="Verdana" w:cs="Times New Roman"/>
          <w:i/>
          <w:sz w:val="18"/>
          <w:szCs w:val="18"/>
        </w:rPr>
        <w:t>Phoca vitulina</w:t>
      </w:r>
      <w:r w:rsidRPr="000C7CFA">
        <w:rPr>
          <w:rFonts w:ascii="Verdana" w:eastAsia="BatangChe" w:hAnsi="Verdana" w:cs="Times New Roman"/>
          <w:sz w:val="18"/>
          <w:szCs w:val="18"/>
        </w:rPr>
        <w:t>) blubber was sampled from fresh dead or freshly euthanized stranded seals from locations in the Central Bay segment in 2007 and 2008 (four adult females, one adult male, six female pups and six male pups). Following sample work-up, extracts were analyzed using gas chromatography and mass spectrometry operated in electron capture negative ionization mode (GC/ECNI-MS). Quality control measures included the analysis of blanks, duplicates, matrix spikes and standard reference materials. Data were blank corrected by subtracting the average mass in the blank samples; detection limits for these samples represent three times the standard deviation of the laboratory blanks.</w:t>
      </w:r>
    </w:p>
    <w:p w14:paraId="797EEBB1" w14:textId="33700DFA" w:rsidR="00786015" w:rsidRPr="000C7CFA" w:rsidRDefault="00786015" w:rsidP="00786015">
      <w:pPr>
        <w:pStyle w:val="BodyText"/>
        <w:ind w:left="360" w:right="657"/>
        <w:rPr>
          <w:rFonts w:ascii="Verdana" w:eastAsia="BatangChe" w:hAnsi="Verdana"/>
          <w:sz w:val="18"/>
          <w:szCs w:val="18"/>
        </w:rPr>
      </w:pPr>
      <w:r w:rsidRPr="000C7CFA">
        <w:rPr>
          <w:rFonts w:ascii="Verdana" w:eastAsia="BatangChe" w:hAnsi="Verdana"/>
          <w:sz w:val="18"/>
          <w:szCs w:val="18"/>
        </w:rPr>
        <w:t xml:space="preserve">Dechlorane Plus was detected in all of the sediment samples at a median concentration (total isomers) of 0.2 ng/g </w:t>
      </w:r>
      <w:proofErr w:type="gramStart"/>
      <w:r w:rsidRPr="000C7CFA">
        <w:rPr>
          <w:rFonts w:ascii="Verdana" w:eastAsia="BatangChe" w:hAnsi="Verdana"/>
          <w:sz w:val="18"/>
          <w:szCs w:val="18"/>
        </w:rPr>
        <w:t>dw</w:t>
      </w:r>
      <w:proofErr w:type="gramEnd"/>
      <w:r w:rsidRPr="000C7CFA">
        <w:rPr>
          <w:rFonts w:ascii="Verdana" w:eastAsia="BatangChe" w:hAnsi="Verdana"/>
          <w:sz w:val="18"/>
          <w:szCs w:val="18"/>
        </w:rPr>
        <w:t xml:space="preserve"> (range: 0.1 – 0.9 ng/g dw), which is similar to the levels of hexabromocyclododecane (HBCDD) that were found (median: 0.3 ng/g dw). Dechlorane Plus was detected in most of the wildlife samples, although at levels close to the detection limit. Median concentrations (total isomers) were 0.5 ng/g lipid weight (lw) (range: &lt;1.0 – 1.8 ng/g lw) in White Croaker (detected in 8</w:t>
      </w:r>
      <w:r w:rsidR="00AF7606" w:rsidRPr="000C7CFA">
        <w:rPr>
          <w:rFonts w:ascii="Verdana" w:eastAsia="BatangChe" w:hAnsi="Verdana"/>
          <w:sz w:val="18"/>
          <w:szCs w:val="18"/>
        </w:rPr>
        <w:t>3 %</w:t>
      </w:r>
      <w:r w:rsidRPr="000C7CFA">
        <w:rPr>
          <w:rFonts w:ascii="Verdana" w:eastAsia="BatangChe" w:hAnsi="Verdana"/>
          <w:sz w:val="18"/>
          <w:szCs w:val="18"/>
        </w:rPr>
        <w:t xml:space="preserve"> of samples, ant</w:t>
      </w:r>
      <w:r w:rsidR="00807CB2" w:rsidRPr="000C7CFA">
        <w:rPr>
          <w:rFonts w:ascii="Verdana" w:eastAsia="BatangChe" w:hAnsi="Verdana"/>
          <w:sz w:val="18"/>
          <w:szCs w:val="18"/>
        </w:rPr>
        <w:t>i- is</w:t>
      </w:r>
      <w:r w:rsidRPr="000C7CFA">
        <w:rPr>
          <w:rFonts w:ascii="Verdana" w:eastAsia="BatangChe" w:hAnsi="Verdana"/>
          <w:sz w:val="18"/>
          <w:szCs w:val="18"/>
        </w:rPr>
        <w:t>omer only), 1.3 ng/g lw in Shiner Surfperch (range: &lt;8.0 – 3.7 ng/g lw, detected in 7</w:t>
      </w:r>
      <w:r w:rsidR="00AF7606" w:rsidRPr="000C7CFA">
        <w:rPr>
          <w:rFonts w:ascii="Verdana" w:eastAsia="BatangChe" w:hAnsi="Verdana"/>
          <w:sz w:val="18"/>
          <w:szCs w:val="18"/>
        </w:rPr>
        <w:t>5 %</w:t>
      </w:r>
      <w:r w:rsidRPr="000C7CFA">
        <w:rPr>
          <w:rFonts w:ascii="Verdana" w:eastAsia="BatangChe" w:hAnsi="Verdana"/>
          <w:sz w:val="18"/>
          <w:szCs w:val="18"/>
        </w:rPr>
        <w:t xml:space="preserve"> of samples, ant</w:t>
      </w:r>
      <w:r w:rsidR="00807CB2" w:rsidRPr="000C7CFA">
        <w:rPr>
          <w:rFonts w:ascii="Verdana" w:eastAsia="BatangChe" w:hAnsi="Verdana"/>
          <w:sz w:val="18"/>
          <w:szCs w:val="18"/>
        </w:rPr>
        <w:t>i- is</w:t>
      </w:r>
      <w:r w:rsidRPr="000C7CFA">
        <w:rPr>
          <w:rFonts w:ascii="Verdana" w:eastAsia="BatangChe" w:hAnsi="Verdana"/>
          <w:sz w:val="18"/>
          <w:szCs w:val="18"/>
        </w:rPr>
        <w:t>omer only), 0.9 ng/g lw in Double-crested Cormorant eggs (range: 0.9 – 1.1 ng/g lw, detected in 100% of samples, sy</w:t>
      </w:r>
      <w:r w:rsidR="00807CB2" w:rsidRPr="000C7CFA">
        <w:rPr>
          <w:rFonts w:ascii="Verdana" w:eastAsia="BatangChe" w:hAnsi="Verdana"/>
          <w:sz w:val="18"/>
          <w:szCs w:val="18"/>
        </w:rPr>
        <w:t>n- i</w:t>
      </w:r>
      <w:r w:rsidRPr="000C7CFA">
        <w:rPr>
          <w:rFonts w:ascii="Verdana" w:eastAsia="BatangChe" w:hAnsi="Verdana"/>
          <w:sz w:val="18"/>
          <w:szCs w:val="18"/>
        </w:rPr>
        <w:t xml:space="preserve">somer only), and &lt;0.1 and 0.9 ng/g lw in Harbour Seal blubber </w:t>
      </w:r>
      <w:r w:rsidR="00B615E6" w:rsidRPr="000C7CFA">
        <w:rPr>
          <w:rFonts w:ascii="Verdana" w:eastAsia="BatangChe" w:hAnsi="Verdana"/>
          <w:sz w:val="18"/>
          <w:szCs w:val="18"/>
        </w:rPr>
        <w:t xml:space="preserve">from </w:t>
      </w:r>
      <w:r w:rsidRPr="000C7CFA">
        <w:rPr>
          <w:rFonts w:ascii="Verdana" w:eastAsia="BatangChe" w:hAnsi="Verdana"/>
          <w:sz w:val="18"/>
          <w:szCs w:val="18"/>
        </w:rPr>
        <w:t xml:space="preserve">pups and adults, respectively (range: &lt;0.1  - 0.1 ng/g lw for pups and 0.2 – 7.1 ng/g lw for adults, detected in </w:t>
      </w:r>
      <w:r w:rsidR="00AF7606" w:rsidRPr="000C7CFA">
        <w:rPr>
          <w:rFonts w:ascii="Verdana" w:eastAsia="BatangChe" w:hAnsi="Verdana"/>
          <w:sz w:val="18"/>
          <w:szCs w:val="18"/>
        </w:rPr>
        <w:t>8 %</w:t>
      </w:r>
      <w:r w:rsidRPr="000C7CFA">
        <w:rPr>
          <w:rFonts w:ascii="Verdana" w:eastAsia="BatangChe" w:hAnsi="Verdana"/>
          <w:sz w:val="18"/>
          <w:szCs w:val="18"/>
        </w:rPr>
        <w:t xml:space="preserve"> and 4</w:t>
      </w:r>
      <w:r w:rsidR="00AF7606" w:rsidRPr="000C7CFA">
        <w:rPr>
          <w:rFonts w:ascii="Verdana" w:eastAsia="BatangChe" w:hAnsi="Verdana"/>
          <w:sz w:val="18"/>
          <w:szCs w:val="18"/>
        </w:rPr>
        <w:t>2 %</w:t>
      </w:r>
      <w:r w:rsidRPr="000C7CFA">
        <w:rPr>
          <w:rFonts w:ascii="Verdana" w:eastAsia="BatangChe" w:hAnsi="Verdana"/>
          <w:sz w:val="18"/>
          <w:szCs w:val="18"/>
        </w:rPr>
        <w:t xml:space="preserve"> of pup samples (anti- and sy</w:t>
      </w:r>
      <w:r w:rsidR="00807CB2" w:rsidRPr="000C7CFA">
        <w:rPr>
          <w:rFonts w:ascii="Verdana" w:eastAsia="BatangChe" w:hAnsi="Verdana"/>
          <w:sz w:val="18"/>
          <w:szCs w:val="18"/>
        </w:rPr>
        <w:t>n- i</w:t>
      </w:r>
      <w:r w:rsidRPr="000C7CFA">
        <w:rPr>
          <w:rFonts w:ascii="Verdana" w:eastAsia="BatangChe" w:hAnsi="Verdana"/>
          <w:sz w:val="18"/>
          <w:szCs w:val="18"/>
        </w:rPr>
        <w:t xml:space="preserve">somer, respectively) but 100% of adult samples (both isomers)). For comparison, levels of HBCDD were 6.0, 6.5, 37.4, 3.5 and 7.1 ng/g </w:t>
      </w:r>
      <w:proofErr w:type="gramStart"/>
      <w:r w:rsidRPr="000C7CFA">
        <w:rPr>
          <w:rFonts w:ascii="Verdana" w:eastAsia="BatangChe" w:hAnsi="Verdana"/>
          <w:sz w:val="18"/>
          <w:szCs w:val="18"/>
        </w:rPr>
        <w:t>lw</w:t>
      </w:r>
      <w:proofErr w:type="gramEnd"/>
      <w:r w:rsidRPr="000C7CFA">
        <w:rPr>
          <w:rFonts w:ascii="Verdana" w:eastAsia="BatangChe" w:hAnsi="Verdana"/>
          <w:sz w:val="18"/>
          <w:szCs w:val="18"/>
        </w:rPr>
        <w:t>, respectively; levels of PBDEs were one to two orders of magnitude higher. The fractional abundance of the syn- isomer could only be determined for adult seal (mean 0.54, range: 0.51 – 0.57) and sediment samples (mean 0.35, range: 0.2 – 0.6), and the difference suggests that the syn- isomer may be more bioaccumulative than the anti- isomer.</w:t>
      </w:r>
    </w:p>
    <w:p w14:paraId="1524E3C8" w14:textId="77777777" w:rsidR="00786015" w:rsidRPr="000C7CFA" w:rsidRDefault="00786015" w:rsidP="00786015">
      <w:pPr>
        <w:pStyle w:val="BodyText"/>
        <w:ind w:left="360" w:right="657"/>
        <w:rPr>
          <w:rFonts w:ascii="Verdana" w:eastAsia="BatangChe" w:hAnsi="Verdana"/>
          <w:sz w:val="18"/>
          <w:szCs w:val="18"/>
        </w:rPr>
      </w:pPr>
      <w:r w:rsidRPr="000C7CFA">
        <w:rPr>
          <w:rFonts w:ascii="Verdana" w:eastAsia="BatangChe" w:hAnsi="Verdana"/>
          <w:sz w:val="18"/>
          <w:szCs w:val="18"/>
        </w:rPr>
        <w:t>An analysis of trophic magnification was not performed. Whilst the data imply that whilst Dechlorane Plus is present throughout the food web, there is no obvious trend with trophic position. In addition, the comparative bioaccumulation potential of PBDEs and HBCDD is higher.</w:t>
      </w:r>
    </w:p>
    <w:p w14:paraId="43433A82" w14:textId="77777777" w:rsidR="00AB2665" w:rsidRPr="000C7CFA" w:rsidRDefault="0026277F" w:rsidP="0026277F">
      <w:pPr>
        <w:pStyle w:val="BodyText"/>
        <w:ind w:left="360" w:right="657"/>
        <w:rPr>
          <w:rFonts w:ascii="Verdana" w:hAnsi="Verdana"/>
          <w:color w:val="000000"/>
          <w:sz w:val="18"/>
          <w:szCs w:val="18"/>
        </w:rPr>
      </w:pPr>
      <w:r w:rsidRPr="000C7CFA">
        <w:rPr>
          <w:rFonts w:ascii="Verdana" w:hAnsi="Verdana"/>
          <w:color w:val="000000"/>
          <w:sz w:val="18"/>
          <w:szCs w:val="18"/>
        </w:rPr>
        <w:t>This study is included in the registration dossier as supporting monitoring information and is considered fully reliable by the</w:t>
      </w:r>
      <w:r w:rsidR="00A43C45" w:rsidRPr="000C7CFA">
        <w:rPr>
          <w:rFonts w:ascii="Verdana" w:hAnsi="Verdana"/>
          <w:color w:val="000000"/>
          <w:sz w:val="18"/>
          <w:szCs w:val="18"/>
        </w:rPr>
        <w:t xml:space="preserve"> Registrant</w:t>
      </w:r>
      <w:r w:rsidR="00583F99" w:rsidRPr="000C7CFA">
        <w:rPr>
          <w:rFonts w:ascii="Verdana" w:hAnsi="Verdana"/>
          <w:color w:val="000000"/>
          <w:sz w:val="18"/>
          <w:szCs w:val="18"/>
        </w:rPr>
        <w:t>. Al</w:t>
      </w:r>
      <w:r w:rsidRPr="000C7CFA">
        <w:rPr>
          <w:rFonts w:ascii="Verdana" w:hAnsi="Verdana"/>
          <w:color w:val="000000"/>
          <w:sz w:val="18"/>
          <w:szCs w:val="18"/>
        </w:rPr>
        <w:t>though the bioaccumulation aspects are not discussed</w:t>
      </w:r>
      <w:r w:rsidR="00583F99" w:rsidRPr="000C7CFA">
        <w:rPr>
          <w:rFonts w:ascii="Verdana" w:hAnsi="Verdana"/>
          <w:color w:val="000000"/>
          <w:sz w:val="18"/>
          <w:szCs w:val="18"/>
        </w:rPr>
        <w:t xml:space="preserve"> in the CSR, the study summary does</w:t>
      </w:r>
      <w:r w:rsidR="00AD70D3" w:rsidRPr="000C7CFA">
        <w:rPr>
          <w:rFonts w:ascii="Verdana" w:hAnsi="Verdana"/>
          <w:color w:val="000000"/>
          <w:sz w:val="18"/>
          <w:szCs w:val="18"/>
        </w:rPr>
        <w:t xml:space="preserve"> mention the</w:t>
      </w:r>
      <w:r w:rsidR="00583F99" w:rsidRPr="000C7CFA">
        <w:rPr>
          <w:rFonts w:ascii="Verdana" w:hAnsi="Verdana"/>
          <w:color w:val="000000"/>
          <w:sz w:val="18"/>
          <w:szCs w:val="18"/>
        </w:rPr>
        <w:t xml:space="preserve"> isomer distribution difference </w:t>
      </w:r>
      <w:r w:rsidR="00AD70D3" w:rsidRPr="000C7CFA">
        <w:rPr>
          <w:rFonts w:ascii="Verdana" w:hAnsi="Verdana"/>
          <w:color w:val="000000"/>
          <w:sz w:val="18"/>
          <w:szCs w:val="18"/>
        </w:rPr>
        <w:t>between</w:t>
      </w:r>
      <w:r w:rsidR="00583F99" w:rsidRPr="000C7CFA">
        <w:rPr>
          <w:rFonts w:ascii="Verdana" w:hAnsi="Verdana"/>
          <w:color w:val="000000"/>
          <w:sz w:val="18"/>
          <w:szCs w:val="18"/>
        </w:rPr>
        <w:t xml:space="preserve"> seals and sediments</w:t>
      </w:r>
      <w:r w:rsidRPr="000C7CFA">
        <w:rPr>
          <w:rFonts w:ascii="Verdana" w:hAnsi="Verdana"/>
          <w:color w:val="000000"/>
          <w:sz w:val="18"/>
          <w:szCs w:val="18"/>
        </w:rPr>
        <w:t>.</w:t>
      </w:r>
    </w:p>
    <w:p w14:paraId="052878AD" w14:textId="77777777" w:rsidR="0026277F" w:rsidRPr="000C7CFA" w:rsidRDefault="0026277F" w:rsidP="0026277F">
      <w:pPr>
        <w:pStyle w:val="BodyText"/>
        <w:ind w:left="360" w:right="657"/>
        <w:rPr>
          <w:rFonts w:ascii="Verdana" w:hAnsi="Verdana"/>
          <w:sz w:val="18"/>
          <w:szCs w:val="18"/>
        </w:rPr>
      </w:pPr>
    </w:p>
    <w:p w14:paraId="7CAA4A74" w14:textId="77777777" w:rsidR="00E00C9D" w:rsidRPr="000C7CFA" w:rsidRDefault="00D6228D" w:rsidP="00DC3658">
      <w:pPr>
        <w:pStyle w:val="NoSpacing"/>
        <w:numPr>
          <w:ilvl w:val="0"/>
          <w:numId w:val="6"/>
        </w:numPr>
        <w:spacing w:after="180"/>
        <w:ind w:right="657"/>
        <w:jc w:val="both"/>
        <w:rPr>
          <w:rFonts w:ascii="Verdana" w:hAnsi="Verdana" w:cs="Times New Roman"/>
          <w:color w:val="000000"/>
          <w:sz w:val="18"/>
          <w:szCs w:val="18"/>
          <w:lang w:val="en-US"/>
        </w:rPr>
      </w:pPr>
      <w:r w:rsidRPr="000C7CFA">
        <w:rPr>
          <w:rFonts w:ascii="Verdana" w:hAnsi="Verdana" w:cs="Times New Roman"/>
          <w:color w:val="000000"/>
          <w:sz w:val="18"/>
          <w:szCs w:val="18"/>
          <w:u w:val="single"/>
        </w:rPr>
        <w:t xml:space="preserve">Peng </w:t>
      </w:r>
      <w:r w:rsidRPr="000C7CFA">
        <w:rPr>
          <w:rFonts w:ascii="Verdana" w:hAnsi="Verdana" w:cs="Times New Roman"/>
          <w:i/>
          <w:color w:val="000000"/>
          <w:sz w:val="18"/>
          <w:szCs w:val="18"/>
          <w:u w:val="single"/>
        </w:rPr>
        <w:t>et al.</w:t>
      </w:r>
      <w:r w:rsidRPr="000C7CFA">
        <w:rPr>
          <w:rFonts w:ascii="Verdana" w:hAnsi="Verdana" w:cs="Times New Roman"/>
          <w:color w:val="000000"/>
          <w:sz w:val="18"/>
          <w:szCs w:val="18"/>
          <w:u w:val="single"/>
        </w:rPr>
        <w:t xml:space="preserve"> (2012)</w:t>
      </w:r>
      <w:r w:rsidRPr="000C7CFA">
        <w:rPr>
          <w:rFonts w:ascii="Verdana" w:hAnsi="Verdana" w:cs="Times New Roman"/>
          <w:color w:val="000000"/>
          <w:sz w:val="18"/>
          <w:szCs w:val="18"/>
        </w:rPr>
        <w:t xml:space="preserve"> investigated tissue distribution, maternal transfer and age-related accumulation of Dechlorane Plus (and other substances) in wild-caught female Chinese Sturgeon </w:t>
      </w:r>
      <w:r w:rsidRPr="000C7CFA">
        <w:rPr>
          <w:rFonts w:ascii="Verdana" w:hAnsi="Verdana" w:cs="Times New Roman"/>
          <w:color w:val="000000"/>
          <w:sz w:val="18"/>
          <w:szCs w:val="18"/>
          <w:lang w:val="en-US"/>
        </w:rPr>
        <w:t>collected between 2003 and 2006</w:t>
      </w:r>
      <w:r w:rsidRPr="000C7CFA">
        <w:rPr>
          <w:rFonts w:ascii="Verdana" w:hAnsi="Verdana" w:cs="Times New Roman"/>
          <w:color w:val="000000"/>
          <w:sz w:val="18"/>
          <w:szCs w:val="18"/>
        </w:rPr>
        <w:t xml:space="preserve"> at the Gezhou Dam on the Yangtze River, China (n=17) (this is a bottom-feeding species that </w:t>
      </w:r>
      <w:r w:rsidR="00B1052E" w:rsidRPr="000C7CFA">
        <w:rPr>
          <w:rFonts w:ascii="Verdana" w:hAnsi="Verdana" w:cs="Times New Roman"/>
          <w:color w:val="000000"/>
          <w:sz w:val="18"/>
          <w:szCs w:val="18"/>
        </w:rPr>
        <w:t xml:space="preserve">migrates to the sea after hatching and </w:t>
      </w:r>
      <w:r w:rsidRPr="000C7CFA">
        <w:rPr>
          <w:rFonts w:ascii="Verdana" w:hAnsi="Verdana" w:cs="Times New Roman"/>
          <w:color w:val="000000"/>
          <w:sz w:val="18"/>
          <w:szCs w:val="18"/>
        </w:rPr>
        <w:t xml:space="preserve">does not return to rivers to breed until </w:t>
      </w:r>
      <w:r w:rsidRPr="000C7CFA">
        <w:rPr>
          <w:rFonts w:ascii="Verdana" w:hAnsi="Verdana" w:cs="Times New Roman"/>
          <w:color w:val="000000"/>
          <w:sz w:val="18"/>
          <w:szCs w:val="18"/>
          <w:lang w:val="en-US"/>
        </w:rPr>
        <w:t>around 14</w:t>
      </w:r>
      <w:r w:rsidRPr="000C7CFA">
        <w:rPr>
          <w:rFonts w:ascii="Verdana" w:hAnsi="Verdana" w:cs="Times New Roman"/>
          <w:color w:val="000000"/>
          <w:sz w:val="18"/>
          <w:szCs w:val="18"/>
        </w:rPr>
        <w:t xml:space="preserve"> years old</w:t>
      </w:r>
      <w:r w:rsidRPr="000C7CFA">
        <w:rPr>
          <w:rFonts w:ascii="Verdana" w:hAnsi="Verdana" w:cs="Times New Roman"/>
          <w:color w:val="000000"/>
          <w:sz w:val="18"/>
          <w:szCs w:val="18"/>
          <w:lang w:val="en-US"/>
        </w:rPr>
        <w:t xml:space="preserve">). Organs and eggs were harvested and samples were kept </w:t>
      </w:r>
      <w:r w:rsidRPr="000C7CFA">
        <w:rPr>
          <w:rFonts w:ascii="Verdana" w:hAnsi="Verdana" w:cs="Times New Roman"/>
          <w:color w:val="000000"/>
          <w:sz w:val="18"/>
          <w:szCs w:val="18"/>
          <w:lang w:val="en-US"/>
        </w:rPr>
        <w:lastRenderedPageBreak/>
        <w:t>at −20 °C until analysis. Fish age was estimated by growth layers in the cleithrum.</w:t>
      </w:r>
    </w:p>
    <w:p w14:paraId="2BF73A87" w14:textId="79E69878" w:rsidR="00266B8C" w:rsidRPr="000C7CFA" w:rsidRDefault="00266B8C" w:rsidP="00266B8C">
      <w:pPr>
        <w:pStyle w:val="BodyText"/>
        <w:ind w:left="360" w:right="657"/>
        <w:rPr>
          <w:rFonts w:ascii="Verdana" w:eastAsiaTheme="minorHAnsi" w:hAnsi="Verdana"/>
          <w:sz w:val="18"/>
          <w:szCs w:val="18"/>
        </w:rPr>
      </w:pPr>
      <w:r w:rsidRPr="000C7CFA">
        <w:rPr>
          <w:rFonts w:ascii="Verdana" w:eastAsiaTheme="minorHAnsi" w:hAnsi="Verdana"/>
          <w:sz w:val="18"/>
          <w:szCs w:val="18"/>
        </w:rPr>
        <w:t xml:space="preserve">Samples were spiked with </w:t>
      </w:r>
      <w:r w:rsidRPr="000C7CFA">
        <w:rPr>
          <w:rFonts w:ascii="Verdana" w:eastAsiaTheme="minorHAnsi" w:hAnsi="Verdana"/>
          <w:sz w:val="18"/>
          <w:szCs w:val="18"/>
          <w:vertAlign w:val="superscript"/>
        </w:rPr>
        <w:t>13</w:t>
      </w:r>
      <w:r w:rsidRPr="000C7CFA">
        <w:rPr>
          <w:rFonts w:ascii="Verdana" w:eastAsiaTheme="minorHAnsi" w:hAnsi="Verdana"/>
          <w:sz w:val="18"/>
          <w:szCs w:val="18"/>
        </w:rPr>
        <w:t>C</w:t>
      </w:r>
      <w:r w:rsidRPr="000C7CFA">
        <w:rPr>
          <w:rFonts w:ascii="Verdana" w:eastAsiaTheme="minorHAnsi" w:hAnsi="Verdana"/>
          <w:sz w:val="18"/>
          <w:szCs w:val="18"/>
          <w:vertAlign w:val="subscript"/>
        </w:rPr>
        <w:t>12</w:t>
      </w:r>
      <w:r w:rsidRPr="000C7CFA">
        <w:rPr>
          <w:rFonts w:ascii="Verdana" w:eastAsiaTheme="minorHAnsi" w:hAnsi="Verdana"/>
          <w:sz w:val="18"/>
          <w:szCs w:val="18"/>
        </w:rPr>
        <w:t>-PCB-180 prior to extraction, and analysis was by GC-MS with negative ionization. The recovery of the standard was 85±19</w:t>
      </w:r>
      <w:r w:rsidR="00AF7606" w:rsidRPr="000C7CFA">
        <w:rPr>
          <w:rFonts w:ascii="Verdana" w:eastAsiaTheme="minorHAnsi" w:hAnsi="Verdana"/>
          <w:sz w:val="18"/>
          <w:szCs w:val="18"/>
        </w:rPr>
        <w:t xml:space="preserve"> </w:t>
      </w:r>
      <w:r w:rsidRPr="000C7CFA">
        <w:rPr>
          <w:rFonts w:ascii="Verdana" w:eastAsiaTheme="minorHAnsi" w:hAnsi="Verdana"/>
          <w:sz w:val="18"/>
          <w:szCs w:val="18"/>
        </w:rPr>
        <w:t>%, and the recoveries of dechlorane compounds ranged from 85 to 12</w:t>
      </w:r>
      <w:r w:rsidR="00AF7606" w:rsidRPr="000C7CFA">
        <w:rPr>
          <w:rFonts w:ascii="Verdana" w:eastAsiaTheme="minorHAnsi" w:hAnsi="Verdana"/>
          <w:sz w:val="18"/>
          <w:szCs w:val="18"/>
        </w:rPr>
        <w:t>3 %</w:t>
      </w:r>
      <w:r w:rsidRPr="000C7CFA">
        <w:rPr>
          <w:rFonts w:ascii="Verdana" w:eastAsiaTheme="minorHAnsi" w:hAnsi="Verdana"/>
          <w:sz w:val="18"/>
          <w:szCs w:val="18"/>
        </w:rPr>
        <w:t>. All equipment rinses were carried out with acetone and n-hexane to avoid sample contamination. A laboratory blank was incorporated in the analytical procedures for every batch of 12 samples. The LoD was 0.0002 µg/kg [2 ng/kg] ww for both isomers of Dechlorane Plus and DP</w:t>
      </w:r>
      <w:r w:rsidRPr="000C7CFA">
        <w:rPr>
          <w:rFonts w:ascii="Verdana" w:eastAsiaTheme="minorHAnsi" w:hAnsi="Verdana"/>
          <w:sz w:val="18"/>
          <w:szCs w:val="18"/>
        </w:rPr>
        <w:noBreakHyphen/>
        <w:t xml:space="preserve">1Cl. </w:t>
      </w:r>
    </w:p>
    <w:p w14:paraId="468D2695" w14:textId="37CC9B52" w:rsidR="00266B8C" w:rsidRPr="000C7CFA" w:rsidRDefault="00266B8C" w:rsidP="00266B8C">
      <w:pPr>
        <w:pStyle w:val="BodyText"/>
        <w:ind w:left="360" w:right="657"/>
        <w:rPr>
          <w:rFonts w:ascii="Verdana" w:eastAsiaTheme="minorHAnsi" w:hAnsi="Verdana"/>
          <w:sz w:val="18"/>
          <w:szCs w:val="18"/>
        </w:rPr>
      </w:pPr>
      <w:r w:rsidRPr="000C7CFA">
        <w:rPr>
          <w:rFonts w:ascii="Verdana" w:eastAsiaTheme="minorHAnsi" w:hAnsi="Verdana"/>
          <w:sz w:val="18"/>
          <w:szCs w:val="18"/>
        </w:rPr>
        <w:t>Both Dechlorane Plus isomers were found in all tissues, although comparisons between tissues is complicated by the varying sample numbers (egg, n=14; gonad, n=5; adipose, n=5; liver, n=7; heart, n=5; muscle, n=7; intestine, n=7; stomach, n=5; gill, n=6; pancreas, n=2; gallbladder, n=1; spleen, n=1; kidney, n=1), as well as the very low concentrations that were measured. Median (total) concentrations were 0.0063 µg/kg ww in eggs, 0.0056 µg/kg ww in gonads, 0.0094 µg/kg ww in adipose tissue, 0.0088 µg/kg ww in liver, 0.0135 µg/kg ww in heart, 0.0020 µg/kg ww in muscle, 0.0034 µg/kg ww in intestine, 0.0042 µg/kg ww in stomach, 0.0044 µg/kg ww in gill, 0.0136 µg/kg ww in gall bladder, 0.0048 µg/kg ww in spleen, 0.0078 µg/kg ww in kidney (only a minimum and maximum are given for each isomer in pancreas). The concentration in heart tissue was unexpectedly high even though the lipid content of the heart (4.</w:t>
      </w:r>
      <w:r w:rsidR="00AF7606" w:rsidRPr="000C7CFA">
        <w:rPr>
          <w:rFonts w:ascii="Verdana" w:eastAsiaTheme="minorHAnsi" w:hAnsi="Verdana"/>
          <w:sz w:val="18"/>
          <w:szCs w:val="18"/>
        </w:rPr>
        <w:t>4 %</w:t>
      </w:r>
      <w:r w:rsidRPr="000C7CFA">
        <w:rPr>
          <w:rFonts w:ascii="Verdana" w:eastAsiaTheme="minorHAnsi" w:hAnsi="Verdana"/>
          <w:sz w:val="18"/>
          <w:szCs w:val="18"/>
        </w:rPr>
        <w:t>) was much lower than adipose tissue (6</w:t>
      </w:r>
      <w:r w:rsidR="00AF7606" w:rsidRPr="000C7CFA">
        <w:rPr>
          <w:rFonts w:ascii="Verdana" w:eastAsiaTheme="minorHAnsi" w:hAnsi="Verdana"/>
          <w:sz w:val="18"/>
          <w:szCs w:val="18"/>
        </w:rPr>
        <w:t>6 %</w:t>
      </w:r>
      <w:r w:rsidRPr="000C7CFA">
        <w:rPr>
          <w:rFonts w:ascii="Verdana" w:eastAsiaTheme="minorHAnsi" w:hAnsi="Verdana"/>
          <w:sz w:val="18"/>
          <w:szCs w:val="18"/>
        </w:rPr>
        <w:t>) and liver (1</w:t>
      </w:r>
      <w:r w:rsidR="00AF7606" w:rsidRPr="000C7CFA">
        <w:rPr>
          <w:rFonts w:ascii="Verdana" w:eastAsiaTheme="minorHAnsi" w:hAnsi="Verdana"/>
          <w:sz w:val="18"/>
          <w:szCs w:val="18"/>
        </w:rPr>
        <w:t>3 %</w:t>
      </w:r>
      <w:r w:rsidRPr="000C7CFA">
        <w:rPr>
          <w:rFonts w:ascii="Verdana" w:eastAsiaTheme="minorHAnsi" w:hAnsi="Verdana"/>
          <w:sz w:val="18"/>
          <w:szCs w:val="18"/>
        </w:rPr>
        <w:t>)</w:t>
      </w:r>
      <w:r w:rsidRPr="000C7CFA">
        <w:rPr>
          <w:rFonts w:ascii="Verdana" w:eastAsiaTheme="minorHAnsi" w:hAnsi="Verdana"/>
          <w:sz w:val="18"/>
          <w:szCs w:val="18"/>
          <w:vertAlign w:val="superscript"/>
        </w:rPr>
        <w:footnoteReference w:id="20"/>
      </w:r>
      <w:r w:rsidRPr="000C7CFA">
        <w:rPr>
          <w:rFonts w:ascii="Verdana" w:eastAsiaTheme="minorHAnsi" w:hAnsi="Verdana"/>
          <w:sz w:val="18"/>
          <w:szCs w:val="18"/>
        </w:rPr>
        <w:t>. Relatively high concentrations were also found in eggs compared to muscle.</w:t>
      </w:r>
    </w:p>
    <w:p w14:paraId="300DFE4B" w14:textId="77777777" w:rsidR="00266B8C" w:rsidRPr="000C7CFA" w:rsidRDefault="00266B8C" w:rsidP="00266B8C">
      <w:pPr>
        <w:pStyle w:val="BodyText"/>
        <w:ind w:left="360" w:right="657"/>
        <w:rPr>
          <w:rFonts w:ascii="Verdana" w:eastAsiaTheme="minorHAnsi" w:hAnsi="Verdana"/>
          <w:sz w:val="18"/>
          <w:szCs w:val="18"/>
        </w:rPr>
      </w:pPr>
      <w:r w:rsidRPr="000C7CFA">
        <w:rPr>
          <w:rFonts w:ascii="Verdana" w:eastAsiaTheme="minorHAnsi" w:hAnsi="Verdana"/>
          <w:sz w:val="18"/>
          <w:szCs w:val="18"/>
        </w:rPr>
        <w:t>The f</w:t>
      </w:r>
      <w:r w:rsidRPr="000C7CFA">
        <w:rPr>
          <w:rFonts w:ascii="Verdana" w:eastAsiaTheme="minorHAnsi" w:hAnsi="Verdana"/>
          <w:sz w:val="18"/>
          <w:szCs w:val="18"/>
          <w:vertAlign w:val="subscript"/>
        </w:rPr>
        <w:t>anti</w:t>
      </w:r>
      <w:r w:rsidRPr="000C7CFA">
        <w:rPr>
          <w:rFonts w:ascii="Verdana" w:eastAsiaTheme="minorHAnsi" w:hAnsi="Verdana"/>
          <w:sz w:val="18"/>
          <w:szCs w:val="18"/>
        </w:rPr>
        <w:t xml:space="preserve"> values were as follows (the paper appears to have a missing line for some tissues): eggs and heart, 0.58±0.03; stomach, 0.72±0.06; liver, 0.72±0.03; gonad, 0.68±0.03; intestine, 0.67±0.08; and egg 0.65±0.04. The </w:t>
      </w:r>
      <w:proofErr w:type="gramStart"/>
      <w:r w:rsidRPr="000C7CFA">
        <w:rPr>
          <w:rFonts w:ascii="Verdana" w:eastAsiaTheme="minorHAnsi" w:hAnsi="Verdana"/>
          <w:sz w:val="18"/>
          <w:szCs w:val="18"/>
        </w:rPr>
        <w:t>f</w:t>
      </w:r>
      <w:r w:rsidRPr="000C7CFA">
        <w:rPr>
          <w:rFonts w:ascii="Verdana" w:eastAsiaTheme="minorHAnsi" w:hAnsi="Verdana"/>
          <w:sz w:val="18"/>
          <w:szCs w:val="18"/>
          <w:vertAlign w:val="subscript"/>
        </w:rPr>
        <w:t>anti</w:t>
      </w:r>
      <w:proofErr w:type="gramEnd"/>
      <w:r w:rsidRPr="000C7CFA">
        <w:rPr>
          <w:rFonts w:ascii="Verdana" w:eastAsiaTheme="minorHAnsi" w:hAnsi="Verdana"/>
          <w:sz w:val="18"/>
          <w:szCs w:val="18"/>
        </w:rPr>
        <w:t xml:space="preserve"> values in eggs and heart were significantly lower than those in muscle and liver (p &lt; 0.001). </w:t>
      </w:r>
    </w:p>
    <w:p w14:paraId="23E146C2" w14:textId="57C601B6" w:rsidR="00266B8C" w:rsidRPr="000C7CFA" w:rsidRDefault="00266B8C" w:rsidP="00266B8C">
      <w:pPr>
        <w:pStyle w:val="BodyText"/>
        <w:ind w:left="360" w:right="657"/>
        <w:rPr>
          <w:rFonts w:ascii="Verdana" w:eastAsiaTheme="minorHAnsi" w:hAnsi="Verdana"/>
          <w:sz w:val="18"/>
          <w:szCs w:val="18"/>
        </w:rPr>
      </w:pPr>
      <w:r w:rsidRPr="000C7CFA">
        <w:rPr>
          <w:rFonts w:ascii="Verdana" w:eastAsiaTheme="minorHAnsi" w:hAnsi="Verdana"/>
          <w:sz w:val="18"/>
          <w:szCs w:val="18"/>
        </w:rPr>
        <w:t>Syn- and anti- isomers of DP-1Cl were detected in all tissues, with the highest concentrations in adipose (median concentrations were 2.7 ng/kg ww for syn-DP-1Cl  and 6.6 ng/kg ww for anti-DP-1Cl), followed by heart (median concentrations were 2.5 ng/</w:t>
      </w:r>
      <w:r w:rsidR="00BB3D8A" w:rsidRPr="000C7CFA">
        <w:rPr>
          <w:rFonts w:ascii="Verdana" w:eastAsiaTheme="minorHAnsi" w:hAnsi="Verdana"/>
          <w:sz w:val="18"/>
          <w:szCs w:val="18"/>
        </w:rPr>
        <w:t>k</w:t>
      </w:r>
      <w:r w:rsidRPr="000C7CFA">
        <w:rPr>
          <w:rFonts w:ascii="Verdana" w:eastAsiaTheme="minorHAnsi" w:hAnsi="Verdana"/>
          <w:sz w:val="18"/>
          <w:szCs w:val="18"/>
        </w:rPr>
        <w:t>g ww for syn-DP-1Cl and 2.5 ng/kg ww for anti-DP-1Cl). Anti-DP-1Cl had a different tissue distribution pattern to Dechlorane Plus, with levels in maternal tissues (including muscle, liver, intestine and stomach) statistically significantly lower than those of eggs.</w:t>
      </w:r>
    </w:p>
    <w:p w14:paraId="14644D35" w14:textId="77777777" w:rsidR="00266B8C" w:rsidRPr="000C7CFA" w:rsidRDefault="00266B8C" w:rsidP="00266B8C">
      <w:pPr>
        <w:pStyle w:val="BodyText"/>
        <w:ind w:left="360" w:right="657"/>
        <w:rPr>
          <w:rFonts w:ascii="Verdana" w:eastAsiaTheme="minorHAnsi" w:hAnsi="Verdana"/>
          <w:sz w:val="18"/>
          <w:szCs w:val="18"/>
        </w:rPr>
      </w:pPr>
      <w:r w:rsidRPr="000C7CFA">
        <w:rPr>
          <w:rFonts w:ascii="Verdana" w:eastAsiaTheme="minorHAnsi" w:hAnsi="Verdana"/>
          <w:sz w:val="18"/>
          <w:szCs w:val="18"/>
        </w:rPr>
        <w:t>The ratios of the concentration of substances in eggs to those in summed maternal tissues (used to assess maternal transfer efficiencies) were 3.7 and 5.2 for anti- and syn- isomers, respectively (and 5.2 and 2.6 for anti- and syn-DP-1Cl, respectively). Regression analysis was conducted to investigate age-related accumulation trends in eggs from individually aged fish. Statistically significant negative age-related accumulation trends were found for anti- and syn-DP-1Cl, while the relationship for the two Dechlorane Plus isomers was not statistically significant.</w:t>
      </w:r>
    </w:p>
    <w:p w14:paraId="66F29DBA" w14:textId="77777777" w:rsidR="00266B8C" w:rsidRPr="000C7CFA" w:rsidRDefault="00266B8C" w:rsidP="00266B8C">
      <w:pPr>
        <w:pStyle w:val="BodyText"/>
        <w:ind w:left="360" w:right="657"/>
        <w:rPr>
          <w:rFonts w:ascii="Verdana" w:eastAsiaTheme="minorHAnsi" w:hAnsi="Verdana"/>
          <w:sz w:val="18"/>
          <w:szCs w:val="18"/>
        </w:rPr>
      </w:pPr>
      <w:r w:rsidRPr="000C7CFA">
        <w:rPr>
          <w:rFonts w:ascii="Verdana" w:eastAsiaTheme="minorHAnsi" w:hAnsi="Verdana"/>
          <w:sz w:val="18"/>
          <w:szCs w:val="18"/>
        </w:rPr>
        <w:t xml:space="preserve">To evaluate the potential influence of maternal transfer on age-related decreasing concentration trends, the relative contributions of the substances in eggs to total body burden were calculated. Eggs contributed around 50% of the overall body burden for the syn- and anti- isomers of Dechlorane Plus, approximately equivalent to muscle tissue (values read from a graph), reflecting not only their relatively high concentrations, but also their large size. Maternal transfer to eggs was considered to be a possible explanation for the apparent age-related decrease in some substance concentrations in female Chinese Sturgeon. It is unclear where in the life cycle the parent fish were exposed to Dechlorane Plus. </w:t>
      </w:r>
      <w:r w:rsidRPr="000C7CFA">
        <w:rPr>
          <w:rFonts w:ascii="Verdana" w:eastAsiaTheme="minorHAnsi" w:hAnsi="Verdana"/>
          <w:sz w:val="18"/>
          <w:szCs w:val="18"/>
        </w:rPr>
        <w:lastRenderedPageBreak/>
        <w:t>They spend the first fourteen years of their lives at sea, before spending around a year in the Yangtze River and then returning to the sea for 3 to 5 years before spawning again.</w:t>
      </w:r>
    </w:p>
    <w:p w14:paraId="0499E09C" w14:textId="0AEC56E7" w:rsidR="00266B8C" w:rsidRPr="000C7CFA" w:rsidRDefault="00266B8C" w:rsidP="00266B8C">
      <w:pPr>
        <w:pStyle w:val="BodyText"/>
        <w:ind w:left="360" w:right="657"/>
        <w:rPr>
          <w:rFonts w:ascii="Verdana" w:eastAsiaTheme="minorHAnsi" w:hAnsi="Verdana"/>
          <w:sz w:val="18"/>
          <w:szCs w:val="18"/>
        </w:rPr>
      </w:pPr>
      <w:r w:rsidRPr="000C7CFA">
        <w:rPr>
          <w:rFonts w:ascii="Verdana" w:eastAsiaTheme="minorHAnsi" w:hAnsi="Verdana"/>
          <w:sz w:val="18"/>
          <w:szCs w:val="18"/>
        </w:rPr>
        <w:t>Principle component analysis of concentrations of other substances in the same fish individuals showed that the dechlorane compounds (including Dechlorane Plus) separated from perfluorocarbons, organotins and hydroxylated PBDEs, which are thought to be protein-binding pollutants. This suggests that Dechlorane Plus is a lipid-binding compound. The paper does not provide lipid-normalized concentrations for Dechlorane Plus, and the no attempt</w:t>
      </w:r>
      <w:r w:rsidR="005B6B2B" w:rsidRPr="000C7CFA">
        <w:rPr>
          <w:rFonts w:ascii="Verdana" w:eastAsiaTheme="minorHAnsi" w:hAnsi="Verdana"/>
          <w:sz w:val="18"/>
          <w:szCs w:val="18"/>
        </w:rPr>
        <w:t xml:space="preserve"> has been made</w:t>
      </w:r>
      <w:r w:rsidRPr="000C7CFA">
        <w:rPr>
          <w:rFonts w:ascii="Verdana" w:eastAsiaTheme="minorHAnsi" w:hAnsi="Verdana"/>
          <w:sz w:val="18"/>
          <w:szCs w:val="18"/>
        </w:rPr>
        <w:t xml:space="preserve"> to estimate them due to potential reporting errors in the data table. </w:t>
      </w:r>
    </w:p>
    <w:p w14:paraId="1E4A73B3" w14:textId="77777777" w:rsidR="00266B8C" w:rsidRPr="000C7CFA" w:rsidRDefault="00266B8C" w:rsidP="00266B8C">
      <w:pPr>
        <w:pStyle w:val="BodyText"/>
        <w:ind w:left="360" w:right="657"/>
        <w:rPr>
          <w:rFonts w:ascii="Verdana" w:eastAsiaTheme="minorHAnsi" w:hAnsi="Verdana"/>
          <w:sz w:val="18"/>
          <w:szCs w:val="18"/>
        </w:rPr>
      </w:pPr>
      <w:r w:rsidRPr="000C7CFA">
        <w:rPr>
          <w:rFonts w:ascii="Verdana" w:eastAsiaTheme="minorHAnsi" w:hAnsi="Verdana"/>
          <w:sz w:val="18"/>
          <w:szCs w:val="18"/>
        </w:rPr>
        <w:t>Finally, liver microsomes were isolated from cultured two-year-old Chinese Sturgeon with dithiothreitol (DTT) to preserve the catalytic activity of reductases. The protein concentration in the reaction vial was 2.4 mg/mL and the CYP1A1-catalyzed EROD activity was 4.6 pmol/mg/min. Treated microsomes were incubated in vitro at 37 °C for 24 hours with constant agitation, and incubations without chemicals and without microsomes were used as negative controls to assess background contaminants and the possibility of non-enzyme-mediated changes in chemical structure. The concentration of syn- and anti-Dechlorane Plus in the incubation mixture was 50 ng/mL [50</w:t>
      </w:r>
      <w:r w:rsidR="00911379" w:rsidRPr="000C7CFA">
        <w:rPr>
          <w:rFonts w:ascii="Verdana" w:eastAsiaTheme="minorHAnsi" w:hAnsi="Verdana"/>
          <w:sz w:val="18"/>
          <w:szCs w:val="18"/>
        </w:rPr>
        <w:t xml:space="preserve"> µg/L], which is significantly higher than the reported solubility in pure water. After incubation, the samples were extracted by n-hexane immediately for chemical analysis. No dechlorinated substances were detected indicating that the metabolism rates were very low in Chinese Sturgeon.</w:t>
      </w:r>
    </w:p>
    <w:p w14:paraId="29456841" w14:textId="27CE8415" w:rsidR="00D6228D" w:rsidRPr="000C7CFA" w:rsidRDefault="00266B8C" w:rsidP="00266B8C">
      <w:pPr>
        <w:pStyle w:val="BodyText"/>
        <w:ind w:left="360" w:right="657"/>
        <w:rPr>
          <w:rFonts w:ascii="Verdana" w:eastAsiaTheme="minorHAnsi" w:hAnsi="Verdana"/>
          <w:sz w:val="18"/>
          <w:szCs w:val="18"/>
        </w:rPr>
      </w:pPr>
      <w:r w:rsidRPr="000C7CFA">
        <w:rPr>
          <w:rFonts w:ascii="Verdana" w:eastAsiaTheme="minorHAnsi" w:hAnsi="Verdana"/>
          <w:sz w:val="18"/>
          <w:szCs w:val="18"/>
        </w:rPr>
        <w:t xml:space="preserve">In summary, Dechlorane Plus can be found at low concentrations in a variety of tissues in an endangered species that spends large parts of its life at sea, including its eggs. The study found no evidence of dechlorination in liver microsomes </w:t>
      </w:r>
      <w:r w:rsidRPr="000C7CFA">
        <w:rPr>
          <w:rFonts w:ascii="Verdana" w:eastAsiaTheme="minorHAnsi" w:hAnsi="Verdana"/>
          <w:i/>
          <w:sz w:val="18"/>
          <w:szCs w:val="18"/>
        </w:rPr>
        <w:t>in vitro</w:t>
      </w:r>
      <w:r w:rsidRPr="000C7CFA">
        <w:rPr>
          <w:rFonts w:ascii="Verdana" w:eastAsiaTheme="minorHAnsi" w:hAnsi="Verdana"/>
          <w:sz w:val="18"/>
          <w:szCs w:val="18"/>
        </w:rPr>
        <w:t>.</w:t>
      </w:r>
      <w:r w:rsidR="000A653E" w:rsidRPr="000C7CFA">
        <w:rPr>
          <w:rFonts w:ascii="Verdana" w:eastAsiaTheme="minorHAnsi" w:hAnsi="Verdana"/>
          <w:sz w:val="18"/>
          <w:szCs w:val="18"/>
        </w:rPr>
        <w:t xml:space="preserve"> </w:t>
      </w:r>
      <w:r w:rsidR="000A653E" w:rsidRPr="000C7CFA">
        <w:rPr>
          <w:rFonts w:ascii="Verdana" w:hAnsi="Verdana"/>
          <w:color w:val="000000"/>
          <w:sz w:val="18"/>
          <w:szCs w:val="18"/>
        </w:rPr>
        <w:t>This study is not included in the registration dossier.</w:t>
      </w:r>
    </w:p>
    <w:p w14:paraId="66BD515D" w14:textId="77777777" w:rsidR="00D6228D" w:rsidRPr="000C7CFA" w:rsidRDefault="00D6228D" w:rsidP="00D6228D">
      <w:pPr>
        <w:pStyle w:val="NoSpacing"/>
        <w:autoSpaceDE w:val="0"/>
        <w:autoSpaceDN w:val="0"/>
        <w:adjustRightInd w:val="0"/>
        <w:spacing w:after="120"/>
        <w:ind w:left="357" w:right="658"/>
        <w:jc w:val="both"/>
        <w:rPr>
          <w:rFonts w:ascii="Verdana" w:hAnsi="Verdana" w:cs="Times New Roman"/>
          <w:sz w:val="18"/>
          <w:szCs w:val="18"/>
        </w:rPr>
      </w:pPr>
    </w:p>
    <w:p w14:paraId="07E74F21" w14:textId="77777777" w:rsidR="00AB2665" w:rsidRPr="000C7CFA" w:rsidRDefault="00AB2665" w:rsidP="00DC3658">
      <w:pPr>
        <w:pStyle w:val="NoSpacing"/>
        <w:numPr>
          <w:ilvl w:val="0"/>
          <w:numId w:val="6"/>
        </w:numPr>
        <w:autoSpaceDE w:val="0"/>
        <w:autoSpaceDN w:val="0"/>
        <w:adjustRightInd w:val="0"/>
        <w:spacing w:after="120"/>
        <w:ind w:left="357" w:right="658" w:hanging="357"/>
        <w:jc w:val="both"/>
        <w:rPr>
          <w:rFonts w:ascii="Verdana" w:hAnsi="Verdana" w:cs="Times New Roman"/>
          <w:sz w:val="18"/>
          <w:szCs w:val="18"/>
        </w:rPr>
      </w:pPr>
      <w:r w:rsidRPr="000C7CFA">
        <w:rPr>
          <w:rFonts w:ascii="Verdana" w:hAnsi="Verdana" w:cs="Times New Roman"/>
          <w:sz w:val="18"/>
          <w:szCs w:val="18"/>
          <w:u w:val="single"/>
        </w:rPr>
        <w:t xml:space="preserve">He </w:t>
      </w:r>
      <w:r w:rsidRPr="000C7CFA">
        <w:rPr>
          <w:rFonts w:ascii="Verdana" w:hAnsi="Verdana" w:cs="Times New Roman"/>
          <w:i/>
          <w:sz w:val="18"/>
          <w:szCs w:val="18"/>
          <w:u w:val="single"/>
        </w:rPr>
        <w:t>et al</w:t>
      </w:r>
      <w:r w:rsidRPr="000C7CFA">
        <w:rPr>
          <w:rFonts w:ascii="Verdana" w:hAnsi="Verdana" w:cs="Times New Roman"/>
          <w:sz w:val="18"/>
          <w:szCs w:val="18"/>
          <w:u w:val="single"/>
        </w:rPr>
        <w:t>. (2014)</w:t>
      </w:r>
      <w:r w:rsidRPr="000C7CFA">
        <w:rPr>
          <w:rFonts w:ascii="Verdana" w:hAnsi="Verdana" w:cs="Times New Roman"/>
          <w:sz w:val="18"/>
          <w:szCs w:val="18"/>
        </w:rPr>
        <w:t xml:space="preserve"> investigated bioaccumulation in fish from the Dongjiang River catchment in the Pearl River Delta in southern China. The lower river drainage contains numerous tributaries that run through Dongguan city, a major centre of electronic goods manufacture. The following samples were collected: surface sediment (top 5 cm layer,  n=42) and a 76 cm deep sediment core (thought to represent about 15 years’ deposition based on sedimentation rates) in July 2009, water (n=5) in May 2010, and three fish species (n=34) from different tributaries in September 2010 (Mud Carp (</w:t>
      </w:r>
      <w:r w:rsidRPr="000C7CFA">
        <w:rPr>
          <w:rFonts w:ascii="Verdana" w:hAnsi="Verdana" w:cs="Times New Roman"/>
          <w:i/>
          <w:sz w:val="18"/>
          <w:szCs w:val="18"/>
        </w:rPr>
        <w:t>Cirrhina molitorella</w:t>
      </w:r>
      <w:r w:rsidRPr="000C7CFA">
        <w:rPr>
          <w:rFonts w:ascii="Verdana" w:hAnsi="Verdana" w:cs="Times New Roman"/>
          <w:sz w:val="18"/>
          <w:szCs w:val="18"/>
        </w:rPr>
        <w:t>, n=9), Nile Tilapia (</w:t>
      </w:r>
      <w:r w:rsidRPr="000C7CFA">
        <w:rPr>
          <w:rFonts w:ascii="Verdana" w:hAnsi="Verdana" w:cs="Times New Roman"/>
          <w:i/>
          <w:sz w:val="18"/>
          <w:szCs w:val="18"/>
        </w:rPr>
        <w:t>Tilapia nilotica</w:t>
      </w:r>
      <w:r w:rsidRPr="000C7CFA">
        <w:rPr>
          <w:rFonts w:ascii="Verdana" w:hAnsi="Verdana" w:cs="Times New Roman"/>
          <w:sz w:val="18"/>
          <w:szCs w:val="18"/>
        </w:rPr>
        <w:t>, n=15), and Plecostomus (</w:t>
      </w:r>
      <w:r w:rsidRPr="000C7CFA">
        <w:rPr>
          <w:rFonts w:ascii="Verdana" w:hAnsi="Verdana" w:cs="Times New Roman"/>
          <w:i/>
          <w:sz w:val="18"/>
          <w:szCs w:val="18"/>
        </w:rPr>
        <w:t>Hypostomus plecostomus</w:t>
      </w:r>
      <w:r w:rsidRPr="000C7CFA">
        <w:rPr>
          <w:rFonts w:ascii="Verdana" w:hAnsi="Verdana" w:cs="Times New Roman"/>
          <w:sz w:val="18"/>
          <w:szCs w:val="18"/>
        </w:rPr>
        <w:t>, n=10)). Muscle tissue was excised in the laboratory. All the samples were stored at −20 °C prior to analysis. Following sample extraction, chemical analysis was performed by gas chromatography/electron capture negative ionization (ECNI) mass spectrometry.</w:t>
      </w:r>
    </w:p>
    <w:p w14:paraId="4FD35F82" w14:textId="77777777" w:rsidR="00AB2665" w:rsidRPr="000C7CFA" w:rsidRDefault="00AB2665" w:rsidP="00AB2665">
      <w:pPr>
        <w:pStyle w:val="BodyText"/>
        <w:ind w:left="360" w:right="657"/>
        <w:rPr>
          <w:rFonts w:ascii="Verdana" w:eastAsiaTheme="minorHAnsi" w:hAnsi="Verdana"/>
          <w:sz w:val="18"/>
          <w:szCs w:val="18"/>
        </w:rPr>
      </w:pPr>
      <w:r w:rsidRPr="000C7CFA">
        <w:rPr>
          <w:rFonts w:ascii="Verdana" w:eastAsiaTheme="minorHAnsi" w:hAnsi="Verdana"/>
          <w:sz w:val="18"/>
          <w:szCs w:val="18"/>
        </w:rPr>
        <w:t xml:space="preserve">Dechlorane Plus was detected in both dissolved and particulate phases in the water samples at mean concentrations (total isomers) of 2.38 (range: 1.2 – 3.3) pg/L and 0.39 (range: 0.24 – 0.78) ng/L, respectively. The mean </w:t>
      </w:r>
      <w:proofErr w:type="gramStart"/>
      <w:r w:rsidRPr="000C7CFA">
        <w:rPr>
          <w:rFonts w:ascii="Verdana" w:eastAsiaTheme="minorHAnsi" w:hAnsi="Verdana"/>
          <w:sz w:val="18"/>
          <w:szCs w:val="18"/>
        </w:rPr>
        <w:t>f</w:t>
      </w:r>
      <w:r w:rsidRPr="000C7CFA">
        <w:rPr>
          <w:rFonts w:ascii="Verdana" w:eastAsiaTheme="minorHAnsi" w:hAnsi="Verdana"/>
          <w:sz w:val="18"/>
          <w:szCs w:val="18"/>
          <w:vertAlign w:val="subscript"/>
        </w:rPr>
        <w:t>anti</w:t>
      </w:r>
      <w:proofErr w:type="gramEnd"/>
      <w:r w:rsidRPr="000C7CFA">
        <w:rPr>
          <w:rFonts w:ascii="Verdana" w:eastAsiaTheme="minorHAnsi" w:hAnsi="Verdana"/>
          <w:sz w:val="18"/>
          <w:szCs w:val="18"/>
        </w:rPr>
        <w:t xml:space="preserve"> value in the particulate phase was 0.79 ± 0.01 (an f</w:t>
      </w:r>
      <w:r w:rsidRPr="000C7CFA">
        <w:rPr>
          <w:rFonts w:ascii="Verdana" w:eastAsiaTheme="minorHAnsi" w:hAnsi="Verdana"/>
          <w:sz w:val="18"/>
          <w:szCs w:val="18"/>
          <w:vertAlign w:val="subscript"/>
        </w:rPr>
        <w:t>anti</w:t>
      </w:r>
      <w:r w:rsidRPr="000C7CFA">
        <w:rPr>
          <w:rFonts w:ascii="Verdana" w:eastAsiaTheme="minorHAnsi" w:hAnsi="Verdana"/>
          <w:sz w:val="18"/>
          <w:szCs w:val="18"/>
        </w:rPr>
        <w:t xml:space="preserve"> value was not estimated for the dissolved phase as the levels of the syn- isomer were very close to the detection limit). Both isomers were also detected in all surface sediment samples, at a mean concentration of 2.9 (range: 0.08 – </w:t>
      </w:r>
      <w:r w:rsidR="00010B06" w:rsidRPr="000C7CFA">
        <w:rPr>
          <w:rFonts w:ascii="Verdana" w:eastAsiaTheme="minorHAnsi" w:hAnsi="Verdana"/>
          <w:sz w:val="18"/>
          <w:szCs w:val="18"/>
        </w:rPr>
        <w:t>19.4) </w:t>
      </w:r>
      <w:r w:rsidRPr="000C7CFA">
        <w:rPr>
          <w:rFonts w:ascii="Verdana" w:eastAsiaTheme="minorHAnsi" w:hAnsi="Verdana"/>
          <w:sz w:val="18"/>
          <w:szCs w:val="18"/>
        </w:rPr>
        <w:t xml:space="preserve">µg/kg </w:t>
      </w:r>
      <w:proofErr w:type="gramStart"/>
      <w:r w:rsidRPr="000C7CFA">
        <w:rPr>
          <w:rFonts w:ascii="Verdana" w:eastAsiaTheme="minorHAnsi" w:hAnsi="Verdana"/>
          <w:sz w:val="18"/>
          <w:szCs w:val="18"/>
        </w:rPr>
        <w:t>dw</w:t>
      </w:r>
      <w:proofErr w:type="gramEnd"/>
      <w:r w:rsidRPr="000C7CFA">
        <w:rPr>
          <w:rFonts w:ascii="Verdana" w:eastAsiaTheme="minorHAnsi" w:hAnsi="Verdana"/>
          <w:sz w:val="18"/>
          <w:szCs w:val="18"/>
        </w:rPr>
        <w:t xml:space="preserve">. The </w:t>
      </w:r>
      <w:proofErr w:type="gramStart"/>
      <w:r w:rsidRPr="000C7CFA">
        <w:rPr>
          <w:rFonts w:ascii="Verdana" w:eastAsiaTheme="minorHAnsi" w:hAnsi="Verdana"/>
          <w:sz w:val="18"/>
          <w:szCs w:val="18"/>
        </w:rPr>
        <w:t>f</w:t>
      </w:r>
      <w:r w:rsidRPr="000C7CFA">
        <w:rPr>
          <w:rFonts w:ascii="Verdana" w:eastAsiaTheme="minorHAnsi" w:hAnsi="Verdana"/>
          <w:sz w:val="18"/>
          <w:szCs w:val="18"/>
          <w:vertAlign w:val="subscript"/>
        </w:rPr>
        <w:t>anti</w:t>
      </w:r>
      <w:proofErr w:type="gramEnd"/>
      <w:r w:rsidRPr="000C7CFA">
        <w:rPr>
          <w:rFonts w:ascii="Verdana" w:eastAsiaTheme="minorHAnsi" w:hAnsi="Verdana"/>
          <w:sz w:val="18"/>
          <w:szCs w:val="18"/>
        </w:rPr>
        <w:t xml:space="preserve"> value was 0.77±0.09, which is similar to the value in the technical product, suggesting that stereoselective degradation was limited. The mean concentration in the sediment core (split into 19 section) was 5.9 µg/kg dw, but Dechlorane Plus levels were significantly higher in the top layer of the sediment core (depth &lt; 36 cm, 0.35 – 57.6 µg/kg dw) than in the lower section (0.02 – 0.72 µg/kg dw), indicating an increase in contamination in recent years. No clear trend in </w:t>
      </w:r>
      <w:proofErr w:type="gramStart"/>
      <w:r w:rsidRPr="000C7CFA">
        <w:rPr>
          <w:rFonts w:ascii="Verdana" w:eastAsiaTheme="minorHAnsi" w:hAnsi="Verdana"/>
          <w:sz w:val="18"/>
          <w:szCs w:val="18"/>
        </w:rPr>
        <w:t>f</w:t>
      </w:r>
      <w:r w:rsidRPr="000C7CFA">
        <w:rPr>
          <w:rFonts w:ascii="Verdana" w:eastAsiaTheme="minorHAnsi" w:hAnsi="Verdana"/>
          <w:sz w:val="18"/>
          <w:szCs w:val="18"/>
          <w:vertAlign w:val="subscript"/>
        </w:rPr>
        <w:t>anti</w:t>
      </w:r>
      <w:proofErr w:type="gramEnd"/>
      <w:r w:rsidRPr="000C7CFA">
        <w:rPr>
          <w:rFonts w:ascii="Verdana" w:eastAsiaTheme="minorHAnsi" w:hAnsi="Verdana"/>
          <w:sz w:val="18"/>
          <w:szCs w:val="18"/>
        </w:rPr>
        <w:t xml:space="preserve"> (increase or decrease along with depth) was found in the sediment core.</w:t>
      </w:r>
    </w:p>
    <w:p w14:paraId="7B03D2BE" w14:textId="77777777" w:rsidR="00AB2665" w:rsidRPr="000C7CFA" w:rsidRDefault="00AB2665" w:rsidP="00AB2665">
      <w:pPr>
        <w:pStyle w:val="BodyText"/>
        <w:ind w:left="360" w:right="657"/>
        <w:rPr>
          <w:rFonts w:ascii="Verdana" w:eastAsiaTheme="minorHAnsi" w:hAnsi="Verdana"/>
          <w:sz w:val="18"/>
          <w:szCs w:val="18"/>
        </w:rPr>
      </w:pPr>
      <w:r w:rsidRPr="000C7CFA">
        <w:rPr>
          <w:rFonts w:ascii="Verdana" w:eastAsiaTheme="minorHAnsi" w:hAnsi="Verdana"/>
          <w:sz w:val="18"/>
          <w:szCs w:val="18"/>
        </w:rPr>
        <w:t xml:space="preserve">Dechlorane Plus was detected in 80% of the fish samples. The mean concentrations (total isomers) in the carp, tilapia and plecostomus were 15.8 (range: ‘not detected’ – 89.6) µg/kg </w:t>
      </w:r>
      <w:proofErr w:type="gramStart"/>
      <w:r w:rsidRPr="000C7CFA">
        <w:rPr>
          <w:rFonts w:ascii="Verdana" w:eastAsiaTheme="minorHAnsi" w:hAnsi="Verdana"/>
          <w:sz w:val="18"/>
          <w:szCs w:val="18"/>
        </w:rPr>
        <w:t>lw</w:t>
      </w:r>
      <w:proofErr w:type="gramEnd"/>
      <w:r w:rsidRPr="000C7CFA">
        <w:rPr>
          <w:rFonts w:ascii="Verdana" w:eastAsiaTheme="minorHAnsi" w:hAnsi="Verdana"/>
          <w:sz w:val="18"/>
          <w:szCs w:val="18"/>
        </w:rPr>
        <w:t xml:space="preserve">, 20.6 (range: ‘not detected’ – 189.3) </w:t>
      </w:r>
      <w:r w:rsidRPr="000C7CFA">
        <w:rPr>
          <w:rFonts w:ascii="Verdana" w:eastAsiaTheme="minorHAnsi" w:hAnsi="Verdana"/>
          <w:sz w:val="18"/>
          <w:szCs w:val="18"/>
        </w:rPr>
        <w:lastRenderedPageBreak/>
        <w:t xml:space="preserve">µg/kg lw and 15.9 (range: ‘not detected’ – 52.3) µg/kg lw, respectively. The mean </w:t>
      </w:r>
      <w:proofErr w:type="gramStart"/>
      <w:r w:rsidRPr="000C7CFA">
        <w:rPr>
          <w:rFonts w:ascii="Verdana" w:eastAsiaTheme="minorHAnsi" w:hAnsi="Verdana"/>
          <w:sz w:val="18"/>
          <w:szCs w:val="18"/>
        </w:rPr>
        <w:t>f</w:t>
      </w:r>
      <w:r w:rsidRPr="000C7CFA">
        <w:rPr>
          <w:rFonts w:ascii="Verdana" w:eastAsiaTheme="minorHAnsi" w:hAnsi="Verdana"/>
          <w:sz w:val="18"/>
          <w:szCs w:val="18"/>
          <w:vertAlign w:val="subscript"/>
        </w:rPr>
        <w:t>anti</w:t>
      </w:r>
      <w:proofErr w:type="gramEnd"/>
      <w:r w:rsidRPr="000C7CFA">
        <w:rPr>
          <w:rFonts w:ascii="Verdana" w:eastAsiaTheme="minorHAnsi" w:hAnsi="Verdana"/>
          <w:sz w:val="18"/>
          <w:szCs w:val="18"/>
        </w:rPr>
        <w:t xml:space="preserve"> values were 0.6 (range: 0.15 – 0.94), 0.59 (range: 0.19 – 0.93) and 0.71 (range: 0.54 – 0.88) for carp, tilapia and plecostomus, respectively. These were significantly lower than those in sediments and water (</w:t>
      </w:r>
      <w:r w:rsidRPr="000C7CFA">
        <w:rPr>
          <w:rFonts w:ascii="Verdana" w:eastAsiaTheme="minorHAnsi" w:hAnsi="Verdana"/>
          <w:i/>
          <w:sz w:val="18"/>
          <w:szCs w:val="18"/>
        </w:rPr>
        <w:t xml:space="preserve">p </w:t>
      </w:r>
      <w:r w:rsidRPr="000C7CFA">
        <w:rPr>
          <w:rFonts w:ascii="Verdana" w:eastAsiaTheme="minorHAnsi" w:hAnsi="Verdana"/>
          <w:sz w:val="18"/>
          <w:szCs w:val="18"/>
        </w:rPr>
        <w:t>&lt; 0.05, t-test), suggesting enrichment of the syn- isomer in fish (implying stereospecific metabolism, uptake and/or elimination). The values for Plecostomus were higher than the other two species, and the paper notes that Plecostomus is thought to have a low capability for PBDE metabolism</w:t>
      </w:r>
      <w:r w:rsidR="00010B06" w:rsidRPr="000C7CFA">
        <w:rPr>
          <w:rFonts w:ascii="Verdana" w:eastAsiaTheme="minorHAnsi" w:hAnsi="Verdana"/>
          <w:sz w:val="18"/>
          <w:szCs w:val="18"/>
        </w:rPr>
        <w:t>, which might possibly be relevant for other highly halogenated substances</w:t>
      </w:r>
      <w:r w:rsidRPr="000C7CFA">
        <w:rPr>
          <w:rFonts w:ascii="Verdana" w:eastAsiaTheme="minorHAnsi" w:hAnsi="Verdana"/>
          <w:sz w:val="18"/>
          <w:szCs w:val="18"/>
        </w:rPr>
        <w:t>. The δ</w:t>
      </w:r>
      <w:r w:rsidRPr="000C7CFA">
        <w:rPr>
          <w:rFonts w:ascii="Verdana" w:eastAsiaTheme="minorHAnsi" w:hAnsi="Verdana"/>
          <w:sz w:val="18"/>
          <w:szCs w:val="18"/>
          <w:vertAlign w:val="superscript"/>
        </w:rPr>
        <w:t>15</w:t>
      </w:r>
      <w:r w:rsidRPr="000C7CFA">
        <w:rPr>
          <w:rFonts w:ascii="Verdana" w:eastAsiaTheme="minorHAnsi" w:hAnsi="Verdana"/>
          <w:sz w:val="18"/>
          <w:szCs w:val="18"/>
        </w:rPr>
        <w:t>N of the Plecostomus (10 ± 3‰) was higher than those in the carp (6 ± 3‰) and tilapia (7.4 ± 0.9‰), so there was no clear trend in mean concentration with trophic position (this is not discussed in the paper).</w:t>
      </w:r>
    </w:p>
    <w:p w14:paraId="5CB8BF07" w14:textId="659F5074" w:rsidR="00AB2665" w:rsidRPr="000C7CFA" w:rsidRDefault="00AB2665" w:rsidP="00AB2665">
      <w:pPr>
        <w:pStyle w:val="BodyText"/>
        <w:ind w:left="360" w:right="657"/>
        <w:rPr>
          <w:rFonts w:ascii="Verdana" w:eastAsiaTheme="minorHAnsi" w:hAnsi="Verdana"/>
          <w:sz w:val="18"/>
          <w:szCs w:val="18"/>
        </w:rPr>
      </w:pPr>
      <w:r w:rsidRPr="000C7CFA">
        <w:rPr>
          <w:rFonts w:ascii="Verdana" w:eastAsiaTheme="minorHAnsi" w:hAnsi="Verdana"/>
          <w:sz w:val="18"/>
          <w:szCs w:val="18"/>
        </w:rPr>
        <w:t xml:space="preserve">Mean BSAFs </w:t>
      </w:r>
      <w:r w:rsidRPr="000C7CFA">
        <w:rPr>
          <w:rFonts w:ascii="Verdana" w:hAnsi="Verdana"/>
          <w:sz w:val="18"/>
          <w:szCs w:val="18"/>
          <w:lang w:val="en-US"/>
        </w:rPr>
        <w:t>(defined as the lipid normalized concentration in the fish divided by the organic carbon normalized sediment concentration)</w:t>
      </w:r>
      <w:r w:rsidRPr="000C7CFA">
        <w:rPr>
          <w:rFonts w:ascii="Verdana" w:hAnsi="Verdana"/>
          <w:sz w:val="18"/>
          <w:szCs w:val="18"/>
        </w:rPr>
        <w:t xml:space="preserve"> </w:t>
      </w:r>
      <w:r w:rsidRPr="000C7CFA">
        <w:rPr>
          <w:rFonts w:ascii="Verdana" w:eastAsiaTheme="minorHAnsi" w:hAnsi="Verdana"/>
          <w:sz w:val="18"/>
          <w:szCs w:val="18"/>
        </w:rPr>
        <w:t xml:space="preserve">for total isomers were 0.047, 0.069 and 0.063 in the carp, tilapia and Plecostomus, respectively (N.B. the abstract quotes different BSAFs, i.e. 0.024, 0.037 and 0.10; the paper does not provide the organic carbon content of the sediment, so </w:t>
      </w:r>
      <w:r w:rsidR="005B6B2B" w:rsidRPr="000C7CFA">
        <w:rPr>
          <w:rFonts w:ascii="Verdana" w:eastAsiaTheme="minorHAnsi" w:hAnsi="Verdana"/>
          <w:sz w:val="18"/>
          <w:szCs w:val="18"/>
        </w:rPr>
        <w:t>it</w:t>
      </w:r>
      <w:r w:rsidRPr="000C7CFA">
        <w:rPr>
          <w:rFonts w:ascii="Verdana" w:eastAsiaTheme="minorHAnsi" w:hAnsi="Verdana"/>
          <w:sz w:val="18"/>
          <w:szCs w:val="18"/>
        </w:rPr>
        <w:t xml:space="preserve"> is not </w:t>
      </w:r>
      <w:r w:rsidR="005B6B2B" w:rsidRPr="000C7CFA">
        <w:rPr>
          <w:rFonts w:ascii="Verdana" w:eastAsiaTheme="minorHAnsi" w:hAnsi="Verdana"/>
          <w:sz w:val="18"/>
          <w:szCs w:val="18"/>
        </w:rPr>
        <w:t>possible</w:t>
      </w:r>
      <w:r w:rsidRPr="000C7CFA">
        <w:rPr>
          <w:rFonts w:ascii="Verdana" w:eastAsiaTheme="minorHAnsi" w:hAnsi="Verdana"/>
          <w:sz w:val="18"/>
          <w:szCs w:val="18"/>
        </w:rPr>
        <w:t xml:space="preserve"> to check which numbers are correct). The BSAFs for the syn- isomer were higher than those for the anti- isomer in all three species (with the exception of two samples). The BSAFs were similar to those for BDE-183 (mean of 0.049, 0.051 and 0.014 in the three fish species), lower than those of PBDEs with less than 7 bromine atoms) and higher than nona- and decaBDE congeners reported in another study by the same authors. This suggests that the bioaccumulation potential of Dechlorane Plus from sediments may be similar to that of BDE-183.</w:t>
      </w:r>
    </w:p>
    <w:p w14:paraId="3685610F" w14:textId="0D09ABD9" w:rsidR="000A653E" w:rsidRPr="000C7CFA" w:rsidRDefault="00AB2665" w:rsidP="00AB2665">
      <w:pPr>
        <w:pStyle w:val="BodyText"/>
        <w:ind w:left="360" w:right="657"/>
        <w:rPr>
          <w:rFonts w:ascii="Verdana" w:hAnsi="Verdana"/>
          <w:color w:val="000000"/>
          <w:sz w:val="18"/>
          <w:szCs w:val="18"/>
        </w:rPr>
      </w:pPr>
      <w:r w:rsidRPr="000C7CFA">
        <w:rPr>
          <w:rFonts w:ascii="Verdana" w:eastAsiaTheme="minorHAnsi" w:hAnsi="Verdana"/>
          <w:sz w:val="18"/>
          <w:szCs w:val="18"/>
        </w:rPr>
        <w:t xml:space="preserve">The study is considered to be reliable with restrictions </w:t>
      </w:r>
      <w:r w:rsidR="005B6B2B" w:rsidRPr="000C7CFA">
        <w:rPr>
          <w:rFonts w:ascii="Verdana" w:eastAsiaTheme="minorHAnsi" w:hAnsi="Verdana"/>
          <w:sz w:val="18"/>
          <w:szCs w:val="18"/>
        </w:rPr>
        <w:t>for the purposes of this evaluation</w:t>
      </w:r>
      <w:r w:rsidRPr="000C7CFA">
        <w:rPr>
          <w:rFonts w:ascii="Verdana" w:eastAsiaTheme="minorHAnsi" w:hAnsi="Verdana"/>
          <w:sz w:val="18"/>
          <w:szCs w:val="18"/>
        </w:rPr>
        <w:t>. The relationship between the sediment sampling sites and the home range of the fish is not stated, and there was a gap of 14 months between the collection of sediment and fish. In addition, it is unclear whether the lipid normalized muscle concentrations provide an appropriate representation of whole body concentrations in the fish. The reliability of the derived BSAFs is therefore uncertain.</w:t>
      </w:r>
      <w:r w:rsidR="000A653E" w:rsidRPr="000C7CFA">
        <w:rPr>
          <w:rFonts w:ascii="Verdana" w:hAnsi="Verdana"/>
          <w:color w:val="000000"/>
          <w:sz w:val="18"/>
          <w:szCs w:val="18"/>
        </w:rPr>
        <w:t xml:space="preserve"> </w:t>
      </w:r>
    </w:p>
    <w:p w14:paraId="35E95D68" w14:textId="77777777" w:rsidR="00AD70D3" w:rsidRPr="000C7CFA" w:rsidRDefault="00AD70D3" w:rsidP="00AD70D3">
      <w:pPr>
        <w:pStyle w:val="BodyText"/>
        <w:ind w:left="360" w:right="657"/>
        <w:rPr>
          <w:rFonts w:ascii="Verdana" w:hAnsi="Verdana"/>
          <w:color w:val="000000"/>
          <w:sz w:val="18"/>
          <w:szCs w:val="18"/>
        </w:rPr>
      </w:pPr>
      <w:r w:rsidRPr="000C7CFA">
        <w:rPr>
          <w:rFonts w:ascii="Verdana" w:hAnsi="Verdana"/>
          <w:color w:val="000000"/>
          <w:sz w:val="18"/>
          <w:szCs w:val="18"/>
        </w:rPr>
        <w:t>This study is included in the registration dossier as supporting monitoring information and is considered fully reliable by the</w:t>
      </w:r>
      <w:r w:rsidR="00A43C45" w:rsidRPr="000C7CFA">
        <w:rPr>
          <w:rFonts w:ascii="Verdana" w:hAnsi="Verdana"/>
          <w:color w:val="000000"/>
          <w:sz w:val="18"/>
          <w:szCs w:val="18"/>
        </w:rPr>
        <w:t xml:space="preserve"> Registrant</w:t>
      </w:r>
      <w:r w:rsidRPr="000C7CFA">
        <w:rPr>
          <w:rFonts w:ascii="Verdana" w:hAnsi="Verdana"/>
          <w:color w:val="000000"/>
          <w:sz w:val="18"/>
          <w:szCs w:val="18"/>
        </w:rPr>
        <w:t>. Although the bioaccumulation aspects are not discussed in the CSR, the study summary does mention the low BSAFs and the apparent stereospeciﬁc metabolism of anti-DP and/or stereoselective uptake of syn-DP in ﬁsh.</w:t>
      </w:r>
    </w:p>
    <w:p w14:paraId="54B13A45" w14:textId="77777777" w:rsidR="00090C13" w:rsidRPr="000C7CFA" w:rsidRDefault="00090C13" w:rsidP="00AB2665">
      <w:pPr>
        <w:pStyle w:val="NoSpacing"/>
        <w:autoSpaceDE w:val="0"/>
        <w:autoSpaceDN w:val="0"/>
        <w:adjustRightInd w:val="0"/>
        <w:spacing w:after="120"/>
        <w:ind w:left="357" w:right="658"/>
        <w:jc w:val="both"/>
        <w:rPr>
          <w:rFonts w:ascii="Verdana" w:hAnsi="Verdana" w:cs="Times New Roman"/>
          <w:sz w:val="18"/>
          <w:szCs w:val="18"/>
          <w:lang w:eastAsia="en-GB"/>
        </w:rPr>
      </w:pPr>
    </w:p>
    <w:p w14:paraId="2E153A97" w14:textId="3E3D3D58" w:rsidR="00835770" w:rsidRPr="000C7CFA" w:rsidRDefault="00835770" w:rsidP="00DC3658">
      <w:pPr>
        <w:pStyle w:val="NoSpacing"/>
        <w:numPr>
          <w:ilvl w:val="0"/>
          <w:numId w:val="6"/>
        </w:numPr>
        <w:autoSpaceDE w:val="0"/>
        <w:autoSpaceDN w:val="0"/>
        <w:adjustRightInd w:val="0"/>
        <w:spacing w:after="120"/>
        <w:ind w:left="357" w:right="658" w:hanging="357"/>
        <w:jc w:val="both"/>
        <w:rPr>
          <w:rFonts w:ascii="Verdana" w:hAnsi="Verdana" w:cs="Times New Roman"/>
          <w:sz w:val="18"/>
          <w:szCs w:val="18"/>
          <w:lang w:eastAsia="en-GB"/>
        </w:rPr>
      </w:pPr>
      <w:r w:rsidRPr="000C7CFA">
        <w:rPr>
          <w:rFonts w:ascii="Verdana" w:hAnsi="Verdana" w:cs="Times New Roman"/>
          <w:sz w:val="18"/>
          <w:szCs w:val="18"/>
          <w:u w:val="single"/>
        </w:rPr>
        <w:t xml:space="preserve">Zhang </w:t>
      </w:r>
      <w:r w:rsidRPr="000C7CFA">
        <w:rPr>
          <w:rFonts w:ascii="Verdana" w:hAnsi="Verdana" w:cs="Times New Roman"/>
          <w:i/>
          <w:sz w:val="18"/>
          <w:szCs w:val="18"/>
          <w:u w:val="single"/>
        </w:rPr>
        <w:t>et al</w:t>
      </w:r>
      <w:r w:rsidRPr="000C7CFA">
        <w:rPr>
          <w:rFonts w:ascii="Verdana" w:hAnsi="Verdana" w:cs="Times New Roman"/>
          <w:sz w:val="18"/>
          <w:szCs w:val="18"/>
          <w:u w:val="single"/>
        </w:rPr>
        <w:t>. (2011b)</w:t>
      </w:r>
      <w:r w:rsidRPr="000C7CFA">
        <w:rPr>
          <w:rFonts w:ascii="Verdana" w:hAnsi="Verdana" w:cs="Times New Roman"/>
          <w:sz w:val="18"/>
          <w:szCs w:val="18"/>
        </w:rPr>
        <w:t xml:space="preserve"> investigated </w:t>
      </w:r>
      <w:r w:rsidRPr="000C7CFA">
        <w:rPr>
          <w:rFonts w:ascii="Verdana" w:hAnsi="Verdana" w:cs="Times New Roman"/>
          <w:sz w:val="18"/>
          <w:szCs w:val="18"/>
          <w:lang w:eastAsia="en-GB"/>
        </w:rPr>
        <w:t>the influence of food source and trophic position on the levels of Dechlorane Plus in waterbirds (as part of a study of PBDE congener profiles). Specimens (</w:t>
      </w:r>
      <w:r w:rsidRPr="000C7CFA">
        <w:rPr>
          <w:rFonts w:ascii="Verdana" w:hAnsi="Verdana" w:cs="Times New Roman"/>
          <w:iCs/>
          <w:sz w:val="18"/>
          <w:szCs w:val="18"/>
          <w:lang w:eastAsia="en-GB"/>
        </w:rPr>
        <w:t>n =</w:t>
      </w:r>
      <w:r w:rsidRPr="000C7CFA">
        <w:rPr>
          <w:rFonts w:ascii="Verdana" w:hAnsi="Verdana" w:cs="Times New Roman"/>
          <w:sz w:val="18"/>
          <w:szCs w:val="18"/>
          <w:lang w:eastAsia="en-GB"/>
        </w:rPr>
        <w:t xml:space="preserve"> 29) from five bird species found dead or dying from various causes (hunting, poisoning, distress, </w:t>
      </w:r>
      <w:r w:rsidR="00BB3D8A" w:rsidRPr="000C7CFA">
        <w:rPr>
          <w:rFonts w:ascii="Verdana" w:hAnsi="Verdana" w:cs="Times New Roman"/>
          <w:sz w:val="18"/>
          <w:szCs w:val="18"/>
          <w:lang w:eastAsia="en-GB"/>
        </w:rPr>
        <w:t>etc.</w:t>
      </w:r>
      <w:r w:rsidRPr="000C7CFA">
        <w:rPr>
          <w:rFonts w:ascii="Verdana" w:hAnsi="Verdana" w:cs="Times New Roman"/>
          <w:sz w:val="18"/>
          <w:szCs w:val="18"/>
          <w:lang w:eastAsia="en-GB"/>
        </w:rPr>
        <w:t xml:space="preserve">) (Chinese Pond Heron </w:t>
      </w:r>
      <w:r w:rsidRPr="000C7CFA">
        <w:rPr>
          <w:rFonts w:ascii="Verdana" w:hAnsi="Verdana" w:cs="Times New Roman"/>
          <w:i/>
          <w:iCs/>
          <w:sz w:val="18"/>
          <w:szCs w:val="18"/>
          <w:lang w:eastAsia="en-GB"/>
        </w:rPr>
        <w:t xml:space="preserve">Ardeola bacchus </w:t>
      </w:r>
      <w:r w:rsidRPr="000C7CFA">
        <w:rPr>
          <w:rFonts w:ascii="Verdana" w:hAnsi="Verdana" w:cs="Times New Roman"/>
          <w:iCs/>
          <w:sz w:val="18"/>
          <w:szCs w:val="18"/>
          <w:lang w:eastAsia="en-GB"/>
        </w:rPr>
        <w:t>(n= 5)</w:t>
      </w:r>
      <w:r w:rsidRPr="000C7CFA">
        <w:rPr>
          <w:rFonts w:ascii="Verdana" w:hAnsi="Verdana" w:cs="Times New Roman"/>
          <w:sz w:val="18"/>
          <w:szCs w:val="18"/>
          <w:lang w:eastAsia="en-GB"/>
        </w:rPr>
        <w:t xml:space="preserve">; </w:t>
      </w:r>
      <w:r w:rsidRPr="000C7CFA">
        <w:rPr>
          <w:rFonts w:ascii="Verdana" w:hAnsi="Verdana" w:cs="Times New Roman"/>
          <w:iCs/>
          <w:sz w:val="18"/>
          <w:szCs w:val="18"/>
          <w:lang w:eastAsia="en-GB"/>
        </w:rPr>
        <w:t>W</w:t>
      </w:r>
      <w:r w:rsidRPr="000C7CFA">
        <w:rPr>
          <w:rFonts w:ascii="Verdana" w:hAnsi="Verdana" w:cs="Times New Roman"/>
          <w:sz w:val="18"/>
          <w:szCs w:val="18"/>
          <w:lang w:eastAsia="en-GB"/>
        </w:rPr>
        <w:t xml:space="preserve">hite-breasted Waterhen </w:t>
      </w:r>
      <w:r w:rsidRPr="000C7CFA">
        <w:rPr>
          <w:rFonts w:ascii="Verdana" w:hAnsi="Verdana" w:cs="Times New Roman"/>
          <w:i/>
          <w:iCs/>
          <w:sz w:val="18"/>
          <w:szCs w:val="18"/>
          <w:lang w:eastAsia="en-GB"/>
        </w:rPr>
        <w:t xml:space="preserve">Amaurornis phoenicurus </w:t>
      </w:r>
      <w:r w:rsidRPr="000C7CFA">
        <w:rPr>
          <w:rFonts w:ascii="Verdana" w:hAnsi="Verdana" w:cs="Times New Roman"/>
          <w:iCs/>
          <w:sz w:val="18"/>
          <w:szCs w:val="18"/>
          <w:lang w:eastAsia="en-GB"/>
        </w:rPr>
        <w:t>(n =</w:t>
      </w:r>
      <w:r w:rsidRPr="000C7CFA">
        <w:rPr>
          <w:rFonts w:ascii="Verdana" w:hAnsi="Verdana" w:cs="Times New Roman"/>
          <w:sz w:val="18"/>
          <w:szCs w:val="18"/>
          <w:lang w:eastAsia="en-GB"/>
        </w:rPr>
        <w:t xml:space="preserve"> 11); Slaty-breasted Rail </w:t>
      </w:r>
      <w:r w:rsidRPr="000C7CFA">
        <w:rPr>
          <w:rFonts w:ascii="Verdana" w:hAnsi="Verdana" w:cs="Times New Roman"/>
          <w:i/>
          <w:iCs/>
          <w:sz w:val="18"/>
          <w:szCs w:val="18"/>
          <w:lang w:eastAsia="en-GB"/>
        </w:rPr>
        <w:t xml:space="preserve">Gallirallus striatus </w:t>
      </w:r>
      <w:r w:rsidRPr="000C7CFA">
        <w:rPr>
          <w:rFonts w:ascii="Verdana" w:hAnsi="Verdana" w:cs="Times New Roman"/>
          <w:iCs/>
          <w:sz w:val="18"/>
          <w:szCs w:val="18"/>
          <w:lang w:eastAsia="en-GB"/>
        </w:rPr>
        <w:t>(n =</w:t>
      </w:r>
      <w:r w:rsidRPr="000C7CFA">
        <w:rPr>
          <w:rFonts w:ascii="Verdana" w:hAnsi="Verdana" w:cs="Times New Roman"/>
          <w:sz w:val="18"/>
          <w:szCs w:val="18"/>
          <w:lang w:eastAsia="en-GB"/>
        </w:rPr>
        <w:t xml:space="preserve"> 5); Ruddy-breasted Crake </w:t>
      </w:r>
      <w:r w:rsidRPr="000C7CFA">
        <w:rPr>
          <w:rFonts w:ascii="Verdana" w:hAnsi="Verdana" w:cs="Times New Roman"/>
          <w:i/>
          <w:iCs/>
          <w:sz w:val="18"/>
          <w:szCs w:val="18"/>
          <w:lang w:eastAsia="en-GB"/>
        </w:rPr>
        <w:t xml:space="preserve">Porzana fusca </w:t>
      </w:r>
      <w:r w:rsidRPr="000C7CFA">
        <w:rPr>
          <w:rFonts w:ascii="Verdana" w:hAnsi="Verdana" w:cs="Times New Roman"/>
          <w:iCs/>
          <w:sz w:val="18"/>
          <w:szCs w:val="18"/>
          <w:lang w:eastAsia="en-GB"/>
        </w:rPr>
        <w:t>(n =</w:t>
      </w:r>
      <w:r w:rsidRPr="000C7CFA">
        <w:rPr>
          <w:rFonts w:ascii="Verdana" w:hAnsi="Verdana" w:cs="Times New Roman"/>
          <w:sz w:val="18"/>
          <w:szCs w:val="18"/>
          <w:lang w:eastAsia="en-GB"/>
        </w:rPr>
        <w:t xml:space="preserve"> 5) and Common Snipe </w:t>
      </w:r>
      <w:r w:rsidRPr="000C7CFA">
        <w:rPr>
          <w:rFonts w:ascii="Verdana" w:hAnsi="Verdana" w:cs="Times New Roman"/>
          <w:i/>
          <w:iCs/>
          <w:sz w:val="18"/>
          <w:szCs w:val="18"/>
          <w:lang w:eastAsia="en-GB"/>
        </w:rPr>
        <w:t>Gallinago gallinago</w:t>
      </w:r>
      <w:r w:rsidRPr="000C7CFA">
        <w:rPr>
          <w:rFonts w:ascii="Verdana" w:hAnsi="Verdana" w:cs="Times New Roman"/>
          <w:iCs/>
          <w:sz w:val="18"/>
          <w:szCs w:val="18"/>
          <w:lang w:eastAsia="en-GB"/>
        </w:rPr>
        <w:t xml:space="preserve"> (n = </w:t>
      </w:r>
      <w:r w:rsidRPr="000C7CFA">
        <w:rPr>
          <w:rFonts w:ascii="Verdana" w:hAnsi="Verdana" w:cs="Times New Roman"/>
          <w:sz w:val="18"/>
          <w:szCs w:val="18"/>
          <w:lang w:eastAsia="en-GB"/>
        </w:rPr>
        <w:t>3)) were collected between 2005 and 2007 from Qingyuan County, the second largest e-waste recycling region in the Pearl River Delta, south China. Pectoral muscle, liver and kidney were excised and all tissues were stored at </w:t>
      </w:r>
      <w:r w:rsidRPr="000C7CFA">
        <w:rPr>
          <w:rFonts w:ascii="Verdana" w:hAnsi="Verdana" w:cs="Times New Roman"/>
          <w:sz w:val="18"/>
          <w:szCs w:val="18"/>
          <w:lang w:eastAsia="en-GB"/>
        </w:rPr>
        <w:noBreakHyphen/>
        <w:t xml:space="preserve">20 °C until analysis. </w:t>
      </w:r>
    </w:p>
    <w:p w14:paraId="7F757E4E" w14:textId="410C21A9" w:rsidR="00835770" w:rsidRPr="000C7CFA" w:rsidRDefault="00835770" w:rsidP="00835770">
      <w:pPr>
        <w:pStyle w:val="BodyText"/>
        <w:ind w:left="360" w:right="657"/>
        <w:rPr>
          <w:rFonts w:ascii="Verdana" w:hAnsi="Verdana"/>
          <w:sz w:val="18"/>
          <w:szCs w:val="18"/>
          <w:lang w:eastAsia="en-GB"/>
        </w:rPr>
      </w:pPr>
      <w:r w:rsidRPr="000C7CFA">
        <w:rPr>
          <w:rFonts w:ascii="Verdana" w:hAnsi="Verdana"/>
          <w:bCs/>
          <w:sz w:val="18"/>
          <w:szCs w:val="18"/>
          <w:lang w:eastAsia="en-GB"/>
        </w:rPr>
        <w:t xml:space="preserve">Following sample extraction and clean-up, Dechlorane Plus was analysed </w:t>
      </w:r>
      <w:r w:rsidRPr="000C7CFA">
        <w:rPr>
          <w:rFonts w:ascii="Verdana" w:hAnsi="Verdana"/>
          <w:sz w:val="18"/>
          <w:szCs w:val="18"/>
          <w:lang w:eastAsia="en-GB"/>
        </w:rPr>
        <w:t>using gas chromatography-mass spectrometry using negative chemical ionization (NCI) in the selective ion-monitoring (SIM) mode. The recoveries of 2</w:t>
      </w:r>
      <w:proofErr w:type="gramStart"/>
      <w:r w:rsidRPr="000C7CFA">
        <w:rPr>
          <w:rFonts w:ascii="Verdana" w:hAnsi="Verdana"/>
          <w:sz w:val="18"/>
          <w:szCs w:val="18"/>
          <w:lang w:eastAsia="en-GB"/>
        </w:rPr>
        <w:t>,2,4,4,5</w:t>
      </w:r>
      <w:proofErr w:type="gramEnd"/>
      <w:r w:rsidRPr="000C7CFA">
        <w:rPr>
          <w:rFonts w:ascii="Verdana" w:hAnsi="Verdana"/>
          <w:sz w:val="18"/>
          <w:szCs w:val="18"/>
          <w:lang w:eastAsia="en-GB"/>
        </w:rPr>
        <w:t xml:space="preserve">-pentachlorodiphenyl ether (CDE-99) and </w:t>
      </w:r>
      <w:r w:rsidRPr="000C7CFA">
        <w:rPr>
          <w:rFonts w:ascii="Verdana" w:hAnsi="Verdana"/>
          <w:sz w:val="18"/>
          <w:szCs w:val="18"/>
          <w:vertAlign w:val="superscript"/>
          <w:lang w:eastAsia="en-GB"/>
        </w:rPr>
        <w:t>13</w:t>
      </w:r>
      <w:r w:rsidRPr="000C7CFA">
        <w:rPr>
          <w:rFonts w:ascii="Verdana" w:hAnsi="Verdana"/>
          <w:sz w:val="18"/>
          <w:szCs w:val="18"/>
          <w:lang w:eastAsia="en-GB"/>
        </w:rPr>
        <w:t>C-BDE-209, used as surrogate standards, were 87-11</w:t>
      </w:r>
      <w:r w:rsidR="00AF7606" w:rsidRPr="000C7CFA">
        <w:rPr>
          <w:rFonts w:ascii="Verdana" w:hAnsi="Verdana"/>
          <w:sz w:val="18"/>
          <w:szCs w:val="18"/>
          <w:lang w:eastAsia="en-GB"/>
        </w:rPr>
        <w:t>3 %</w:t>
      </w:r>
      <w:r w:rsidRPr="000C7CFA">
        <w:rPr>
          <w:rFonts w:ascii="Verdana" w:hAnsi="Verdana"/>
          <w:sz w:val="18"/>
          <w:szCs w:val="18"/>
          <w:lang w:eastAsia="en-GB"/>
        </w:rPr>
        <w:t xml:space="preserve"> and 86-10</w:t>
      </w:r>
      <w:r w:rsidR="00AF7606" w:rsidRPr="000C7CFA">
        <w:rPr>
          <w:rFonts w:ascii="Verdana" w:hAnsi="Verdana"/>
          <w:sz w:val="18"/>
          <w:szCs w:val="18"/>
          <w:lang w:eastAsia="en-GB"/>
        </w:rPr>
        <w:t>5 %</w:t>
      </w:r>
      <w:r w:rsidRPr="000C7CFA">
        <w:rPr>
          <w:rFonts w:ascii="Verdana" w:hAnsi="Verdana"/>
          <w:sz w:val="18"/>
          <w:szCs w:val="18"/>
          <w:lang w:eastAsia="en-GB"/>
        </w:rPr>
        <w:t xml:space="preserve">, respectively. Five spiking blanks with Dechlorane Plus and five procedural blanks were performed. The average recoveries for </w:t>
      </w:r>
      <w:r w:rsidRPr="000C7CFA">
        <w:rPr>
          <w:rFonts w:ascii="Verdana" w:hAnsi="Verdana"/>
          <w:iCs/>
          <w:sz w:val="18"/>
          <w:szCs w:val="18"/>
          <w:lang w:eastAsia="en-GB"/>
        </w:rPr>
        <w:t>anti</w:t>
      </w:r>
      <w:r w:rsidRPr="000C7CFA">
        <w:rPr>
          <w:rFonts w:ascii="Verdana" w:hAnsi="Verdana"/>
          <w:sz w:val="18"/>
          <w:szCs w:val="18"/>
          <w:lang w:eastAsia="en-GB"/>
        </w:rPr>
        <w:t xml:space="preserve">- and </w:t>
      </w:r>
      <w:r w:rsidRPr="000C7CFA">
        <w:rPr>
          <w:rFonts w:ascii="Verdana" w:hAnsi="Verdana"/>
          <w:iCs/>
          <w:sz w:val="18"/>
          <w:szCs w:val="18"/>
          <w:lang w:eastAsia="en-GB"/>
        </w:rPr>
        <w:t>syn</w:t>
      </w:r>
      <w:r w:rsidRPr="000C7CFA">
        <w:rPr>
          <w:rFonts w:ascii="Verdana" w:hAnsi="Verdana"/>
          <w:sz w:val="18"/>
          <w:szCs w:val="18"/>
          <w:lang w:eastAsia="en-GB"/>
        </w:rPr>
        <w:t>- isomers were 109 and 10</w:t>
      </w:r>
      <w:r w:rsidR="00AF7606" w:rsidRPr="000C7CFA">
        <w:rPr>
          <w:rFonts w:ascii="Verdana" w:hAnsi="Verdana"/>
          <w:sz w:val="18"/>
          <w:szCs w:val="18"/>
          <w:lang w:eastAsia="en-GB"/>
        </w:rPr>
        <w:t>2 %</w:t>
      </w:r>
      <w:r w:rsidRPr="000C7CFA">
        <w:rPr>
          <w:rFonts w:ascii="Verdana" w:hAnsi="Verdana"/>
          <w:sz w:val="18"/>
          <w:szCs w:val="18"/>
          <w:lang w:eastAsia="en-GB"/>
        </w:rPr>
        <w:t xml:space="preserve">, respectively. The relative standard deviations of all targets were less than </w:t>
      </w:r>
      <w:r w:rsidR="00AF7606" w:rsidRPr="000C7CFA">
        <w:rPr>
          <w:rFonts w:ascii="Verdana" w:hAnsi="Verdana"/>
          <w:sz w:val="18"/>
          <w:szCs w:val="18"/>
          <w:lang w:eastAsia="en-GB"/>
        </w:rPr>
        <w:t>5 %</w:t>
      </w:r>
      <w:r w:rsidRPr="000C7CFA">
        <w:rPr>
          <w:rFonts w:ascii="Verdana" w:hAnsi="Verdana"/>
          <w:sz w:val="18"/>
          <w:szCs w:val="18"/>
          <w:lang w:eastAsia="en-GB"/>
        </w:rPr>
        <w:t>, and of duplicates (</w:t>
      </w:r>
      <w:r w:rsidRPr="000C7CFA">
        <w:rPr>
          <w:rFonts w:ascii="Verdana" w:hAnsi="Verdana"/>
          <w:iCs/>
          <w:sz w:val="18"/>
          <w:szCs w:val="18"/>
          <w:lang w:eastAsia="en-GB"/>
        </w:rPr>
        <w:t>n</w:t>
      </w:r>
      <w:r w:rsidRPr="000C7CFA">
        <w:rPr>
          <w:rFonts w:ascii="Verdana" w:hAnsi="Verdana"/>
          <w:sz w:val="18"/>
          <w:szCs w:val="18"/>
          <w:lang w:eastAsia="en-GB"/>
        </w:rPr>
        <w:t xml:space="preserve"> = 3) were less than 1</w:t>
      </w:r>
      <w:r w:rsidR="00AF7606" w:rsidRPr="000C7CFA">
        <w:rPr>
          <w:rFonts w:ascii="Verdana" w:hAnsi="Verdana"/>
          <w:sz w:val="18"/>
          <w:szCs w:val="18"/>
          <w:lang w:eastAsia="en-GB"/>
        </w:rPr>
        <w:t>5 %</w:t>
      </w:r>
      <w:r w:rsidRPr="000C7CFA">
        <w:rPr>
          <w:rFonts w:ascii="Verdana" w:hAnsi="Verdana"/>
          <w:sz w:val="18"/>
          <w:szCs w:val="18"/>
          <w:lang w:eastAsia="en-GB"/>
        </w:rPr>
        <w:t>. The limit of quantification was 0.06 and 0.1 ng/g for the anti- and syn- isomer, respectively. Subsamples of pectoral muscle for nitrogen and carbon stable isotope analysis.</w:t>
      </w:r>
    </w:p>
    <w:p w14:paraId="597B732A" w14:textId="73DCA9BE" w:rsidR="00835770" w:rsidRPr="000C7CFA" w:rsidRDefault="00835770" w:rsidP="00835770">
      <w:pPr>
        <w:pStyle w:val="BodyText"/>
        <w:ind w:left="360" w:right="657"/>
        <w:rPr>
          <w:rFonts w:ascii="Verdana" w:hAnsi="Verdana"/>
          <w:sz w:val="18"/>
          <w:szCs w:val="18"/>
          <w:lang w:eastAsia="en-GB"/>
        </w:rPr>
      </w:pPr>
      <w:r w:rsidRPr="000C7CFA">
        <w:rPr>
          <w:rFonts w:ascii="Verdana" w:hAnsi="Verdana"/>
          <w:sz w:val="18"/>
          <w:szCs w:val="18"/>
          <w:lang w:eastAsia="en-GB"/>
        </w:rPr>
        <w:lastRenderedPageBreak/>
        <w:t>Both Dechlorane Plus isomers were detectable in all of the species, except for one Chinese Pond Heron, with total concentrations ranging up to 610, 2</w:t>
      </w:r>
      <w:r w:rsidR="008610EB" w:rsidRPr="000C7CFA">
        <w:rPr>
          <w:rFonts w:ascii="Verdana" w:hAnsi="Verdana"/>
          <w:sz w:val="18"/>
          <w:szCs w:val="18"/>
          <w:lang w:eastAsia="en-GB"/>
        </w:rPr>
        <w:t> </w:t>
      </w:r>
      <w:r w:rsidRPr="000C7CFA">
        <w:rPr>
          <w:rFonts w:ascii="Verdana" w:hAnsi="Verdana"/>
          <w:sz w:val="18"/>
          <w:szCs w:val="18"/>
          <w:lang w:eastAsia="en-GB"/>
        </w:rPr>
        <w:t>200 and 1</w:t>
      </w:r>
      <w:r w:rsidR="008610EB" w:rsidRPr="000C7CFA">
        <w:rPr>
          <w:rFonts w:ascii="Verdana" w:hAnsi="Verdana"/>
          <w:sz w:val="18"/>
          <w:szCs w:val="18"/>
          <w:lang w:eastAsia="en-GB"/>
        </w:rPr>
        <w:t> </w:t>
      </w:r>
      <w:r w:rsidRPr="000C7CFA">
        <w:rPr>
          <w:rFonts w:ascii="Verdana" w:hAnsi="Verdana"/>
          <w:sz w:val="18"/>
          <w:szCs w:val="18"/>
          <w:lang w:eastAsia="en-GB"/>
        </w:rPr>
        <w:t xml:space="preserve">830 ng/g lw in muscle, kidney and liver, respectively. The highest levels were observed in Slaty-breasted Rail (muscle: 14 – 610; liver: 55 – 920; kidney: 21 – 830 ng/g </w:t>
      </w:r>
      <w:proofErr w:type="gramStart"/>
      <w:r w:rsidRPr="000C7CFA">
        <w:rPr>
          <w:rFonts w:ascii="Verdana" w:hAnsi="Verdana"/>
          <w:sz w:val="18"/>
          <w:szCs w:val="18"/>
          <w:lang w:eastAsia="en-GB"/>
        </w:rPr>
        <w:t>lw</w:t>
      </w:r>
      <w:proofErr w:type="gramEnd"/>
      <w:r w:rsidRPr="000C7CFA">
        <w:rPr>
          <w:rFonts w:ascii="Verdana" w:hAnsi="Verdana"/>
          <w:sz w:val="18"/>
          <w:szCs w:val="18"/>
          <w:lang w:eastAsia="en-GB"/>
        </w:rPr>
        <w:t xml:space="preserve">). Generally, these concentrations were one to two orders of magnitude lower than the corresponding concentrations of total PBDEs, except for the Ruddy-breasted Crake, whose Dechlorane Plus concentrations were comparable to those of total PBDEs. No difference in the </w:t>
      </w:r>
      <w:proofErr w:type="gramStart"/>
      <w:r w:rsidRPr="000C7CFA">
        <w:rPr>
          <w:rFonts w:ascii="Verdana" w:hAnsi="Verdana"/>
          <w:iCs/>
          <w:sz w:val="18"/>
          <w:szCs w:val="18"/>
          <w:lang w:eastAsia="en-GB"/>
        </w:rPr>
        <w:t>f</w:t>
      </w:r>
      <w:r w:rsidRPr="000C7CFA">
        <w:rPr>
          <w:rFonts w:ascii="Verdana" w:hAnsi="Verdana"/>
          <w:iCs/>
          <w:sz w:val="18"/>
          <w:szCs w:val="18"/>
          <w:vertAlign w:val="subscript"/>
          <w:lang w:eastAsia="en-GB"/>
        </w:rPr>
        <w:t>anti</w:t>
      </w:r>
      <w:proofErr w:type="gramEnd"/>
      <w:r w:rsidRPr="000C7CFA">
        <w:rPr>
          <w:rFonts w:ascii="Verdana" w:hAnsi="Verdana"/>
          <w:iCs/>
          <w:sz w:val="18"/>
          <w:szCs w:val="18"/>
          <w:lang w:eastAsia="en-GB"/>
        </w:rPr>
        <w:t xml:space="preserve"> </w:t>
      </w:r>
      <w:r w:rsidRPr="000C7CFA">
        <w:rPr>
          <w:rFonts w:ascii="Verdana" w:hAnsi="Verdana"/>
          <w:sz w:val="18"/>
          <w:szCs w:val="18"/>
          <w:lang w:eastAsia="en-GB"/>
        </w:rPr>
        <w:t>between tissues was found in a given species (</w:t>
      </w:r>
      <w:r w:rsidR="00CE32AC" w:rsidRPr="000C7CFA">
        <w:rPr>
          <w:rFonts w:ascii="Verdana" w:hAnsi="Verdana"/>
          <w:sz w:val="18"/>
          <w:szCs w:val="18"/>
          <w:lang w:eastAsia="en-GB"/>
        </w:rPr>
        <w:t>by analysis of variance</w:t>
      </w:r>
      <w:r w:rsidR="00CA2C80" w:rsidRPr="000C7CFA">
        <w:rPr>
          <w:rFonts w:ascii="Verdana" w:hAnsi="Verdana"/>
          <w:sz w:val="18"/>
          <w:szCs w:val="18"/>
          <w:lang w:eastAsia="en-GB"/>
        </w:rPr>
        <w:t xml:space="preserve"> (ANOVA)</w:t>
      </w:r>
      <w:r w:rsidRPr="000C7CFA">
        <w:rPr>
          <w:rFonts w:ascii="Verdana" w:hAnsi="Verdana"/>
          <w:sz w:val="18"/>
          <w:szCs w:val="18"/>
          <w:lang w:eastAsia="en-GB"/>
        </w:rPr>
        <w:t xml:space="preserve">) so an overall </w:t>
      </w:r>
      <w:r w:rsidRPr="000C7CFA">
        <w:rPr>
          <w:rFonts w:ascii="Verdana" w:hAnsi="Verdana"/>
          <w:iCs/>
          <w:sz w:val="18"/>
          <w:szCs w:val="18"/>
          <w:lang w:eastAsia="en-GB"/>
        </w:rPr>
        <w:t>f</w:t>
      </w:r>
      <w:r w:rsidRPr="000C7CFA">
        <w:rPr>
          <w:rFonts w:ascii="Verdana" w:hAnsi="Verdana"/>
          <w:iCs/>
          <w:sz w:val="18"/>
          <w:szCs w:val="18"/>
          <w:vertAlign w:val="subscript"/>
          <w:lang w:eastAsia="en-GB"/>
        </w:rPr>
        <w:t>anti</w:t>
      </w:r>
      <w:r w:rsidRPr="000C7CFA">
        <w:rPr>
          <w:rFonts w:ascii="Verdana" w:hAnsi="Verdana"/>
          <w:sz w:val="18"/>
          <w:szCs w:val="18"/>
          <w:lang w:eastAsia="en-GB"/>
        </w:rPr>
        <w:t xml:space="preserve"> was calculated for each of the five species. The mean </w:t>
      </w:r>
      <w:proofErr w:type="gramStart"/>
      <w:r w:rsidRPr="000C7CFA">
        <w:rPr>
          <w:rFonts w:ascii="Verdana" w:hAnsi="Verdana"/>
          <w:iCs/>
          <w:sz w:val="18"/>
          <w:szCs w:val="18"/>
          <w:lang w:eastAsia="en-GB"/>
        </w:rPr>
        <w:t>f</w:t>
      </w:r>
      <w:r w:rsidRPr="000C7CFA">
        <w:rPr>
          <w:rFonts w:ascii="Verdana" w:hAnsi="Verdana"/>
          <w:iCs/>
          <w:sz w:val="18"/>
          <w:szCs w:val="18"/>
          <w:vertAlign w:val="subscript"/>
          <w:lang w:eastAsia="en-GB"/>
        </w:rPr>
        <w:t>anti</w:t>
      </w:r>
      <w:proofErr w:type="gramEnd"/>
      <w:r w:rsidRPr="000C7CFA">
        <w:rPr>
          <w:rFonts w:ascii="Verdana" w:hAnsi="Verdana"/>
          <w:sz w:val="18"/>
          <w:szCs w:val="18"/>
          <w:lang w:eastAsia="en-GB"/>
        </w:rPr>
        <w:t xml:space="preserve"> for the Chinese Pond Heron, White-breasted Waterhen, Common Snipe, Ruddy</w:t>
      </w:r>
      <w:r w:rsidR="00BB3D8A" w:rsidRPr="000C7CFA">
        <w:rPr>
          <w:rFonts w:ascii="Verdana" w:hAnsi="Verdana"/>
          <w:sz w:val="18"/>
          <w:szCs w:val="18"/>
          <w:lang w:eastAsia="en-GB"/>
        </w:rPr>
        <w:t>-</w:t>
      </w:r>
      <w:r w:rsidRPr="000C7CFA">
        <w:rPr>
          <w:rFonts w:ascii="Verdana" w:hAnsi="Verdana"/>
          <w:sz w:val="18"/>
          <w:szCs w:val="18"/>
          <w:lang w:eastAsia="en-GB"/>
        </w:rPr>
        <w:t xml:space="preserve">breasted Crake and Slaty-breasted Rail were 0.34, 0.36, 0.43, 0.46 and 0.61, respectively. These values are all lower than the </w:t>
      </w:r>
      <w:proofErr w:type="gramStart"/>
      <w:r w:rsidRPr="000C7CFA">
        <w:rPr>
          <w:rFonts w:ascii="Verdana" w:hAnsi="Verdana"/>
          <w:iCs/>
          <w:sz w:val="18"/>
          <w:szCs w:val="18"/>
          <w:lang w:eastAsia="en-GB"/>
        </w:rPr>
        <w:t>f</w:t>
      </w:r>
      <w:r w:rsidRPr="000C7CFA">
        <w:rPr>
          <w:rFonts w:ascii="Verdana" w:hAnsi="Verdana"/>
          <w:iCs/>
          <w:sz w:val="18"/>
          <w:szCs w:val="18"/>
          <w:vertAlign w:val="subscript"/>
          <w:lang w:eastAsia="en-GB"/>
        </w:rPr>
        <w:t>anti</w:t>
      </w:r>
      <w:proofErr w:type="gramEnd"/>
      <w:r w:rsidRPr="000C7CFA">
        <w:rPr>
          <w:rFonts w:ascii="Verdana" w:hAnsi="Verdana"/>
          <w:iCs/>
          <w:sz w:val="18"/>
          <w:szCs w:val="18"/>
          <w:vertAlign w:val="subscript"/>
          <w:lang w:eastAsia="en-GB"/>
        </w:rPr>
        <w:t xml:space="preserve"> </w:t>
      </w:r>
      <w:r w:rsidRPr="000C7CFA">
        <w:rPr>
          <w:rFonts w:ascii="Verdana" w:hAnsi="Verdana"/>
          <w:sz w:val="18"/>
          <w:szCs w:val="18"/>
          <w:lang w:eastAsia="en-GB"/>
        </w:rPr>
        <w:t xml:space="preserve">of the commercial substance (0.70), implying a preferential accumulation of the </w:t>
      </w:r>
      <w:r w:rsidRPr="000C7CFA">
        <w:rPr>
          <w:rFonts w:ascii="Verdana" w:hAnsi="Verdana"/>
          <w:iCs/>
          <w:sz w:val="18"/>
          <w:szCs w:val="18"/>
          <w:lang w:eastAsia="en-GB"/>
        </w:rPr>
        <w:t>syn</w:t>
      </w:r>
      <w:r w:rsidRPr="000C7CFA">
        <w:rPr>
          <w:rFonts w:ascii="Verdana" w:hAnsi="Verdana"/>
          <w:sz w:val="18"/>
          <w:szCs w:val="18"/>
          <w:lang w:eastAsia="en-GB"/>
        </w:rPr>
        <w:t>- isomer in biota.</w:t>
      </w:r>
    </w:p>
    <w:p w14:paraId="6FFE03C6" w14:textId="77777777" w:rsidR="00835770" w:rsidRPr="000C7CFA" w:rsidRDefault="00835770" w:rsidP="00835770">
      <w:pPr>
        <w:pStyle w:val="BodyText"/>
        <w:ind w:left="360" w:right="657"/>
        <w:rPr>
          <w:rFonts w:ascii="Verdana" w:hAnsi="Verdana"/>
          <w:sz w:val="18"/>
          <w:szCs w:val="18"/>
          <w:lang w:eastAsia="en-GB"/>
        </w:rPr>
      </w:pPr>
      <w:r w:rsidRPr="000C7CFA">
        <w:rPr>
          <w:rFonts w:ascii="Verdana" w:hAnsi="Verdana"/>
          <w:sz w:val="18"/>
          <w:szCs w:val="18"/>
          <w:lang w:eastAsia="en-GB"/>
        </w:rPr>
        <w:t>No significant difference (</w:t>
      </w:r>
      <w:r w:rsidRPr="000C7CFA">
        <w:rPr>
          <w:rFonts w:ascii="Verdana" w:hAnsi="Verdana"/>
          <w:iCs/>
          <w:sz w:val="18"/>
          <w:szCs w:val="18"/>
          <w:lang w:eastAsia="en-GB"/>
        </w:rPr>
        <w:t>t</w:t>
      </w:r>
      <w:r w:rsidRPr="000C7CFA">
        <w:rPr>
          <w:rFonts w:ascii="Verdana" w:hAnsi="Verdana"/>
          <w:i/>
          <w:iCs/>
          <w:sz w:val="18"/>
          <w:szCs w:val="18"/>
          <w:lang w:eastAsia="en-GB"/>
        </w:rPr>
        <w:t xml:space="preserve"> </w:t>
      </w:r>
      <w:r w:rsidRPr="000C7CFA">
        <w:rPr>
          <w:rFonts w:ascii="Verdana" w:hAnsi="Verdana"/>
          <w:sz w:val="18"/>
          <w:szCs w:val="18"/>
          <w:lang w:eastAsia="en-GB"/>
        </w:rPr>
        <w:t xml:space="preserve">test, </w:t>
      </w:r>
      <w:r w:rsidRPr="000C7CFA">
        <w:rPr>
          <w:rFonts w:ascii="Verdana" w:hAnsi="Verdana"/>
          <w:i/>
          <w:iCs/>
          <w:sz w:val="18"/>
          <w:szCs w:val="18"/>
          <w:lang w:eastAsia="en-GB"/>
        </w:rPr>
        <w:t xml:space="preserve">p </w:t>
      </w:r>
      <w:r w:rsidRPr="000C7CFA">
        <w:rPr>
          <w:rFonts w:ascii="Verdana" w:hAnsi="Verdana"/>
          <w:sz w:val="18"/>
          <w:szCs w:val="18"/>
          <w:lang w:eastAsia="en-GB"/>
        </w:rPr>
        <w:t xml:space="preserve">&gt; 0.05) in the kidney and liver </w:t>
      </w:r>
      <w:r w:rsidR="00657F57" w:rsidRPr="000C7CFA">
        <w:rPr>
          <w:rFonts w:ascii="Verdana" w:hAnsi="Verdana"/>
          <w:sz w:val="18"/>
          <w:szCs w:val="18"/>
          <w:lang w:eastAsia="en-GB"/>
        </w:rPr>
        <w:t xml:space="preserve">concentrations </w:t>
      </w:r>
      <w:r w:rsidRPr="000C7CFA">
        <w:rPr>
          <w:rFonts w:ascii="Verdana" w:hAnsi="Verdana"/>
          <w:sz w:val="18"/>
          <w:szCs w:val="18"/>
          <w:lang w:eastAsia="en-GB"/>
        </w:rPr>
        <w:t xml:space="preserve">was detected in any species, regardless of whether the concentration was expressed on a wet or lipid weight basis (although the ratio varied greatly between less than 1 to larger than 1). </w:t>
      </w:r>
      <w:r w:rsidR="00657F57" w:rsidRPr="000C7CFA">
        <w:rPr>
          <w:rFonts w:ascii="Verdana" w:hAnsi="Verdana"/>
          <w:sz w:val="18"/>
          <w:szCs w:val="18"/>
          <w:lang w:eastAsia="en-GB"/>
        </w:rPr>
        <w:t>M</w:t>
      </w:r>
      <w:r w:rsidRPr="000C7CFA">
        <w:rPr>
          <w:rFonts w:ascii="Verdana" w:hAnsi="Verdana"/>
          <w:sz w:val="18"/>
          <w:szCs w:val="18"/>
          <w:lang w:eastAsia="en-GB"/>
        </w:rPr>
        <w:t>uscle concentration</w:t>
      </w:r>
      <w:r w:rsidR="00657F57" w:rsidRPr="000C7CFA">
        <w:rPr>
          <w:rFonts w:ascii="Verdana" w:hAnsi="Verdana"/>
          <w:sz w:val="18"/>
          <w:szCs w:val="18"/>
          <w:lang w:eastAsia="en-GB"/>
        </w:rPr>
        <w:t>s were lower than</w:t>
      </w:r>
      <w:r w:rsidRPr="000C7CFA">
        <w:rPr>
          <w:rFonts w:ascii="Verdana" w:hAnsi="Verdana"/>
          <w:sz w:val="18"/>
          <w:szCs w:val="18"/>
          <w:lang w:eastAsia="en-GB"/>
        </w:rPr>
        <w:t xml:space="preserve"> liver concentration</w:t>
      </w:r>
      <w:r w:rsidR="00657F57" w:rsidRPr="000C7CFA">
        <w:rPr>
          <w:rFonts w:ascii="Verdana" w:hAnsi="Verdana"/>
          <w:sz w:val="18"/>
          <w:szCs w:val="18"/>
          <w:lang w:eastAsia="en-GB"/>
        </w:rPr>
        <w:t xml:space="preserve">s </w:t>
      </w:r>
      <w:r w:rsidRPr="000C7CFA">
        <w:rPr>
          <w:rFonts w:ascii="Verdana" w:hAnsi="Verdana"/>
          <w:sz w:val="18"/>
          <w:szCs w:val="18"/>
          <w:lang w:eastAsia="en-GB"/>
        </w:rPr>
        <w:t>for all bird species</w:t>
      </w:r>
      <w:r w:rsidR="00657F57" w:rsidRPr="000C7CFA">
        <w:rPr>
          <w:rFonts w:ascii="Verdana" w:hAnsi="Verdana"/>
          <w:sz w:val="18"/>
          <w:szCs w:val="18"/>
          <w:lang w:eastAsia="en-GB"/>
        </w:rPr>
        <w:t xml:space="preserve"> based on wet weight</w:t>
      </w:r>
      <w:r w:rsidRPr="000C7CFA">
        <w:rPr>
          <w:rFonts w:ascii="Verdana" w:hAnsi="Verdana"/>
          <w:sz w:val="18"/>
          <w:szCs w:val="18"/>
          <w:lang w:eastAsia="en-GB"/>
        </w:rPr>
        <w:t xml:space="preserve">. The lipid contents in liver were higher than those in muscle, which may partially explain the high concentration in liver. When the concentrations were expressed on lipid weight, the ratios were still less than 1 for all bird species except the </w:t>
      </w:r>
      <w:r w:rsidR="00657F57" w:rsidRPr="000C7CFA">
        <w:rPr>
          <w:rFonts w:ascii="Verdana" w:hAnsi="Verdana"/>
          <w:sz w:val="18"/>
          <w:szCs w:val="18"/>
          <w:lang w:eastAsia="en-GB"/>
        </w:rPr>
        <w:t>c</w:t>
      </w:r>
      <w:r w:rsidRPr="000C7CFA">
        <w:rPr>
          <w:rFonts w:ascii="Verdana" w:hAnsi="Verdana"/>
          <w:sz w:val="18"/>
          <w:szCs w:val="18"/>
          <w:lang w:eastAsia="en-GB"/>
        </w:rPr>
        <w:t>rake. This observation suggests that Dechlorane Plus accumulates to a lesser extent in bird muscle than liver, which might be important when considering studies that are based on pectoral muscle only.</w:t>
      </w:r>
    </w:p>
    <w:p w14:paraId="7EE3A3E2" w14:textId="77777777" w:rsidR="00835770" w:rsidRPr="000C7CFA" w:rsidRDefault="00835770" w:rsidP="00835770">
      <w:pPr>
        <w:pStyle w:val="BodyText"/>
        <w:ind w:left="360" w:right="657"/>
        <w:rPr>
          <w:rFonts w:ascii="Verdana" w:hAnsi="Verdana"/>
          <w:sz w:val="18"/>
          <w:szCs w:val="18"/>
          <w:lang w:eastAsia="en-GB"/>
        </w:rPr>
      </w:pPr>
      <w:r w:rsidRPr="000C7CFA">
        <w:rPr>
          <w:rFonts w:ascii="Verdana" w:hAnsi="Verdana"/>
          <w:sz w:val="18"/>
          <w:szCs w:val="18"/>
          <w:lang w:eastAsia="en-GB"/>
        </w:rPr>
        <w:t xml:space="preserve">The relative trophic status of the birds, defined by </w:t>
      </w:r>
      <w:r w:rsidRPr="000C7CFA">
        <w:rPr>
          <w:rFonts w:ascii="Verdana" w:hAnsi="Verdana"/>
          <w:iCs/>
          <w:sz w:val="18"/>
          <w:szCs w:val="18"/>
          <w:lang w:eastAsia="en-GB"/>
        </w:rPr>
        <w:t>δ</w:t>
      </w:r>
      <w:r w:rsidRPr="000C7CFA">
        <w:rPr>
          <w:rFonts w:ascii="Verdana" w:hAnsi="Verdana"/>
          <w:sz w:val="18"/>
          <w:szCs w:val="18"/>
          <w:vertAlign w:val="superscript"/>
          <w:lang w:eastAsia="en-GB"/>
        </w:rPr>
        <w:t>15</w:t>
      </w:r>
      <w:r w:rsidRPr="000C7CFA">
        <w:rPr>
          <w:rFonts w:ascii="Verdana" w:hAnsi="Verdana"/>
          <w:sz w:val="18"/>
          <w:szCs w:val="18"/>
          <w:lang w:eastAsia="en-GB"/>
        </w:rPr>
        <w:t xml:space="preserve">N, increased in the following order: Slaty-breasted Rail (7.0‰) &lt; Ruddy-breasted Crake (8.4‰) &lt; Common Snipe (9.2‰) and White-breasted Waterhen (9.2‰) &lt; Chinese Pond Heron (10.7‰). This was consistent with their different feeding habits. The heron feeds primarily on fish. The waterhen mainly eats seeds, insects and small fish, and often forages above ground in low bushes and small trees. The snipe feeds mainly on aquatic insects and invertebrates. The crake feeds mostly on plant material and some aquatic insects. </w:t>
      </w:r>
      <w:r w:rsidR="00657F57" w:rsidRPr="000C7CFA">
        <w:rPr>
          <w:rFonts w:ascii="Verdana" w:hAnsi="Verdana"/>
          <w:sz w:val="18"/>
          <w:szCs w:val="18"/>
          <w:lang w:eastAsia="en-GB"/>
        </w:rPr>
        <w:t>The paper does not discuss the diet of the rail</w:t>
      </w:r>
      <w:r w:rsidR="006B1498" w:rsidRPr="000C7CFA">
        <w:rPr>
          <w:rStyle w:val="FootnoteReference"/>
          <w:rFonts w:ascii="Verdana" w:hAnsi="Verdana"/>
          <w:sz w:val="18"/>
          <w:szCs w:val="18"/>
          <w:lang w:eastAsia="en-GB"/>
        </w:rPr>
        <w:footnoteReference w:id="21"/>
      </w:r>
      <w:r w:rsidR="00657F57" w:rsidRPr="000C7CFA">
        <w:rPr>
          <w:rFonts w:ascii="Verdana" w:hAnsi="Verdana"/>
          <w:sz w:val="18"/>
          <w:szCs w:val="18"/>
          <w:lang w:eastAsia="en-GB"/>
        </w:rPr>
        <w:t>, but points out that u</w:t>
      </w:r>
      <w:r w:rsidRPr="000C7CFA">
        <w:rPr>
          <w:rFonts w:ascii="Verdana" w:hAnsi="Verdana"/>
          <w:sz w:val="18"/>
          <w:szCs w:val="18"/>
          <w:lang w:eastAsia="en-GB"/>
        </w:rPr>
        <w:t xml:space="preserve">nlike the other species, </w:t>
      </w:r>
      <w:r w:rsidR="00657F57" w:rsidRPr="000C7CFA">
        <w:rPr>
          <w:rFonts w:ascii="Verdana" w:hAnsi="Verdana"/>
          <w:sz w:val="18"/>
          <w:szCs w:val="18"/>
          <w:lang w:eastAsia="en-GB"/>
        </w:rPr>
        <w:t>the rail samples</w:t>
      </w:r>
      <w:r w:rsidRPr="000C7CFA">
        <w:rPr>
          <w:rFonts w:ascii="Verdana" w:hAnsi="Verdana"/>
          <w:sz w:val="18"/>
          <w:szCs w:val="18"/>
          <w:lang w:eastAsia="en-GB"/>
        </w:rPr>
        <w:t xml:space="preserve"> had a relatively high </w:t>
      </w:r>
      <w:r w:rsidRPr="000C7CFA">
        <w:rPr>
          <w:rFonts w:ascii="Verdana" w:hAnsi="Verdana"/>
          <w:iCs/>
          <w:sz w:val="18"/>
          <w:szCs w:val="18"/>
          <w:lang w:eastAsia="en-GB"/>
        </w:rPr>
        <w:t>δ</w:t>
      </w:r>
      <w:r w:rsidRPr="000C7CFA">
        <w:rPr>
          <w:rFonts w:ascii="Verdana" w:hAnsi="Verdana"/>
          <w:sz w:val="18"/>
          <w:szCs w:val="18"/>
          <w:vertAlign w:val="superscript"/>
          <w:lang w:eastAsia="en-GB"/>
        </w:rPr>
        <w:t>13</w:t>
      </w:r>
      <w:r w:rsidRPr="000C7CFA">
        <w:rPr>
          <w:rFonts w:ascii="Verdana" w:hAnsi="Verdana"/>
          <w:sz w:val="18"/>
          <w:szCs w:val="18"/>
          <w:lang w:eastAsia="en-GB"/>
        </w:rPr>
        <w:t xml:space="preserve">C but low </w:t>
      </w:r>
      <w:r w:rsidRPr="000C7CFA">
        <w:rPr>
          <w:rFonts w:ascii="Verdana" w:hAnsi="Verdana"/>
          <w:iCs/>
          <w:sz w:val="18"/>
          <w:szCs w:val="18"/>
          <w:lang w:eastAsia="en-GB"/>
        </w:rPr>
        <w:t>δ</w:t>
      </w:r>
      <w:r w:rsidRPr="000C7CFA">
        <w:rPr>
          <w:rFonts w:ascii="Verdana" w:hAnsi="Verdana"/>
          <w:sz w:val="18"/>
          <w:szCs w:val="18"/>
          <w:vertAlign w:val="superscript"/>
          <w:lang w:eastAsia="en-GB"/>
        </w:rPr>
        <w:t>15</w:t>
      </w:r>
      <w:r w:rsidRPr="000C7CFA">
        <w:rPr>
          <w:rFonts w:ascii="Verdana" w:hAnsi="Verdana"/>
          <w:sz w:val="18"/>
          <w:szCs w:val="18"/>
          <w:lang w:eastAsia="en-GB"/>
        </w:rPr>
        <w:t>N, suggesting a primary food source different from that of the other species. This appeared to be confirmed by difference</w:t>
      </w:r>
      <w:r w:rsidR="00657F57" w:rsidRPr="000C7CFA">
        <w:rPr>
          <w:rFonts w:ascii="Verdana" w:hAnsi="Verdana"/>
          <w:sz w:val="18"/>
          <w:szCs w:val="18"/>
          <w:lang w:eastAsia="en-GB"/>
        </w:rPr>
        <w:t>s</w:t>
      </w:r>
      <w:r w:rsidRPr="000C7CFA">
        <w:rPr>
          <w:rFonts w:ascii="Verdana" w:hAnsi="Verdana"/>
          <w:sz w:val="18"/>
          <w:szCs w:val="18"/>
          <w:lang w:eastAsia="en-GB"/>
        </w:rPr>
        <w:t xml:space="preserve"> in PBDE congener patterns, which also applied to a sub-sample of waterhens.</w:t>
      </w:r>
    </w:p>
    <w:p w14:paraId="7E131719" w14:textId="613BCEB6" w:rsidR="000C76F1" w:rsidRPr="000C7CFA" w:rsidRDefault="00835770" w:rsidP="00835770">
      <w:pPr>
        <w:pStyle w:val="BodyText"/>
        <w:ind w:left="360" w:right="657"/>
        <w:rPr>
          <w:rFonts w:ascii="Verdana" w:hAnsi="Verdana"/>
          <w:sz w:val="18"/>
          <w:szCs w:val="18"/>
          <w:lang w:eastAsia="en-GB"/>
        </w:rPr>
      </w:pPr>
      <w:r w:rsidRPr="000C7CFA">
        <w:rPr>
          <w:rFonts w:ascii="Verdana" w:hAnsi="Verdana"/>
          <w:sz w:val="18"/>
          <w:szCs w:val="18"/>
          <w:lang w:eastAsia="en-GB"/>
        </w:rPr>
        <w:t xml:space="preserve">The relationship between trophic level and monitored Dechlorane Plus levels was examined by regressing the log-normalized concentration of the substance in muscle against </w:t>
      </w:r>
      <w:r w:rsidRPr="000C7CFA">
        <w:rPr>
          <w:rFonts w:ascii="Verdana" w:hAnsi="Verdana"/>
          <w:iCs/>
          <w:sz w:val="18"/>
          <w:szCs w:val="18"/>
          <w:lang w:eastAsia="en-GB"/>
        </w:rPr>
        <w:t>δ</w:t>
      </w:r>
      <w:r w:rsidRPr="000C7CFA">
        <w:rPr>
          <w:rFonts w:ascii="Verdana" w:hAnsi="Verdana"/>
          <w:sz w:val="18"/>
          <w:szCs w:val="18"/>
          <w:vertAlign w:val="superscript"/>
          <w:lang w:eastAsia="en-GB"/>
        </w:rPr>
        <w:t>15</w:t>
      </w:r>
      <w:r w:rsidRPr="000C7CFA">
        <w:rPr>
          <w:rFonts w:ascii="Verdana" w:hAnsi="Verdana"/>
          <w:sz w:val="18"/>
          <w:szCs w:val="18"/>
          <w:lang w:eastAsia="en-GB"/>
        </w:rPr>
        <w:t xml:space="preserve">N (excluding rail and the sub-sample of waterhens with an apparently different food source) (see Figure </w:t>
      </w:r>
      <w:r w:rsidR="00504011" w:rsidRPr="000C7CFA">
        <w:rPr>
          <w:rFonts w:ascii="Verdana" w:hAnsi="Verdana"/>
          <w:sz w:val="18"/>
          <w:szCs w:val="18"/>
          <w:lang w:eastAsia="en-GB"/>
        </w:rPr>
        <w:t>3</w:t>
      </w:r>
      <w:r w:rsidRPr="000C7CFA">
        <w:rPr>
          <w:rFonts w:ascii="Verdana" w:hAnsi="Verdana"/>
          <w:sz w:val="18"/>
          <w:szCs w:val="18"/>
          <w:lang w:eastAsia="en-GB"/>
        </w:rPr>
        <w:t xml:space="preserve">).  Neither </w:t>
      </w:r>
      <w:r w:rsidRPr="000C7CFA">
        <w:rPr>
          <w:rFonts w:ascii="Verdana" w:hAnsi="Verdana"/>
          <w:iCs/>
          <w:sz w:val="18"/>
          <w:szCs w:val="18"/>
          <w:lang w:eastAsia="en-GB"/>
        </w:rPr>
        <w:t>syn</w:t>
      </w:r>
      <w:r w:rsidRPr="000C7CFA">
        <w:rPr>
          <w:rFonts w:ascii="Verdana" w:hAnsi="Verdana"/>
          <w:sz w:val="18"/>
          <w:szCs w:val="18"/>
          <w:lang w:eastAsia="en-GB"/>
        </w:rPr>
        <w:t xml:space="preserve">- nor </w:t>
      </w:r>
      <w:r w:rsidRPr="000C7CFA">
        <w:rPr>
          <w:rFonts w:ascii="Verdana" w:hAnsi="Verdana"/>
          <w:iCs/>
          <w:sz w:val="18"/>
          <w:szCs w:val="18"/>
          <w:lang w:eastAsia="en-GB"/>
        </w:rPr>
        <w:t>anti</w:t>
      </w:r>
      <w:r w:rsidRPr="000C7CFA">
        <w:rPr>
          <w:rFonts w:ascii="Verdana" w:hAnsi="Verdana"/>
          <w:sz w:val="18"/>
          <w:szCs w:val="18"/>
          <w:lang w:eastAsia="en-GB"/>
        </w:rPr>
        <w:t xml:space="preserve">-Dechlorane Plus correlated well with the </w:t>
      </w:r>
      <w:r w:rsidRPr="000C7CFA">
        <w:rPr>
          <w:rFonts w:ascii="Verdana" w:hAnsi="Verdana"/>
          <w:iCs/>
          <w:sz w:val="18"/>
          <w:szCs w:val="18"/>
          <w:lang w:eastAsia="en-GB"/>
        </w:rPr>
        <w:t>δ</w:t>
      </w:r>
      <w:r w:rsidRPr="000C7CFA">
        <w:rPr>
          <w:rFonts w:ascii="Verdana" w:hAnsi="Verdana"/>
          <w:sz w:val="18"/>
          <w:szCs w:val="18"/>
          <w:vertAlign w:val="superscript"/>
          <w:lang w:eastAsia="en-GB"/>
        </w:rPr>
        <w:t>15</w:t>
      </w:r>
      <w:r w:rsidRPr="000C7CFA">
        <w:rPr>
          <w:rFonts w:ascii="Verdana" w:hAnsi="Verdana"/>
          <w:sz w:val="18"/>
          <w:szCs w:val="18"/>
          <w:lang w:eastAsia="en-GB"/>
        </w:rPr>
        <w:t>N (</w:t>
      </w:r>
      <w:r w:rsidRPr="000C7CFA">
        <w:rPr>
          <w:rFonts w:ascii="Verdana" w:hAnsi="Verdana"/>
          <w:i/>
          <w:iCs/>
          <w:sz w:val="18"/>
          <w:szCs w:val="18"/>
          <w:lang w:eastAsia="en-GB"/>
        </w:rPr>
        <w:t>p</w:t>
      </w:r>
      <w:r w:rsidR="00F13422" w:rsidRPr="000C7CFA">
        <w:rPr>
          <w:rFonts w:ascii="Verdana" w:hAnsi="Verdana"/>
          <w:i/>
          <w:iCs/>
          <w:sz w:val="18"/>
          <w:szCs w:val="18"/>
          <w:lang w:eastAsia="en-GB"/>
        </w:rPr>
        <w:t> </w:t>
      </w:r>
      <w:r w:rsidR="00F13422" w:rsidRPr="000C7CFA">
        <w:rPr>
          <w:rFonts w:ascii="Verdana" w:hAnsi="Verdana"/>
          <w:sz w:val="18"/>
          <w:szCs w:val="18"/>
          <w:lang w:eastAsia="en-GB"/>
        </w:rPr>
        <w:t>&gt; </w:t>
      </w:r>
      <w:r w:rsidRPr="000C7CFA">
        <w:rPr>
          <w:rFonts w:ascii="Verdana" w:hAnsi="Verdana"/>
          <w:sz w:val="18"/>
          <w:szCs w:val="18"/>
          <w:lang w:eastAsia="en-GB"/>
        </w:rPr>
        <w:t xml:space="preserve">0.05), suggesting a lack of biomagnification. </w:t>
      </w:r>
    </w:p>
    <w:p w14:paraId="3D6A1FFB" w14:textId="163C8A30" w:rsidR="006B1498" w:rsidRPr="000C7CFA" w:rsidRDefault="00BE4203" w:rsidP="0005764A">
      <w:pPr>
        <w:pStyle w:val="BodyText"/>
        <w:spacing w:after="0"/>
        <w:ind w:left="357" w:right="658"/>
        <w:rPr>
          <w:rFonts w:ascii="Verdana" w:hAnsi="Verdana"/>
          <w:sz w:val="18"/>
          <w:szCs w:val="18"/>
          <w:lang w:eastAsia="en-GB"/>
        </w:rPr>
      </w:pPr>
      <w:r w:rsidRPr="000C7CFA">
        <w:rPr>
          <w:rFonts w:ascii="Verdana" w:hAnsi="Verdana"/>
          <w:color w:val="000000"/>
          <w:sz w:val="18"/>
          <w:szCs w:val="18"/>
        </w:rPr>
        <w:t>This study is included in the registration dossier and is considered fully reliable by the</w:t>
      </w:r>
      <w:r w:rsidR="00A43C45" w:rsidRPr="000C7CFA">
        <w:rPr>
          <w:rFonts w:ascii="Verdana" w:hAnsi="Verdana"/>
          <w:color w:val="000000"/>
          <w:sz w:val="18"/>
          <w:szCs w:val="18"/>
        </w:rPr>
        <w:t xml:space="preserve"> Registrant</w:t>
      </w:r>
      <w:r w:rsidRPr="000C7CFA">
        <w:rPr>
          <w:rFonts w:ascii="Verdana" w:hAnsi="Verdana"/>
          <w:color w:val="000000"/>
          <w:sz w:val="18"/>
          <w:szCs w:val="18"/>
        </w:rPr>
        <w:t xml:space="preserve">. </w:t>
      </w:r>
      <w:r w:rsidR="006B1498" w:rsidRPr="000C7CFA">
        <w:rPr>
          <w:rFonts w:ascii="Verdana" w:hAnsi="Verdana"/>
          <w:iCs/>
          <w:sz w:val="18"/>
          <w:szCs w:val="18"/>
          <w:lang w:eastAsia="en-GB"/>
        </w:rPr>
        <w:t xml:space="preserve">The sample size was relatively small, whole body concentrations (if available) could possibly lead to a different conclusion, and that there was no analysis of any food items of the sampled species. Conclusions about bioaccumulation potential are therefore difficult to draw, although it is </w:t>
      </w:r>
      <w:r w:rsidR="00BB3D8A" w:rsidRPr="000C7CFA">
        <w:rPr>
          <w:rFonts w:ascii="Verdana" w:hAnsi="Verdana"/>
          <w:iCs/>
          <w:sz w:val="18"/>
          <w:szCs w:val="18"/>
          <w:lang w:eastAsia="en-GB"/>
        </w:rPr>
        <w:t>notable</w:t>
      </w:r>
      <w:r w:rsidR="006B1498" w:rsidRPr="000C7CFA">
        <w:rPr>
          <w:rFonts w:ascii="Verdana" w:hAnsi="Verdana"/>
          <w:iCs/>
          <w:sz w:val="18"/>
          <w:szCs w:val="18"/>
          <w:lang w:eastAsia="en-GB"/>
        </w:rPr>
        <w:t xml:space="preserve"> that the substance was detected in all species, regardless of diet.</w:t>
      </w:r>
      <w:r w:rsidR="006B1498" w:rsidRPr="000C7CFA">
        <w:rPr>
          <w:rFonts w:ascii="Verdana" w:hAnsi="Verdana"/>
          <w:i/>
          <w:iCs/>
          <w:sz w:val="18"/>
          <w:szCs w:val="18"/>
          <w:lang w:eastAsia="en-GB"/>
        </w:rPr>
        <w:t xml:space="preserve"> </w:t>
      </w:r>
    </w:p>
    <w:p w14:paraId="2B59AA70" w14:textId="77777777" w:rsidR="000A653E" w:rsidRPr="000C7CFA" w:rsidRDefault="000A653E">
      <w:pPr>
        <w:spacing w:after="0"/>
        <w:rPr>
          <w:rFonts w:ascii="Verdana" w:hAnsi="Verdana"/>
          <w:b/>
          <w:sz w:val="18"/>
          <w:szCs w:val="18"/>
          <w:lang w:val="en-GB"/>
        </w:rPr>
      </w:pPr>
    </w:p>
    <w:p w14:paraId="29EC64C1" w14:textId="02687C1A" w:rsidR="00E85E5D" w:rsidRPr="000C7CFA" w:rsidRDefault="00410A2A" w:rsidP="00FA2BE0">
      <w:pPr>
        <w:pStyle w:val="Caption"/>
        <w:ind w:left="1418" w:hanging="1361"/>
        <w:rPr>
          <w:rFonts w:ascii="Verdana" w:hAnsi="Verdana"/>
          <w:b/>
          <w:sz w:val="18"/>
          <w:szCs w:val="18"/>
        </w:rPr>
      </w:pPr>
      <w:bookmarkStart w:id="68" w:name="_Toc489434277"/>
      <w:r w:rsidRPr="000C7CFA">
        <w:rPr>
          <w:rFonts w:ascii="Verdana" w:hAnsi="Verdana"/>
          <w:b/>
          <w:sz w:val="18"/>
          <w:szCs w:val="18"/>
        </w:rPr>
        <w:lastRenderedPageBreak/>
        <w:t xml:space="preserve">Figure </w:t>
      </w:r>
      <w:r w:rsidR="0005445F" w:rsidRPr="000C7CFA">
        <w:rPr>
          <w:rFonts w:ascii="Verdana" w:hAnsi="Verdana"/>
          <w:b/>
          <w:sz w:val="18"/>
          <w:szCs w:val="18"/>
        </w:rPr>
        <w:fldChar w:fldCharType="begin"/>
      </w:r>
      <w:r w:rsidR="0005445F" w:rsidRPr="000C7CFA">
        <w:rPr>
          <w:rFonts w:ascii="Verdana" w:hAnsi="Verdana"/>
          <w:b/>
          <w:sz w:val="18"/>
          <w:szCs w:val="18"/>
        </w:rPr>
        <w:instrText xml:space="preserve"> SEQ Figure \* ARABIC </w:instrText>
      </w:r>
      <w:r w:rsidR="0005445F" w:rsidRPr="000C7CFA">
        <w:rPr>
          <w:rFonts w:ascii="Verdana" w:hAnsi="Verdana"/>
          <w:b/>
          <w:sz w:val="18"/>
          <w:szCs w:val="18"/>
        </w:rPr>
        <w:fldChar w:fldCharType="separate"/>
      </w:r>
      <w:r w:rsidR="00BA2885" w:rsidRPr="000C7CFA">
        <w:rPr>
          <w:rFonts w:ascii="Verdana" w:hAnsi="Verdana"/>
          <w:b/>
          <w:noProof/>
          <w:sz w:val="18"/>
          <w:szCs w:val="18"/>
        </w:rPr>
        <w:t>3</w:t>
      </w:r>
      <w:r w:rsidR="0005445F" w:rsidRPr="000C7CFA">
        <w:rPr>
          <w:rFonts w:ascii="Verdana" w:hAnsi="Verdana"/>
          <w:b/>
          <w:noProof/>
          <w:sz w:val="18"/>
          <w:szCs w:val="18"/>
        </w:rPr>
        <w:fldChar w:fldCharType="end"/>
      </w:r>
      <w:r w:rsidR="00E85E5D" w:rsidRPr="000C7CFA">
        <w:rPr>
          <w:rFonts w:ascii="Verdana" w:hAnsi="Verdana"/>
          <w:b/>
          <w:sz w:val="18"/>
          <w:szCs w:val="18"/>
        </w:rPr>
        <w:t xml:space="preserve">: </w:t>
      </w:r>
      <w:r w:rsidR="00E85E5D" w:rsidRPr="000C7CFA">
        <w:rPr>
          <w:rFonts w:ascii="Verdana" w:hAnsi="Verdana"/>
          <w:b/>
          <w:sz w:val="18"/>
          <w:szCs w:val="18"/>
        </w:rPr>
        <w:tab/>
        <w:t>Relationship between δ</w:t>
      </w:r>
      <w:r w:rsidR="00E85E5D" w:rsidRPr="000C7CFA">
        <w:rPr>
          <w:rFonts w:ascii="Verdana" w:hAnsi="Verdana"/>
          <w:b/>
          <w:sz w:val="18"/>
          <w:szCs w:val="18"/>
          <w:vertAlign w:val="superscript"/>
        </w:rPr>
        <w:t>15</w:t>
      </w:r>
      <w:r w:rsidR="00E85E5D" w:rsidRPr="000C7CFA">
        <w:rPr>
          <w:rFonts w:ascii="Verdana" w:hAnsi="Verdana"/>
          <w:b/>
          <w:sz w:val="18"/>
          <w:szCs w:val="18"/>
        </w:rPr>
        <w:t>N and Dechlorane Plus muscle concentrations in wild birds from South China</w:t>
      </w:r>
      <w:bookmarkEnd w:id="68"/>
    </w:p>
    <w:p w14:paraId="6CE20053" w14:textId="0D82E0B1" w:rsidR="00E85E5D" w:rsidRPr="000C7CFA" w:rsidRDefault="00D15AD8" w:rsidP="00E85E5D">
      <w:pPr>
        <w:autoSpaceDE w:val="0"/>
        <w:autoSpaceDN w:val="0"/>
        <w:adjustRightInd w:val="0"/>
        <w:spacing w:after="0"/>
        <w:ind w:left="1560" w:right="657" w:hanging="1276"/>
        <w:jc w:val="both"/>
        <w:rPr>
          <w:rFonts w:ascii="Verdana" w:hAnsi="Verdana"/>
          <w:b/>
          <w:sz w:val="18"/>
          <w:szCs w:val="18"/>
        </w:rPr>
      </w:pPr>
      <w:r w:rsidRPr="000C7CFA">
        <w:rPr>
          <w:rFonts w:ascii="Verdana" w:hAnsi="Verdana"/>
          <w:noProof/>
          <w:sz w:val="18"/>
          <w:szCs w:val="18"/>
          <w:lang w:val="en-GB" w:eastAsia="en-GB"/>
        </w:rPr>
        <mc:AlternateContent>
          <mc:Choice Requires="wps">
            <w:drawing>
              <wp:anchor distT="0" distB="0" distL="114300" distR="114300" simplePos="0" relativeHeight="251669504" behindDoc="1" locked="0" layoutInCell="1" allowOverlap="1" wp14:anchorId="45FA597A" wp14:editId="3EAB5F6D">
                <wp:simplePos x="0" y="0"/>
                <wp:positionH relativeFrom="column">
                  <wp:posOffset>337820</wp:posOffset>
                </wp:positionH>
                <wp:positionV relativeFrom="paragraph">
                  <wp:posOffset>13335</wp:posOffset>
                </wp:positionV>
                <wp:extent cx="329565" cy="1558290"/>
                <wp:effectExtent l="13970" t="13335" r="8890" b="9525"/>
                <wp:wrapTight wrapText="bothSides">
                  <wp:wrapPolygon edited="0">
                    <wp:start x="-624" y="-132"/>
                    <wp:lineTo x="-624" y="21468"/>
                    <wp:lineTo x="22224" y="21468"/>
                    <wp:lineTo x="22224" y="-132"/>
                    <wp:lineTo x="-624" y="-132"/>
                  </wp:wrapPolygon>
                </wp:wrapTight>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558290"/>
                        </a:xfrm>
                        <a:prstGeom prst="rect">
                          <a:avLst/>
                        </a:prstGeom>
                        <a:solidFill>
                          <a:srgbClr val="FFFFFF"/>
                        </a:solidFill>
                        <a:ln w="9525">
                          <a:solidFill>
                            <a:schemeClr val="bg1">
                              <a:lumMod val="100000"/>
                              <a:lumOff val="0"/>
                            </a:schemeClr>
                          </a:solidFill>
                          <a:miter lim="800000"/>
                          <a:headEnd/>
                          <a:tailEnd/>
                        </a:ln>
                      </wps:spPr>
                      <wps:txbx>
                        <w:txbxContent>
                          <w:p w14:paraId="23A31CF7" w14:textId="77777777" w:rsidR="000C7CFA" w:rsidRPr="00657F57" w:rsidRDefault="000C7CFA" w:rsidP="00657F57">
                            <w:pPr>
                              <w:autoSpaceDE w:val="0"/>
                              <w:autoSpaceDN w:val="0"/>
                              <w:adjustRightInd w:val="0"/>
                              <w:spacing w:after="0"/>
                              <w:ind w:left="1560" w:right="657" w:hanging="1276"/>
                              <w:rPr>
                                <w:b/>
                                <w:sz w:val="16"/>
                                <w:szCs w:val="16"/>
                              </w:rPr>
                            </w:pPr>
                            <w:proofErr w:type="gramStart"/>
                            <w:r w:rsidRPr="00657F57">
                              <w:rPr>
                                <w:b/>
                                <w:sz w:val="16"/>
                                <w:szCs w:val="16"/>
                              </w:rPr>
                              <w:t>ln</w:t>
                            </w:r>
                            <w:proofErr w:type="gramEnd"/>
                            <w:r w:rsidRPr="00657F57">
                              <w:rPr>
                                <w:b/>
                                <w:sz w:val="16"/>
                                <w:szCs w:val="16"/>
                              </w:rPr>
                              <w:t xml:space="preserve"> muscle </w:t>
                            </w:r>
                            <w:r>
                              <w:rPr>
                                <w:b/>
                                <w:sz w:val="16"/>
                                <w:szCs w:val="16"/>
                              </w:rPr>
                              <w:t>D</w:t>
                            </w:r>
                            <w:r w:rsidRPr="00657F57">
                              <w:rPr>
                                <w:b/>
                                <w:sz w:val="16"/>
                                <w:szCs w:val="16"/>
                              </w:rPr>
                              <w:t xml:space="preserve">P </w:t>
                            </w:r>
                            <w:r>
                              <w:rPr>
                                <w:b/>
                                <w:sz w:val="16"/>
                                <w:szCs w:val="16"/>
                              </w:rPr>
                              <w:t>conc.</w:t>
                            </w:r>
                            <w:r w:rsidRPr="00657F57">
                              <w:rPr>
                                <w:b/>
                                <w:sz w:val="16"/>
                                <w:szCs w:val="16"/>
                              </w:rPr>
                              <w:t xml:space="preserve"> </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A597A" id="_x0000_t202" coordsize="21600,21600" o:spt="202" path="m,l,21600r21600,l21600,xe">
                <v:stroke joinstyle="miter"/>
                <v:path gradientshapeok="t" o:connecttype="rect"/>
              </v:shapetype>
              <v:shape id="Text Box 3" o:spid="_x0000_s1026" type="#_x0000_t202" style="position:absolute;left:0;text-align:left;margin-left:26.6pt;margin-top:1.05pt;width:25.95pt;height:12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" strokecolor="white [3212]">
                <v:textbox style="layout-flow:vertical;mso-layout-flow-alt:bottom-to-top">
                  <w:txbxContent>
                    <w:p w14:paraId="23A31CF7" w14:textId="77777777" w:rsidR="000C7CFA" w:rsidRPr="00657F57" w:rsidRDefault="000C7CFA" w:rsidP="00657F57">
                      <w:pPr>
                        <w:autoSpaceDE w:val="0"/>
                        <w:autoSpaceDN w:val="0"/>
                        <w:adjustRightInd w:val="0"/>
                        <w:spacing w:after="0"/>
                        <w:ind w:left="1560" w:right="657" w:hanging="1276"/>
                        <w:rPr>
                          <w:b/>
                          <w:sz w:val="16"/>
                          <w:szCs w:val="16"/>
                        </w:rPr>
                      </w:pPr>
                      <w:proofErr w:type="gramStart"/>
                      <w:r w:rsidRPr="00657F57">
                        <w:rPr>
                          <w:b/>
                          <w:sz w:val="16"/>
                          <w:szCs w:val="16"/>
                        </w:rPr>
                        <w:t>ln</w:t>
                      </w:r>
                      <w:proofErr w:type="gramEnd"/>
                      <w:r w:rsidRPr="00657F57">
                        <w:rPr>
                          <w:b/>
                          <w:sz w:val="16"/>
                          <w:szCs w:val="16"/>
                        </w:rPr>
                        <w:t xml:space="preserve"> muscle </w:t>
                      </w:r>
                      <w:r>
                        <w:rPr>
                          <w:b/>
                          <w:sz w:val="16"/>
                          <w:szCs w:val="16"/>
                        </w:rPr>
                        <w:t>D</w:t>
                      </w:r>
                      <w:r w:rsidRPr="00657F57">
                        <w:rPr>
                          <w:b/>
                          <w:sz w:val="16"/>
                          <w:szCs w:val="16"/>
                        </w:rPr>
                        <w:t xml:space="preserve">P </w:t>
                      </w:r>
                      <w:r>
                        <w:rPr>
                          <w:b/>
                          <w:sz w:val="16"/>
                          <w:szCs w:val="16"/>
                        </w:rPr>
                        <w:t>conc.</w:t>
                      </w:r>
                      <w:r w:rsidRPr="00657F57">
                        <w:rPr>
                          <w:b/>
                          <w:sz w:val="16"/>
                          <w:szCs w:val="16"/>
                        </w:rPr>
                        <w:t xml:space="preserve"> </w:t>
                      </w:r>
                    </w:p>
                  </w:txbxContent>
                </v:textbox>
                <w10:wrap type="tight"/>
              </v:shape>
            </w:pict>
          </mc:Fallback>
        </mc:AlternateContent>
      </w:r>
      <w:r w:rsidR="00591815" w:rsidRPr="000C7CFA">
        <w:rPr>
          <w:rFonts w:ascii="Verdana" w:hAnsi="Verdana"/>
          <w:b/>
          <w:noProof/>
          <w:sz w:val="18"/>
          <w:szCs w:val="18"/>
          <w:lang w:val="en-GB" w:eastAsia="en-GB"/>
        </w:rPr>
        <w:drawing>
          <wp:anchor distT="0" distB="0" distL="114300" distR="114300" simplePos="0" relativeHeight="251650048" behindDoc="1" locked="0" layoutInCell="1" allowOverlap="1" wp14:anchorId="304789BE" wp14:editId="437C117E">
            <wp:simplePos x="0" y="0"/>
            <wp:positionH relativeFrom="column">
              <wp:posOffset>2854325</wp:posOffset>
            </wp:positionH>
            <wp:positionV relativeFrom="paragraph">
              <wp:posOffset>69850</wp:posOffset>
            </wp:positionV>
            <wp:extent cx="2134870" cy="1563370"/>
            <wp:effectExtent l="19050" t="0" r="0" b="0"/>
            <wp:wrapTight wrapText="bothSides">
              <wp:wrapPolygon edited="0">
                <wp:start x="-193" y="0"/>
                <wp:lineTo x="-193" y="21319"/>
                <wp:lineTo x="21587" y="21319"/>
                <wp:lineTo x="21587" y="0"/>
                <wp:lineTo x="-193" y="0"/>
              </wp:wrapPolygon>
            </wp:wrapTight>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134870" cy="1563370"/>
                    </a:xfrm>
                    <a:prstGeom prst="rect">
                      <a:avLst/>
                    </a:prstGeom>
                    <a:noFill/>
                    <a:ln w="9525">
                      <a:noFill/>
                      <a:miter lim="800000"/>
                      <a:headEnd/>
                      <a:tailEnd/>
                    </a:ln>
                  </pic:spPr>
                </pic:pic>
              </a:graphicData>
            </a:graphic>
          </wp:anchor>
        </w:drawing>
      </w:r>
      <w:r w:rsidR="00591815" w:rsidRPr="000C7CFA">
        <w:rPr>
          <w:rFonts w:ascii="Verdana" w:hAnsi="Verdana"/>
          <w:b/>
          <w:noProof/>
          <w:sz w:val="18"/>
          <w:szCs w:val="18"/>
          <w:lang w:val="en-GB" w:eastAsia="en-GB"/>
        </w:rPr>
        <w:drawing>
          <wp:anchor distT="0" distB="0" distL="114300" distR="114300" simplePos="0" relativeHeight="251649024" behindDoc="1" locked="0" layoutInCell="1" allowOverlap="1" wp14:anchorId="09B7F5F4" wp14:editId="716349AF">
            <wp:simplePos x="0" y="0"/>
            <wp:positionH relativeFrom="column">
              <wp:posOffset>701040</wp:posOffset>
            </wp:positionH>
            <wp:positionV relativeFrom="paragraph">
              <wp:posOffset>69850</wp:posOffset>
            </wp:positionV>
            <wp:extent cx="2153285" cy="1548130"/>
            <wp:effectExtent l="19050" t="0" r="0" b="0"/>
            <wp:wrapTight wrapText="bothSides">
              <wp:wrapPolygon edited="0">
                <wp:start x="-191" y="0"/>
                <wp:lineTo x="-191" y="21263"/>
                <wp:lineTo x="21594" y="21263"/>
                <wp:lineTo x="21594" y="0"/>
                <wp:lineTo x="-191" y="0"/>
              </wp:wrapPolygon>
            </wp:wrapTight>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153285" cy="1548130"/>
                    </a:xfrm>
                    <a:prstGeom prst="rect">
                      <a:avLst/>
                    </a:prstGeom>
                    <a:noFill/>
                    <a:ln w="9525">
                      <a:noFill/>
                      <a:miter lim="800000"/>
                      <a:headEnd/>
                      <a:tailEnd/>
                    </a:ln>
                  </pic:spPr>
                </pic:pic>
              </a:graphicData>
            </a:graphic>
          </wp:anchor>
        </w:drawing>
      </w:r>
    </w:p>
    <w:p w14:paraId="25777B42" w14:textId="77777777" w:rsidR="00E85E5D" w:rsidRPr="000C7CFA" w:rsidRDefault="00E85E5D" w:rsidP="00E85E5D">
      <w:pPr>
        <w:spacing w:after="240"/>
        <w:jc w:val="center"/>
        <w:rPr>
          <w:rFonts w:ascii="Verdana" w:hAnsi="Verdana"/>
          <w:sz w:val="18"/>
          <w:szCs w:val="18"/>
          <w:lang w:val="en-GB" w:eastAsia="en-GB"/>
        </w:rPr>
      </w:pPr>
      <w:proofErr w:type="gramStart"/>
      <w:r w:rsidRPr="000C7CFA">
        <w:rPr>
          <w:rFonts w:ascii="Verdana" w:hAnsi="Verdana"/>
          <w:b/>
          <w:sz w:val="18"/>
          <w:szCs w:val="18"/>
        </w:rPr>
        <w:t>δ</w:t>
      </w:r>
      <w:r w:rsidRPr="000C7CFA">
        <w:rPr>
          <w:rFonts w:ascii="Verdana" w:hAnsi="Verdana"/>
          <w:b/>
          <w:sz w:val="18"/>
          <w:szCs w:val="18"/>
          <w:vertAlign w:val="superscript"/>
        </w:rPr>
        <w:t>15</w:t>
      </w:r>
      <w:r w:rsidRPr="000C7CFA">
        <w:rPr>
          <w:rFonts w:ascii="Verdana" w:hAnsi="Verdana"/>
          <w:b/>
          <w:sz w:val="18"/>
          <w:szCs w:val="18"/>
        </w:rPr>
        <w:t>N</w:t>
      </w:r>
      <w:proofErr w:type="gramEnd"/>
      <w:r w:rsidRPr="000C7CFA">
        <w:rPr>
          <w:rFonts w:ascii="Verdana" w:hAnsi="Verdana"/>
          <w:b/>
          <w:sz w:val="18"/>
          <w:szCs w:val="18"/>
        </w:rPr>
        <w:t xml:space="preserve"> value</w:t>
      </w:r>
    </w:p>
    <w:p w14:paraId="73C0567C" w14:textId="77777777" w:rsidR="000C76F1" w:rsidRPr="000C7CFA" w:rsidRDefault="000C76F1" w:rsidP="00E85E5D">
      <w:pPr>
        <w:pStyle w:val="BodyText"/>
        <w:ind w:left="993" w:right="515"/>
        <w:rPr>
          <w:rFonts w:ascii="Verdana" w:hAnsi="Verdana"/>
          <w:sz w:val="18"/>
          <w:szCs w:val="18"/>
          <w:lang w:eastAsia="en-GB"/>
        </w:rPr>
      </w:pPr>
      <w:r w:rsidRPr="000C7CFA">
        <w:rPr>
          <w:rFonts w:ascii="Verdana" w:hAnsi="Verdana"/>
          <w:sz w:val="18"/>
          <w:szCs w:val="18"/>
          <w:lang w:eastAsia="en-GB"/>
        </w:rPr>
        <w:t>Note: Error bars represent ±1 standard error. CPH: Chinese Pond Heron; WBW1: White-breasted Waterhen (7 of 11); WBW2: White-breasted Waterhen (4 of 11); CS: Common Snipe; SBR: Slaty-breasted Rail; RBC: Ruddy-breasted Crake.</w:t>
      </w:r>
    </w:p>
    <w:p w14:paraId="34C2C623" w14:textId="77777777" w:rsidR="003E7741" w:rsidRPr="000C7CFA" w:rsidRDefault="003E7741" w:rsidP="003E7741">
      <w:pPr>
        <w:autoSpaceDE w:val="0"/>
        <w:autoSpaceDN w:val="0"/>
        <w:adjustRightInd w:val="0"/>
        <w:spacing w:after="0"/>
        <w:ind w:left="1134" w:right="657"/>
        <w:jc w:val="center"/>
        <w:rPr>
          <w:rFonts w:ascii="Verdana" w:hAnsi="Verdana"/>
          <w:b/>
          <w:sz w:val="18"/>
          <w:szCs w:val="18"/>
          <w:lang w:val="en-GB"/>
        </w:rPr>
      </w:pPr>
      <w:r w:rsidRPr="000C7CFA">
        <w:rPr>
          <w:rFonts w:ascii="Verdana" w:hAnsi="Verdana"/>
          <w:b/>
          <w:sz w:val="18"/>
          <w:szCs w:val="18"/>
          <w:lang w:val="en-GB"/>
        </w:rPr>
        <w:t>(</w:t>
      </w:r>
      <w:proofErr w:type="gramStart"/>
      <w:r w:rsidRPr="000C7CFA">
        <w:rPr>
          <w:rFonts w:ascii="Verdana" w:hAnsi="Verdana"/>
          <w:b/>
          <w:sz w:val="18"/>
          <w:szCs w:val="18"/>
          <w:lang w:val="en-GB"/>
        </w:rPr>
        <w:t>reprinted</w:t>
      </w:r>
      <w:proofErr w:type="gramEnd"/>
      <w:r w:rsidRPr="000C7CFA">
        <w:rPr>
          <w:rFonts w:ascii="Verdana" w:hAnsi="Verdana"/>
          <w:b/>
          <w:sz w:val="18"/>
          <w:szCs w:val="18"/>
          <w:lang w:val="en-GB"/>
        </w:rPr>
        <w:t xml:space="preserve"> with permission from Zhang</w:t>
      </w:r>
      <w:r w:rsidRPr="000C7CFA">
        <w:rPr>
          <w:rFonts w:ascii="Verdana" w:hAnsi="Verdana"/>
          <w:b/>
          <w:sz w:val="18"/>
          <w:szCs w:val="18"/>
        </w:rPr>
        <w:t xml:space="preserve"> </w:t>
      </w:r>
      <w:r w:rsidRPr="000C7CFA">
        <w:rPr>
          <w:rFonts w:ascii="Verdana" w:hAnsi="Verdana"/>
          <w:b/>
          <w:i/>
          <w:sz w:val="18"/>
          <w:szCs w:val="18"/>
        </w:rPr>
        <w:t>et al</w:t>
      </w:r>
      <w:r w:rsidRPr="000C7CFA">
        <w:rPr>
          <w:rFonts w:ascii="Verdana" w:hAnsi="Verdana"/>
          <w:b/>
          <w:sz w:val="18"/>
          <w:szCs w:val="18"/>
        </w:rPr>
        <w:t>. (2011b). Copyright 2011: American Chemical Society</w:t>
      </w:r>
      <w:r w:rsidRPr="000C7CFA">
        <w:rPr>
          <w:rFonts w:ascii="Verdana" w:hAnsi="Verdana"/>
          <w:b/>
          <w:sz w:val="18"/>
          <w:szCs w:val="18"/>
          <w:lang w:val="en-GB"/>
        </w:rPr>
        <w:t>)</w:t>
      </w:r>
    </w:p>
    <w:p w14:paraId="2F38068E" w14:textId="77777777" w:rsidR="004D1DFA" w:rsidRPr="000C7CFA" w:rsidRDefault="004D1DFA" w:rsidP="00F80714">
      <w:pPr>
        <w:pStyle w:val="NoSpacing"/>
        <w:spacing w:after="180"/>
        <w:ind w:right="657"/>
        <w:jc w:val="both"/>
        <w:rPr>
          <w:rFonts w:ascii="Verdana" w:hAnsi="Verdana" w:cs="Times New Roman"/>
          <w:sz w:val="18"/>
          <w:szCs w:val="18"/>
          <w:lang w:val="en-US"/>
        </w:rPr>
      </w:pPr>
    </w:p>
    <w:p w14:paraId="13604743" w14:textId="31FABFBB" w:rsidR="00674833" w:rsidRPr="000C7CFA" w:rsidRDefault="00674833" w:rsidP="00DC3658">
      <w:pPr>
        <w:pStyle w:val="NoSpacing"/>
        <w:numPr>
          <w:ilvl w:val="0"/>
          <w:numId w:val="6"/>
        </w:numPr>
        <w:spacing w:after="180"/>
        <w:ind w:right="657"/>
        <w:jc w:val="both"/>
        <w:rPr>
          <w:rFonts w:ascii="Verdana" w:hAnsi="Verdana" w:cs="Times New Roman"/>
          <w:color w:val="000000"/>
          <w:sz w:val="18"/>
          <w:szCs w:val="18"/>
        </w:rPr>
      </w:pPr>
      <w:r w:rsidRPr="000C7CFA">
        <w:rPr>
          <w:rFonts w:ascii="Verdana" w:eastAsia="BatangChe" w:hAnsi="Verdana" w:cs="Times New Roman"/>
          <w:sz w:val="18"/>
          <w:szCs w:val="18"/>
          <w:u w:val="single"/>
        </w:rPr>
        <w:t xml:space="preserve">Peng </w:t>
      </w:r>
      <w:r w:rsidRPr="000C7CFA">
        <w:rPr>
          <w:rFonts w:ascii="Verdana" w:eastAsia="BatangChe" w:hAnsi="Verdana" w:cs="Times New Roman"/>
          <w:i/>
          <w:sz w:val="18"/>
          <w:szCs w:val="18"/>
          <w:u w:val="single"/>
        </w:rPr>
        <w:t>et al</w:t>
      </w:r>
      <w:r w:rsidRPr="000C7CFA">
        <w:rPr>
          <w:rFonts w:ascii="Verdana" w:eastAsia="BatangChe" w:hAnsi="Verdana" w:cs="Times New Roman"/>
          <w:sz w:val="18"/>
          <w:szCs w:val="18"/>
          <w:u w:val="single"/>
        </w:rPr>
        <w:t>. (2014)</w:t>
      </w:r>
      <w:r w:rsidRPr="000C7CFA">
        <w:rPr>
          <w:rFonts w:ascii="Verdana" w:eastAsia="BatangChe" w:hAnsi="Verdana" w:cs="Times New Roman"/>
          <w:sz w:val="18"/>
          <w:szCs w:val="18"/>
        </w:rPr>
        <w:t xml:space="preserve"> investigated trophic magnification of Dechlorane Plus and </w:t>
      </w:r>
      <w:r w:rsidRPr="000C7CFA">
        <w:rPr>
          <w:rFonts w:ascii="Verdana" w:hAnsi="Verdana" w:cs="Times New Roman"/>
          <w:color w:val="000000"/>
          <w:sz w:val="18"/>
          <w:szCs w:val="18"/>
        </w:rPr>
        <w:t>DP</w:t>
      </w:r>
      <w:r w:rsidR="00B24DA8" w:rsidRPr="000C7CFA">
        <w:rPr>
          <w:rFonts w:ascii="Verdana" w:hAnsi="Verdana" w:cs="Times New Roman"/>
          <w:color w:val="000000"/>
          <w:sz w:val="18"/>
          <w:szCs w:val="18"/>
        </w:rPr>
        <w:t>-1Cl</w:t>
      </w:r>
      <w:r w:rsidRPr="000C7CFA">
        <w:rPr>
          <w:rFonts w:ascii="Verdana" w:hAnsi="Verdana" w:cs="Times New Roman"/>
          <w:color w:val="000000"/>
          <w:sz w:val="18"/>
          <w:szCs w:val="18"/>
        </w:rPr>
        <w:t xml:space="preserve"> (both syn- and anti- isomers)</w:t>
      </w:r>
      <w:r w:rsidR="000C4EB0" w:rsidRPr="000C7CFA">
        <w:rPr>
          <w:rFonts w:ascii="Verdana" w:hAnsi="Verdana" w:cs="Times New Roman"/>
          <w:color w:val="000000"/>
          <w:sz w:val="18"/>
          <w:szCs w:val="18"/>
        </w:rPr>
        <w:t xml:space="preserve"> (and other dechlorane substances)</w:t>
      </w:r>
      <w:r w:rsidRPr="000C7CFA">
        <w:rPr>
          <w:rFonts w:ascii="Verdana" w:hAnsi="Verdana" w:cs="Times New Roman"/>
          <w:color w:val="000000"/>
          <w:sz w:val="18"/>
          <w:szCs w:val="18"/>
        </w:rPr>
        <w:t xml:space="preserve"> in a marine food web in Liaodong Bay</w:t>
      </w:r>
      <w:r w:rsidR="00A50331" w:rsidRPr="000C7CFA">
        <w:rPr>
          <w:rFonts w:ascii="Verdana" w:hAnsi="Verdana" w:cs="Times New Roman"/>
          <w:color w:val="000000"/>
          <w:sz w:val="18"/>
          <w:szCs w:val="18"/>
        </w:rPr>
        <w:t xml:space="preserve"> in the northern region of the Bohai Sea</w:t>
      </w:r>
      <w:r w:rsidRPr="000C7CFA">
        <w:rPr>
          <w:rFonts w:ascii="Verdana" w:hAnsi="Verdana" w:cs="Times New Roman"/>
          <w:color w:val="000000"/>
          <w:sz w:val="18"/>
          <w:szCs w:val="18"/>
        </w:rPr>
        <w:t>, an encl</w:t>
      </w:r>
      <w:r w:rsidRPr="000C7CFA">
        <w:rPr>
          <w:rFonts w:ascii="Verdana" w:eastAsia="BatangChe" w:hAnsi="Verdana" w:cs="Times New Roman"/>
          <w:color w:val="000000"/>
          <w:sz w:val="18"/>
          <w:szCs w:val="18"/>
        </w:rPr>
        <w:t>osed inner sea in northern China</w:t>
      </w:r>
      <w:r w:rsidR="00AD07CC" w:rsidRPr="000C7CFA">
        <w:rPr>
          <w:rFonts w:ascii="Verdana" w:eastAsia="BatangChe" w:hAnsi="Verdana" w:cs="Times New Roman"/>
          <w:color w:val="000000"/>
          <w:sz w:val="18"/>
          <w:szCs w:val="18"/>
        </w:rPr>
        <w:t xml:space="preserve"> </w:t>
      </w:r>
      <w:r w:rsidR="00AD07CC" w:rsidRPr="000C7CFA">
        <w:rPr>
          <w:rFonts w:ascii="Verdana" w:hAnsi="Verdana"/>
          <w:sz w:val="18"/>
          <w:szCs w:val="18"/>
          <w:lang w:eastAsia="en-GB"/>
        </w:rPr>
        <w:t xml:space="preserve">(with </w:t>
      </w:r>
      <w:r w:rsidR="002D4EB9" w:rsidRPr="000C7CFA">
        <w:rPr>
          <w:rFonts w:ascii="Verdana" w:hAnsi="Verdana" w:cs="Times New Roman"/>
          <w:sz w:val="18"/>
          <w:szCs w:val="18"/>
          <w:lang w:eastAsia="en-GB"/>
        </w:rPr>
        <w:t>an area of about 10 </w:t>
      </w:r>
      <w:r w:rsidR="00A50331" w:rsidRPr="000C7CFA">
        <w:rPr>
          <w:rFonts w:ascii="Verdana" w:hAnsi="Verdana" w:cs="Times New Roman"/>
          <w:sz w:val="18"/>
          <w:szCs w:val="18"/>
          <w:lang w:eastAsia="en-GB"/>
        </w:rPr>
        <w:t>000 </w:t>
      </w:r>
      <w:r w:rsidR="00AD07CC" w:rsidRPr="000C7CFA">
        <w:rPr>
          <w:rFonts w:ascii="Verdana" w:hAnsi="Verdana" w:cs="Times New Roman"/>
          <w:sz w:val="18"/>
          <w:szCs w:val="18"/>
          <w:lang w:eastAsia="en-GB"/>
        </w:rPr>
        <w:t>km</w:t>
      </w:r>
      <w:r w:rsidR="00AD07CC" w:rsidRPr="000C7CFA">
        <w:rPr>
          <w:rFonts w:ascii="Verdana" w:hAnsi="Verdana" w:cs="Times New Roman"/>
          <w:sz w:val="18"/>
          <w:szCs w:val="18"/>
          <w:vertAlign w:val="superscript"/>
          <w:lang w:eastAsia="en-GB"/>
        </w:rPr>
        <w:t>2</w:t>
      </w:r>
      <w:r w:rsidR="00AD07CC" w:rsidRPr="000C7CFA">
        <w:rPr>
          <w:rFonts w:ascii="Verdana" w:hAnsi="Verdana" w:cs="Times New Roman"/>
          <w:sz w:val="18"/>
          <w:szCs w:val="18"/>
          <w:lang w:eastAsia="en-GB"/>
        </w:rPr>
        <w:t xml:space="preserve"> and a maximum depth of</w:t>
      </w:r>
      <w:r w:rsidR="00AD07CC" w:rsidRPr="000C7CFA">
        <w:rPr>
          <w:rFonts w:ascii="Verdana" w:hAnsi="Verdana"/>
          <w:sz w:val="18"/>
          <w:szCs w:val="18"/>
          <w:lang w:eastAsia="en-GB"/>
        </w:rPr>
        <w:t xml:space="preserve"> </w:t>
      </w:r>
      <w:r w:rsidR="00B24DA8" w:rsidRPr="000C7CFA">
        <w:rPr>
          <w:rFonts w:ascii="Verdana" w:hAnsi="Verdana" w:cs="Times New Roman"/>
          <w:sz w:val="18"/>
          <w:szCs w:val="18"/>
          <w:lang w:eastAsia="en-GB"/>
        </w:rPr>
        <w:t>about 32 </w:t>
      </w:r>
      <w:r w:rsidR="00AD07CC" w:rsidRPr="000C7CFA">
        <w:rPr>
          <w:rFonts w:ascii="Verdana" w:hAnsi="Verdana" w:cs="Times New Roman"/>
          <w:sz w:val="18"/>
          <w:szCs w:val="18"/>
          <w:lang w:eastAsia="en-GB"/>
        </w:rPr>
        <w:t>m</w:t>
      </w:r>
      <w:r w:rsidR="00AD07CC" w:rsidRPr="000C7CFA">
        <w:rPr>
          <w:rFonts w:ascii="Verdana" w:hAnsi="Verdana"/>
          <w:sz w:val="18"/>
          <w:szCs w:val="18"/>
          <w:lang w:eastAsia="en-GB"/>
        </w:rPr>
        <w:t>)</w:t>
      </w:r>
      <w:r w:rsidRPr="000C7CFA">
        <w:rPr>
          <w:rFonts w:ascii="Verdana" w:eastAsia="BatangChe" w:hAnsi="Verdana" w:cs="Times New Roman"/>
          <w:color w:val="000000"/>
          <w:sz w:val="18"/>
          <w:szCs w:val="18"/>
        </w:rPr>
        <w:t xml:space="preserve">. </w:t>
      </w:r>
    </w:p>
    <w:p w14:paraId="6F9A885D" w14:textId="77777777" w:rsidR="00590B1C" w:rsidRPr="000C7CFA" w:rsidRDefault="00590B1C" w:rsidP="00590B1C">
      <w:pPr>
        <w:pStyle w:val="BodyText"/>
        <w:ind w:left="360" w:right="657"/>
        <w:rPr>
          <w:rFonts w:ascii="Verdana" w:hAnsi="Verdana"/>
          <w:color w:val="000000"/>
          <w:sz w:val="18"/>
          <w:szCs w:val="18"/>
        </w:rPr>
      </w:pPr>
      <w:r w:rsidRPr="000C7CFA">
        <w:rPr>
          <w:rFonts w:ascii="Verdana" w:hAnsi="Verdana"/>
          <w:sz w:val="18"/>
          <w:szCs w:val="18"/>
          <w:lang w:eastAsia="en-GB"/>
        </w:rPr>
        <w:t xml:space="preserve">The sampling regime is reported in two separate papers (Zhang </w:t>
      </w:r>
      <w:r w:rsidRPr="000C7CFA">
        <w:rPr>
          <w:rFonts w:ascii="Verdana" w:hAnsi="Verdana"/>
          <w:i/>
          <w:sz w:val="18"/>
          <w:szCs w:val="18"/>
          <w:lang w:eastAsia="en-GB"/>
        </w:rPr>
        <w:t>et al</w:t>
      </w:r>
      <w:r w:rsidRPr="000C7CFA">
        <w:rPr>
          <w:rFonts w:ascii="Verdana" w:hAnsi="Verdana"/>
          <w:sz w:val="18"/>
          <w:szCs w:val="18"/>
          <w:lang w:eastAsia="en-GB"/>
        </w:rPr>
        <w:t>., 2010</w:t>
      </w:r>
      <w:r w:rsidR="00420A13" w:rsidRPr="000C7CFA">
        <w:rPr>
          <w:rFonts w:ascii="Verdana" w:hAnsi="Verdana"/>
          <w:sz w:val="18"/>
          <w:szCs w:val="18"/>
          <w:lang w:eastAsia="en-GB"/>
        </w:rPr>
        <w:t>a</w:t>
      </w:r>
      <w:r w:rsidRPr="000C7CFA">
        <w:rPr>
          <w:rFonts w:ascii="Verdana" w:hAnsi="Verdana"/>
          <w:sz w:val="18"/>
          <w:szCs w:val="18"/>
          <w:lang w:eastAsia="en-GB"/>
        </w:rPr>
        <w:t xml:space="preserve">; Zhang </w:t>
      </w:r>
      <w:r w:rsidRPr="000C7CFA">
        <w:rPr>
          <w:rFonts w:ascii="Verdana" w:hAnsi="Verdana"/>
          <w:i/>
          <w:sz w:val="18"/>
          <w:szCs w:val="18"/>
          <w:lang w:eastAsia="en-GB"/>
        </w:rPr>
        <w:t>et al</w:t>
      </w:r>
      <w:r w:rsidRPr="000C7CFA">
        <w:rPr>
          <w:rFonts w:ascii="Verdana" w:hAnsi="Verdana"/>
          <w:sz w:val="18"/>
          <w:szCs w:val="18"/>
          <w:lang w:eastAsia="en-GB"/>
        </w:rPr>
        <w:t xml:space="preserve">., 2012). </w:t>
      </w:r>
      <w:r w:rsidR="000D69BF" w:rsidRPr="000C7CFA">
        <w:rPr>
          <w:rFonts w:ascii="Verdana" w:hAnsi="Verdana"/>
          <w:sz w:val="18"/>
          <w:szCs w:val="18"/>
          <w:lang w:eastAsia="en-GB"/>
        </w:rPr>
        <w:t xml:space="preserve">Samples were collected in November 2006. </w:t>
      </w:r>
      <w:r w:rsidRPr="000C7CFA">
        <w:rPr>
          <w:rFonts w:ascii="Verdana" w:hAnsi="Verdana"/>
          <w:sz w:val="18"/>
          <w:szCs w:val="18"/>
          <w:lang w:eastAsia="en-GB"/>
        </w:rPr>
        <w:t xml:space="preserve">Sediment samples (n=15) were </w:t>
      </w:r>
      <w:r w:rsidR="000D69BF" w:rsidRPr="000C7CFA">
        <w:rPr>
          <w:rFonts w:ascii="Verdana" w:hAnsi="Verdana"/>
          <w:sz w:val="18"/>
          <w:szCs w:val="18"/>
          <w:lang w:eastAsia="en-GB"/>
        </w:rPr>
        <w:t>taken</w:t>
      </w:r>
      <w:r w:rsidRPr="000C7CFA">
        <w:rPr>
          <w:rFonts w:ascii="Verdana" w:hAnsi="Verdana"/>
          <w:sz w:val="18"/>
          <w:szCs w:val="18"/>
          <w:lang w:eastAsia="en-GB"/>
        </w:rPr>
        <w:t xml:space="preserve"> from the subsurface zone (0−30 cm depth) in transects over a relatively wide area (the actual sample area is indicated on a map but no co-ordinates or distances are provided). In contrast the food</w:t>
      </w:r>
      <w:r w:rsidRPr="000C7CFA">
        <w:rPr>
          <w:rFonts w:ascii="Verdana" w:eastAsia="BatangChe" w:hAnsi="Verdana"/>
          <w:color w:val="000000"/>
          <w:sz w:val="18"/>
          <w:szCs w:val="18"/>
        </w:rPr>
        <w:t xml:space="preserve"> web included five invertebrate</w:t>
      </w:r>
      <w:r w:rsidRPr="000C7CFA">
        <w:rPr>
          <w:rFonts w:ascii="Verdana" w:hAnsi="Verdana"/>
          <w:color w:val="000000"/>
          <w:sz w:val="18"/>
          <w:szCs w:val="18"/>
        </w:rPr>
        <w:t xml:space="preserve"> </w:t>
      </w:r>
      <w:r w:rsidRPr="000C7CFA">
        <w:rPr>
          <w:rFonts w:ascii="Verdana" w:hAnsi="Verdana"/>
          <w:sz w:val="18"/>
          <w:szCs w:val="18"/>
          <w:lang w:eastAsia="en-GB"/>
        </w:rPr>
        <w:t>and</w:t>
      </w:r>
      <w:r w:rsidRPr="000C7CFA">
        <w:rPr>
          <w:rFonts w:ascii="Verdana" w:hAnsi="Verdana"/>
          <w:color w:val="000000"/>
          <w:sz w:val="18"/>
          <w:szCs w:val="18"/>
        </w:rPr>
        <w:t xml:space="preserve"> eight fish species</w:t>
      </w:r>
      <w:r w:rsidRPr="000C7CFA">
        <w:rPr>
          <w:rFonts w:ascii="Verdana" w:hAnsi="Verdana"/>
          <w:sz w:val="18"/>
          <w:szCs w:val="18"/>
          <w:lang w:eastAsia="en-GB"/>
        </w:rPr>
        <w:t xml:space="preserve"> collected by bottom trawl at a single location</w:t>
      </w:r>
      <w:r w:rsidR="00A50331" w:rsidRPr="000C7CFA">
        <w:rPr>
          <w:rFonts w:ascii="Verdana" w:hAnsi="Verdana"/>
          <w:color w:val="000000"/>
          <w:sz w:val="18"/>
          <w:szCs w:val="18"/>
        </w:rPr>
        <w:t xml:space="preserve"> (40°42N; 121°46E)</w:t>
      </w:r>
      <w:r w:rsidRPr="000C7CFA">
        <w:rPr>
          <w:rFonts w:ascii="Verdana" w:hAnsi="Verdana"/>
          <w:color w:val="000000"/>
          <w:sz w:val="18"/>
          <w:szCs w:val="18"/>
        </w:rPr>
        <w:t xml:space="preserve">, and two gull species (both adults and juveniles for one of them) </w:t>
      </w:r>
      <w:r w:rsidR="00A50331" w:rsidRPr="000C7CFA">
        <w:rPr>
          <w:rFonts w:ascii="Verdana" w:hAnsi="Verdana"/>
          <w:color w:val="000000"/>
          <w:sz w:val="18"/>
          <w:szCs w:val="18"/>
        </w:rPr>
        <w:t>trapped at</w:t>
      </w:r>
      <w:r w:rsidRPr="000C7CFA">
        <w:rPr>
          <w:rFonts w:ascii="Verdana" w:hAnsi="Verdana"/>
          <w:color w:val="000000"/>
          <w:sz w:val="18"/>
          <w:szCs w:val="18"/>
        </w:rPr>
        <w:t xml:space="preserve"> a different location</w:t>
      </w:r>
      <w:r w:rsidR="00A50331" w:rsidRPr="000C7CFA">
        <w:rPr>
          <w:rFonts w:ascii="Verdana" w:hAnsi="Verdana"/>
          <w:color w:val="000000"/>
          <w:sz w:val="18"/>
          <w:szCs w:val="18"/>
        </w:rPr>
        <w:t xml:space="preserve"> (40°52N 121°51E)</w:t>
      </w:r>
      <w:r w:rsidRPr="000C7CFA">
        <w:rPr>
          <w:rFonts w:ascii="Verdana" w:hAnsi="Verdana"/>
          <w:color w:val="000000"/>
          <w:sz w:val="18"/>
          <w:szCs w:val="18"/>
        </w:rPr>
        <w:t xml:space="preserve">. </w:t>
      </w:r>
    </w:p>
    <w:p w14:paraId="166E4C60" w14:textId="77777777" w:rsidR="00590B1C" w:rsidRPr="000C7CFA" w:rsidRDefault="00590B1C" w:rsidP="00590B1C">
      <w:pPr>
        <w:pStyle w:val="BodyText"/>
        <w:ind w:left="360" w:right="657"/>
        <w:rPr>
          <w:rFonts w:ascii="Verdana" w:hAnsi="Verdana"/>
          <w:sz w:val="18"/>
          <w:szCs w:val="18"/>
          <w:lang w:eastAsia="en-GB"/>
        </w:rPr>
      </w:pPr>
      <w:r w:rsidRPr="000C7CFA">
        <w:rPr>
          <w:rFonts w:ascii="Verdana" w:hAnsi="Verdana"/>
          <w:sz w:val="18"/>
          <w:szCs w:val="18"/>
          <w:lang w:eastAsia="en-GB"/>
        </w:rPr>
        <w:t>With the exception of juvenile gulls, no information is provided in the paper or supporting information about the age of the sampled organisms. From the length and weight data, it appears that the individual invertebrate and fish species were broadly from the same age class, with the possible exception of Flathead fish and Black Spotfed Bass, for which the variation was much higher.</w:t>
      </w:r>
    </w:p>
    <w:p w14:paraId="2074CAA1" w14:textId="33BB53FF" w:rsidR="00590B1C" w:rsidRPr="000C7CFA" w:rsidRDefault="00590B1C" w:rsidP="00A50331">
      <w:pPr>
        <w:pStyle w:val="NoSpacing"/>
        <w:spacing w:after="180"/>
        <w:ind w:left="360" w:right="657"/>
        <w:jc w:val="both"/>
        <w:rPr>
          <w:rFonts w:ascii="Verdana" w:eastAsia="Times New Roman" w:hAnsi="Verdana" w:cs="Times New Roman"/>
          <w:sz w:val="18"/>
          <w:szCs w:val="18"/>
          <w:lang w:eastAsia="en-GB"/>
        </w:rPr>
      </w:pPr>
      <w:r w:rsidRPr="000C7CFA">
        <w:rPr>
          <w:rFonts w:ascii="Verdana" w:eastAsia="Times New Roman" w:hAnsi="Verdana" w:cs="Times New Roman"/>
          <w:sz w:val="18"/>
          <w:szCs w:val="18"/>
          <w:lang w:eastAsia="en-GB"/>
        </w:rPr>
        <w:t xml:space="preserve">All samples were stored at −20 °C prior to analysis.  </w:t>
      </w:r>
      <w:r w:rsidR="000D41B4" w:rsidRPr="000C7CFA">
        <w:rPr>
          <w:rFonts w:ascii="Verdana" w:eastAsia="Times New Roman" w:hAnsi="Verdana" w:cs="Times New Roman"/>
          <w:sz w:val="18"/>
          <w:szCs w:val="18"/>
          <w:lang w:eastAsia="en-GB"/>
        </w:rPr>
        <w:t>Whole soft</w:t>
      </w:r>
      <w:r w:rsidR="00A50331" w:rsidRPr="000C7CFA">
        <w:rPr>
          <w:rFonts w:ascii="Verdana" w:eastAsia="Times New Roman" w:hAnsi="Verdana" w:cs="Times New Roman"/>
          <w:sz w:val="18"/>
          <w:szCs w:val="18"/>
          <w:lang w:eastAsia="en-GB"/>
        </w:rPr>
        <w:t xml:space="preserve"> tissues of invertebrates and muscles of fish and seabirds were used for the analysis. </w:t>
      </w:r>
      <w:r w:rsidR="00D37134" w:rsidRPr="000C7CFA">
        <w:rPr>
          <w:rFonts w:ascii="Verdana" w:eastAsia="Times New Roman" w:hAnsi="Verdana" w:cs="Times New Roman"/>
          <w:sz w:val="18"/>
          <w:szCs w:val="18"/>
          <w:lang w:eastAsia="en-GB"/>
        </w:rPr>
        <w:t xml:space="preserve">Following sample work-up, the concentrations of all substances in the extracts were determined relative to </w:t>
      </w:r>
      <w:r w:rsidR="00D37134" w:rsidRPr="000C7CFA">
        <w:rPr>
          <w:rFonts w:ascii="Verdana" w:hAnsi="Verdana" w:cs="Times New Roman"/>
          <w:sz w:val="18"/>
          <w:szCs w:val="18"/>
          <w:vertAlign w:val="superscript"/>
        </w:rPr>
        <w:t>13</w:t>
      </w:r>
      <w:r w:rsidR="00D37134" w:rsidRPr="000C7CFA">
        <w:rPr>
          <w:rFonts w:ascii="Verdana" w:eastAsia="Times New Roman" w:hAnsi="Verdana" w:cs="Times New Roman"/>
          <w:sz w:val="18"/>
          <w:szCs w:val="18"/>
          <w:lang w:eastAsia="en-GB"/>
        </w:rPr>
        <w:t>C-labeled PCB180</w:t>
      </w:r>
      <w:r w:rsidRPr="000C7CFA">
        <w:rPr>
          <w:rFonts w:ascii="Verdana" w:eastAsia="Times New Roman" w:hAnsi="Verdana" w:cs="Times New Roman"/>
          <w:sz w:val="18"/>
          <w:szCs w:val="18"/>
          <w:lang w:eastAsia="en-GB"/>
        </w:rPr>
        <w:t xml:space="preserve"> by GC-MS (electron capture negative ionization). Recoveries of the target substances were 81−9</w:t>
      </w:r>
      <w:r w:rsidR="00AF7606" w:rsidRPr="000C7CFA">
        <w:rPr>
          <w:rFonts w:ascii="Verdana" w:eastAsia="Times New Roman" w:hAnsi="Verdana" w:cs="Times New Roman"/>
          <w:sz w:val="18"/>
          <w:szCs w:val="18"/>
          <w:lang w:eastAsia="en-GB"/>
        </w:rPr>
        <w:t>7 %</w:t>
      </w:r>
      <w:r w:rsidRPr="000C7CFA">
        <w:rPr>
          <w:rFonts w:ascii="Verdana" w:eastAsia="Times New Roman" w:hAnsi="Verdana" w:cs="Times New Roman"/>
          <w:sz w:val="18"/>
          <w:szCs w:val="18"/>
          <w:lang w:eastAsia="en-GB"/>
        </w:rPr>
        <w:t xml:space="preserve"> for sediments, and 72−8</w:t>
      </w:r>
      <w:r w:rsidR="00AF7606" w:rsidRPr="000C7CFA">
        <w:rPr>
          <w:rFonts w:ascii="Verdana" w:eastAsia="Times New Roman" w:hAnsi="Verdana" w:cs="Times New Roman"/>
          <w:sz w:val="18"/>
          <w:szCs w:val="18"/>
          <w:lang w:eastAsia="en-GB"/>
        </w:rPr>
        <w:t>9 %</w:t>
      </w:r>
      <w:r w:rsidRPr="000C7CFA">
        <w:rPr>
          <w:rFonts w:ascii="Verdana" w:eastAsia="Times New Roman" w:hAnsi="Verdana" w:cs="Times New Roman"/>
          <w:sz w:val="18"/>
          <w:szCs w:val="18"/>
          <w:lang w:eastAsia="en-GB"/>
        </w:rPr>
        <w:t xml:space="preserve"> for biota samples. Recoveries of </w:t>
      </w:r>
      <w:r w:rsidRPr="000C7CFA">
        <w:rPr>
          <w:rFonts w:ascii="Verdana" w:eastAsia="Times New Roman" w:hAnsi="Verdana" w:cs="Times New Roman"/>
          <w:sz w:val="18"/>
          <w:szCs w:val="18"/>
          <w:vertAlign w:val="superscript"/>
          <w:lang w:eastAsia="en-GB"/>
        </w:rPr>
        <w:t>13</w:t>
      </w:r>
      <w:r w:rsidRPr="000C7CFA">
        <w:rPr>
          <w:rFonts w:ascii="Verdana" w:eastAsia="Times New Roman" w:hAnsi="Verdana" w:cs="Times New Roman"/>
          <w:sz w:val="18"/>
          <w:szCs w:val="18"/>
          <w:lang w:eastAsia="en-GB"/>
        </w:rPr>
        <w:t>C-labeled PCB180 were 85 ± 1</w:t>
      </w:r>
      <w:r w:rsidR="00AF7606" w:rsidRPr="000C7CFA">
        <w:rPr>
          <w:rFonts w:ascii="Verdana" w:eastAsia="Times New Roman" w:hAnsi="Verdana" w:cs="Times New Roman"/>
          <w:sz w:val="18"/>
          <w:szCs w:val="18"/>
          <w:lang w:eastAsia="en-GB"/>
        </w:rPr>
        <w:t>9 %</w:t>
      </w:r>
      <w:r w:rsidRPr="000C7CFA">
        <w:rPr>
          <w:rFonts w:ascii="Verdana" w:eastAsia="Times New Roman" w:hAnsi="Verdana" w:cs="Times New Roman"/>
          <w:sz w:val="18"/>
          <w:szCs w:val="18"/>
          <w:lang w:eastAsia="en-GB"/>
        </w:rPr>
        <w:t xml:space="preserve"> and 83 ± 2</w:t>
      </w:r>
      <w:r w:rsidR="00AF7606" w:rsidRPr="000C7CFA">
        <w:rPr>
          <w:rFonts w:ascii="Verdana" w:eastAsia="Times New Roman" w:hAnsi="Verdana" w:cs="Times New Roman"/>
          <w:sz w:val="18"/>
          <w:szCs w:val="18"/>
          <w:lang w:eastAsia="en-GB"/>
        </w:rPr>
        <w:t>4 %</w:t>
      </w:r>
      <w:r w:rsidRPr="000C7CFA">
        <w:rPr>
          <w:rFonts w:ascii="Verdana" w:eastAsia="Times New Roman" w:hAnsi="Verdana" w:cs="Times New Roman"/>
          <w:sz w:val="18"/>
          <w:szCs w:val="18"/>
          <w:lang w:eastAsia="en-GB"/>
        </w:rPr>
        <w:t xml:space="preserve"> in sediment and biota samples, respectively. All equipment rinses were carried out with acetone and hexane to avoid sample contamination. A laboratory blank was incorporated in the analytical procedures for every batch of 12 samples. The method detection limits (MDLs) for Dechlorane Plus, which was detected in blank samples at “minor” concentrations, were set to be the three times of the mean concentration in the blank samples, and concentrations of the compounds were blank corrected. The MDLs for other compounds, which were not detected in blank samples, were set to the instrumental minimum detectable amounts with a signal-to-noise ratio of 3. The MDLs for the substances were 1.0 pg/g </w:t>
      </w:r>
      <w:proofErr w:type="gramStart"/>
      <w:r w:rsidRPr="000C7CFA">
        <w:rPr>
          <w:rFonts w:ascii="Verdana" w:eastAsia="Times New Roman" w:hAnsi="Verdana" w:cs="Times New Roman"/>
          <w:sz w:val="18"/>
          <w:szCs w:val="18"/>
          <w:lang w:eastAsia="en-GB"/>
        </w:rPr>
        <w:t>dw</w:t>
      </w:r>
      <w:proofErr w:type="gramEnd"/>
      <w:r w:rsidRPr="000C7CFA">
        <w:rPr>
          <w:rFonts w:ascii="Verdana" w:eastAsia="Times New Roman" w:hAnsi="Verdana" w:cs="Times New Roman"/>
          <w:sz w:val="18"/>
          <w:szCs w:val="18"/>
          <w:lang w:eastAsia="en-GB"/>
        </w:rPr>
        <w:t xml:space="preserve"> in sediments, and 0.08−2.0 pg/g ww </w:t>
      </w:r>
      <w:r w:rsidRPr="000C7CFA">
        <w:rPr>
          <w:rFonts w:ascii="Verdana" w:eastAsia="Times New Roman" w:hAnsi="Verdana" w:cs="Times New Roman"/>
          <w:sz w:val="18"/>
          <w:szCs w:val="18"/>
          <w:lang w:eastAsia="en-GB"/>
        </w:rPr>
        <w:lastRenderedPageBreak/>
        <w:t>for biota samples. Concentrations less than their respective MDLs were assigned a proxy value of half the MDL.</w:t>
      </w:r>
    </w:p>
    <w:p w14:paraId="3B8E4E77" w14:textId="77777777" w:rsidR="00590B1C" w:rsidRPr="000C7CFA" w:rsidRDefault="00590B1C" w:rsidP="00590B1C">
      <w:pPr>
        <w:pStyle w:val="BodyText"/>
        <w:ind w:left="360" w:right="657"/>
        <w:rPr>
          <w:rFonts w:ascii="Verdana" w:eastAsiaTheme="minorHAnsi" w:hAnsi="Verdana"/>
          <w:sz w:val="18"/>
          <w:szCs w:val="18"/>
        </w:rPr>
      </w:pPr>
      <w:r w:rsidRPr="000C7CFA">
        <w:rPr>
          <w:rFonts w:ascii="Verdana" w:hAnsi="Verdana"/>
          <w:sz w:val="18"/>
          <w:szCs w:val="18"/>
          <w:lang w:eastAsia="en-GB"/>
        </w:rPr>
        <w:t>Trophic levels were determined using stable nitrogen isotope ratios measured in invertebrate soft tissues (n=3 for each species) and muscle tissue for fish (n=3 for each species) and birds (n=16 for Black-tailed Gull, n=7 (</w:t>
      </w:r>
      <w:r w:rsidRPr="000C7CFA">
        <w:rPr>
          <w:rFonts w:ascii="Verdana" w:hAnsi="Verdana"/>
          <w:i/>
          <w:sz w:val="18"/>
          <w:szCs w:val="18"/>
          <w:lang w:eastAsia="en-GB"/>
        </w:rPr>
        <w:t>sic</w:t>
      </w:r>
      <w:r w:rsidRPr="000C7CFA">
        <w:rPr>
          <w:rFonts w:ascii="Verdana" w:hAnsi="Verdana"/>
          <w:sz w:val="18"/>
          <w:szCs w:val="18"/>
          <w:lang w:eastAsia="en-GB"/>
        </w:rPr>
        <w:t xml:space="preserve">) for Black-headed Gull). </w:t>
      </w:r>
      <w:r w:rsidRPr="000C7CFA">
        <w:rPr>
          <w:rFonts w:ascii="Verdana" w:eastAsiaTheme="minorHAnsi" w:hAnsi="Verdana"/>
          <w:sz w:val="18"/>
          <w:szCs w:val="18"/>
        </w:rPr>
        <w:t>The stable nitrogen isotope ratios were 8.98 ± 0.44 to 12.5 ± 0.81 for invertebrates, 9.50 ± 1.0 to 14.1 ± 0.23 for fish, and 12.8 ± 1.4 to 14.2 ± 1.2 for gulls. The trophic enrichment factor was estimated to be 2.4</w:t>
      </w:r>
      <w:r w:rsidRPr="000C7CFA">
        <w:rPr>
          <w:rFonts w:ascii="Verdana" w:eastAsia="AdvOT8608a8d1+22" w:hAnsi="Verdana"/>
          <w:sz w:val="18"/>
          <w:szCs w:val="18"/>
        </w:rPr>
        <w:t>−</w:t>
      </w:r>
      <w:r w:rsidRPr="000C7CFA">
        <w:rPr>
          <w:rFonts w:ascii="Verdana" w:eastAsiaTheme="minorHAnsi" w:hAnsi="Verdana"/>
          <w:sz w:val="18"/>
          <w:szCs w:val="18"/>
        </w:rPr>
        <w:t>4.8</w:t>
      </w:r>
      <w:r w:rsidRPr="000C7CFA">
        <w:rPr>
          <w:rFonts w:ascii="Verdana" w:eastAsia="AdvOT8608a8d1+20" w:hAnsi="Verdana"/>
          <w:sz w:val="18"/>
          <w:szCs w:val="18"/>
        </w:rPr>
        <w:t xml:space="preserve">‰ (average: </w:t>
      </w:r>
      <w:r w:rsidRPr="000C7CFA">
        <w:rPr>
          <w:rFonts w:ascii="Verdana" w:eastAsiaTheme="minorHAnsi" w:hAnsi="Verdana"/>
          <w:sz w:val="18"/>
          <w:szCs w:val="18"/>
        </w:rPr>
        <w:t>3.8</w:t>
      </w:r>
      <w:r w:rsidRPr="000C7CFA">
        <w:rPr>
          <w:rFonts w:ascii="Verdana" w:eastAsia="AdvOT8608a8d1+20" w:hAnsi="Verdana"/>
          <w:sz w:val="18"/>
          <w:szCs w:val="18"/>
        </w:rPr>
        <w:t xml:space="preserve">‰) </w:t>
      </w:r>
      <w:r w:rsidRPr="000C7CFA">
        <w:rPr>
          <w:rFonts w:ascii="Verdana" w:eastAsiaTheme="minorHAnsi" w:hAnsi="Verdana"/>
          <w:sz w:val="18"/>
          <w:szCs w:val="18"/>
        </w:rPr>
        <w:t xml:space="preserve">by examining isotopic differences between consumers and species that form their potential diets (such as Short-necked Clam and the crustacean </w:t>
      </w:r>
      <w:r w:rsidRPr="000C7CFA">
        <w:rPr>
          <w:rFonts w:ascii="Verdana" w:eastAsiaTheme="minorHAnsi" w:hAnsi="Verdana"/>
          <w:i/>
          <w:sz w:val="18"/>
          <w:szCs w:val="18"/>
        </w:rPr>
        <w:t>Upogebia major</w:t>
      </w:r>
      <w:r w:rsidRPr="000C7CFA">
        <w:rPr>
          <w:rFonts w:ascii="Verdana" w:eastAsiaTheme="minorHAnsi" w:hAnsi="Verdana"/>
          <w:sz w:val="18"/>
          <w:szCs w:val="18"/>
        </w:rPr>
        <w:t xml:space="preserve">). The study authors stated that the average enrichment factor corresponded well to that previously reported for other aquatic ecosystems. </w:t>
      </w:r>
    </w:p>
    <w:p w14:paraId="5D650C1C" w14:textId="77777777" w:rsidR="00FA2BE0" w:rsidRPr="000C7CFA" w:rsidRDefault="00590B1C" w:rsidP="008377FA">
      <w:pPr>
        <w:pStyle w:val="BodyText"/>
        <w:ind w:left="360" w:right="657"/>
        <w:rPr>
          <w:rFonts w:ascii="Verdana" w:eastAsiaTheme="minorHAnsi" w:hAnsi="Verdana"/>
          <w:sz w:val="18"/>
          <w:szCs w:val="18"/>
        </w:rPr>
      </w:pPr>
      <w:r w:rsidRPr="000C7CFA">
        <w:rPr>
          <w:rFonts w:ascii="Verdana" w:hAnsi="Verdana"/>
          <w:sz w:val="18"/>
          <w:szCs w:val="18"/>
          <w:lang w:eastAsia="en-GB"/>
        </w:rPr>
        <w:t>Short</w:t>
      </w:r>
      <w:r w:rsidRPr="000C7CFA">
        <w:rPr>
          <w:rFonts w:ascii="Verdana" w:eastAsiaTheme="minorHAnsi" w:hAnsi="Verdana"/>
          <w:sz w:val="18"/>
          <w:szCs w:val="18"/>
        </w:rPr>
        <w:t>-necked Clams were used to estimate the δ</w:t>
      </w:r>
      <w:r w:rsidRPr="000C7CFA">
        <w:rPr>
          <w:rFonts w:ascii="Verdana" w:eastAsiaTheme="minorHAnsi" w:hAnsi="Verdana"/>
          <w:sz w:val="18"/>
          <w:szCs w:val="18"/>
          <w:vertAlign w:val="superscript"/>
        </w:rPr>
        <w:t>15</w:t>
      </w:r>
      <w:r w:rsidRPr="000C7CFA">
        <w:rPr>
          <w:rFonts w:ascii="Verdana" w:eastAsiaTheme="minorHAnsi" w:hAnsi="Verdana"/>
          <w:sz w:val="18"/>
          <w:szCs w:val="18"/>
        </w:rPr>
        <w:t>N baseline and assumed to represent trophic level 2.0. The trophic levels calculated for Small Yellow Croaker and Black Spot-fed Bass using an enrichment factor of 3.8</w:t>
      </w:r>
      <w:r w:rsidRPr="000C7CFA">
        <w:rPr>
          <w:rFonts w:ascii="Verdana" w:eastAsia="AdvOT8608a8d1+20" w:hAnsi="Verdana"/>
          <w:sz w:val="18"/>
          <w:szCs w:val="18"/>
        </w:rPr>
        <w:t>‰</w:t>
      </w:r>
      <w:r w:rsidRPr="000C7CFA">
        <w:rPr>
          <w:rStyle w:val="FootnoteReference"/>
          <w:rFonts w:ascii="Verdana" w:eastAsia="AdvOT8608a8d1+20" w:hAnsi="Verdana"/>
          <w:sz w:val="18"/>
          <w:szCs w:val="18"/>
        </w:rPr>
        <w:footnoteReference w:id="22"/>
      </w:r>
      <w:r w:rsidRPr="000C7CFA">
        <w:rPr>
          <w:rFonts w:ascii="Verdana" w:eastAsiaTheme="minorHAnsi" w:hAnsi="Verdana"/>
          <w:sz w:val="18"/>
          <w:szCs w:val="18"/>
        </w:rPr>
        <w:t xml:space="preserve"> were 2.85 ± 0.13 and 3.36 ± 0.06, respectively, which were similar to those obtained from traditional stomach content analysis (2.99 and 3.37, respectively) in a previous study. </w:t>
      </w:r>
      <w:r w:rsidR="00FE6879" w:rsidRPr="000C7CFA">
        <w:rPr>
          <w:rFonts w:ascii="Verdana" w:eastAsiaTheme="minorHAnsi" w:hAnsi="Verdana"/>
          <w:sz w:val="18"/>
          <w:szCs w:val="18"/>
        </w:rPr>
        <w:t>S</w:t>
      </w:r>
      <w:r w:rsidRPr="000C7CFA">
        <w:rPr>
          <w:rFonts w:ascii="Verdana" w:eastAsiaTheme="minorHAnsi" w:hAnsi="Verdana"/>
          <w:sz w:val="18"/>
          <w:szCs w:val="18"/>
        </w:rPr>
        <w:t xml:space="preserve">table carbon isotope ratios ranged from </w:t>
      </w:r>
      <w:r w:rsidRPr="000C7CFA">
        <w:rPr>
          <w:rFonts w:ascii="Verdana" w:eastAsia="AdvOT8608a8d1+22" w:hAnsi="Verdana"/>
          <w:sz w:val="18"/>
          <w:szCs w:val="18"/>
        </w:rPr>
        <w:t>−</w:t>
      </w:r>
      <w:r w:rsidRPr="000C7CFA">
        <w:rPr>
          <w:rFonts w:ascii="Verdana" w:eastAsiaTheme="minorHAnsi" w:hAnsi="Verdana"/>
          <w:sz w:val="18"/>
          <w:szCs w:val="18"/>
        </w:rPr>
        <w:t xml:space="preserve">15.7 ± 0.09 to </w:t>
      </w:r>
      <w:r w:rsidRPr="000C7CFA">
        <w:rPr>
          <w:rFonts w:ascii="Verdana" w:eastAsia="AdvOT8608a8d1+22" w:hAnsi="Verdana"/>
          <w:sz w:val="18"/>
          <w:szCs w:val="18"/>
        </w:rPr>
        <w:t>−</w:t>
      </w:r>
      <w:r w:rsidRPr="000C7CFA">
        <w:rPr>
          <w:rFonts w:ascii="Verdana" w:eastAsiaTheme="minorHAnsi" w:hAnsi="Verdana"/>
          <w:sz w:val="18"/>
          <w:szCs w:val="18"/>
        </w:rPr>
        <w:t xml:space="preserve">17.9 ± 0.25 for invertebrates (except for </w:t>
      </w:r>
      <w:r w:rsidRPr="000C7CFA">
        <w:rPr>
          <w:rFonts w:ascii="Verdana" w:eastAsiaTheme="minorHAnsi" w:hAnsi="Verdana"/>
          <w:i/>
          <w:sz w:val="18"/>
          <w:szCs w:val="18"/>
        </w:rPr>
        <w:t>Mactra quadrangularis</w:t>
      </w:r>
      <w:r w:rsidRPr="000C7CFA">
        <w:rPr>
          <w:rFonts w:ascii="Verdana" w:eastAsiaTheme="minorHAnsi" w:hAnsi="Verdana"/>
          <w:sz w:val="18"/>
          <w:szCs w:val="18"/>
        </w:rPr>
        <w:t xml:space="preserve">: </w:t>
      </w:r>
      <w:r w:rsidRPr="000C7CFA">
        <w:rPr>
          <w:rFonts w:ascii="Verdana" w:eastAsia="AdvOT8608a8d1+22" w:hAnsi="Verdana"/>
          <w:sz w:val="18"/>
          <w:szCs w:val="18"/>
        </w:rPr>
        <w:t>−</w:t>
      </w:r>
      <w:r w:rsidRPr="000C7CFA">
        <w:rPr>
          <w:rFonts w:ascii="Verdana" w:eastAsiaTheme="minorHAnsi" w:hAnsi="Verdana"/>
          <w:sz w:val="18"/>
          <w:szCs w:val="18"/>
        </w:rPr>
        <w:t xml:space="preserve">12.6 ± 0.30), from </w:t>
      </w:r>
      <w:r w:rsidRPr="000C7CFA">
        <w:rPr>
          <w:rFonts w:ascii="Verdana" w:eastAsia="AdvOT8608a8d1+22" w:hAnsi="Verdana"/>
          <w:sz w:val="18"/>
          <w:szCs w:val="18"/>
        </w:rPr>
        <w:t>−</w:t>
      </w:r>
      <w:r w:rsidRPr="000C7CFA">
        <w:rPr>
          <w:rFonts w:ascii="Verdana" w:eastAsiaTheme="minorHAnsi" w:hAnsi="Verdana"/>
          <w:sz w:val="18"/>
          <w:szCs w:val="18"/>
        </w:rPr>
        <w:t xml:space="preserve">15.3 ± 1.1 to </w:t>
      </w:r>
      <w:r w:rsidRPr="000C7CFA">
        <w:rPr>
          <w:rFonts w:ascii="Verdana" w:eastAsia="AdvOT8608a8d1+22" w:hAnsi="Verdana"/>
          <w:sz w:val="18"/>
          <w:szCs w:val="18"/>
        </w:rPr>
        <w:t>−</w:t>
      </w:r>
      <w:r w:rsidRPr="000C7CFA">
        <w:rPr>
          <w:rFonts w:ascii="Verdana" w:eastAsiaTheme="minorHAnsi" w:hAnsi="Verdana"/>
          <w:sz w:val="18"/>
          <w:szCs w:val="18"/>
        </w:rPr>
        <w:t xml:space="preserve">17.2 ± 0.86 for fish (except for Goby: </w:t>
      </w:r>
      <w:r w:rsidRPr="000C7CFA">
        <w:rPr>
          <w:rFonts w:ascii="Verdana" w:eastAsia="AdvOT8608a8d1+22" w:hAnsi="Verdana"/>
          <w:sz w:val="18"/>
          <w:szCs w:val="18"/>
        </w:rPr>
        <w:t>−</w:t>
      </w:r>
      <w:r w:rsidRPr="000C7CFA">
        <w:rPr>
          <w:rFonts w:ascii="Verdana" w:eastAsiaTheme="minorHAnsi" w:hAnsi="Verdana"/>
          <w:sz w:val="18"/>
          <w:szCs w:val="18"/>
        </w:rPr>
        <w:t xml:space="preserve">12.7 ± 2.1), and from </w:t>
      </w:r>
      <w:r w:rsidRPr="000C7CFA">
        <w:rPr>
          <w:rFonts w:ascii="Verdana" w:eastAsia="AdvOT8608a8d1+22" w:hAnsi="Verdana"/>
          <w:sz w:val="18"/>
          <w:szCs w:val="18"/>
        </w:rPr>
        <w:t>−</w:t>
      </w:r>
      <w:r w:rsidRPr="000C7CFA">
        <w:rPr>
          <w:rFonts w:ascii="Verdana" w:eastAsiaTheme="minorHAnsi" w:hAnsi="Verdana"/>
          <w:sz w:val="18"/>
          <w:szCs w:val="18"/>
        </w:rPr>
        <w:t xml:space="preserve">18.6 ± 1.3 to </w:t>
      </w:r>
      <w:r w:rsidRPr="000C7CFA">
        <w:rPr>
          <w:rFonts w:ascii="Verdana" w:eastAsia="AdvOT8608a8d1+22" w:hAnsi="Verdana"/>
          <w:sz w:val="18"/>
          <w:szCs w:val="18"/>
        </w:rPr>
        <w:t>−</w:t>
      </w:r>
      <w:r w:rsidRPr="000C7CFA">
        <w:rPr>
          <w:rFonts w:ascii="Verdana" w:eastAsiaTheme="minorHAnsi" w:hAnsi="Verdana"/>
          <w:sz w:val="18"/>
          <w:szCs w:val="18"/>
        </w:rPr>
        <w:t xml:space="preserve">20.9 ± 2.7 for gulls. </w:t>
      </w:r>
    </w:p>
    <w:p w14:paraId="528183E2" w14:textId="77777777" w:rsidR="00BA2885" w:rsidRPr="000C7CFA" w:rsidRDefault="00590B1C" w:rsidP="00BA2885">
      <w:pPr>
        <w:pStyle w:val="BodyText"/>
        <w:ind w:left="360" w:right="657"/>
        <w:rPr>
          <w:rFonts w:ascii="Verdana" w:eastAsiaTheme="minorHAnsi" w:hAnsi="Verdana"/>
          <w:sz w:val="18"/>
          <w:szCs w:val="18"/>
        </w:rPr>
      </w:pPr>
      <w:r w:rsidRPr="000C7CFA">
        <w:rPr>
          <w:rFonts w:ascii="Verdana" w:eastAsiaTheme="minorHAnsi" w:hAnsi="Verdana"/>
          <w:sz w:val="18"/>
          <w:szCs w:val="18"/>
        </w:rPr>
        <w:t xml:space="preserve">All the substances were detected in sediments and biota (see </w:t>
      </w:r>
      <w:r w:rsidR="008C3195" w:rsidRPr="000C7CFA">
        <w:rPr>
          <w:rFonts w:ascii="Verdana" w:eastAsiaTheme="minorHAnsi" w:hAnsi="Verdana"/>
          <w:sz w:val="18"/>
          <w:szCs w:val="18"/>
        </w:rPr>
        <w:fldChar w:fldCharType="begin"/>
      </w:r>
      <w:r w:rsidR="003A6BE0" w:rsidRPr="000C7CFA">
        <w:rPr>
          <w:rFonts w:ascii="Verdana" w:eastAsiaTheme="minorHAnsi" w:hAnsi="Verdana"/>
          <w:sz w:val="18"/>
          <w:szCs w:val="18"/>
        </w:rPr>
        <w:instrText xml:space="preserve"> REF _Ref427766780 \h </w:instrText>
      </w:r>
      <w:r w:rsidR="008640CB" w:rsidRPr="000C7CFA">
        <w:rPr>
          <w:rFonts w:ascii="Verdana" w:eastAsiaTheme="minorHAnsi" w:hAnsi="Verdana"/>
          <w:sz w:val="18"/>
          <w:szCs w:val="18"/>
        </w:rPr>
        <w:instrText xml:space="preserve"> \* MERGEFORMAT </w:instrText>
      </w:r>
      <w:r w:rsidR="008C3195" w:rsidRPr="000C7CFA">
        <w:rPr>
          <w:rFonts w:ascii="Verdana" w:eastAsiaTheme="minorHAnsi" w:hAnsi="Verdana"/>
          <w:sz w:val="18"/>
          <w:szCs w:val="18"/>
        </w:rPr>
      </w:r>
      <w:r w:rsidR="008C3195" w:rsidRPr="000C7CFA">
        <w:rPr>
          <w:rFonts w:ascii="Verdana" w:eastAsiaTheme="minorHAnsi" w:hAnsi="Verdana"/>
          <w:sz w:val="18"/>
          <w:szCs w:val="18"/>
        </w:rPr>
        <w:fldChar w:fldCharType="separate"/>
      </w:r>
      <w:r w:rsidR="00BA2885" w:rsidRPr="000C7CFA">
        <w:rPr>
          <w:rFonts w:ascii="Verdana" w:eastAsiaTheme="minorHAnsi" w:hAnsi="Verdana"/>
          <w:sz w:val="18"/>
          <w:szCs w:val="18"/>
        </w:rPr>
        <w:br w:type="page"/>
      </w:r>
    </w:p>
    <w:p w14:paraId="088E890F" w14:textId="597EA8A5" w:rsidR="00FA2BE0" w:rsidRPr="000C7CFA" w:rsidRDefault="00BA2885" w:rsidP="00197E8D">
      <w:pPr>
        <w:pStyle w:val="BodyText"/>
        <w:ind w:left="360" w:right="657"/>
        <w:rPr>
          <w:rFonts w:ascii="Verdana" w:eastAsiaTheme="minorHAnsi" w:hAnsi="Verdana"/>
          <w:sz w:val="18"/>
          <w:szCs w:val="18"/>
        </w:rPr>
      </w:pPr>
      <w:r w:rsidRPr="000C7CFA">
        <w:rPr>
          <w:rFonts w:ascii="Verdana" w:eastAsiaTheme="minorHAnsi" w:hAnsi="Verdana"/>
          <w:sz w:val="18"/>
          <w:szCs w:val="18"/>
        </w:rPr>
        <w:lastRenderedPageBreak/>
        <w:t>Table</w:t>
      </w:r>
      <w:r w:rsidRPr="000C7CFA">
        <w:rPr>
          <w:rFonts w:ascii="Verdana" w:hAnsi="Verdana"/>
          <w:sz w:val="18"/>
          <w:szCs w:val="18"/>
        </w:rPr>
        <w:t xml:space="preserve"> </w:t>
      </w:r>
      <w:r w:rsidRPr="000C7CFA">
        <w:rPr>
          <w:rFonts w:ascii="Verdana" w:hAnsi="Verdana"/>
          <w:noProof/>
          <w:sz w:val="18"/>
          <w:szCs w:val="18"/>
        </w:rPr>
        <w:t>2</w:t>
      </w:r>
      <w:r w:rsidR="008C3195" w:rsidRPr="000C7CFA">
        <w:rPr>
          <w:rFonts w:ascii="Verdana" w:eastAsiaTheme="minorHAnsi" w:hAnsi="Verdana"/>
          <w:sz w:val="18"/>
          <w:szCs w:val="18"/>
        </w:rPr>
        <w:fldChar w:fldCharType="end"/>
      </w:r>
      <w:r w:rsidR="00590B1C" w:rsidRPr="000C7CFA">
        <w:rPr>
          <w:rFonts w:ascii="Verdana" w:eastAsiaTheme="minorHAnsi" w:hAnsi="Verdana"/>
          <w:sz w:val="18"/>
          <w:szCs w:val="18"/>
        </w:rPr>
        <w:t xml:space="preserve">). </w:t>
      </w:r>
      <w:r w:rsidR="00FA2BE0" w:rsidRPr="000C7CFA">
        <w:rPr>
          <w:rFonts w:ascii="Verdana" w:eastAsiaTheme="minorHAnsi" w:hAnsi="Verdana"/>
          <w:sz w:val="18"/>
          <w:szCs w:val="18"/>
        </w:rPr>
        <w:t xml:space="preserve">The mean sediment concentration was 6.7±16, 33±73 and 33±66 pg/g [ng/kg] </w:t>
      </w:r>
      <w:proofErr w:type="gramStart"/>
      <w:r w:rsidR="00FA2BE0" w:rsidRPr="000C7CFA">
        <w:rPr>
          <w:rFonts w:ascii="Verdana" w:eastAsiaTheme="minorHAnsi" w:hAnsi="Verdana"/>
          <w:sz w:val="18"/>
          <w:szCs w:val="18"/>
        </w:rPr>
        <w:t>dw</w:t>
      </w:r>
      <w:proofErr w:type="gramEnd"/>
      <w:r w:rsidR="00FA2BE0" w:rsidRPr="000C7CFA">
        <w:rPr>
          <w:rFonts w:ascii="Verdana" w:eastAsiaTheme="minorHAnsi" w:hAnsi="Verdana"/>
          <w:sz w:val="18"/>
          <w:szCs w:val="18"/>
        </w:rPr>
        <w:t xml:space="preserve"> for syn- and anti-Dechlorane Plus, and anti-[DP-1Cl], respectively. </w:t>
      </w:r>
    </w:p>
    <w:p w14:paraId="5F2CB3BA" w14:textId="1C8036BC" w:rsidR="00FA2BE0" w:rsidRPr="000C7CFA" w:rsidRDefault="00FA2BE0" w:rsidP="00FA2BE0">
      <w:pPr>
        <w:pStyle w:val="BodyText"/>
        <w:ind w:left="360" w:right="657"/>
        <w:rPr>
          <w:rFonts w:ascii="Verdana" w:eastAsiaTheme="minorHAnsi" w:hAnsi="Verdana"/>
          <w:sz w:val="18"/>
          <w:szCs w:val="18"/>
        </w:rPr>
      </w:pPr>
      <w:r w:rsidRPr="000C7CFA">
        <w:rPr>
          <w:rFonts w:ascii="Verdana" w:eastAsiaTheme="minorHAnsi" w:hAnsi="Verdana"/>
          <w:sz w:val="18"/>
          <w:szCs w:val="18"/>
        </w:rPr>
        <w:t xml:space="preserve">The levels of the two Dechlorane Plus isomers were highly variable, but with higher average wet weight concentrations of the anti- isomer than the syn- isomer in many (though not all) species. Whilst this might possibly reflect species differences, it could also reflect the limited sampling and/or variability due to the low concentrations. Mean concentrations of the anti- isomer exceeded 100 pg/g ww only in the crustacean </w:t>
      </w:r>
      <w:r w:rsidRPr="000C7CFA">
        <w:rPr>
          <w:rFonts w:ascii="Verdana" w:eastAsiaTheme="minorHAnsi" w:hAnsi="Verdana"/>
          <w:i/>
          <w:sz w:val="18"/>
          <w:szCs w:val="18"/>
        </w:rPr>
        <w:t>Upogebia major</w:t>
      </w:r>
      <w:r w:rsidRPr="000C7CFA">
        <w:rPr>
          <w:rFonts w:ascii="Verdana" w:eastAsiaTheme="minorHAnsi" w:hAnsi="Verdana"/>
          <w:sz w:val="18"/>
          <w:szCs w:val="18"/>
        </w:rPr>
        <w:t>, China Anchovy and Black-headed Gull (in contrast, the highest mean syn- isomer concentration was 69 pg/g ww, in a fish species). The paper reports that the anti- isomer was the predominant one in sediment and invertebrates, with the contribution decreasing to 4.6</w:t>
      </w:r>
      <w:r w:rsidRPr="000C7CFA">
        <w:rPr>
          <w:rFonts w:ascii="Verdana" w:eastAsia="AdvOT8608a8d1+22" w:hAnsi="Verdana"/>
          <w:sz w:val="18"/>
          <w:szCs w:val="18"/>
        </w:rPr>
        <w:t>−</w:t>
      </w:r>
      <w:r w:rsidRPr="000C7CFA">
        <w:rPr>
          <w:rFonts w:ascii="Verdana" w:eastAsiaTheme="minorHAnsi" w:hAnsi="Verdana"/>
          <w:sz w:val="18"/>
          <w:szCs w:val="18"/>
        </w:rPr>
        <w:t>2</w:t>
      </w:r>
      <w:r w:rsidR="00AF7606" w:rsidRPr="000C7CFA">
        <w:rPr>
          <w:rFonts w:ascii="Verdana" w:eastAsiaTheme="minorHAnsi" w:hAnsi="Verdana"/>
          <w:sz w:val="18"/>
          <w:szCs w:val="18"/>
        </w:rPr>
        <w:t>1 %</w:t>
      </w:r>
      <w:r w:rsidRPr="000C7CFA">
        <w:rPr>
          <w:rFonts w:ascii="Verdana" w:eastAsiaTheme="minorHAnsi" w:hAnsi="Verdana"/>
          <w:sz w:val="18"/>
          <w:szCs w:val="18"/>
        </w:rPr>
        <w:t xml:space="preserve"> in fish species at high trophic levels, and decreased to 2.8</w:t>
      </w:r>
      <w:r w:rsidRPr="000C7CFA">
        <w:rPr>
          <w:rFonts w:ascii="Verdana" w:eastAsia="AdvOT8608a8d1+22" w:hAnsi="Verdana"/>
          <w:sz w:val="18"/>
          <w:szCs w:val="18"/>
        </w:rPr>
        <w:t>−</w:t>
      </w:r>
      <w:r w:rsidRPr="000C7CFA">
        <w:rPr>
          <w:rFonts w:ascii="Verdana" w:eastAsiaTheme="minorHAnsi" w:hAnsi="Verdana"/>
          <w:sz w:val="18"/>
          <w:szCs w:val="18"/>
        </w:rPr>
        <w:t>4.</w:t>
      </w:r>
      <w:r w:rsidR="00AF7606" w:rsidRPr="000C7CFA">
        <w:rPr>
          <w:rFonts w:ascii="Verdana" w:eastAsiaTheme="minorHAnsi" w:hAnsi="Verdana"/>
          <w:sz w:val="18"/>
          <w:szCs w:val="18"/>
        </w:rPr>
        <w:t>4 %</w:t>
      </w:r>
      <w:r w:rsidRPr="000C7CFA">
        <w:rPr>
          <w:rFonts w:ascii="Verdana" w:eastAsiaTheme="minorHAnsi" w:hAnsi="Verdana"/>
          <w:sz w:val="18"/>
          <w:szCs w:val="18"/>
        </w:rPr>
        <w:t xml:space="preserve"> in seabirds. However, given the high variability and small sample numbers, this might be misleading.</w:t>
      </w:r>
    </w:p>
    <w:p w14:paraId="50F7D803" w14:textId="318ADD25" w:rsidR="00FA2BE0" w:rsidRPr="000C7CFA" w:rsidRDefault="00FA2BE0" w:rsidP="00FA2BE0">
      <w:pPr>
        <w:pStyle w:val="BodyText"/>
        <w:ind w:left="360" w:right="657"/>
        <w:rPr>
          <w:rFonts w:ascii="Verdana" w:eastAsiaTheme="minorHAnsi" w:hAnsi="Verdana"/>
          <w:sz w:val="18"/>
          <w:szCs w:val="18"/>
        </w:rPr>
      </w:pPr>
      <w:r w:rsidRPr="000C7CFA">
        <w:rPr>
          <w:rFonts w:ascii="Verdana" w:eastAsiaTheme="minorHAnsi" w:hAnsi="Verdana"/>
          <w:sz w:val="18"/>
          <w:szCs w:val="18"/>
        </w:rPr>
        <w:t>According to the paper, the average concentrations of total Dechl</w:t>
      </w:r>
      <w:r w:rsidR="008610EB" w:rsidRPr="000C7CFA">
        <w:rPr>
          <w:rFonts w:ascii="Verdana" w:eastAsiaTheme="minorHAnsi" w:hAnsi="Verdana"/>
          <w:sz w:val="18"/>
          <w:szCs w:val="18"/>
        </w:rPr>
        <w:t>orane Plus isomers were 817 (±1 </w:t>
      </w:r>
      <w:r w:rsidRPr="000C7CFA">
        <w:rPr>
          <w:rFonts w:ascii="Verdana" w:eastAsiaTheme="minorHAnsi" w:hAnsi="Verdana"/>
          <w:sz w:val="18"/>
          <w:szCs w:val="18"/>
        </w:rPr>
        <w:t xml:space="preserve">030) pg/g </w:t>
      </w:r>
      <w:proofErr w:type="gramStart"/>
      <w:r w:rsidRPr="000C7CFA">
        <w:rPr>
          <w:rFonts w:ascii="Verdana" w:eastAsiaTheme="minorHAnsi" w:hAnsi="Verdana"/>
          <w:sz w:val="18"/>
          <w:szCs w:val="18"/>
        </w:rPr>
        <w:t>lw</w:t>
      </w:r>
      <w:proofErr w:type="gramEnd"/>
      <w:r w:rsidRPr="000C7CFA">
        <w:rPr>
          <w:rFonts w:ascii="Verdana" w:eastAsiaTheme="minorHAnsi" w:hAnsi="Verdana"/>
          <w:sz w:val="18"/>
          <w:szCs w:val="18"/>
        </w:rPr>
        <w:t xml:space="preserve"> in Blac</w:t>
      </w:r>
      <w:r w:rsidR="008610EB" w:rsidRPr="000C7CFA">
        <w:rPr>
          <w:rFonts w:ascii="Verdana" w:eastAsiaTheme="minorHAnsi" w:hAnsi="Verdana"/>
          <w:sz w:val="18"/>
          <w:szCs w:val="18"/>
        </w:rPr>
        <w:t>k-tailed Gulls and 1 780 (±1 </w:t>
      </w:r>
      <w:r w:rsidRPr="000C7CFA">
        <w:rPr>
          <w:rFonts w:ascii="Verdana" w:eastAsiaTheme="minorHAnsi" w:hAnsi="Verdana"/>
          <w:sz w:val="18"/>
          <w:szCs w:val="18"/>
        </w:rPr>
        <w:t xml:space="preserve">650) pg/g lw in Black-headed Gulls. </w:t>
      </w:r>
      <w:r w:rsidR="0060361F" w:rsidRPr="000C7CFA">
        <w:rPr>
          <w:rFonts w:ascii="Verdana" w:eastAsiaTheme="minorHAnsi" w:hAnsi="Verdana"/>
          <w:sz w:val="18"/>
          <w:szCs w:val="18"/>
        </w:rPr>
        <w:t>An attempt has been made to</w:t>
      </w:r>
      <w:r w:rsidRPr="000C7CFA">
        <w:rPr>
          <w:rFonts w:ascii="Verdana" w:eastAsiaTheme="minorHAnsi" w:hAnsi="Verdana"/>
          <w:sz w:val="18"/>
          <w:szCs w:val="18"/>
        </w:rPr>
        <w:t xml:space="preserve"> replicate these calculations</w:t>
      </w:r>
      <w:r w:rsidR="0060361F" w:rsidRPr="000C7CFA">
        <w:rPr>
          <w:rFonts w:ascii="Verdana" w:eastAsiaTheme="minorHAnsi" w:hAnsi="Verdana"/>
          <w:sz w:val="18"/>
          <w:szCs w:val="18"/>
        </w:rPr>
        <w:t xml:space="preserve"> for the purposes of this assessment</w:t>
      </w:r>
      <w:r w:rsidRPr="000C7CFA">
        <w:rPr>
          <w:rFonts w:ascii="Verdana" w:eastAsiaTheme="minorHAnsi" w:hAnsi="Verdana"/>
          <w:sz w:val="18"/>
          <w:szCs w:val="18"/>
        </w:rPr>
        <w:t xml:space="preserve"> by dividing the reported mean wet weight concentrations by the mean percentage lipid content, but derived slightly different values (e.g. 1</w:t>
      </w:r>
      <w:r w:rsidR="008610EB" w:rsidRPr="000C7CFA">
        <w:rPr>
          <w:rFonts w:ascii="Verdana" w:eastAsiaTheme="minorHAnsi" w:hAnsi="Verdana"/>
          <w:sz w:val="18"/>
          <w:szCs w:val="18"/>
        </w:rPr>
        <w:t> </w:t>
      </w:r>
      <w:r w:rsidRPr="000C7CFA">
        <w:rPr>
          <w:rFonts w:ascii="Verdana" w:eastAsiaTheme="minorHAnsi" w:hAnsi="Verdana"/>
          <w:sz w:val="18"/>
          <w:szCs w:val="18"/>
        </w:rPr>
        <w:t>875 pg/g lw for Black-headed Gull); the highest lipid weight concentration for both isomers combine</w:t>
      </w:r>
      <w:r w:rsidR="008610EB" w:rsidRPr="000C7CFA">
        <w:rPr>
          <w:rFonts w:ascii="Verdana" w:eastAsiaTheme="minorHAnsi" w:hAnsi="Verdana"/>
          <w:sz w:val="18"/>
          <w:szCs w:val="18"/>
        </w:rPr>
        <w:t>d was obtained for the Goby (10 </w:t>
      </w:r>
      <w:r w:rsidRPr="000C7CFA">
        <w:rPr>
          <w:rFonts w:ascii="Verdana" w:eastAsiaTheme="minorHAnsi" w:hAnsi="Verdana"/>
          <w:sz w:val="18"/>
          <w:szCs w:val="18"/>
        </w:rPr>
        <w:t>900 pg/g lw).</w:t>
      </w:r>
    </w:p>
    <w:p w14:paraId="4F26C514" w14:textId="77777777" w:rsidR="00FA2BE0" w:rsidRPr="000C7CFA" w:rsidRDefault="00FA2BE0" w:rsidP="00FA2BE0">
      <w:pPr>
        <w:pStyle w:val="BodyText"/>
        <w:ind w:left="360" w:right="657"/>
        <w:rPr>
          <w:rFonts w:ascii="Verdana" w:eastAsiaTheme="minorHAnsi" w:hAnsi="Verdana"/>
          <w:sz w:val="18"/>
          <w:szCs w:val="18"/>
        </w:rPr>
      </w:pPr>
      <w:r w:rsidRPr="000C7CFA">
        <w:rPr>
          <w:rFonts w:ascii="Verdana" w:eastAsiaTheme="minorHAnsi" w:hAnsi="Verdana"/>
          <w:sz w:val="18"/>
          <w:szCs w:val="18"/>
        </w:rPr>
        <w:t>The mean wet weight concentration of anti-[DP-1Cl] was lower than that of anti-Dechlorane Plus in all species (whereas the sediment concentration was similar), although it was nevertheless detected in 21 of the 23 gull samples. There was a significantly positive correlation between concentrations of anti-[DP-1Cl] and anti-Dechlorane Plus in gulls (r</w:t>
      </w:r>
      <w:r w:rsidRPr="000C7CFA">
        <w:rPr>
          <w:rFonts w:ascii="Verdana" w:eastAsiaTheme="minorHAnsi" w:hAnsi="Verdana"/>
          <w:sz w:val="18"/>
          <w:szCs w:val="18"/>
          <w:vertAlign w:val="superscript"/>
        </w:rPr>
        <w:t>2</w:t>
      </w:r>
      <w:r w:rsidRPr="000C7CFA">
        <w:rPr>
          <w:rFonts w:ascii="Verdana" w:eastAsiaTheme="minorHAnsi" w:hAnsi="Verdana"/>
          <w:sz w:val="18"/>
          <w:szCs w:val="18"/>
        </w:rPr>
        <w:t xml:space="preserve"> = 0.93, </w:t>
      </w:r>
      <w:r w:rsidRPr="000C7CFA">
        <w:rPr>
          <w:rFonts w:ascii="Verdana" w:eastAsiaTheme="minorHAnsi" w:hAnsi="Verdana"/>
          <w:i/>
          <w:sz w:val="18"/>
          <w:szCs w:val="18"/>
        </w:rPr>
        <w:t>p</w:t>
      </w:r>
      <w:r w:rsidRPr="000C7CFA">
        <w:rPr>
          <w:rFonts w:ascii="Verdana" w:eastAsiaTheme="minorHAnsi" w:hAnsi="Verdana"/>
          <w:sz w:val="18"/>
          <w:szCs w:val="18"/>
        </w:rPr>
        <w:t xml:space="preserve"> &lt; 0.001). The study authors speculated that this may be due to natural accumulation of anti-[DP-1Cl] from sediments through the food web to gulls, or metabolism within gulls after accumulating Dechlorane Plus. However, an </w:t>
      </w:r>
      <w:r w:rsidRPr="000C7CFA">
        <w:rPr>
          <w:rFonts w:ascii="Verdana" w:eastAsiaTheme="minorHAnsi" w:hAnsi="Verdana"/>
          <w:i/>
          <w:sz w:val="18"/>
          <w:szCs w:val="18"/>
        </w:rPr>
        <w:t>in vitro</w:t>
      </w:r>
      <w:r w:rsidRPr="000C7CFA">
        <w:rPr>
          <w:rFonts w:ascii="Verdana" w:eastAsiaTheme="minorHAnsi" w:hAnsi="Verdana"/>
          <w:sz w:val="18"/>
          <w:szCs w:val="18"/>
        </w:rPr>
        <w:t xml:space="preserve"> study failed to confirm the latter hypothesis (see Section 3.4.2.1). Significantly positive correlations for these two substances were also observed in sediments (r</w:t>
      </w:r>
      <w:r w:rsidRPr="000C7CFA">
        <w:rPr>
          <w:rFonts w:ascii="Verdana" w:eastAsiaTheme="minorHAnsi" w:hAnsi="Verdana"/>
          <w:sz w:val="18"/>
          <w:szCs w:val="18"/>
          <w:vertAlign w:val="superscript"/>
        </w:rPr>
        <w:t>2</w:t>
      </w:r>
      <w:r w:rsidRPr="000C7CFA">
        <w:rPr>
          <w:rFonts w:ascii="Verdana" w:eastAsiaTheme="minorHAnsi" w:hAnsi="Verdana"/>
          <w:sz w:val="18"/>
          <w:szCs w:val="18"/>
        </w:rPr>
        <w:t xml:space="preserve"> = 0.90, </w:t>
      </w:r>
      <w:r w:rsidRPr="000C7CFA">
        <w:rPr>
          <w:rFonts w:ascii="Verdana" w:eastAsiaTheme="minorHAnsi" w:hAnsi="Verdana"/>
          <w:i/>
          <w:sz w:val="18"/>
          <w:szCs w:val="18"/>
        </w:rPr>
        <w:t>p</w:t>
      </w:r>
      <w:r w:rsidRPr="000C7CFA">
        <w:rPr>
          <w:rFonts w:ascii="Verdana" w:eastAsiaTheme="minorHAnsi" w:hAnsi="Verdana"/>
          <w:sz w:val="18"/>
          <w:szCs w:val="18"/>
        </w:rPr>
        <w:t xml:space="preserve"> &lt; 0.001) and China Anchovy (r</w:t>
      </w:r>
      <w:r w:rsidRPr="000C7CFA">
        <w:rPr>
          <w:rFonts w:ascii="Verdana" w:eastAsiaTheme="minorHAnsi" w:hAnsi="Verdana"/>
          <w:sz w:val="18"/>
          <w:szCs w:val="18"/>
          <w:vertAlign w:val="superscript"/>
        </w:rPr>
        <w:t>2</w:t>
      </w:r>
      <w:r w:rsidRPr="000C7CFA">
        <w:rPr>
          <w:rFonts w:ascii="Verdana" w:eastAsiaTheme="minorHAnsi" w:hAnsi="Verdana"/>
          <w:sz w:val="18"/>
          <w:szCs w:val="18"/>
        </w:rPr>
        <w:t xml:space="preserve"> = 0.80, </w:t>
      </w:r>
      <w:r w:rsidRPr="000C7CFA">
        <w:rPr>
          <w:rFonts w:ascii="Verdana" w:eastAsiaTheme="minorHAnsi" w:hAnsi="Verdana"/>
          <w:i/>
          <w:sz w:val="18"/>
          <w:szCs w:val="18"/>
        </w:rPr>
        <w:t>p</w:t>
      </w:r>
      <w:r w:rsidRPr="000C7CFA">
        <w:rPr>
          <w:rFonts w:ascii="Verdana" w:eastAsiaTheme="minorHAnsi" w:hAnsi="Verdana"/>
          <w:sz w:val="18"/>
          <w:szCs w:val="18"/>
        </w:rPr>
        <w:t xml:space="preserve"> = 0.005).</w:t>
      </w:r>
    </w:p>
    <w:p w14:paraId="3553ABAF" w14:textId="77777777" w:rsidR="00007A38" w:rsidRPr="000C7CFA" w:rsidRDefault="00007A38">
      <w:pPr>
        <w:spacing w:after="0"/>
        <w:rPr>
          <w:rFonts w:ascii="Verdana" w:hAnsi="Verdana"/>
          <w:b/>
          <w:bCs/>
          <w:sz w:val="18"/>
          <w:szCs w:val="18"/>
          <w:lang w:eastAsia="da-DK"/>
        </w:rPr>
      </w:pPr>
      <w:bookmarkStart w:id="69" w:name="_Ref427766780"/>
      <w:r w:rsidRPr="000C7CFA">
        <w:rPr>
          <w:rFonts w:ascii="Verdana" w:hAnsi="Verdana"/>
          <w:sz w:val="18"/>
          <w:szCs w:val="18"/>
        </w:rPr>
        <w:br w:type="page"/>
      </w:r>
    </w:p>
    <w:p w14:paraId="1D636FE0" w14:textId="41317BC0" w:rsidR="003A6BE0" w:rsidRPr="000C7CFA" w:rsidRDefault="003A6BE0" w:rsidP="003A6BE0">
      <w:pPr>
        <w:pStyle w:val="TableHeading"/>
        <w:ind w:left="1418" w:hanging="1418"/>
        <w:rPr>
          <w:rFonts w:ascii="Verdana" w:hAnsi="Verdana"/>
          <w:sz w:val="18"/>
          <w:szCs w:val="18"/>
        </w:rPr>
      </w:pPr>
      <w:bookmarkStart w:id="70" w:name="_Toc489434270"/>
      <w:r w:rsidRPr="000C7CFA">
        <w:rPr>
          <w:rFonts w:ascii="Verdana" w:hAnsi="Verdana"/>
          <w:sz w:val="18"/>
          <w:szCs w:val="18"/>
        </w:rPr>
        <w:lastRenderedPageBreak/>
        <w:t xml:space="preserve">Table </w:t>
      </w:r>
      <w:r w:rsidR="00300CDC" w:rsidRPr="000C7CFA">
        <w:rPr>
          <w:rFonts w:ascii="Verdana" w:hAnsi="Verdana"/>
          <w:sz w:val="18"/>
          <w:szCs w:val="18"/>
        </w:rPr>
        <w:fldChar w:fldCharType="begin"/>
      </w:r>
      <w:r w:rsidR="00300CDC" w:rsidRPr="000C7CFA">
        <w:rPr>
          <w:rFonts w:ascii="Verdana" w:hAnsi="Verdana"/>
          <w:sz w:val="18"/>
          <w:szCs w:val="18"/>
        </w:rPr>
        <w:instrText xml:space="preserve"> SEQ Table \* ARABIC </w:instrText>
      </w:r>
      <w:r w:rsidR="00300CDC" w:rsidRPr="000C7CFA">
        <w:rPr>
          <w:rFonts w:ascii="Verdana" w:hAnsi="Verdana"/>
          <w:sz w:val="18"/>
          <w:szCs w:val="18"/>
        </w:rPr>
        <w:fldChar w:fldCharType="separate"/>
      </w:r>
      <w:r w:rsidR="00BA2885" w:rsidRPr="000C7CFA">
        <w:rPr>
          <w:rFonts w:ascii="Verdana" w:hAnsi="Verdana"/>
          <w:noProof/>
          <w:sz w:val="18"/>
          <w:szCs w:val="18"/>
        </w:rPr>
        <w:t>2</w:t>
      </w:r>
      <w:r w:rsidR="00300CDC" w:rsidRPr="000C7CFA">
        <w:rPr>
          <w:rFonts w:ascii="Verdana" w:hAnsi="Verdana"/>
          <w:noProof/>
          <w:sz w:val="18"/>
          <w:szCs w:val="18"/>
        </w:rPr>
        <w:fldChar w:fldCharType="end"/>
      </w:r>
      <w:bookmarkEnd w:id="69"/>
      <w:r w:rsidRPr="000C7CFA">
        <w:rPr>
          <w:rFonts w:ascii="Verdana" w:hAnsi="Verdana"/>
          <w:sz w:val="18"/>
          <w:szCs w:val="18"/>
        </w:rPr>
        <w:t>:</w:t>
      </w:r>
      <w:r w:rsidRPr="000C7CFA">
        <w:rPr>
          <w:rFonts w:ascii="Verdana" w:hAnsi="Verdana"/>
          <w:sz w:val="18"/>
          <w:szCs w:val="18"/>
        </w:rPr>
        <w:tab/>
        <w:t xml:space="preserve">Concentrations of Dechlorane Plus in a Chinese marine food web (from Peng </w:t>
      </w:r>
      <w:r w:rsidRPr="000C7CFA">
        <w:rPr>
          <w:rFonts w:ascii="Verdana" w:hAnsi="Verdana"/>
          <w:i/>
          <w:sz w:val="18"/>
          <w:szCs w:val="18"/>
        </w:rPr>
        <w:t>et al</w:t>
      </w:r>
      <w:r w:rsidRPr="000C7CFA">
        <w:rPr>
          <w:rFonts w:ascii="Verdana" w:hAnsi="Verdana"/>
          <w:sz w:val="18"/>
          <w:szCs w:val="18"/>
        </w:rPr>
        <w:t>., 2014)</w:t>
      </w:r>
      <w:bookmarkEnd w:id="70"/>
    </w:p>
    <w:tbl>
      <w:tblPr>
        <w:tblStyle w:val="TableGrid"/>
        <w:tblW w:w="8661" w:type="dxa"/>
        <w:tblInd w:w="108" w:type="dxa"/>
        <w:tblLayout w:type="fixed"/>
        <w:tblLook w:val="04A0" w:firstRow="1" w:lastRow="0" w:firstColumn="1" w:lastColumn="0" w:noHBand="0" w:noVBand="1"/>
      </w:tblPr>
      <w:tblGrid>
        <w:gridCol w:w="1701"/>
        <w:gridCol w:w="738"/>
        <w:gridCol w:w="963"/>
        <w:gridCol w:w="1021"/>
        <w:gridCol w:w="1106"/>
        <w:gridCol w:w="992"/>
        <w:gridCol w:w="993"/>
        <w:gridCol w:w="1147"/>
      </w:tblGrid>
      <w:tr w:rsidR="00590B1C" w:rsidRPr="000C7CFA" w14:paraId="7A0320D9" w14:textId="77777777" w:rsidTr="00E84FC4">
        <w:trPr>
          <w:trHeight w:val="180"/>
        </w:trPr>
        <w:tc>
          <w:tcPr>
            <w:tcW w:w="2439" w:type="dxa"/>
            <w:gridSpan w:val="2"/>
            <w:vMerge w:val="restart"/>
          </w:tcPr>
          <w:p w14:paraId="0AC7B587" w14:textId="77777777" w:rsidR="00590B1C" w:rsidRPr="000C7CFA" w:rsidRDefault="00590B1C" w:rsidP="00590B1C">
            <w:pPr>
              <w:pStyle w:val="BodyText"/>
              <w:spacing w:after="0"/>
              <w:jc w:val="center"/>
              <w:rPr>
                <w:rFonts w:ascii="Verdana" w:hAnsi="Verdana"/>
                <w:b/>
                <w:sz w:val="18"/>
                <w:szCs w:val="18"/>
                <w:lang w:eastAsia="en-GB"/>
              </w:rPr>
            </w:pPr>
            <w:r w:rsidRPr="000C7CFA">
              <w:rPr>
                <w:rFonts w:ascii="Verdana" w:hAnsi="Verdana"/>
                <w:b/>
                <w:sz w:val="18"/>
                <w:szCs w:val="18"/>
                <w:lang w:eastAsia="en-GB"/>
              </w:rPr>
              <w:t>Species</w:t>
            </w:r>
          </w:p>
        </w:tc>
        <w:tc>
          <w:tcPr>
            <w:tcW w:w="963" w:type="dxa"/>
            <w:vMerge w:val="restart"/>
          </w:tcPr>
          <w:p w14:paraId="2A8BA4A8" w14:textId="77777777" w:rsidR="00590B1C" w:rsidRPr="000C7CFA" w:rsidRDefault="00590B1C" w:rsidP="00590B1C">
            <w:pPr>
              <w:pStyle w:val="BodyText"/>
              <w:spacing w:after="0"/>
              <w:jc w:val="center"/>
              <w:rPr>
                <w:rFonts w:ascii="Verdana" w:hAnsi="Verdana"/>
                <w:b/>
                <w:sz w:val="18"/>
                <w:szCs w:val="18"/>
                <w:lang w:eastAsia="en-GB"/>
              </w:rPr>
            </w:pPr>
            <w:r w:rsidRPr="000C7CFA">
              <w:rPr>
                <w:rFonts w:ascii="Verdana" w:hAnsi="Verdana"/>
                <w:b/>
                <w:sz w:val="18"/>
                <w:szCs w:val="18"/>
                <w:lang w:eastAsia="en-GB"/>
              </w:rPr>
              <w:t>Sample no.</w:t>
            </w:r>
          </w:p>
        </w:tc>
        <w:tc>
          <w:tcPr>
            <w:tcW w:w="1021" w:type="dxa"/>
            <w:vMerge w:val="restart"/>
          </w:tcPr>
          <w:p w14:paraId="4A3885BD" w14:textId="03A0CEAB" w:rsidR="00590B1C" w:rsidRPr="000C7CFA" w:rsidRDefault="00590B1C" w:rsidP="00E84FC4">
            <w:pPr>
              <w:pStyle w:val="BodyText"/>
              <w:spacing w:after="0"/>
              <w:jc w:val="center"/>
              <w:rPr>
                <w:rFonts w:ascii="Verdana" w:hAnsi="Verdana"/>
                <w:b/>
                <w:sz w:val="18"/>
                <w:szCs w:val="18"/>
                <w:lang w:eastAsia="en-GB"/>
              </w:rPr>
            </w:pPr>
            <w:r w:rsidRPr="000C7CFA">
              <w:rPr>
                <w:rFonts w:ascii="Verdana" w:hAnsi="Verdana"/>
                <w:b/>
                <w:sz w:val="18"/>
                <w:szCs w:val="18"/>
                <w:lang w:eastAsia="en-GB"/>
              </w:rPr>
              <w:t>Lipid content%</w:t>
            </w:r>
          </w:p>
        </w:tc>
        <w:tc>
          <w:tcPr>
            <w:tcW w:w="1106" w:type="dxa"/>
            <w:vMerge w:val="restart"/>
          </w:tcPr>
          <w:p w14:paraId="756F9327" w14:textId="77777777" w:rsidR="00590B1C" w:rsidRPr="000C7CFA" w:rsidRDefault="00590B1C" w:rsidP="00590B1C">
            <w:pPr>
              <w:pStyle w:val="BodyText"/>
              <w:spacing w:after="0"/>
              <w:jc w:val="center"/>
              <w:rPr>
                <w:rFonts w:ascii="Verdana" w:hAnsi="Verdana"/>
                <w:b/>
                <w:sz w:val="18"/>
                <w:szCs w:val="18"/>
                <w:lang w:eastAsia="en-GB"/>
              </w:rPr>
            </w:pPr>
            <w:r w:rsidRPr="000C7CFA">
              <w:rPr>
                <w:rFonts w:ascii="Verdana" w:hAnsi="Verdana"/>
                <w:b/>
                <w:sz w:val="18"/>
                <w:szCs w:val="18"/>
                <w:lang w:eastAsia="en-GB"/>
              </w:rPr>
              <w:t>Trophic position</w:t>
            </w:r>
          </w:p>
        </w:tc>
        <w:tc>
          <w:tcPr>
            <w:tcW w:w="3132" w:type="dxa"/>
            <w:gridSpan w:val="3"/>
          </w:tcPr>
          <w:p w14:paraId="546D23CC" w14:textId="77777777" w:rsidR="00590B1C" w:rsidRPr="000C7CFA" w:rsidRDefault="00590B1C" w:rsidP="00590B1C">
            <w:pPr>
              <w:pStyle w:val="BodyText"/>
              <w:spacing w:after="0"/>
              <w:jc w:val="center"/>
              <w:rPr>
                <w:rFonts w:ascii="Verdana" w:hAnsi="Verdana"/>
                <w:b/>
                <w:sz w:val="18"/>
                <w:szCs w:val="18"/>
                <w:lang w:eastAsia="en-GB"/>
              </w:rPr>
            </w:pPr>
            <w:r w:rsidRPr="000C7CFA">
              <w:rPr>
                <w:rFonts w:ascii="Verdana" w:hAnsi="Verdana"/>
                <w:b/>
                <w:sz w:val="18"/>
                <w:szCs w:val="18"/>
                <w:lang w:eastAsia="en-GB"/>
              </w:rPr>
              <w:t>Concentration, pg/g ww</w:t>
            </w:r>
          </w:p>
        </w:tc>
      </w:tr>
      <w:tr w:rsidR="00590B1C" w:rsidRPr="000C7CFA" w14:paraId="17116E7E" w14:textId="77777777" w:rsidTr="00E84FC4">
        <w:trPr>
          <w:trHeight w:val="180"/>
        </w:trPr>
        <w:tc>
          <w:tcPr>
            <w:tcW w:w="2439" w:type="dxa"/>
            <w:gridSpan w:val="2"/>
            <w:vMerge/>
          </w:tcPr>
          <w:p w14:paraId="65101992" w14:textId="77777777" w:rsidR="00590B1C" w:rsidRPr="000C7CFA" w:rsidRDefault="00590B1C" w:rsidP="00590B1C">
            <w:pPr>
              <w:pStyle w:val="BodyText"/>
              <w:spacing w:after="0"/>
              <w:jc w:val="center"/>
              <w:rPr>
                <w:rFonts w:ascii="Verdana" w:hAnsi="Verdana"/>
                <w:b/>
                <w:sz w:val="18"/>
                <w:szCs w:val="18"/>
                <w:lang w:eastAsia="en-GB"/>
              </w:rPr>
            </w:pPr>
          </w:p>
        </w:tc>
        <w:tc>
          <w:tcPr>
            <w:tcW w:w="963" w:type="dxa"/>
            <w:vMerge/>
          </w:tcPr>
          <w:p w14:paraId="35B1CFE1" w14:textId="77777777" w:rsidR="00590B1C" w:rsidRPr="000C7CFA" w:rsidRDefault="00590B1C" w:rsidP="00590B1C">
            <w:pPr>
              <w:pStyle w:val="BodyText"/>
              <w:spacing w:after="0"/>
              <w:jc w:val="center"/>
              <w:rPr>
                <w:rFonts w:ascii="Verdana" w:hAnsi="Verdana"/>
                <w:b/>
                <w:sz w:val="18"/>
                <w:szCs w:val="18"/>
                <w:lang w:eastAsia="en-GB"/>
              </w:rPr>
            </w:pPr>
          </w:p>
        </w:tc>
        <w:tc>
          <w:tcPr>
            <w:tcW w:w="1021" w:type="dxa"/>
            <w:vMerge/>
          </w:tcPr>
          <w:p w14:paraId="0180BC6A" w14:textId="77777777" w:rsidR="00590B1C" w:rsidRPr="000C7CFA" w:rsidRDefault="00590B1C" w:rsidP="00590B1C">
            <w:pPr>
              <w:pStyle w:val="BodyText"/>
              <w:spacing w:after="0"/>
              <w:jc w:val="center"/>
              <w:rPr>
                <w:rFonts w:ascii="Verdana" w:hAnsi="Verdana"/>
                <w:b/>
                <w:sz w:val="18"/>
                <w:szCs w:val="18"/>
                <w:lang w:eastAsia="en-GB"/>
              </w:rPr>
            </w:pPr>
          </w:p>
        </w:tc>
        <w:tc>
          <w:tcPr>
            <w:tcW w:w="1106" w:type="dxa"/>
            <w:vMerge/>
          </w:tcPr>
          <w:p w14:paraId="42C8E189" w14:textId="77777777" w:rsidR="00590B1C" w:rsidRPr="000C7CFA" w:rsidRDefault="00590B1C" w:rsidP="00590B1C">
            <w:pPr>
              <w:pStyle w:val="BodyText"/>
              <w:spacing w:after="0"/>
              <w:jc w:val="center"/>
              <w:rPr>
                <w:rFonts w:ascii="Verdana" w:hAnsi="Verdana"/>
                <w:b/>
                <w:sz w:val="18"/>
                <w:szCs w:val="18"/>
                <w:lang w:eastAsia="en-GB"/>
              </w:rPr>
            </w:pPr>
          </w:p>
        </w:tc>
        <w:tc>
          <w:tcPr>
            <w:tcW w:w="1985" w:type="dxa"/>
            <w:gridSpan w:val="2"/>
          </w:tcPr>
          <w:p w14:paraId="2F8112FF" w14:textId="77777777" w:rsidR="00590B1C" w:rsidRPr="000C7CFA" w:rsidRDefault="00590B1C" w:rsidP="00590B1C">
            <w:pPr>
              <w:pStyle w:val="BodyText"/>
              <w:spacing w:after="0"/>
              <w:jc w:val="center"/>
              <w:rPr>
                <w:rFonts w:ascii="Verdana" w:hAnsi="Verdana"/>
                <w:b/>
                <w:sz w:val="18"/>
                <w:szCs w:val="18"/>
                <w:lang w:eastAsia="en-GB"/>
              </w:rPr>
            </w:pPr>
            <w:r w:rsidRPr="000C7CFA">
              <w:rPr>
                <w:rFonts w:ascii="Verdana" w:hAnsi="Verdana"/>
                <w:b/>
                <w:sz w:val="18"/>
                <w:szCs w:val="18"/>
                <w:lang w:eastAsia="en-GB"/>
              </w:rPr>
              <w:t>Dechlorane Plus</w:t>
            </w:r>
          </w:p>
        </w:tc>
        <w:tc>
          <w:tcPr>
            <w:tcW w:w="1147" w:type="dxa"/>
            <w:vMerge w:val="restart"/>
          </w:tcPr>
          <w:p w14:paraId="05C297DB" w14:textId="77777777" w:rsidR="00590B1C" w:rsidRPr="000C7CFA" w:rsidRDefault="00590B1C" w:rsidP="00590B1C">
            <w:pPr>
              <w:pStyle w:val="BodyText"/>
              <w:spacing w:after="0"/>
              <w:jc w:val="center"/>
              <w:rPr>
                <w:rFonts w:ascii="Verdana" w:hAnsi="Verdana"/>
                <w:b/>
                <w:sz w:val="18"/>
                <w:szCs w:val="18"/>
                <w:lang w:eastAsia="en-GB"/>
              </w:rPr>
            </w:pPr>
            <w:r w:rsidRPr="000C7CFA">
              <w:rPr>
                <w:rFonts w:ascii="Verdana" w:hAnsi="Verdana"/>
                <w:b/>
                <w:sz w:val="18"/>
                <w:szCs w:val="18"/>
                <w:lang w:eastAsia="en-GB"/>
              </w:rPr>
              <w:t>Anti-</w:t>
            </w:r>
          </w:p>
          <w:p w14:paraId="15487086" w14:textId="77777777" w:rsidR="00590B1C" w:rsidRPr="000C7CFA" w:rsidRDefault="00590B1C" w:rsidP="00590B1C">
            <w:pPr>
              <w:pStyle w:val="BodyText"/>
              <w:spacing w:after="0"/>
              <w:jc w:val="center"/>
              <w:rPr>
                <w:rFonts w:ascii="Verdana" w:hAnsi="Verdana"/>
                <w:b/>
                <w:sz w:val="18"/>
                <w:szCs w:val="18"/>
                <w:lang w:eastAsia="en-GB"/>
              </w:rPr>
            </w:pPr>
            <w:r w:rsidRPr="000C7CFA">
              <w:rPr>
                <w:rFonts w:ascii="Verdana" w:hAnsi="Verdana"/>
                <w:b/>
                <w:sz w:val="18"/>
                <w:szCs w:val="18"/>
                <w:lang w:eastAsia="en-GB"/>
              </w:rPr>
              <w:t>DP-1Cl</w:t>
            </w:r>
          </w:p>
        </w:tc>
      </w:tr>
      <w:tr w:rsidR="00590B1C" w:rsidRPr="000C7CFA" w14:paraId="72C7B38C" w14:textId="77777777" w:rsidTr="00E84FC4">
        <w:trPr>
          <w:trHeight w:val="174"/>
        </w:trPr>
        <w:tc>
          <w:tcPr>
            <w:tcW w:w="2439" w:type="dxa"/>
            <w:gridSpan w:val="2"/>
            <w:vMerge/>
          </w:tcPr>
          <w:p w14:paraId="12C898E4" w14:textId="77777777" w:rsidR="00590B1C" w:rsidRPr="000C7CFA" w:rsidRDefault="00590B1C" w:rsidP="00590B1C">
            <w:pPr>
              <w:pStyle w:val="BodyText"/>
              <w:spacing w:after="0"/>
              <w:rPr>
                <w:rFonts w:ascii="Verdana" w:hAnsi="Verdana"/>
                <w:b/>
                <w:i/>
                <w:sz w:val="18"/>
                <w:szCs w:val="18"/>
                <w:lang w:eastAsia="en-GB"/>
              </w:rPr>
            </w:pPr>
          </w:p>
        </w:tc>
        <w:tc>
          <w:tcPr>
            <w:tcW w:w="963" w:type="dxa"/>
            <w:vMerge/>
          </w:tcPr>
          <w:p w14:paraId="349E1063" w14:textId="77777777" w:rsidR="00590B1C" w:rsidRPr="000C7CFA" w:rsidRDefault="00590B1C" w:rsidP="00590B1C">
            <w:pPr>
              <w:pStyle w:val="BodyText"/>
              <w:spacing w:after="0"/>
              <w:jc w:val="center"/>
              <w:rPr>
                <w:rFonts w:ascii="Verdana" w:hAnsi="Verdana"/>
                <w:sz w:val="18"/>
                <w:szCs w:val="18"/>
                <w:lang w:eastAsia="en-GB"/>
              </w:rPr>
            </w:pPr>
          </w:p>
        </w:tc>
        <w:tc>
          <w:tcPr>
            <w:tcW w:w="1021" w:type="dxa"/>
            <w:vMerge/>
          </w:tcPr>
          <w:p w14:paraId="2EE76A3A" w14:textId="77777777" w:rsidR="00590B1C" w:rsidRPr="000C7CFA" w:rsidRDefault="00590B1C" w:rsidP="00590B1C">
            <w:pPr>
              <w:pStyle w:val="BodyText"/>
              <w:spacing w:after="0"/>
              <w:jc w:val="center"/>
              <w:rPr>
                <w:rFonts w:ascii="Verdana" w:hAnsi="Verdana"/>
                <w:sz w:val="18"/>
                <w:szCs w:val="18"/>
                <w:lang w:eastAsia="en-GB"/>
              </w:rPr>
            </w:pPr>
          </w:p>
        </w:tc>
        <w:tc>
          <w:tcPr>
            <w:tcW w:w="1106" w:type="dxa"/>
            <w:vMerge/>
          </w:tcPr>
          <w:p w14:paraId="7EE2F8C0" w14:textId="77777777" w:rsidR="00590B1C" w:rsidRPr="000C7CFA" w:rsidRDefault="00590B1C" w:rsidP="00590B1C">
            <w:pPr>
              <w:pStyle w:val="BodyText"/>
              <w:spacing w:after="0"/>
              <w:jc w:val="center"/>
              <w:rPr>
                <w:rFonts w:ascii="Verdana" w:hAnsi="Verdana"/>
                <w:sz w:val="18"/>
                <w:szCs w:val="18"/>
                <w:lang w:eastAsia="en-GB"/>
              </w:rPr>
            </w:pPr>
          </w:p>
        </w:tc>
        <w:tc>
          <w:tcPr>
            <w:tcW w:w="992" w:type="dxa"/>
          </w:tcPr>
          <w:p w14:paraId="646DDB1A" w14:textId="77777777" w:rsidR="00590B1C" w:rsidRPr="000C7CFA" w:rsidRDefault="00590B1C" w:rsidP="00590B1C">
            <w:pPr>
              <w:pStyle w:val="BodyText"/>
              <w:spacing w:after="0"/>
              <w:jc w:val="center"/>
              <w:rPr>
                <w:rFonts w:ascii="Verdana" w:hAnsi="Verdana"/>
                <w:b/>
                <w:sz w:val="18"/>
                <w:szCs w:val="18"/>
                <w:lang w:eastAsia="en-GB"/>
              </w:rPr>
            </w:pPr>
            <w:r w:rsidRPr="000C7CFA">
              <w:rPr>
                <w:rFonts w:ascii="Verdana" w:hAnsi="Verdana"/>
                <w:b/>
                <w:sz w:val="18"/>
                <w:szCs w:val="18"/>
                <w:lang w:eastAsia="en-GB"/>
              </w:rPr>
              <w:t>Syn-</w:t>
            </w:r>
          </w:p>
        </w:tc>
        <w:tc>
          <w:tcPr>
            <w:tcW w:w="993" w:type="dxa"/>
          </w:tcPr>
          <w:p w14:paraId="657B704D" w14:textId="77777777" w:rsidR="00590B1C" w:rsidRPr="000C7CFA" w:rsidRDefault="00590B1C" w:rsidP="00590B1C">
            <w:pPr>
              <w:pStyle w:val="BodyText"/>
              <w:spacing w:after="0"/>
              <w:jc w:val="center"/>
              <w:rPr>
                <w:rFonts w:ascii="Verdana" w:hAnsi="Verdana"/>
                <w:b/>
                <w:sz w:val="18"/>
                <w:szCs w:val="18"/>
                <w:lang w:eastAsia="en-GB"/>
              </w:rPr>
            </w:pPr>
            <w:r w:rsidRPr="000C7CFA">
              <w:rPr>
                <w:rFonts w:ascii="Verdana" w:hAnsi="Verdana"/>
                <w:b/>
                <w:sz w:val="18"/>
                <w:szCs w:val="18"/>
                <w:lang w:eastAsia="en-GB"/>
              </w:rPr>
              <w:t>Anti-</w:t>
            </w:r>
          </w:p>
        </w:tc>
        <w:tc>
          <w:tcPr>
            <w:tcW w:w="1147" w:type="dxa"/>
            <w:vMerge/>
          </w:tcPr>
          <w:p w14:paraId="4B901D7A" w14:textId="77777777" w:rsidR="00590B1C" w:rsidRPr="000C7CFA" w:rsidRDefault="00590B1C" w:rsidP="00590B1C">
            <w:pPr>
              <w:pStyle w:val="BodyText"/>
              <w:spacing w:after="0"/>
              <w:jc w:val="center"/>
              <w:rPr>
                <w:rFonts w:ascii="Verdana" w:hAnsi="Verdana"/>
                <w:sz w:val="18"/>
                <w:szCs w:val="18"/>
                <w:lang w:eastAsia="en-GB"/>
              </w:rPr>
            </w:pPr>
          </w:p>
        </w:tc>
      </w:tr>
      <w:tr w:rsidR="00590B1C" w:rsidRPr="000C7CFA" w14:paraId="1D5C88F9" w14:textId="77777777" w:rsidTr="00FA2BE0">
        <w:trPr>
          <w:trHeight w:val="174"/>
        </w:trPr>
        <w:tc>
          <w:tcPr>
            <w:tcW w:w="8661" w:type="dxa"/>
            <w:gridSpan w:val="8"/>
          </w:tcPr>
          <w:p w14:paraId="72400714" w14:textId="77777777" w:rsidR="00590B1C" w:rsidRPr="000C7CFA" w:rsidRDefault="00590B1C" w:rsidP="00590B1C">
            <w:pPr>
              <w:pStyle w:val="BodyText"/>
              <w:spacing w:after="0"/>
              <w:jc w:val="left"/>
              <w:rPr>
                <w:rFonts w:ascii="Verdana" w:hAnsi="Verdana"/>
                <w:sz w:val="18"/>
                <w:szCs w:val="18"/>
                <w:lang w:eastAsia="en-GB"/>
              </w:rPr>
            </w:pPr>
            <w:r w:rsidRPr="000C7CFA">
              <w:rPr>
                <w:rFonts w:ascii="Verdana" w:hAnsi="Verdana"/>
                <w:b/>
                <w:i/>
                <w:sz w:val="18"/>
                <w:szCs w:val="18"/>
                <w:lang w:eastAsia="en-GB"/>
              </w:rPr>
              <w:t>Invertebrates</w:t>
            </w:r>
          </w:p>
        </w:tc>
      </w:tr>
      <w:tr w:rsidR="00590B1C" w:rsidRPr="000C7CFA" w14:paraId="7C7DF902" w14:textId="77777777" w:rsidTr="00E84FC4">
        <w:trPr>
          <w:trHeight w:val="174"/>
        </w:trPr>
        <w:tc>
          <w:tcPr>
            <w:tcW w:w="2439" w:type="dxa"/>
            <w:gridSpan w:val="2"/>
          </w:tcPr>
          <w:p w14:paraId="01FF71EE"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Short-necked Clam </w:t>
            </w:r>
            <w:r w:rsidRPr="000C7CFA">
              <w:rPr>
                <w:rFonts w:ascii="Verdana" w:hAnsi="Verdana"/>
                <w:i/>
                <w:sz w:val="18"/>
                <w:szCs w:val="18"/>
                <w:lang w:eastAsia="en-GB"/>
              </w:rPr>
              <w:t>Ruditapes philippinarum</w:t>
            </w:r>
            <w:r w:rsidRPr="000C7CFA">
              <w:rPr>
                <w:rFonts w:ascii="Verdana" w:hAnsi="Verdana"/>
                <w:sz w:val="18"/>
                <w:szCs w:val="18"/>
                <w:lang w:eastAsia="en-GB"/>
              </w:rPr>
              <w:t xml:space="preserve"> </w:t>
            </w:r>
          </w:p>
        </w:tc>
        <w:tc>
          <w:tcPr>
            <w:tcW w:w="963" w:type="dxa"/>
          </w:tcPr>
          <w:p w14:paraId="3FC27726"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w:t>
            </w:r>
          </w:p>
        </w:tc>
        <w:tc>
          <w:tcPr>
            <w:tcW w:w="1021" w:type="dxa"/>
          </w:tcPr>
          <w:p w14:paraId="2261D5C9" w14:textId="4B25373C"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0.28±</w:t>
            </w:r>
            <w:r w:rsidR="00E84FC4" w:rsidRPr="000C7CFA">
              <w:rPr>
                <w:rFonts w:ascii="Verdana" w:hAnsi="Verdana"/>
                <w:sz w:val="18"/>
                <w:szCs w:val="18"/>
                <w:lang w:eastAsia="en-GB"/>
              </w:rPr>
              <w:t xml:space="preserve"> </w:t>
            </w:r>
            <w:r w:rsidRPr="000C7CFA">
              <w:rPr>
                <w:rFonts w:ascii="Verdana" w:hAnsi="Verdana"/>
                <w:sz w:val="18"/>
                <w:szCs w:val="18"/>
                <w:lang w:eastAsia="en-GB"/>
              </w:rPr>
              <w:t>0.08</w:t>
            </w:r>
          </w:p>
        </w:tc>
        <w:tc>
          <w:tcPr>
            <w:tcW w:w="1106" w:type="dxa"/>
          </w:tcPr>
          <w:p w14:paraId="18628259"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2.00±</w:t>
            </w:r>
          </w:p>
          <w:p w14:paraId="1E53367F" w14:textId="162F5EDC"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0.07</w:t>
            </w:r>
          </w:p>
        </w:tc>
        <w:tc>
          <w:tcPr>
            <w:tcW w:w="992" w:type="dxa"/>
          </w:tcPr>
          <w:p w14:paraId="795E5BA2"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0.4±0.2</w:t>
            </w:r>
          </w:p>
        </w:tc>
        <w:tc>
          <w:tcPr>
            <w:tcW w:w="993" w:type="dxa"/>
          </w:tcPr>
          <w:p w14:paraId="33EE4A37"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1.6±1.2</w:t>
            </w:r>
          </w:p>
        </w:tc>
        <w:tc>
          <w:tcPr>
            <w:tcW w:w="1147" w:type="dxa"/>
          </w:tcPr>
          <w:p w14:paraId="57A1FD44"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ND</w:t>
            </w:r>
          </w:p>
        </w:tc>
      </w:tr>
      <w:tr w:rsidR="00590B1C" w:rsidRPr="000C7CFA" w14:paraId="07353725" w14:textId="77777777" w:rsidTr="00E84FC4">
        <w:trPr>
          <w:trHeight w:val="174"/>
        </w:trPr>
        <w:tc>
          <w:tcPr>
            <w:tcW w:w="2439" w:type="dxa"/>
            <w:gridSpan w:val="2"/>
          </w:tcPr>
          <w:p w14:paraId="07C6C3BB"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[Bivalve mollusc]</w:t>
            </w:r>
          </w:p>
          <w:p w14:paraId="6F4F961A"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i/>
                <w:sz w:val="18"/>
                <w:szCs w:val="18"/>
                <w:lang w:eastAsia="en-GB"/>
              </w:rPr>
              <w:t>Mactra veneriformis</w:t>
            </w:r>
            <w:r w:rsidRPr="000C7CFA">
              <w:rPr>
                <w:rFonts w:ascii="Verdana" w:hAnsi="Verdana"/>
                <w:sz w:val="18"/>
                <w:szCs w:val="18"/>
                <w:lang w:eastAsia="en-GB"/>
              </w:rPr>
              <w:t xml:space="preserve"> </w:t>
            </w:r>
          </w:p>
        </w:tc>
        <w:tc>
          <w:tcPr>
            <w:tcW w:w="963" w:type="dxa"/>
          </w:tcPr>
          <w:p w14:paraId="5B3E53FC"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w:t>
            </w:r>
          </w:p>
        </w:tc>
        <w:tc>
          <w:tcPr>
            <w:tcW w:w="1021" w:type="dxa"/>
          </w:tcPr>
          <w:p w14:paraId="0128E429" w14:textId="6DC4CCB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1.9±</w:t>
            </w:r>
            <w:r w:rsidR="00E84FC4" w:rsidRPr="000C7CFA">
              <w:rPr>
                <w:rFonts w:ascii="Verdana" w:hAnsi="Verdana"/>
                <w:sz w:val="18"/>
                <w:szCs w:val="18"/>
                <w:lang w:eastAsia="en-GB"/>
              </w:rPr>
              <w:t xml:space="preserve"> </w:t>
            </w:r>
            <w:r w:rsidRPr="000C7CFA">
              <w:rPr>
                <w:rFonts w:ascii="Verdana" w:hAnsi="Verdana"/>
                <w:sz w:val="18"/>
                <w:szCs w:val="18"/>
                <w:lang w:eastAsia="en-GB"/>
              </w:rPr>
              <w:t>0.09</w:t>
            </w:r>
          </w:p>
        </w:tc>
        <w:tc>
          <w:tcPr>
            <w:tcW w:w="1106" w:type="dxa"/>
          </w:tcPr>
          <w:p w14:paraId="323CC80A"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2.05±</w:t>
            </w:r>
          </w:p>
          <w:p w14:paraId="18C5A4CE" w14:textId="60D2F734"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0.09</w:t>
            </w:r>
          </w:p>
        </w:tc>
        <w:tc>
          <w:tcPr>
            <w:tcW w:w="992" w:type="dxa"/>
          </w:tcPr>
          <w:p w14:paraId="7150373E"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24±12</w:t>
            </w:r>
          </w:p>
        </w:tc>
        <w:tc>
          <w:tcPr>
            <w:tcW w:w="993" w:type="dxa"/>
          </w:tcPr>
          <w:p w14:paraId="2D644B02"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17±6.0</w:t>
            </w:r>
          </w:p>
        </w:tc>
        <w:tc>
          <w:tcPr>
            <w:tcW w:w="1147" w:type="dxa"/>
          </w:tcPr>
          <w:p w14:paraId="704D5FD7"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0.34±</w:t>
            </w:r>
          </w:p>
          <w:p w14:paraId="7B9E6929" w14:textId="6362A7E6"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0.18</w:t>
            </w:r>
          </w:p>
        </w:tc>
      </w:tr>
      <w:tr w:rsidR="00590B1C" w:rsidRPr="000C7CFA" w14:paraId="6A761233" w14:textId="77777777" w:rsidTr="00E84FC4">
        <w:trPr>
          <w:trHeight w:val="174"/>
        </w:trPr>
        <w:tc>
          <w:tcPr>
            <w:tcW w:w="2439" w:type="dxa"/>
            <w:gridSpan w:val="2"/>
          </w:tcPr>
          <w:p w14:paraId="1F9133A0" w14:textId="77777777" w:rsidR="00590B1C" w:rsidRPr="000C7CFA" w:rsidRDefault="00590B1C" w:rsidP="00590B1C">
            <w:pPr>
              <w:autoSpaceDE w:val="0"/>
              <w:autoSpaceDN w:val="0"/>
              <w:adjustRightInd w:val="0"/>
              <w:spacing w:after="0"/>
              <w:jc w:val="both"/>
              <w:rPr>
                <w:rFonts w:ascii="Verdana" w:hAnsi="Verdana"/>
                <w:sz w:val="18"/>
                <w:szCs w:val="18"/>
                <w:lang w:eastAsia="en-GB"/>
              </w:rPr>
            </w:pPr>
            <w:r w:rsidRPr="000C7CFA">
              <w:rPr>
                <w:rFonts w:ascii="Verdana" w:hAnsi="Verdana"/>
                <w:sz w:val="18"/>
                <w:szCs w:val="18"/>
                <w:lang w:eastAsia="en-GB"/>
              </w:rPr>
              <w:t xml:space="preserve">Rock Shell </w:t>
            </w:r>
          </w:p>
          <w:p w14:paraId="207648E9"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i/>
                <w:sz w:val="18"/>
                <w:szCs w:val="18"/>
                <w:lang w:eastAsia="en-GB"/>
              </w:rPr>
              <w:t>Rapana venosa</w:t>
            </w:r>
          </w:p>
        </w:tc>
        <w:tc>
          <w:tcPr>
            <w:tcW w:w="963" w:type="dxa"/>
          </w:tcPr>
          <w:p w14:paraId="74D7C691"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w:t>
            </w:r>
          </w:p>
        </w:tc>
        <w:tc>
          <w:tcPr>
            <w:tcW w:w="1021" w:type="dxa"/>
          </w:tcPr>
          <w:p w14:paraId="14E9A429" w14:textId="31EE731B"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0.30±</w:t>
            </w:r>
            <w:r w:rsidR="00E84FC4" w:rsidRPr="000C7CFA">
              <w:rPr>
                <w:rFonts w:ascii="Verdana" w:hAnsi="Verdana"/>
                <w:sz w:val="18"/>
                <w:szCs w:val="18"/>
                <w:lang w:eastAsia="en-GB"/>
              </w:rPr>
              <w:t xml:space="preserve"> </w:t>
            </w:r>
            <w:r w:rsidRPr="000C7CFA">
              <w:rPr>
                <w:rFonts w:ascii="Verdana" w:hAnsi="Verdana"/>
                <w:sz w:val="18"/>
                <w:szCs w:val="18"/>
                <w:lang w:eastAsia="en-GB"/>
              </w:rPr>
              <w:t>0.16</w:t>
            </w:r>
          </w:p>
        </w:tc>
        <w:tc>
          <w:tcPr>
            <w:tcW w:w="1106" w:type="dxa"/>
          </w:tcPr>
          <w:p w14:paraId="2936718E"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2.87±</w:t>
            </w:r>
          </w:p>
          <w:p w14:paraId="624B798E" w14:textId="28AF2FC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0.09</w:t>
            </w:r>
          </w:p>
        </w:tc>
        <w:tc>
          <w:tcPr>
            <w:tcW w:w="992" w:type="dxa"/>
          </w:tcPr>
          <w:p w14:paraId="0483336D"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0.4±0.2</w:t>
            </w:r>
          </w:p>
        </w:tc>
        <w:tc>
          <w:tcPr>
            <w:tcW w:w="993" w:type="dxa"/>
          </w:tcPr>
          <w:p w14:paraId="38589339"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1.8±1.2</w:t>
            </w:r>
          </w:p>
        </w:tc>
        <w:tc>
          <w:tcPr>
            <w:tcW w:w="1147" w:type="dxa"/>
          </w:tcPr>
          <w:p w14:paraId="3914B525"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ND</w:t>
            </w:r>
          </w:p>
        </w:tc>
      </w:tr>
      <w:tr w:rsidR="00590B1C" w:rsidRPr="000C7CFA" w14:paraId="186D05E4" w14:textId="77777777" w:rsidTr="00E84FC4">
        <w:trPr>
          <w:trHeight w:val="174"/>
        </w:trPr>
        <w:tc>
          <w:tcPr>
            <w:tcW w:w="2439" w:type="dxa"/>
            <w:gridSpan w:val="2"/>
          </w:tcPr>
          <w:p w14:paraId="4EA50C7D"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Chinese Mitten-handed Crab </w:t>
            </w:r>
            <w:r w:rsidRPr="000C7CFA">
              <w:rPr>
                <w:rFonts w:ascii="Verdana" w:hAnsi="Verdana"/>
                <w:i/>
                <w:sz w:val="18"/>
                <w:szCs w:val="18"/>
                <w:lang w:eastAsia="en-GB"/>
              </w:rPr>
              <w:t>Eriocheir sinensis</w:t>
            </w:r>
          </w:p>
        </w:tc>
        <w:tc>
          <w:tcPr>
            <w:tcW w:w="963" w:type="dxa"/>
          </w:tcPr>
          <w:p w14:paraId="2CDCE8B5"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w:t>
            </w:r>
          </w:p>
        </w:tc>
        <w:tc>
          <w:tcPr>
            <w:tcW w:w="1021" w:type="dxa"/>
          </w:tcPr>
          <w:p w14:paraId="31D844AB" w14:textId="23C29892"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0.64±</w:t>
            </w:r>
            <w:r w:rsidR="00E84FC4" w:rsidRPr="000C7CFA">
              <w:rPr>
                <w:rFonts w:ascii="Verdana" w:hAnsi="Verdana"/>
                <w:sz w:val="18"/>
                <w:szCs w:val="18"/>
                <w:lang w:eastAsia="en-GB"/>
              </w:rPr>
              <w:t xml:space="preserve"> </w:t>
            </w:r>
            <w:r w:rsidRPr="000C7CFA">
              <w:rPr>
                <w:rFonts w:ascii="Verdana" w:hAnsi="Verdana"/>
                <w:sz w:val="18"/>
                <w:szCs w:val="18"/>
                <w:lang w:eastAsia="en-GB"/>
              </w:rPr>
              <w:t>0.06</w:t>
            </w:r>
          </w:p>
        </w:tc>
        <w:tc>
          <w:tcPr>
            <w:tcW w:w="1106" w:type="dxa"/>
          </w:tcPr>
          <w:p w14:paraId="63C89AF1"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2.74±</w:t>
            </w:r>
          </w:p>
          <w:p w14:paraId="50CF1096" w14:textId="21ECEB7D"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0.14</w:t>
            </w:r>
          </w:p>
        </w:tc>
        <w:tc>
          <w:tcPr>
            <w:tcW w:w="992" w:type="dxa"/>
          </w:tcPr>
          <w:p w14:paraId="32BC3ABC"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0.4±0.2</w:t>
            </w:r>
          </w:p>
        </w:tc>
        <w:tc>
          <w:tcPr>
            <w:tcW w:w="993" w:type="dxa"/>
          </w:tcPr>
          <w:p w14:paraId="7A261BE1"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2.6±1.8</w:t>
            </w:r>
          </w:p>
        </w:tc>
        <w:tc>
          <w:tcPr>
            <w:tcW w:w="1147" w:type="dxa"/>
          </w:tcPr>
          <w:p w14:paraId="230881EC"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ND</w:t>
            </w:r>
          </w:p>
        </w:tc>
      </w:tr>
      <w:tr w:rsidR="00590B1C" w:rsidRPr="000C7CFA" w14:paraId="20FEAC5F" w14:textId="77777777" w:rsidTr="00E84FC4">
        <w:trPr>
          <w:trHeight w:val="174"/>
        </w:trPr>
        <w:tc>
          <w:tcPr>
            <w:tcW w:w="2439" w:type="dxa"/>
            <w:gridSpan w:val="2"/>
          </w:tcPr>
          <w:p w14:paraId="2987B66C"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Mole Cricket (</w:t>
            </w:r>
            <w:r w:rsidRPr="000C7CFA">
              <w:rPr>
                <w:rFonts w:ascii="Verdana" w:hAnsi="Verdana"/>
                <w:i/>
                <w:sz w:val="18"/>
                <w:szCs w:val="18"/>
                <w:lang w:eastAsia="en-GB"/>
              </w:rPr>
              <w:t>sic</w:t>
            </w:r>
            <w:r w:rsidRPr="000C7CFA">
              <w:rPr>
                <w:rFonts w:ascii="Verdana" w:hAnsi="Verdana"/>
                <w:sz w:val="18"/>
                <w:szCs w:val="18"/>
                <w:lang w:eastAsia="en-GB"/>
              </w:rPr>
              <w:t>)</w:t>
            </w:r>
            <w:r w:rsidRPr="000C7CFA">
              <w:rPr>
                <w:rStyle w:val="FootnoteReference"/>
                <w:rFonts w:ascii="Verdana" w:hAnsi="Verdana"/>
                <w:sz w:val="18"/>
                <w:szCs w:val="18"/>
                <w:lang w:eastAsia="en-GB"/>
              </w:rPr>
              <w:footnoteReference w:id="23"/>
            </w:r>
            <w:r w:rsidRPr="000C7CFA">
              <w:rPr>
                <w:rFonts w:ascii="Verdana" w:hAnsi="Verdana"/>
                <w:sz w:val="18"/>
                <w:szCs w:val="18"/>
                <w:lang w:eastAsia="en-GB"/>
              </w:rPr>
              <w:t xml:space="preserve"> </w:t>
            </w:r>
            <w:r w:rsidRPr="000C7CFA">
              <w:rPr>
                <w:rFonts w:ascii="Verdana" w:hAnsi="Verdana"/>
                <w:i/>
                <w:sz w:val="18"/>
                <w:szCs w:val="18"/>
                <w:lang w:eastAsia="en-GB"/>
              </w:rPr>
              <w:t>Upogebia major</w:t>
            </w:r>
          </w:p>
        </w:tc>
        <w:tc>
          <w:tcPr>
            <w:tcW w:w="963" w:type="dxa"/>
          </w:tcPr>
          <w:p w14:paraId="566E28B9"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4</w:t>
            </w:r>
          </w:p>
        </w:tc>
        <w:tc>
          <w:tcPr>
            <w:tcW w:w="1021" w:type="dxa"/>
          </w:tcPr>
          <w:p w14:paraId="5B1D12BA" w14:textId="7B63D0A2"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1.50±</w:t>
            </w:r>
            <w:r w:rsidR="00E84FC4" w:rsidRPr="000C7CFA">
              <w:rPr>
                <w:rFonts w:ascii="Verdana" w:hAnsi="Verdana"/>
                <w:sz w:val="18"/>
                <w:szCs w:val="18"/>
                <w:lang w:eastAsia="en-GB"/>
              </w:rPr>
              <w:t xml:space="preserve"> </w:t>
            </w:r>
            <w:r w:rsidRPr="000C7CFA">
              <w:rPr>
                <w:rFonts w:ascii="Verdana" w:hAnsi="Verdana"/>
                <w:sz w:val="18"/>
                <w:szCs w:val="18"/>
                <w:lang w:eastAsia="en-GB"/>
              </w:rPr>
              <w:t>0.95</w:t>
            </w:r>
          </w:p>
        </w:tc>
        <w:tc>
          <w:tcPr>
            <w:tcW w:w="1106" w:type="dxa"/>
          </w:tcPr>
          <w:p w14:paraId="1912EF62"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2.93±</w:t>
            </w:r>
          </w:p>
          <w:p w14:paraId="05645B64" w14:textId="06763555"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0.12</w:t>
            </w:r>
          </w:p>
        </w:tc>
        <w:tc>
          <w:tcPr>
            <w:tcW w:w="992" w:type="dxa"/>
          </w:tcPr>
          <w:p w14:paraId="7612BB6E"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2.8±2.1</w:t>
            </w:r>
          </w:p>
        </w:tc>
        <w:tc>
          <w:tcPr>
            <w:tcW w:w="993" w:type="dxa"/>
          </w:tcPr>
          <w:p w14:paraId="3256DF30"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112±</w:t>
            </w:r>
          </w:p>
          <w:p w14:paraId="47AD5C54" w14:textId="49BCEFEE"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115</w:t>
            </w:r>
          </w:p>
        </w:tc>
        <w:tc>
          <w:tcPr>
            <w:tcW w:w="1147" w:type="dxa"/>
          </w:tcPr>
          <w:p w14:paraId="60BBD59C"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2.8±2.1</w:t>
            </w:r>
          </w:p>
        </w:tc>
      </w:tr>
      <w:tr w:rsidR="00590B1C" w:rsidRPr="000C7CFA" w14:paraId="382C6F21" w14:textId="77777777" w:rsidTr="00FA2BE0">
        <w:trPr>
          <w:trHeight w:val="174"/>
        </w:trPr>
        <w:tc>
          <w:tcPr>
            <w:tcW w:w="8661" w:type="dxa"/>
            <w:gridSpan w:val="8"/>
          </w:tcPr>
          <w:p w14:paraId="65278529" w14:textId="77777777" w:rsidR="00590B1C" w:rsidRPr="000C7CFA" w:rsidRDefault="00590B1C" w:rsidP="00590B1C">
            <w:pPr>
              <w:pStyle w:val="BodyText"/>
              <w:spacing w:after="0"/>
              <w:jc w:val="left"/>
              <w:rPr>
                <w:rFonts w:ascii="Verdana" w:hAnsi="Verdana"/>
                <w:sz w:val="18"/>
                <w:szCs w:val="18"/>
                <w:lang w:eastAsia="en-GB"/>
              </w:rPr>
            </w:pPr>
            <w:r w:rsidRPr="000C7CFA">
              <w:rPr>
                <w:rFonts w:ascii="Verdana" w:hAnsi="Verdana"/>
                <w:b/>
                <w:i/>
                <w:sz w:val="18"/>
                <w:szCs w:val="18"/>
                <w:lang w:eastAsia="en-GB"/>
              </w:rPr>
              <w:t>Fish</w:t>
            </w:r>
          </w:p>
        </w:tc>
      </w:tr>
      <w:tr w:rsidR="00590B1C" w:rsidRPr="000C7CFA" w14:paraId="3F2E3D68" w14:textId="77777777" w:rsidTr="00E84FC4">
        <w:trPr>
          <w:trHeight w:val="174"/>
        </w:trPr>
        <w:tc>
          <w:tcPr>
            <w:tcW w:w="2439" w:type="dxa"/>
            <w:gridSpan w:val="2"/>
          </w:tcPr>
          <w:p w14:paraId="1BB01AC9"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Redeye Mullet </w:t>
            </w:r>
          </w:p>
          <w:p w14:paraId="4E0043AC"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i/>
                <w:sz w:val="18"/>
                <w:szCs w:val="18"/>
                <w:lang w:eastAsia="en-GB"/>
              </w:rPr>
              <w:t>Liza hematocheila</w:t>
            </w:r>
          </w:p>
        </w:tc>
        <w:tc>
          <w:tcPr>
            <w:tcW w:w="963" w:type="dxa"/>
          </w:tcPr>
          <w:p w14:paraId="7B30EF3A"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5</w:t>
            </w:r>
          </w:p>
        </w:tc>
        <w:tc>
          <w:tcPr>
            <w:tcW w:w="1021" w:type="dxa"/>
          </w:tcPr>
          <w:p w14:paraId="1F568ACB"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2.9±1.0</w:t>
            </w:r>
          </w:p>
        </w:tc>
        <w:tc>
          <w:tcPr>
            <w:tcW w:w="1106" w:type="dxa"/>
          </w:tcPr>
          <w:p w14:paraId="7FE8B03A"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2.14±</w:t>
            </w:r>
          </w:p>
          <w:p w14:paraId="56175800" w14:textId="1CBDA3AC"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0.15</w:t>
            </w:r>
          </w:p>
        </w:tc>
        <w:tc>
          <w:tcPr>
            <w:tcW w:w="992" w:type="dxa"/>
          </w:tcPr>
          <w:p w14:paraId="5897D210"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3.7±2.3</w:t>
            </w:r>
          </w:p>
        </w:tc>
        <w:tc>
          <w:tcPr>
            <w:tcW w:w="993" w:type="dxa"/>
          </w:tcPr>
          <w:p w14:paraId="53629663"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7.6±6.3</w:t>
            </w:r>
          </w:p>
        </w:tc>
        <w:tc>
          <w:tcPr>
            <w:tcW w:w="1147" w:type="dxa"/>
          </w:tcPr>
          <w:p w14:paraId="5AD018DD"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0.21±</w:t>
            </w:r>
          </w:p>
          <w:p w14:paraId="0830475C" w14:textId="7C56CF3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0.31</w:t>
            </w:r>
          </w:p>
        </w:tc>
      </w:tr>
      <w:tr w:rsidR="00590B1C" w:rsidRPr="000C7CFA" w14:paraId="69B207DA" w14:textId="77777777" w:rsidTr="00E84FC4">
        <w:trPr>
          <w:trHeight w:val="174"/>
        </w:trPr>
        <w:tc>
          <w:tcPr>
            <w:tcW w:w="2439" w:type="dxa"/>
            <w:gridSpan w:val="2"/>
          </w:tcPr>
          <w:p w14:paraId="6BF6A654"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Goby </w:t>
            </w:r>
          </w:p>
          <w:p w14:paraId="7057E5C4"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i/>
                <w:sz w:val="18"/>
                <w:szCs w:val="18"/>
                <w:lang w:eastAsia="en-GB"/>
              </w:rPr>
              <w:t>Synechogobius hasta</w:t>
            </w:r>
          </w:p>
        </w:tc>
        <w:tc>
          <w:tcPr>
            <w:tcW w:w="963" w:type="dxa"/>
          </w:tcPr>
          <w:p w14:paraId="771676C7"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5</w:t>
            </w:r>
          </w:p>
        </w:tc>
        <w:tc>
          <w:tcPr>
            <w:tcW w:w="1021" w:type="dxa"/>
          </w:tcPr>
          <w:p w14:paraId="33D7A3C2" w14:textId="3F47CE83"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0.78±</w:t>
            </w:r>
            <w:r w:rsidR="00E84FC4" w:rsidRPr="000C7CFA">
              <w:rPr>
                <w:rFonts w:ascii="Verdana" w:hAnsi="Verdana"/>
                <w:sz w:val="18"/>
                <w:szCs w:val="18"/>
                <w:lang w:eastAsia="en-GB"/>
              </w:rPr>
              <w:t xml:space="preserve"> </w:t>
            </w:r>
            <w:r w:rsidRPr="000C7CFA">
              <w:rPr>
                <w:rFonts w:ascii="Verdana" w:hAnsi="Verdana"/>
                <w:sz w:val="18"/>
                <w:szCs w:val="18"/>
                <w:lang w:eastAsia="en-GB"/>
              </w:rPr>
              <w:t>0.18</w:t>
            </w:r>
          </w:p>
        </w:tc>
        <w:tc>
          <w:tcPr>
            <w:tcW w:w="1106" w:type="dxa"/>
          </w:tcPr>
          <w:p w14:paraId="06A489AF"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2.50±</w:t>
            </w:r>
          </w:p>
          <w:p w14:paraId="72B21FDE" w14:textId="7142C2C2"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0.14</w:t>
            </w:r>
          </w:p>
        </w:tc>
        <w:tc>
          <w:tcPr>
            <w:tcW w:w="992" w:type="dxa"/>
          </w:tcPr>
          <w:p w14:paraId="367D720C"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51±28</w:t>
            </w:r>
          </w:p>
        </w:tc>
        <w:tc>
          <w:tcPr>
            <w:tcW w:w="993" w:type="dxa"/>
          </w:tcPr>
          <w:p w14:paraId="058D0D81"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34±41</w:t>
            </w:r>
          </w:p>
        </w:tc>
        <w:tc>
          <w:tcPr>
            <w:tcW w:w="1147" w:type="dxa"/>
          </w:tcPr>
          <w:p w14:paraId="0F4BCADC"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5.7±6.0</w:t>
            </w:r>
          </w:p>
        </w:tc>
      </w:tr>
      <w:tr w:rsidR="00590B1C" w:rsidRPr="000C7CFA" w14:paraId="62551770" w14:textId="77777777" w:rsidTr="00E84FC4">
        <w:trPr>
          <w:trHeight w:val="174"/>
        </w:trPr>
        <w:tc>
          <w:tcPr>
            <w:tcW w:w="2439" w:type="dxa"/>
            <w:gridSpan w:val="2"/>
          </w:tcPr>
          <w:p w14:paraId="6DE41D4B"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Small Yellow Croaker </w:t>
            </w:r>
            <w:r w:rsidRPr="000C7CFA">
              <w:rPr>
                <w:rFonts w:ascii="Verdana" w:hAnsi="Verdana"/>
                <w:i/>
                <w:sz w:val="18"/>
                <w:szCs w:val="18"/>
                <w:lang w:eastAsia="en-GB"/>
              </w:rPr>
              <w:t>Pseudosciaena polyactis</w:t>
            </w:r>
          </w:p>
        </w:tc>
        <w:tc>
          <w:tcPr>
            <w:tcW w:w="963" w:type="dxa"/>
          </w:tcPr>
          <w:p w14:paraId="6344C40D"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6</w:t>
            </w:r>
          </w:p>
        </w:tc>
        <w:tc>
          <w:tcPr>
            <w:tcW w:w="1021" w:type="dxa"/>
          </w:tcPr>
          <w:p w14:paraId="6021FFA9" w14:textId="40CA5493"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1.90±</w:t>
            </w:r>
            <w:r w:rsidR="00E84FC4" w:rsidRPr="000C7CFA">
              <w:rPr>
                <w:rFonts w:ascii="Verdana" w:hAnsi="Verdana"/>
                <w:sz w:val="18"/>
                <w:szCs w:val="18"/>
                <w:lang w:eastAsia="en-GB"/>
              </w:rPr>
              <w:t xml:space="preserve"> </w:t>
            </w:r>
            <w:r w:rsidRPr="000C7CFA">
              <w:rPr>
                <w:rFonts w:ascii="Verdana" w:hAnsi="Verdana"/>
                <w:sz w:val="18"/>
                <w:szCs w:val="18"/>
                <w:lang w:eastAsia="en-GB"/>
              </w:rPr>
              <w:t>0.38</w:t>
            </w:r>
          </w:p>
        </w:tc>
        <w:tc>
          <w:tcPr>
            <w:tcW w:w="1106" w:type="dxa"/>
          </w:tcPr>
          <w:p w14:paraId="7E1D5503"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2.85±</w:t>
            </w:r>
          </w:p>
          <w:p w14:paraId="1359E78A" w14:textId="465359B0"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0.08</w:t>
            </w:r>
          </w:p>
        </w:tc>
        <w:tc>
          <w:tcPr>
            <w:tcW w:w="992" w:type="dxa"/>
          </w:tcPr>
          <w:p w14:paraId="7B14573F"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7.2±6.7</w:t>
            </w:r>
          </w:p>
        </w:tc>
        <w:tc>
          <w:tcPr>
            <w:tcW w:w="993" w:type="dxa"/>
          </w:tcPr>
          <w:p w14:paraId="295877A1"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8.0±</w:t>
            </w:r>
          </w:p>
          <w:p w14:paraId="5663FBFA" w14:textId="41F21EB3"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10.0</w:t>
            </w:r>
          </w:p>
        </w:tc>
        <w:tc>
          <w:tcPr>
            <w:tcW w:w="1147" w:type="dxa"/>
          </w:tcPr>
          <w:p w14:paraId="00909040"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0.45±</w:t>
            </w:r>
          </w:p>
          <w:p w14:paraId="54C69BD5" w14:textId="44FA84D9"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0.39</w:t>
            </w:r>
          </w:p>
        </w:tc>
      </w:tr>
      <w:tr w:rsidR="00590B1C" w:rsidRPr="000C7CFA" w14:paraId="3E25B3A2" w14:textId="77777777" w:rsidTr="00E84FC4">
        <w:trPr>
          <w:trHeight w:val="174"/>
        </w:trPr>
        <w:tc>
          <w:tcPr>
            <w:tcW w:w="2439" w:type="dxa"/>
            <w:gridSpan w:val="2"/>
          </w:tcPr>
          <w:p w14:paraId="75711474"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China Anchovy </w:t>
            </w:r>
          </w:p>
          <w:p w14:paraId="0E2A8E25"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i/>
                <w:sz w:val="18"/>
                <w:szCs w:val="18"/>
                <w:lang w:eastAsia="en-GB"/>
              </w:rPr>
              <w:t>Thrissa kammalensis</w:t>
            </w:r>
          </w:p>
        </w:tc>
        <w:tc>
          <w:tcPr>
            <w:tcW w:w="963" w:type="dxa"/>
          </w:tcPr>
          <w:p w14:paraId="119BD96A"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10</w:t>
            </w:r>
          </w:p>
        </w:tc>
        <w:tc>
          <w:tcPr>
            <w:tcW w:w="1021" w:type="dxa"/>
          </w:tcPr>
          <w:p w14:paraId="22F08549" w14:textId="2D1B7534"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9.80±</w:t>
            </w:r>
            <w:r w:rsidR="00E84FC4" w:rsidRPr="000C7CFA">
              <w:rPr>
                <w:rFonts w:ascii="Verdana" w:hAnsi="Verdana"/>
                <w:sz w:val="18"/>
                <w:szCs w:val="18"/>
                <w:lang w:eastAsia="en-GB"/>
              </w:rPr>
              <w:t xml:space="preserve"> </w:t>
            </w:r>
            <w:r w:rsidRPr="000C7CFA">
              <w:rPr>
                <w:rFonts w:ascii="Verdana" w:hAnsi="Verdana"/>
                <w:sz w:val="18"/>
                <w:szCs w:val="18"/>
                <w:lang w:eastAsia="en-GB"/>
              </w:rPr>
              <w:t>0.11</w:t>
            </w:r>
          </w:p>
        </w:tc>
        <w:tc>
          <w:tcPr>
            <w:tcW w:w="1106" w:type="dxa"/>
          </w:tcPr>
          <w:p w14:paraId="620F1DEF"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2.98±</w:t>
            </w:r>
          </w:p>
          <w:p w14:paraId="003609D4" w14:textId="78FC3229"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0.06</w:t>
            </w:r>
          </w:p>
        </w:tc>
        <w:tc>
          <w:tcPr>
            <w:tcW w:w="992" w:type="dxa"/>
          </w:tcPr>
          <w:p w14:paraId="3423C85B"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21±11</w:t>
            </w:r>
          </w:p>
        </w:tc>
        <w:tc>
          <w:tcPr>
            <w:tcW w:w="993" w:type="dxa"/>
          </w:tcPr>
          <w:p w14:paraId="5BCA29B1"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145±91</w:t>
            </w:r>
          </w:p>
        </w:tc>
        <w:tc>
          <w:tcPr>
            <w:tcW w:w="1147" w:type="dxa"/>
          </w:tcPr>
          <w:p w14:paraId="75AE6355"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21±15</w:t>
            </w:r>
          </w:p>
        </w:tc>
      </w:tr>
      <w:tr w:rsidR="00590B1C" w:rsidRPr="000C7CFA" w14:paraId="2450D5E1" w14:textId="77777777" w:rsidTr="00E84FC4">
        <w:trPr>
          <w:trHeight w:val="174"/>
        </w:trPr>
        <w:tc>
          <w:tcPr>
            <w:tcW w:w="2439" w:type="dxa"/>
            <w:gridSpan w:val="2"/>
          </w:tcPr>
          <w:p w14:paraId="47691C27"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Japanese Spanish Mackerel </w:t>
            </w:r>
          </w:p>
          <w:p w14:paraId="2669D6E4"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i/>
                <w:sz w:val="18"/>
                <w:szCs w:val="18"/>
                <w:lang w:eastAsia="en-GB"/>
              </w:rPr>
              <w:t>Scomberomrus niphonius</w:t>
            </w:r>
          </w:p>
        </w:tc>
        <w:tc>
          <w:tcPr>
            <w:tcW w:w="963" w:type="dxa"/>
          </w:tcPr>
          <w:p w14:paraId="4565B0AF"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w:t>
            </w:r>
          </w:p>
        </w:tc>
        <w:tc>
          <w:tcPr>
            <w:tcW w:w="1021" w:type="dxa"/>
          </w:tcPr>
          <w:p w14:paraId="69380AD4" w14:textId="116C11A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4.50±</w:t>
            </w:r>
            <w:r w:rsidR="00E84FC4" w:rsidRPr="000C7CFA">
              <w:rPr>
                <w:rFonts w:ascii="Verdana" w:hAnsi="Verdana"/>
                <w:sz w:val="18"/>
                <w:szCs w:val="18"/>
                <w:lang w:eastAsia="en-GB"/>
              </w:rPr>
              <w:t xml:space="preserve"> </w:t>
            </w:r>
            <w:r w:rsidRPr="000C7CFA">
              <w:rPr>
                <w:rFonts w:ascii="Verdana" w:hAnsi="Verdana"/>
                <w:sz w:val="18"/>
                <w:szCs w:val="18"/>
                <w:lang w:eastAsia="en-GB"/>
              </w:rPr>
              <w:t>0.27</w:t>
            </w:r>
          </w:p>
        </w:tc>
        <w:tc>
          <w:tcPr>
            <w:tcW w:w="1106" w:type="dxa"/>
          </w:tcPr>
          <w:p w14:paraId="066DFD72"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3.01±</w:t>
            </w:r>
          </w:p>
          <w:p w14:paraId="26045E61" w14:textId="44A0A60D"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0.09</w:t>
            </w:r>
          </w:p>
        </w:tc>
        <w:tc>
          <w:tcPr>
            <w:tcW w:w="992" w:type="dxa"/>
          </w:tcPr>
          <w:p w14:paraId="10A57047"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24±5.2</w:t>
            </w:r>
          </w:p>
        </w:tc>
        <w:tc>
          <w:tcPr>
            <w:tcW w:w="993" w:type="dxa"/>
          </w:tcPr>
          <w:p w14:paraId="35D120BF"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12±15</w:t>
            </w:r>
          </w:p>
        </w:tc>
        <w:tc>
          <w:tcPr>
            <w:tcW w:w="1147" w:type="dxa"/>
          </w:tcPr>
          <w:p w14:paraId="59C74901"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0.34±</w:t>
            </w:r>
          </w:p>
          <w:p w14:paraId="32E207C5" w14:textId="4D489E4E"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0.18</w:t>
            </w:r>
          </w:p>
        </w:tc>
      </w:tr>
      <w:tr w:rsidR="00590B1C" w:rsidRPr="000C7CFA" w14:paraId="336AD56A" w14:textId="77777777" w:rsidTr="00E84FC4">
        <w:trPr>
          <w:trHeight w:val="174"/>
        </w:trPr>
        <w:tc>
          <w:tcPr>
            <w:tcW w:w="2439" w:type="dxa"/>
            <w:gridSpan w:val="2"/>
          </w:tcPr>
          <w:p w14:paraId="4C29CCE3"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Half-smooth Tongue-sole </w:t>
            </w:r>
          </w:p>
          <w:p w14:paraId="7AA60A7C"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i/>
                <w:sz w:val="18"/>
                <w:szCs w:val="18"/>
                <w:lang w:eastAsia="en-GB"/>
              </w:rPr>
              <w:t>Cynoglossus semilaevis</w:t>
            </w:r>
          </w:p>
        </w:tc>
        <w:tc>
          <w:tcPr>
            <w:tcW w:w="963" w:type="dxa"/>
          </w:tcPr>
          <w:p w14:paraId="4EED3813"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6</w:t>
            </w:r>
          </w:p>
        </w:tc>
        <w:tc>
          <w:tcPr>
            <w:tcW w:w="1021" w:type="dxa"/>
          </w:tcPr>
          <w:p w14:paraId="7D8D02A5" w14:textId="79EDEB43"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1.40±</w:t>
            </w:r>
            <w:r w:rsidR="00E84FC4" w:rsidRPr="000C7CFA">
              <w:rPr>
                <w:rFonts w:ascii="Verdana" w:hAnsi="Verdana"/>
                <w:sz w:val="18"/>
                <w:szCs w:val="18"/>
                <w:lang w:eastAsia="en-GB"/>
              </w:rPr>
              <w:t xml:space="preserve"> </w:t>
            </w:r>
            <w:r w:rsidRPr="000C7CFA">
              <w:rPr>
                <w:rFonts w:ascii="Verdana" w:hAnsi="Verdana"/>
                <w:sz w:val="18"/>
                <w:szCs w:val="18"/>
                <w:lang w:eastAsia="en-GB"/>
              </w:rPr>
              <w:t>0.18</w:t>
            </w:r>
          </w:p>
        </w:tc>
        <w:tc>
          <w:tcPr>
            <w:tcW w:w="1106" w:type="dxa"/>
          </w:tcPr>
          <w:p w14:paraId="48DB3826"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3.09±</w:t>
            </w:r>
          </w:p>
          <w:p w14:paraId="25AB7AAA" w14:textId="1D05E6A5"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0.04</w:t>
            </w:r>
          </w:p>
        </w:tc>
        <w:tc>
          <w:tcPr>
            <w:tcW w:w="992" w:type="dxa"/>
          </w:tcPr>
          <w:p w14:paraId="3E8D9603"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69±96</w:t>
            </w:r>
          </w:p>
        </w:tc>
        <w:tc>
          <w:tcPr>
            <w:tcW w:w="993" w:type="dxa"/>
          </w:tcPr>
          <w:p w14:paraId="58C0CB27"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60±79</w:t>
            </w:r>
          </w:p>
        </w:tc>
        <w:tc>
          <w:tcPr>
            <w:tcW w:w="1147" w:type="dxa"/>
          </w:tcPr>
          <w:p w14:paraId="773E7DBE"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1.7±3.2</w:t>
            </w:r>
          </w:p>
        </w:tc>
      </w:tr>
      <w:tr w:rsidR="00590B1C" w:rsidRPr="000C7CFA" w14:paraId="5CB2F3C5" w14:textId="77777777" w:rsidTr="00E84FC4">
        <w:trPr>
          <w:trHeight w:val="174"/>
        </w:trPr>
        <w:tc>
          <w:tcPr>
            <w:tcW w:w="2439" w:type="dxa"/>
            <w:gridSpan w:val="2"/>
          </w:tcPr>
          <w:p w14:paraId="248A12DC"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Flathead fish </w:t>
            </w:r>
            <w:r w:rsidRPr="000C7CFA">
              <w:rPr>
                <w:rFonts w:ascii="Verdana" w:hAnsi="Verdana"/>
                <w:i/>
                <w:sz w:val="18"/>
                <w:szCs w:val="18"/>
                <w:lang w:eastAsia="en-GB"/>
              </w:rPr>
              <w:t>Platycephalus indicus</w:t>
            </w:r>
          </w:p>
        </w:tc>
        <w:tc>
          <w:tcPr>
            <w:tcW w:w="963" w:type="dxa"/>
          </w:tcPr>
          <w:p w14:paraId="6002431C"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w:t>
            </w:r>
          </w:p>
        </w:tc>
        <w:tc>
          <w:tcPr>
            <w:tcW w:w="1021" w:type="dxa"/>
          </w:tcPr>
          <w:p w14:paraId="51D5640F" w14:textId="37676100"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1.23±</w:t>
            </w:r>
            <w:r w:rsidR="00E84FC4" w:rsidRPr="000C7CFA">
              <w:rPr>
                <w:rFonts w:ascii="Verdana" w:hAnsi="Verdana"/>
                <w:sz w:val="18"/>
                <w:szCs w:val="18"/>
                <w:lang w:eastAsia="en-GB"/>
              </w:rPr>
              <w:t xml:space="preserve"> </w:t>
            </w:r>
            <w:r w:rsidRPr="000C7CFA">
              <w:rPr>
                <w:rFonts w:ascii="Verdana" w:hAnsi="Verdana"/>
                <w:sz w:val="18"/>
                <w:szCs w:val="18"/>
                <w:lang w:eastAsia="en-GB"/>
              </w:rPr>
              <w:t>0.06</w:t>
            </w:r>
          </w:p>
        </w:tc>
        <w:tc>
          <w:tcPr>
            <w:tcW w:w="1106" w:type="dxa"/>
          </w:tcPr>
          <w:p w14:paraId="66FC3D25"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3.15±</w:t>
            </w:r>
          </w:p>
          <w:p w14:paraId="026C79F5" w14:textId="75C2AFB2"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0.04</w:t>
            </w:r>
          </w:p>
        </w:tc>
        <w:tc>
          <w:tcPr>
            <w:tcW w:w="992" w:type="dxa"/>
          </w:tcPr>
          <w:p w14:paraId="168F4BB4"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ND</w:t>
            </w:r>
          </w:p>
        </w:tc>
        <w:tc>
          <w:tcPr>
            <w:tcW w:w="993" w:type="dxa"/>
          </w:tcPr>
          <w:p w14:paraId="1257E581"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10±0.5</w:t>
            </w:r>
          </w:p>
        </w:tc>
        <w:tc>
          <w:tcPr>
            <w:tcW w:w="1147" w:type="dxa"/>
          </w:tcPr>
          <w:p w14:paraId="510C3751"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0.5±0.8</w:t>
            </w:r>
          </w:p>
        </w:tc>
      </w:tr>
      <w:tr w:rsidR="00590B1C" w:rsidRPr="000C7CFA" w14:paraId="506167D4" w14:textId="77777777" w:rsidTr="00E84FC4">
        <w:trPr>
          <w:trHeight w:val="174"/>
        </w:trPr>
        <w:tc>
          <w:tcPr>
            <w:tcW w:w="2439" w:type="dxa"/>
            <w:gridSpan w:val="2"/>
          </w:tcPr>
          <w:p w14:paraId="583EA222"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Black Spotfed Bass </w:t>
            </w:r>
            <w:r w:rsidRPr="000C7CFA">
              <w:rPr>
                <w:rFonts w:ascii="Verdana" w:hAnsi="Verdana"/>
                <w:i/>
                <w:sz w:val="18"/>
                <w:szCs w:val="18"/>
                <w:lang w:eastAsia="en-GB"/>
              </w:rPr>
              <w:t>Lateolabrax japonicas</w:t>
            </w:r>
          </w:p>
        </w:tc>
        <w:tc>
          <w:tcPr>
            <w:tcW w:w="963" w:type="dxa"/>
          </w:tcPr>
          <w:p w14:paraId="75DEDCD2"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w:t>
            </w:r>
          </w:p>
        </w:tc>
        <w:tc>
          <w:tcPr>
            <w:tcW w:w="1021" w:type="dxa"/>
          </w:tcPr>
          <w:p w14:paraId="01CA68C4" w14:textId="140119FD"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0.62±</w:t>
            </w:r>
            <w:r w:rsidR="00E84FC4" w:rsidRPr="000C7CFA">
              <w:rPr>
                <w:rFonts w:ascii="Verdana" w:hAnsi="Verdana"/>
                <w:sz w:val="18"/>
                <w:szCs w:val="18"/>
                <w:lang w:eastAsia="en-GB"/>
              </w:rPr>
              <w:t xml:space="preserve"> </w:t>
            </w:r>
            <w:r w:rsidRPr="000C7CFA">
              <w:rPr>
                <w:rFonts w:ascii="Verdana" w:hAnsi="Verdana"/>
                <w:sz w:val="18"/>
                <w:szCs w:val="18"/>
                <w:lang w:eastAsia="en-GB"/>
              </w:rPr>
              <w:t>0.06</w:t>
            </w:r>
          </w:p>
        </w:tc>
        <w:tc>
          <w:tcPr>
            <w:tcW w:w="1106" w:type="dxa"/>
          </w:tcPr>
          <w:p w14:paraId="659779BA"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3.36±</w:t>
            </w:r>
          </w:p>
          <w:p w14:paraId="4D21E013" w14:textId="7F25C4CF"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0.03</w:t>
            </w:r>
          </w:p>
        </w:tc>
        <w:tc>
          <w:tcPr>
            <w:tcW w:w="992" w:type="dxa"/>
          </w:tcPr>
          <w:p w14:paraId="279E0D93"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ND</w:t>
            </w:r>
          </w:p>
        </w:tc>
        <w:tc>
          <w:tcPr>
            <w:tcW w:w="993" w:type="dxa"/>
          </w:tcPr>
          <w:p w14:paraId="757B949E"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7.8±3.0</w:t>
            </w:r>
          </w:p>
        </w:tc>
        <w:tc>
          <w:tcPr>
            <w:tcW w:w="1147" w:type="dxa"/>
          </w:tcPr>
          <w:p w14:paraId="210177E6"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0.4±0.8</w:t>
            </w:r>
          </w:p>
        </w:tc>
      </w:tr>
      <w:tr w:rsidR="00590B1C" w:rsidRPr="000C7CFA" w14:paraId="79337E87" w14:textId="77777777" w:rsidTr="00FA2BE0">
        <w:trPr>
          <w:trHeight w:val="174"/>
        </w:trPr>
        <w:tc>
          <w:tcPr>
            <w:tcW w:w="8661" w:type="dxa"/>
            <w:gridSpan w:val="8"/>
          </w:tcPr>
          <w:p w14:paraId="43D90F79" w14:textId="77777777" w:rsidR="00590B1C" w:rsidRPr="000C7CFA" w:rsidRDefault="00590B1C" w:rsidP="00590B1C">
            <w:pPr>
              <w:pStyle w:val="BodyText"/>
              <w:spacing w:after="0"/>
              <w:jc w:val="left"/>
              <w:rPr>
                <w:rFonts w:ascii="Verdana" w:hAnsi="Verdana"/>
                <w:sz w:val="18"/>
                <w:szCs w:val="18"/>
                <w:lang w:eastAsia="en-GB"/>
              </w:rPr>
            </w:pPr>
            <w:r w:rsidRPr="000C7CFA">
              <w:rPr>
                <w:rFonts w:ascii="Verdana" w:hAnsi="Verdana"/>
                <w:b/>
                <w:i/>
                <w:sz w:val="18"/>
                <w:szCs w:val="18"/>
                <w:lang w:eastAsia="en-GB"/>
              </w:rPr>
              <w:t>Birds</w:t>
            </w:r>
          </w:p>
        </w:tc>
      </w:tr>
      <w:tr w:rsidR="00590B1C" w:rsidRPr="000C7CFA" w14:paraId="1EB7217E" w14:textId="77777777" w:rsidTr="00E84FC4">
        <w:trPr>
          <w:trHeight w:val="247"/>
        </w:trPr>
        <w:tc>
          <w:tcPr>
            <w:tcW w:w="1701" w:type="dxa"/>
            <w:vMerge w:val="restart"/>
          </w:tcPr>
          <w:p w14:paraId="4789FE9F"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Black-tailed Gull </w:t>
            </w:r>
            <w:r w:rsidRPr="000C7CFA">
              <w:rPr>
                <w:rFonts w:ascii="Verdana" w:hAnsi="Verdana"/>
                <w:i/>
                <w:sz w:val="18"/>
                <w:szCs w:val="18"/>
                <w:lang w:eastAsia="en-GB"/>
              </w:rPr>
              <w:t>Larus crassirostris</w:t>
            </w:r>
          </w:p>
        </w:tc>
        <w:tc>
          <w:tcPr>
            <w:tcW w:w="738" w:type="dxa"/>
          </w:tcPr>
          <w:p w14:paraId="13FA0417" w14:textId="77777777" w:rsidR="00590B1C" w:rsidRPr="000C7CFA" w:rsidRDefault="00590B1C" w:rsidP="00590B1C">
            <w:pPr>
              <w:autoSpaceDE w:val="0"/>
              <w:autoSpaceDN w:val="0"/>
              <w:adjustRightInd w:val="0"/>
              <w:spacing w:after="0"/>
              <w:jc w:val="center"/>
              <w:rPr>
                <w:rFonts w:ascii="Verdana" w:hAnsi="Verdana"/>
                <w:sz w:val="18"/>
                <w:szCs w:val="18"/>
                <w:lang w:eastAsia="en-GB"/>
              </w:rPr>
            </w:pPr>
            <w:r w:rsidRPr="000C7CFA">
              <w:rPr>
                <w:rFonts w:ascii="Verdana" w:hAnsi="Verdana"/>
                <w:sz w:val="18"/>
                <w:szCs w:val="18"/>
                <w:lang w:eastAsia="en-GB"/>
              </w:rPr>
              <w:t>Adult</w:t>
            </w:r>
          </w:p>
        </w:tc>
        <w:tc>
          <w:tcPr>
            <w:tcW w:w="963" w:type="dxa"/>
          </w:tcPr>
          <w:p w14:paraId="797B902A"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12</w:t>
            </w:r>
          </w:p>
        </w:tc>
        <w:tc>
          <w:tcPr>
            <w:tcW w:w="1021" w:type="dxa"/>
          </w:tcPr>
          <w:p w14:paraId="145682BD"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6.4±0.1</w:t>
            </w:r>
          </w:p>
        </w:tc>
        <w:tc>
          <w:tcPr>
            <w:tcW w:w="1106" w:type="dxa"/>
          </w:tcPr>
          <w:p w14:paraId="6A2BCAB9"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3.62±</w:t>
            </w:r>
          </w:p>
          <w:p w14:paraId="55E23A4A" w14:textId="2D0CF81F"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0.22</w:t>
            </w:r>
          </w:p>
        </w:tc>
        <w:tc>
          <w:tcPr>
            <w:tcW w:w="992" w:type="dxa"/>
          </w:tcPr>
          <w:p w14:paraId="62E31A79"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10±10</w:t>
            </w:r>
          </w:p>
        </w:tc>
        <w:tc>
          <w:tcPr>
            <w:tcW w:w="993" w:type="dxa"/>
          </w:tcPr>
          <w:p w14:paraId="3D7B7BE2"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58±60</w:t>
            </w:r>
          </w:p>
        </w:tc>
        <w:tc>
          <w:tcPr>
            <w:tcW w:w="1147" w:type="dxa"/>
          </w:tcPr>
          <w:p w14:paraId="454C6478"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29±32</w:t>
            </w:r>
          </w:p>
        </w:tc>
      </w:tr>
      <w:tr w:rsidR="00590B1C" w:rsidRPr="000C7CFA" w14:paraId="258ADDD7" w14:textId="77777777" w:rsidTr="00E84FC4">
        <w:trPr>
          <w:trHeight w:val="410"/>
        </w:trPr>
        <w:tc>
          <w:tcPr>
            <w:tcW w:w="1701" w:type="dxa"/>
            <w:vMerge/>
          </w:tcPr>
          <w:p w14:paraId="728CA6B4" w14:textId="77777777" w:rsidR="00590B1C" w:rsidRPr="000C7CFA" w:rsidRDefault="00590B1C" w:rsidP="00590B1C">
            <w:pPr>
              <w:autoSpaceDE w:val="0"/>
              <w:autoSpaceDN w:val="0"/>
              <w:adjustRightInd w:val="0"/>
              <w:spacing w:after="0"/>
              <w:rPr>
                <w:rFonts w:ascii="Verdana" w:hAnsi="Verdana"/>
                <w:sz w:val="18"/>
                <w:szCs w:val="18"/>
                <w:lang w:eastAsia="en-GB"/>
              </w:rPr>
            </w:pPr>
          </w:p>
        </w:tc>
        <w:tc>
          <w:tcPr>
            <w:tcW w:w="738" w:type="dxa"/>
          </w:tcPr>
          <w:p w14:paraId="18E42F9E" w14:textId="77777777" w:rsidR="00590B1C" w:rsidRPr="000C7CFA" w:rsidRDefault="00590B1C" w:rsidP="00590B1C">
            <w:pPr>
              <w:autoSpaceDE w:val="0"/>
              <w:autoSpaceDN w:val="0"/>
              <w:adjustRightInd w:val="0"/>
              <w:spacing w:after="0"/>
              <w:jc w:val="center"/>
              <w:rPr>
                <w:rFonts w:ascii="Verdana" w:hAnsi="Verdana"/>
                <w:sz w:val="18"/>
                <w:szCs w:val="18"/>
                <w:lang w:eastAsia="en-GB"/>
              </w:rPr>
            </w:pPr>
            <w:r w:rsidRPr="000C7CFA">
              <w:rPr>
                <w:rFonts w:ascii="Verdana" w:hAnsi="Verdana"/>
                <w:sz w:val="18"/>
                <w:szCs w:val="18"/>
                <w:lang w:eastAsia="en-GB"/>
              </w:rPr>
              <w:t>Juvenile</w:t>
            </w:r>
          </w:p>
        </w:tc>
        <w:tc>
          <w:tcPr>
            <w:tcW w:w="963" w:type="dxa"/>
          </w:tcPr>
          <w:p w14:paraId="05038D5B"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5</w:t>
            </w:r>
          </w:p>
        </w:tc>
        <w:tc>
          <w:tcPr>
            <w:tcW w:w="1021" w:type="dxa"/>
          </w:tcPr>
          <w:p w14:paraId="74527E13"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6.7±0.2</w:t>
            </w:r>
          </w:p>
        </w:tc>
        <w:tc>
          <w:tcPr>
            <w:tcW w:w="1106" w:type="dxa"/>
          </w:tcPr>
          <w:p w14:paraId="1BBB8A94" w14:textId="05C4CE52"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3.37±</w:t>
            </w:r>
            <w:r w:rsidR="00E84FC4" w:rsidRPr="000C7CFA">
              <w:rPr>
                <w:rFonts w:ascii="Verdana" w:hAnsi="Verdana"/>
                <w:sz w:val="18"/>
                <w:szCs w:val="18"/>
                <w:lang w:eastAsia="en-GB"/>
              </w:rPr>
              <w:t xml:space="preserve"> </w:t>
            </w:r>
            <w:r w:rsidRPr="000C7CFA">
              <w:rPr>
                <w:rFonts w:ascii="Verdana" w:hAnsi="Verdana"/>
                <w:sz w:val="18"/>
                <w:szCs w:val="18"/>
                <w:lang w:eastAsia="en-GB"/>
              </w:rPr>
              <w:t>0.38</w:t>
            </w:r>
          </w:p>
        </w:tc>
        <w:tc>
          <w:tcPr>
            <w:tcW w:w="992" w:type="dxa"/>
          </w:tcPr>
          <w:p w14:paraId="04C003FF"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1.8±1.1</w:t>
            </w:r>
          </w:p>
        </w:tc>
        <w:tc>
          <w:tcPr>
            <w:tcW w:w="993" w:type="dxa"/>
          </w:tcPr>
          <w:p w14:paraId="5565F1E7"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10±14</w:t>
            </w:r>
          </w:p>
        </w:tc>
        <w:tc>
          <w:tcPr>
            <w:tcW w:w="1147" w:type="dxa"/>
          </w:tcPr>
          <w:p w14:paraId="42FE0176"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3.9±4.2</w:t>
            </w:r>
          </w:p>
        </w:tc>
      </w:tr>
      <w:tr w:rsidR="00590B1C" w:rsidRPr="000C7CFA" w14:paraId="3D006857" w14:textId="77777777" w:rsidTr="00E84FC4">
        <w:trPr>
          <w:trHeight w:val="174"/>
        </w:trPr>
        <w:tc>
          <w:tcPr>
            <w:tcW w:w="2439" w:type="dxa"/>
            <w:gridSpan w:val="2"/>
          </w:tcPr>
          <w:p w14:paraId="5B6D5001"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Black-headed Gull </w:t>
            </w:r>
          </w:p>
          <w:p w14:paraId="0BA31A79" w14:textId="77777777" w:rsidR="00590B1C" w:rsidRPr="000C7CFA" w:rsidRDefault="00590B1C" w:rsidP="00590B1C">
            <w:pPr>
              <w:autoSpaceDE w:val="0"/>
              <w:autoSpaceDN w:val="0"/>
              <w:adjustRightInd w:val="0"/>
              <w:spacing w:after="0"/>
              <w:rPr>
                <w:rFonts w:ascii="Verdana" w:hAnsi="Verdana"/>
                <w:sz w:val="18"/>
                <w:szCs w:val="18"/>
                <w:lang w:eastAsia="en-GB"/>
              </w:rPr>
            </w:pPr>
            <w:r w:rsidRPr="000C7CFA">
              <w:rPr>
                <w:rFonts w:ascii="Verdana" w:hAnsi="Verdana"/>
                <w:i/>
                <w:sz w:val="18"/>
                <w:szCs w:val="18"/>
                <w:lang w:eastAsia="en-GB"/>
              </w:rPr>
              <w:t>Larus ridibundus</w:t>
            </w:r>
          </w:p>
        </w:tc>
        <w:tc>
          <w:tcPr>
            <w:tcW w:w="963" w:type="dxa"/>
          </w:tcPr>
          <w:p w14:paraId="0B3B3AD9"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6</w:t>
            </w:r>
          </w:p>
        </w:tc>
        <w:tc>
          <w:tcPr>
            <w:tcW w:w="1021" w:type="dxa"/>
          </w:tcPr>
          <w:p w14:paraId="7A4D54B8" w14:textId="094EC259"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7.20±</w:t>
            </w:r>
            <w:r w:rsidR="00E84FC4" w:rsidRPr="000C7CFA">
              <w:rPr>
                <w:rFonts w:ascii="Verdana" w:hAnsi="Verdana"/>
                <w:sz w:val="18"/>
                <w:szCs w:val="18"/>
                <w:lang w:eastAsia="en-GB"/>
              </w:rPr>
              <w:t xml:space="preserve"> </w:t>
            </w:r>
            <w:r w:rsidRPr="000C7CFA">
              <w:rPr>
                <w:rFonts w:ascii="Verdana" w:hAnsi="Verdana"/>
                <w:sz w:val="18"/>
                <w:szCs w:val="18"/>
                <w:lang w:eastAsia="en-GB"/>
              </w:rPr>
              <w:t>0.53</w:t>
            </w:r>
          </w:p>
        </w:tc>
        <w:tc>
          <w:tcPr>
            <w:tcW w:w="1106" w:type="dxa"/>
          </w:tcPr>
          <w:p w14:paraId="03B81866" w14:textId="2D82961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3.78±</w:t>
            </w:r>
            <w:r w:rsidR="00E84FC4" w:rsidRPr="000C7CFA">
              <w:rPr>
                <w:rFonts w:ascii="Verdana" w:hAnsi="Verdana"/>
                <w:sz w:val="18"/>
                <w:szCs w:val="18"/>
                <w:lang w:eastAsia="en-GB"/>
              </w:rPr>
              <w:t xml:space="preserve"> </w:t>
            </w:r>
            <w:r w:rsidRPr="000C7CFA">
              <w:rPr>
                <w:rFonts w:ascii="Verdana" w:hAnsi="Verdana"/>
                <w:sz w:val="18"/>
                <w:szCs w:val="18"/>
                <w:lang w:eastAsia="en-GB"/>
              </w:rPr>
              <w:t>0.10</w:t>
            </w:r>
          </w:p>
        </w:tc>
        <w:tc>
          <w:tcPr>
            <w:tcW w:w="992" w:type="dxa"/>
          </w:tcPr>
          <w:p w14:paraId="488CB6C7"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17±13</w:t>
            </w:r>
          </w:p>
        </w:tc>
        <w:tc>
          <w:tcPr>
            <w:tcW w:w="993" w:type="dxa"/>
          </w:tcPr>
          <w:p w14:paraId="75EDE23C" w14:textId="77777777" w:rsidR="00E84FC4"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118±</w:t>
            </w:r>
          </w:p>
          <w:p w14:paraId="594CD332" w14:textId="420D1813"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128</w:t>
            </w:r>
          </w:p>
        </w:tc>
        <w:tc>
          <w:tcPr>
            <w:tcW w:w="1147" w:type="dxa"/>
          </w:tcPr>
          <w:p w14:paraId="734F1C5F" w14:textId="77777777" w:rsidR="00590B1C" w:rsidRPr="000C7CFA" w:rsidRDefault="00590B1C" w:rsidP="00590B1C">
            <w:pPr>
              <w:pStyle w:val="BodyText"/>
              <w:spacing w:after="0"/>
              <w:jc w:val="center"/>
              <w:rPr>
                <w:rFonts w:ascii="Verdana" w:hAnsi="Verdana"/>
                <w:sz w:val="18"/>
                <w:szCs w:val="18"/>
                <w:lang w:eastAsia="en-GB"/>
              </w:rPr>
            </w:pPr>
            <w:r w:rsidRPr="000C7CFA">
              <w:rPr>
                <w:rFonts w:ascii="Verdana" w:hAnsi="Verdana"/>
                <w:sz w:val="18"/>
                <w:szCs w:val="18"/>
                <w:lang w:eastAsia="en-GB"/>
              </w:rPr>
              <w:t>56±54</w:t>
            </w:r>
          </w:p>
        </w:tc>
      </w:tr>
    </w:tbl>
    <w:p w14:paraId="53AFA6F3" w14:textId="77777777" w:rsidR="00590B1C" w:rsidRPr="000C7CFA" w:rsidRDefault="00590B1C" w:rsidP="00590B1C">
      <w:pPr>
        <w:autoSpaceDE w:val="0"/>
        <w:autoSpaceDN w:val="0"/>
        <w:adjustRightInd w:val="0"/>
        <w:spacing w:after="0"/>
        <w:ind w:left="284"/>
        <w:rPr>
          <w:rFonts w:ascii="Verdana" w:hAnsi="Verdana"/>
          <w:sz w:val="18"/>
          <w:szCs w:val="18"/>
          <w:lang w:eastAsia="en-GB"/>
        </w:rPr>
      </w:pPr>
      <w:r w:rsidRPr="000C7CFA">
        <w:rPr>
          <w:rFonts w:ascii="Verdana" w:hAnsi="Verdana"/>
          <w:sz w:val="18"/>
          <w:szCs w:val="18"/>
          <w:lang w:eastAsia="en-GB"/>
        </w:rPr>
        <w:t xml:space="preserve"> Note: ND – not detected in any sample.</w:t>
      </w:r>
      <w:r w:rsidR="00715B82" w:rsidRPr="000C7CFA">
        <w:rPr>
          <w:rFonts w:ascii="Verdana" w:hAnsi="Verdana" w:cs="AdvOT2e364b11"/>
          <w:sz w:val="18"/>
          <w:szCs w:val="18"/>
          <w:lang w:val="en-GB" w:eastAsia="en-GB"/>
        </w:rPr>
        <w:t xml:space="preserve"> </w:t>
      </w:r>
      <w:r w:rsidR="00715B82" w:rsidRPr="000C7CFA">
        <w:rPr>
          <w:rFonts w:ascii="Verdana" w:hAnsi="Verdana"/>
          <w:sz w:val="18"/>
          <w:szCs w:val="18"/>
          <w:lang w:eastAsia="en-GB"/>
        </w:rPr>
        <w:t>All values were indicated by mean ± SD.</w:t>
      </w:r>
    </w:p>
    <w:p w14:paraId="14A48DD9" w14:textId="77777777" w:rsidR="008377FA" w:rsidRPr="000C7CFA" w:rsidRDefault="008377FA" w:rsidP="008377FA">
      <w:pPr>
        <w:pStyle w:val="BodyText"/>
        <w:spacing w:after="0"/>
        <w:ind w:left="357" w:right="658"/>
        <w:rPr>
          <w:rFonts w:ascii="Verdana" w:eastAsiaTheme="minorHAnsi" w:hAnsi="Verdana"/>
          <w:sz w:val="18"/>
          <w:szCs w:val="18"/>
        </w:rPr>
      </w:pPr>
    </w:p>
    <w:p w14:paraId="07E281F2" w14:textId="77777777" w:rsidR="00590B1C" w:rsidRPr="000C7CFA" w:rsidRDefault="00590B1C" w:rsidP="00590B1C">
      <w:pPr>
        <w:pStyle w:val="BodyText"/>
        <w:ind w:left="360" w:right="657"/>
        <w:rPr>
          <w:rFonts w:ascii="Verdana" w:eastAsiaTheme="minorHAnsi" w:hAnsi="Verdana"/>
          <w:sz w:val="18"/>
          <w:szCs w:val="18"/>
        </w:rPr>
      </w:pPr>
      <w:r w:rsidRPr="000C7CFA">
        <w:rPr>
          <w:rFonts w:ascii="Verdana" w:eastAsiaTheme="minorHAnsi" w:hAnsi="Verdana"/>
          <w:sz w:val="18"/>
          <w:szCs w:val="18"/>
        </w:rPr>
        <w:t xml:space="preserve">The concentration of </w:t>
      </w:r>
      <w:r w:rsidRPr="000C7CFA">
        <w:rPr>
          <w:rFonts w:ascii="Verdana" w:hAnsi="Verdana"/>
          <w:color w:val="000000"/>
          <w:sz w:val="18"/>
          <w:szCs w:val="18"/>
        </w:rPr>
        <w:t>syn-</w:t>
      </w:r>
      <w:r w:rsidRPr="000C7CFA">
        <w:rPr>
          <w:rFonts w:ascii="Verdana" w:eastAsiaTheme="minorHAnsi" w:hAnsi="Verdana"/>
          <w:sz w:val="18"/>
          <w:szCs w:val="18"/>
        </w:rPr>
        <w:t xml:space="preserve">DP-1Cl was below the MDL </w:t>
      </w:r>
      <w:r w:rsidRPr="000C7CFA">
        <w:rPr>
          <w:rFonts w:ascii="Verdana" w:hAnsi="Verdana"/>
          <w:color w:val="000000"/>
          <w:sz w:val="18"/>
          <w:szCs w:val="18"/>
        </w:rPr>
        <w:t xml:space="preserve">in </w:t>
      </w:r>
      <w:r w:rsidRPr="000C7CFA">
        <w:rPr>
          <w:rFonts w:ascii="Verdana" w:eastAsiaTheme="minorHAnsi" w:hAnsi="Verdana"/>
          <w:sz w:val="18"/>
          <w:szCs w:val="18"/>
        </w:rPr>
        <w:t xml:space="preserve">more than 30% of samples (data are not reported in any detail the paper); the highest concentration of </w:t>
      </w:r>
      <w:r w:rsidRPr="000C7CFA">
        <w:rPr>
          <w:rFonts w:ascii="Verdana" w:hAnsi="Verdana"/>
          <w:color w:val="000000"/>
          <w:sz w:val="18"/>
          <w:szCs w:val="18"/>
        </w:rPr>
        <w:t>syn-</w:t>
      </w:r>
      <w:r w:rsidRPr="000C7CFA">
        <w:rPr>
          <w:rFonts w:ascii="Verdana" w:eastAsiaTheme="minorHAnsi" w:hAnsi="Verdana"/>
          <w:sz w:val="18"/>
          <w:szCs w:val="18"/>
        </w:rPr>
        <w:t>DP-1Cl was highest in seabirds, at 0.8 ± 2.2 pg/g ww, although it was only found in three Black-tailed Gull samples).</w:t>
      </w:r>
    </w:p>
    <w:p w14:paraId="179FD8AA" w14:textId="77777777" w:rsidR="00590B1C" w:rsidRPr="000C7CFA" w:rsidRDefault="00590B1C" w:rsidP="00590B1C">
      <w:pPr>
        <w:pStyle w:val="BodyText"/>
        <w:ind w:left="360" w:right="657"/>
        <w:rPr>
          <w:rFonts w:ascii="Verdana" w:eastAsiaTheme="minorHAnsi" w:hAnsi="Verdana"/>
          <w:sz w:val="18"/>
          <w:szCs w:val="18"/>
        </w:rPr>
      </w:pPr>
      <w:r w:rsidRPr="000C7CFA">
        <w:rPr>
          <w:rFonts w:ascii="Verdana" w:eastAsiaTheme="minorHAnsi" w:hAnsi="Verdana"/>
          <w:sz w:val="18"/>
          <w:szCs w:val="18"/>
        </w:rPr>
        <w:t>After adjusting for total organic carbon (TOC)</w:t>
      </w:r>
      <w:r w:rsidRPr="000C7CFA">
        <w:rPr>
          <w:rStyle w:val="FootnoteReference"/>
          <w:rFonts w:ascii="Verdana" w:eastAsiaTheme="minorHAnsi" w:hAnsi="Verdana"/>
          <w:sz w:val="18"/>
          <w:szCs w:val="18"/>
        </w:rPr>
        <w:footnoteReference w:id="24"/>
      </w:r>
      <w:r w:rsidRPr="000C7CFA">
        <w:rPr>
          <w:rFonts w:ascii="Verdana" w:eastAsiaTheme="minorHAnsi" w:hAnsi="Verdana"/>
          <w:sz w:val="18"/>
          <w:szCs w:val="18"/>
        </w:rPr>
        <w:t xml:space="preserve"> and lipid content, the biota-sediment accumulation factors (BSAFs) for birds were in the range 0.05 – 0.15 for syn-Dechlorane Plus, 0.08 – 0.25 for the anti- isomer and 0.05 – 0.12 for anti-[DP-1Cl]. These were much lower than those of PBDEs in the same gull </w:t>
      </w:r>
      <w:r w:rsidRPr="000C7CFA">
        <w:rPr>
          <w:rFonts w:ascii="Verdana" w:eastAsiaTheme="minorHAnsi" w:hAnsi="Verdana"/>
          <w:sz w:val="18"/>
          <w:szCs w:val="18"/>
        </w:rPr>
        <w:lastRenderedPageBreak/>
        <w:t>samples (BSAF &gt;25 for total PBDEs).</w:t>
      </w:r>
      <w:r w:rsidR="000D69BF" w:rsidRPr="000C7CFA">
        <w:rPr>
          <w:rFonts w:ascii="Verdana" w:eastAsiaTheme="minorHAnsi" w:hAnsi="Verdana"/>
          <w:sz w:val="18"/>
          <w:szCs w:val="18"/>
        </w:rPr>
        <w:t xml:space="preserve"> </w:t>
      </w:r>
      <w:r w:rsidR="000D69BF" w:rsidRPr="000C7CFA">
        <w:rPr>
          <w:rFonts w:ascii="Verdana" w:hAnsi="Verdana"/>
          <w:sz w:val="18"/>
          <w:szCs w:val="18"/>
          <w:lang w:eastAsia="en-GB"/>
        </w:rPr>
        <w:t>Although not considered in the paper, the BSAF for one species (</w:t>
      </w:r>
      <w:r w:rsidR="000D69BF" w:rsidRPr="000C7CFA">
        <w:rPr>
          <w:rFonts w:ascii="Verdana" w:hAnsi="Verdana"/>
          <w:i/>
          <w:sz w:val="18"/>
          <w:szCs w:val="18"/>
          <w:lang w:eastAsia="en-GB"/>
        </w:rPr>
        <w:t>Upogebia major</w:t>
      </w:r>
      <w:r w:rsidR="000D69BF" w:rsidRPr="000C7CFA">
        <w:rPr>
          <w:rFonts w:ascii="Verdana" w:hAnsi="Verdana"/>
          <w:sz w:val="18"/>
          <w:szCs w:val="18"/>
          <w:lang w:eastAsia="en-GB"/>
        </w:rPr>
        <w:t>) was above 1.</w:t>
      </w:r>
    </w:p>
    <w:p w14:paraId="6A47AAA0" w14:textId="0357317E" w:rsidR="00590B1C" w:rsidRPr="000C7CFA" w:rsidRDefault="00A50331" w:rsidP="00590B1C">
      <w:pPr>
        <w:pStyle w:val="BodyText"/>
        <w:ind w:left="360" w:right="657"/>
        <w:rPr>
          <w:rFonts w:ascii="Verdana" w:eastAsiaTheme="minorHAnsi" w:hAnsi="Verdana"/>
          <w:sz w:val="18"/>
          <w:szCs w:val="18"/>
        </w:rPr>
      </w:pPr>
      <w:r w:rsidRPr="000C7CFA">
        <w:rPr>
          <w:rFonts w:ascii="Verdana" w:hAnsi="Verdana"/>
          <w:color w:val="000000"/>
          <w:sz w:val="18"/>
          <w:szCs w:val="18"/>
        </w:rPr>
        <w:t xml:space="preserve">Both gull species are resident in Liaodong Bay, and feed mostly on insects, crustaceans and fish. </w:t>
      </w:r>
      <w:r w:rsidR="00590B1C" w:rsidRPr="000C7CFA">
        <w:rPr>
          <w:rFonts w:ascii="Verdana" w:hAnsi="Verdana"/>
          <w:sz w:val="18"/>
          <w:szCs w:val="18"/>
          <w:lang w:eastAsia="en-GB"/>
        </w:rPr>
        <w:t>The China Anchovy was assumed to be the major food item for the birds (from the fish species sampled) based on previous studies and also similar stable carbon isotope ratios. Trophic</w:t>
      </w:r>
      <w:r w:rsidR="00590B1C" w:rsidRPr="000C7CFA">
        <w:rPr>
          <w:rFonts w:ascii="Verdana" w:eastAsiaTheme="minorHAnsi" w:hAnsi="Verdana"/>
          <w:sz w:val="18"/>
          <w:szCs w:val="18"/>
        </w:rPr>
        <w:t xml:space="preserve"> level-adjusted biomagnification factors (BMF</w:t>
      </w:r>
      <w:r w:rsidR="00590B1C" w:rsidRPr="000C7CFA">
        <w:rPr>
          <w:rFonts w:ascii="Verdana" w:eastAsiaTheme="minorHAnsi" w:hAnsi="Verdana"/>
          <w:sz w:val="18"/>
          <w:szCs w:val="18"/>
          <w:vertAlign w:val="subscript"/>
        </w:rPr>
        <w:t>TL</w:t>
      </w:r>
      <w:r w:rsidR="00590B1C" w:rsidRPr="000C7CFA">
        <w:rPr>
          <w:rFonts w:ascii="Verdana" w:eastAsiaTheme="minorHAnsi" w:hAnsi="Verdana"/>
          <w:sz w:val="18"/>
          <w:szCs w:val="18"/>
        </w:rPr>
        <w:t>)</w:t>
      </w:r>
      <w:r w:rsidR="00590B1C" w:rsidRPr="000C7CFA">
        <w:rPr>
          <w:rStyle w:val="FootnoteReference"/>
          <w:rFonts w:ascii="Verdana" w:eastAsiaTheme="minorHAnsi" w:hAnsi="Verdana"/>
          <w:sz w:val="18"/>
          <w:szCs w:val="18"/>
        </w:rPr>
        <w:footnoteReference w:id="25"/>
      </w:r>
      <w:r w:rsidR="00590B1C" w:rsidRPr="000C7CFA">
        <w:rPr>
          <w:rFonts w:ascii="Verdana" w:eastAsiaTheme="minorHAnsi" w:hAnsi="Verdana"/>
          <w:sz w:val="18"/>
          <w:szCs w:val="18"/>
        </w:rPr>
        <w:t xml:space="preserve"> were estimated for the gull–China Anchovy feeding relationship, as 0.14 – 0.34 for syn-Dechlorane Plus, 0.11 – 0.33 for the anti- isomer and 0.36 – 0.70 for anti-[DP-1Cl]. However, </w:t>
      </w:r>
      <w:r w:rsidRPr="000C7CFA">
        <w:rPr>
          <w:rFonts w:ascii="Verdana" w:eastAsiaTheme="minorHAnsi" w:hAnsi="Verdana"/>
          <w:sz w:val="18"/>
          <w:szCs w:val="18"/>
        </w:rPr>
        <w:t>there is no information about the proportion of the diet that this fish species comprises for the gulls</w:t>
      </w:r>
      <w:r w:rsidR="00590B1C" w:rsidRPr="000C7CFA">
        <w:rPr>
          <w:rFonts w:ascii="Verdana" w:eastAsiaTheme="minorHAnsi" w:hAnsi="Verdana"/>
          <w:sz w:val="18"/>
          <w:szCs w:val="18"/>
        </w:rPr>
        <w:t>, and the amount of accumulation in the birds would also reflect sources in other areas during their lifespan.</w:t>
      </w:r>
    </w:p>
    <w:p w14:paraId="5A69B728" w14:textId="02B4AD5F" w:rsidR="00FA2BE0" w:rsidRPr="000C7CFA" w:rsidRDefault="00590B1C" w:rsidP="00FA2BE0">
      <w:pPr>
        <w:pStyle w:val="BodyText"/>
        <w:ind w:left="360" w:right="657"/>
        <w:rPr>
          <w:rFonts w:ascii="Verdana" w:eastAsiaTheme="minorHAnsi" w:hAnsi="Verdana"/>
          <w:sz w:val="18"/>
          <w:szCs w:val="18"/>
        </w:rPr>
      </w:pPr>
      <w:r w:rsidRPr="000C7CFA">
        <w:rPr>
          <w:rFonts w:ascii="Verdana" w:eastAsiaTheme="minorHAnsi" w:hAnsi="Verdana"/>
          <w:sz w:val="18"/>
          <w:szCs w:val="18"/>
        </w:rPr>
        <w:t>Fourteen species were included in the TMF calculation</w:t>
      </w:r>
      <w:r w:rsidRPr="000C7CFA">
        <w:rPr>
          <w:rStyle w:val="FootnoteReference"/>
          <w:rFonts w:ascii="Verdana" w:eastAsiaTheme="minorHAnsi" w:hAnsi="Verdana"/>
          <w:sz w:val="18"/>
          <w:szCs w:val="18"/>
        </w:rPr>
        <w:footnoteReference w:id="26"/>
      </w:r>
      <w:r w:rsidRPr="000C7CFA">
        <w:rPr>
          <w:rFonts w:ascii="Verdana" w:eastAsiaTheme="minorHAnsi" w:hAnsi="Verdana"/>
          <w:sz w:val="18"/>
          <w:szCs w:val="18"/>
        </w:rPr>
        <w:t xml:space="preserve"> (excluding </w:t>
      </w:r>
      <w:r w:rsidRPr="000C7CFA">
        <w:rPr>
          <w:rFonts w:ascii="Verdana" w:eastAsiaTheme="minorHAnsi" w:hAnsi="Verdana"/>
          <w:i/>
          <w:sz w:val="18"/>
          <w:szCs w:val="18"/>
        </w:rPr>
        <w:t>Mactra quadrangularis</w:t>
      </w:r>
      <w:r w:rsidRPr="000C7CFA">
        <w:rPr>
          <w:rFonts w:ascii="Verdana" w:eastAsiaTheme="minorHAnsi" w:hAnsi="Verdana"/>
          <w:sz w:val="18"/>
          <w:szCs w:val="18"/>
        </w:rPr>
        <w:t>, Goby and juvenile gulls on the basis of different carbon isotope ratios; it is not clear why juvenile gulls would be feeding on a different carbon source to the adult birds). Although TMFs above 1 were estimated for both Dechlorane Plus isomers, these were not statistically significant: TMF values were 2.2 for the syn- isomer (r</w:t>
      </w:r>
      <w:r w:rsidRPr="000C7CFA">
        <w:rPr>
          <w:rFonts w:ascii="Verdana" w:eastAsiaTheme="minorHAnsi" w:hAnsi="Verdana"/>
          <w:sz w:val="18"/>
          <w:szCs w:val="18"/>
          <w:vertAlign w:val="superscript"/>
        </w:rPr>
        <w:t>2</w:t>
      </w:r>
      <w:r w:rsidRPr="000C7CFA">
        <w:rPr>
          <w:rFonts w:ascii="Verdana" w:eastAsiaTheme="minorHAnsi" w:hAnsi="Verdana"/>
          <w:sz w:val="18"/>
          <w:szCs w:val="18"/>
        </w:rPr>
        <w:t xml:space="preserve"> = 0.05, </w:t>
      </w:r>
      <w:r w:rsidRPr="000C7CFA">
        <w:rPr>
          <w:rFonts w:ascii="Verdana" w:eastAsiaTheme="minorHAnsi" w:hAnsi="Verdana"/>
          <w:i/>
          <w:sz w:val="18"/>
          <w:szCs w:val="18"/>
        </w:rPr>
        <w:t>p</w:t>
      </w:r>
      <w:r w:rsidRPr="000C7CFA">
        <w:rPr>
          <w:rFonts w:ascii="Verdana" w:eastAsiaTheme="minorHAnsi" w:hAnsi="Verdana"/>
          <w:sz w:val="18"/>
          <w:szCs w:val="18"/>
        </w:rPr>
        <w:t xml:space="preserve"> = 0.43) and 1.6 for the anti- isomer (r</w:t>
      </w:r>
      <w:r w:rsidRPr="000C7CFA">
        <w:rPr>
          <w:rFonts w:ascii="Verdana" w:eastAsiaTheme="minorHAnsi" w:hAnsi="Verdana"/>
          <w:sz w:val="18"/>
          <w:szCs w:val="18"/>
          <w:vertAlign w:val="superscript"/>
        </w:rPr>
        <w:t>2</w:t>
      </w:r>
      <w:r w:rsidRPr="000C7CFA">
        <w:rPr>
          <w:rFonts w:ascii="Verdana" w:eastAsiaTheme="minorHAnsi" w:hAnsi="Verdana"/>
          <w:sz w:val="18"/>
          <w:szCs w:val="18"/>
        </w:rPr>
        <w:t xml:space="preserve"> = 0.03, </w:t>
      </w:r>
      <w:r w:rsidRPr="000C7CFA">
        <w:rPr>
          <w:rFonts w:ascii="Verdana" w:eastAsiaTheme="minorHAnsi" w:hAnsi="Verdana"/>
          <w:i/>
          <w:sz w:val="18"/>
          <w:szCs w:val="18"/>
        </w:rPr>
        <w:t>p</w:t>
      </w:r>
      <w:r w:rsidRPr="000C7CFA">
        <w:rPr>
          <w:rFonts w:ascii="Verdana" w:eastAsiaTheme="minorHAnsi" w:hAnsi="Verdana"/>
          <w:sz w:val="18"/>
          <w:szCs w:val="18"/>
        </w:rPr>
        <w:t xml:space="preserve"> = 0.54). The data for the anti- isomer are presented in Figure </w:t>
      </w:r>
      <w:r w:rsidR="00504011" w:rsidRPr="000C7CFA">
        <w:rPr>
          <w:rFonts w:ascii="Verdana" w:eastAsiaTheme="minorHAnsi" w:hAnsi="Verdana"/>
          <w:sz w:val="18"/>
          <w:szCs w:val="18"/>
        </w:rPr>
        <w:t>4</w:t>
      </w:r>
      <w:r w:rsidRPr="000C7CFA">
        <w:rPr>
          <w:rFonts w:ascii="Verdana" w:eastAsiaTheme="minorHAnsi" w:hAnsi="Verdana"/>
          <w:sz w:val="18"/>
          <w:szCs w:val="18"/>
        </w:rPr>
        <w:t xml:space="preserve"> as an example. </w:t>
      </w:r>
    </w:p>
    <w:p w14:paraId="24A45D1D" w14:textId="77777777" w:rsidR="00FA2BE0" w:rsidRPr="000C7CFA" w:rsidRDefault="00FA2BE0" w:rsidP="00FA2BE0">
      <w:pPr>
        <w:pStyle w:val="BodyText"/>
        <w:ind w:left="360" w:right="657"/>
        <w:rPr>
          <w:rFonts w:ascii="Verdana" w:eastAsiaTheme="minorHAnsi" w:hAnsi="Verdana"/>
          <w:sz w:val="18"/>
          <w:szCs w:val="18"/>
        </w:rPr>
      </w:pPr>
      <w:r w:rsidRPr="000C7CFA">
        <w:rPr>
          <w:rFonts w:ascii="Verdana" w:eastAsiaTheme="minorHAnsi" w:hAnsi="Verdana"/>
          <w:sz w:val="18"/>
          <w:szCs w:val="18"/>
        </w:rPr>
        <w:t>The TMF of anti-[DP-1Cl] was statistically significant, and estimated to be 5.6 (r</w:t>
      </w:r>
      <w:r w:rsidRPr="000C7CFA">
        <w:rPr>
          <w:rFonts w:ascii="Verdana" w:eastAsiaTheme="minorHAnsi" w:hAnsi="Verdana"/>
          <w:sz w:val="18"/>
          <w:szCs w:val="18"/>
          <w:vertAlign w:val="superscript"/>
        </w:rPr>
        <w:t>2</w:t>
      </w:r>
      <w:r w:rsidRPr="000C7CFA">
        <w:rPr>
          <w:rFonts w:ascii="Verdana" w:eastAsiaTheme="minorHAnsi" w:hAnsi="Verdana"/>
          <w:sz w:val="18"/>
          <w:szCs w:val="18"/>
        </w:rPr>
        <w:t xml:space="preserve"> = 0.52, </w:t>
      </w:r>
      <w:r w:rsidRPr="000C7CFA">
        <w:rPr>
          <w:rFonts w:ascii="Verdana" w:eastAsiaTheme="minorHAnsi" w:hAnsi="Verdana"/>
          <w:i/>
          <w:sz w:val="18"/>
          <w:szCs w:val="18"/>
        </w:rPr>
        <w:t>p</w:t>
      </w:r>
      <w:r w:rsidRPr="000C7CFA">
        <w:rPr>
          <w:rFonts w:ascii="Verdana" w:eastAsiaTheme="minorHAnsi" w:hAnsi="Verdana"/>
          <w:sz w:val="18"/>
          <w:szCs w:val="18"/>
        </w:rPr>
        <w:t xml:space="preserve"> = 0.004) when birds were included, or 4.1 (</w:t>
      </w:r>
      <w:r w:rsidRPr="000C7CFA">
        <w:rPr>
          <w:rFonts w:ascii="Verdana" w:eastAsiaTheme="minorHAnsi" w:hAnsi="Verdana"/>
          <w:i/>
          <w:sz w:val="18"/>
          <w:szCs w:val="18"/>
        </w:rPr>
        <w:t>p</w:t>
      </w:r>
      <w:r w:rsidRPr="000C7CFA">
        <w:rPr>
          <w:rFonts w:ascii="Verdana" w:eastAsiaTheme="minorHAnsi" w:hAnsi="Verdana"/>
          <w:sz w:val="18"/>
          <w:szCs w:val="18"/>
        </w:rPr>
        <w:t xml:space="preserve"> = 0.05) when birds were excluded. A TMF was not calculated for </w:t>
      </w:r>
      <w:r w:rsidRPr="000C7CFA">
        <w:rPr>
          <w:rFonts w:ascii="Verdana" w:hAnsi="Verdana"/>
          <w:color w:val="000000"/>
          <w:sz w:val="18"/>
          <w:szCs w:val="18"/>
        </w:rPr>
        <w:t>syn-</w:t>
      </w:r>
      <w:r w:rsidRPr="000C7CFA">
        <w:rPr>
          <w:rFonts w:ascii="Verdana" w:eastAsiaTheme="minorHAnsi" w:hAnsi="Verdana"/>
          <w:sz w:val="18"/>
          <w:szCs w:val="18"/>
        </w:rPr>
        <w:t xml:space="preserve">DP-1Cl due to the high number of non-detects. </w:t>
      </w:r>
    </w:p>
    <w:p w14:paraId="5094E45F" w14:textId="77777777" w:rsidR="00FA2BE0" w:rsidRPr="000C7CFA" w:rsidRDefault="00FA2BE0" w:rsidP="00FA2BE0">
      <w:pPr>
        <w:pStyle w:val="BodyText"/>
        <w:ind w:left="360" w:right="657"/>
        <w:rPr>
          <w:rFonts w:ascii="Verdana" w:hAnsi="Verdana"/>
          <w:sz w:val="18"/>
          <w:szCs w:val="18"/>
          <w:lang w:eastAsia="en-GB"/>
        </w:rPr>
      </w:pPr>
      <w:r w:rsidRPr="000C7CFA">
        <w:rPr>
          <w:rFonts w:ascii="Verdana" w:eastAsiaTheme="minorHAnsi" w:hAnsi="Verdana"/>
          <w:sz w:val="18"/>
          <w:szCs w:val="18"/>
        </w:rPr>
        <w:t>The study authors concluded that Dechlorane Plus did not biomagnify in this marine food web (believed to be due to low bioavailability), whereas biomagnification was observed for anti-[DP-1Cl]. However, sample numbers were very small, particularly for invertebrates and fish, and the measured</w:t>
      </w:r>
      <w:r w:rsidRPr="000C7CFA">
        <w:rPr>
          <w:rFonts w:ascii="Verdana" w:hAnsi="Verdana"/>
          <w:sz w:val="18"/>
          <w:szCs w:val="18"/>
          <w:lang w:eastAsia="en-GB"/>
        </w:rPr>
        <w:t xml:space="preserve"> concentrations were also relatively low in this marine environment (e.g. compared to studies from the Great Lakes region of North America, gull concentrations were at least an order of magnitude lower). Whole body concentrations were not reported (muscle only for fish and birds). Measured concentrations were also highly variable in many species and non-detects were assumed to be half the detection limit value, which could bias the mean concentrations in some cases. In addition, the relationship between the sampled species and sediment is uncertain (e.g. due to small and larger scale migratory movements).</w:t>
      </w:r>
    </w:p>
    <w:p w14:paraId="7B09EB3F" w14:textId="77777777" w:rsidR="00266B8C" w:rsidRPr="000C7CFA" w:rsidRDefault="00266B8C" w:rsidP="006B1498">
      <w:pPr>
        <w:pStyle w:val="BodyText"/>
        <w:ind w:left="360" w:right="657"/>
        <w:rPr>
          <w:rFonts w:ascii="Verdana" w:eastAsiaTheme="minorHAnsi" w:hAnsi="Verdana"/>
          <w:sz w:val="18"/>
          <w:szCs w:val="18"/>
        </w:rPr>
      </w:pPr>
    </w:p>
    <w:p w14:paraId="7BCF182C" w14:textId="77777777" w:rsidR="00007A38" w:rsidRPr="000C7CFA" w:rsidRDefault="00007A38">
      <w:pPr>
        <w:spacing w:after="0"/>
        <w:rPr>
          <w:rFonts w:ascii="Verdana" w:hAnsi="Verdana"/>
          <w:b/>
          <w:bCs/>
          <w:sz w:val="18"/>
          <w:szCs w:val="18"/>
          <w:lang w:val="en-GB"/>
        </w:rPr>
      </w:pPr>
      <w:r w:rsidRPr="000C7CFA">
        <w:rPr>
          <w:rFonts w:ascii="Verdana" w:hAnsi="Verdana"/>
          <w:b/>
          <w:sz w:val="18"/>
          <w:szCs w:val="18"/>
        </w:rPr>
        <w:br w:type="page"/>
      </w:r>
    </w:p>
    <w:p w14:paraId="4692CED1" w14:textId="51E2D7AD" w:rsidR="00E85E5D" w:rsidRPr="000C7CFA" w:rsidRDefault="00410A2A" w:rsidP="00FA2BE0">
      <w:pPr>
        <w:pStyle w:val="Caption"/>
        <w:ind w:left="1418" w:hanging="1361"/>
        <w:rPr>
          <w:rFonts w:ascii="Verdana" w:hAnsi="Verdana"/>
          <w:b/>
          <w:sz w:val="18"/>
          <w:szCs w:val="18"/>
        </w:rPr>
      </w:pPr>
      <w:bookmarkStart w:id="71" w:name="_Toc489434278"/>
      <w:r w:rsidRPr="000C7CFA">
        <w:rPr>
          <w:rFonts w:ascii="Verdana" w:hAnsi="Verdana"/>
          <w:b/>
          <w:sz w:val="18"/>
          <w:szCs w:val="18"/>
        </w:rPr>
        <w:lastRenderedPageBreak/>
        <w:t xml:space="preserve">Figure </w:t>
      </w:r>
      <w:r w:rsidR="0005445F" w:rsidRPr="000C7CFA">
        <w:rPr>
          <w:rFonts w:ascii="Verdana" w:hAnsi="Verdana"/>
          <w:b/>
          <w:sz w:val="18"/>
          <w:szCs w:val="18"/>
        </w:rPr>
        <w:fldChar w:fldCharType="begin"/>
      </w:r>
      <w:r w:rsidR="0005445F" w:rsidRPr="000C7CFA">
        <w:rPr>
          <w:rFonts w:ascii="Verdana" w:hAnsi="Verdana"/>
          <w:b/>
          <w:sz w:val="18"/>
          <w:szCs w:val="18"/>
        </w:rPr>
        <w:instrText xml:space="preserve"> SEQ Figure \* ARABIC </w:instrText>
      </w:r>
      <w:r w:rsidR="0005445F" w:rsidRPr="000C7CFA">
        <w:rPr>
          <w:rFonts w:ascii="Verdana" w:hAnsi="Verdana"/>
          <w:b/>
          <w:sz w:val="18"/>
          <w:szCs w:val="18"/>
        </w:rPr>
        <w:fldChar w:fldCharType="separate"/>
      </w:r>
      <w:r w:rsidR="00BA2885" w:rsidRPr="000C7CFA">
        <w:rPr>
          <w:rFonts w:ascii="Verdana" w:hAnsi="Verdana"/>
          <w:b/>
          <w:noProof/>
          <w:sz w:val="18"/>
          <w:szCs w:val="18"/>
        </w:rPr>
        <w:t>4</w:t>
      </w:r>
      <w:r w:rsidR="0005445F" w:rsidRPr="000C7CFA">
        <w:rPr>
          <w:rFonts w:ascii="Verdana" w:hAnsi="Verdana"/>
          <w:b/>
          <w:noProof/>
          <w:sz w:val="18"/>
          <w:szCs w:val="18"/>
        </w:rPr>
        <w:fldChar w:fldCharType="end"/>
      </w:r>
      <w:r w:rsidR="00E85E5D" w:rsidRPr="000C7CFA">
        <w:rPr>
          <w:rFonts w:ascii="Verdana" w:hAnsi="Verdana"/>
          <w:b/>
          <w:sz w:val="18"/>
          <w:szCs w:val="18"/>
        </w:rPr>
        <w:t xml:space="preserve">: </w:t>
      </w:r>
      <w:r w:rsidR="00E85E5D" w:rsidRPr="000C7CFA">
        <w:rPr>
          <w:rFonts w:ascii="Verdana" w:hAnsi="Verdana"/>
          <w:b/>
          <w:sz w:val="18"/>
          <w:szCs w:val="18"/>
        </w:rPr>
        <w:tab/>
      </w:r>
      <w:r w:rsidR="00006A75" w:rsidRPr="000C7CFA">
        <w:rPr>
          <w:rFonts w:ascii="Verdana" w:hAnsi="Verdana"/>
          <w:b/>
          <w:sz w:val="18"/>
          <w:szCs w:val="18"/>
        </w:rPr>
        <w:t>Regressions between trophic level and concentrations of anti-Dechlorane Plus in aquatic species</w:t>
      </w:r>
      <w:r w:rsidR="00591815" w:rsidRPr="000C7CFA">
        <w:rPr>
          <w:rFonts w:ascii="Verdana" w:hAnsi="Verdana"/>
          <w:sz w:val="18"/>
          <w:szCs w:val="18"/>
        </w:rPr>
        <w:t xml:space="preserve"> </w:t>
      </w:r>
      <w:r w:rsidR="00591815" w:rsidRPr="000C7CFA">
        <w:rPr>
          <w:rFonts w:ascii="Verdana" w:hAnsi="Verdana"/>
          <w:b/>
          <w:sz w:val="18"/>
          <w:szCs w:val="18"/>
        </w:rPr>
        <w:t>in a Chinese marine food web</w:t>
      </w:r>
      <w:r w:rsidR="00006A75" w:rsidRPr="000C7CFA">
        <w:rPr>
          <w:rFonts w:ascii="Verdana" w:hAnsi="Verdana"/>
          <w:b/>
          <w:sz w:val="18"/>
          <w:szCs w:val="18"/>
        </w:rPr>
        <w:t xml:space="preserve"> (error bars represent ± 1 standard error)</w:t>
      </w:r>
      <w:bookmarkEnd w:id="71"/>
    </w:p>
    <w:p w14:paraId="0914F661" w14:textId="07B27E4B" w:rsidR="00590B1C" w:rsidRPr="000C7CFA" w:rsidRDefault="00E84FC4" w:rsidP="00590B1C">
      <w:pPr>
        <w:pStyle w:val="BodyText"/>
        <w:ind w:left="360" w:right="657"/>
        <w:rPr>
          <w:rFonts w:ascii="Verdana" w:eastAsiaTheme="minorHAnsi" w:hAnsi="Verdana"/>
          <w:sz w:val="18"/>
          <w:szCs w:val="18"/>
        </w:rPr>
      </w:pPr>
      <w:r w:rsidRPr="000C7CFA">
        <w:rPr>
          <w:rFonts w:ascii="Verdana" w:eastAsiaTheme="minorHAnsi" w:hAnsi="Verdana"/>
          <w:noProof/>
          <w:sz w:val="18"/>
          <w:szCs w:val="18"/>
          <w:lang w:eastAsia="en-GB"/>
        </w:rPr>
        <w:drawing>
          <wp:anchor distT="0" distB="0" distL="114300" distR="114300" simplePos="0" relativeHeight="251646976" behindDoc="1" locked="0" layoutInCell="1" allowOverlap="1" wp14:anchorId="4409016D" wp14:editId="27F16F00">
            <wp:simplePos x="0" y="0"/>
            <wp:positionH relativeFrom="column">
              <wp:posOffset>1228725</wp:posOffset>
            </wp:positionH>
            <wp:positionV relativeFrom="paragraph">
              <wp:posOffset>84785</wp:posOffset>
            </wp:positionV>
            <wp:extent cx="3319145" cy="2421890"/>
            <wp:effectExtent l="0" t="0" r="0" b="0"/>
            <wp:wrapTight wrapText="bothSides">
              <wp:wrapPolygon edited="0">
                <wp:start x="0" y="0"/>
                <wp:lineTo x="0" y="21407"/>
                <wp:lineTo x="21447" y="21407"/>
                <wp:lineTo x="21447" y="0"/>
                <wp:lineTo x="0" y="0"/>
              </wp:wrapPolygon>
            </wp:wrapTight>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50878" t="47884" b="5291"/>
                    <a:stretch>
                      <a:fillRect/>
                    </a:stretch>
                  </pic:blipFill>
                  <pic:spPr bwMode="auto">
                    <a:xfrm>
                      <a:off x="0" y="0"/>
                      <a:ext cx="3319145" cy="2421890"/>
                    </a:xfrm>
                    <a:prstGeom prst="rect">
                      <a:avLst/>
                    </a:prstGeom>
                    <a:noFill/>
                    <a:ln w="9525">
                      <a:noFill/>
                      <a:miter lim="800000"/>
                      <a:headEnd/>
                      <a:tailEnd/>
                    </a:ln>
                  </pic:spPr>
                </pic:pic>
              </a:graphicData>
            </a:graphic>
          </wp:anchor>
        </w:drawing>
      </w:r>
      <w:r w:rsidR="00FB5D91" w:rsidRPr="000C7CFA">
        <w:rPr>
          <w:rFonts w:ascii="Verdana" w:eastAsiaTheme="minorHAnsi" w:hAnsi="Verdana"/>
          <w:noProof/>
          <w:sz w:val="18"/>
          <w:szCs w:val="18"/>
          <w:lang w:eastAsia="en-GB"/>
        </w:rPr>
        <w:drawing>
          <wp:anchor distT="0" distB="0" distL="114300" distR="114300" simplePos="0" relativeHeight="251645952" behindDoc="1" locked="0" layoutInCell="1" allowOverlap="1" wp14:anchorId="090EB9AF" wp14:editId="7EBCF07D">
            <wp:simplePos x="0" y="0"/>
            <wp:positionH relativeFrom="column">
              <wp:posOffset>889635</wp:posOffset>
            </wp:positionH>
            <wp:positionV relativeFrom="paragraph">
              <wp:posOffset>257175</wp:posOffset>
            </wp:positionV>
            <wp:extent cx="258445" cy="1777365"/>
            <wp:effectExtent l="19050" t="0" r="8255" b="0"/>
            <wp:wrapTight wrapText="bothSides">
              <wp:wrapPolygon edited="0">
                <wp:start x="-1592" y="0"/>
                <wp:lineTo x="-1592" y="21299"/>
                <wp:lineTo x="22290" y="21299"/>
                <wp:lineTo x="22290" y="0"/>
                <wp:lineTo x="-1592" y="0"/>
              </wp:wrapPolygon>
            </wp:wrapTight>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1472" t="3454" r="94232" b="57457"/>
                    <a:stretch>
                      <a:fillRect/>
                    </a:stretch>
                  </pic:blipFill>
                  <pic:spPr bwMode="auto">
                    <a:xfrm>
                      <a:off x="0" y="0"/>
                      <a:ext cx="258445" cy="1777365"/>
                    </a:xfrm>
                    <a:prstGeom prst="rect">
                      <a:avLst/>
                    </a:prstGeom>
                    <a:noFill/>
                    <a:ln w="9525">
                      <a:noFill/>
                      <a:miter lim="800000"/>
                      <a:headEnd/>
                      <a:tailEnd/>
                    </a:ln>
                  </pic:spPr>
                </pic:pic>
              </a:graphicData>
            </a:graphic>
          </wp:anchor>
        </w:drawing>
      </w:r>
    </w:p>
    <w:p w14:paraId="043CA189" w14:textId="77777777" w:rsidR="00590B1C" w:rsidRPr="000C7CFA" w:rsidRDefault="00590B1C" w:rsidP="00590B1C">
      <w:pPr>
        <w:pStyle w:val="BodyText"/>
        <w:ind w:left="360" w:right="657"/>
        <w:jc w:val="center"/>
        <w:rPr>
          <w:rFonts w:ascii="Verdana" w:eastAsiaTheme="minorHAnsi" w:hAnsi="Verdana"/>
          <w:sz w:val="18"/>
          <w:szCs w:val="18"/>
        </w:rPr>
      </w:pPr>
    </w:p>
    <w:p w14:paraId="250DC463" w14:textId="77777777" w:rsidR="00590B1C" w:rsidRPr="000C7CFA" w:rsidRDefault="00590B1C" w:rsidP="00590B1C">
      <w:pPr>
        <w:pStyle w:val="BodyText"/>
        <w:ind w:left="360" w:right="657"/>
        <w:jc w:val="center"/>
        <w:rPr>
          <w:rFonts w:ascii="Verdana" w:eastAsiaTheme="minorHAnsi" w:hAnsi="Verdana"/>
          <w:sz w:val="18"/>
          <w:szCs w:val="18"/>
        </w:rPr>
      </w:pPr>
    </w:p>
    <w:p w14:paraId="1C33C59C" w14:textId="77777777" w:rsidR="00590B1C" w:rsidRPr="000C7CFA" w:rsidRDefault="00590B1C" w:rsidP="00590B1C">
      <w:pPr>
        <w:pStyle w:val="BodyText"/>
        <w:ind w:left="360" w:right="657"/>
        <w:rPr>
          <w:rFonts w:ascii="Verdana" w:eastAsiaTheme="minorHAnsi" w:hAnsi="Verdana"/>
          <w:sz w:val="18"/>
          <w:szCs w:val="18"/>
        </w:rPr>
      </w:pPr>
    </w:p>
    <w:p w14:paraId="0930BBA1" w14:textId="77777777" w:rsidR="00590B1C" w:rsidRPr="000C7CFA" w:rsidRDefault="00590B1C" w:rsidP="00590B1C">
      <w:pPr>
        <w:pStyle w:val="BodyText"/>
        <w:ind w:left="360" w:right="657"/>
        <w:rPr>
          <w:rFonts w:ascii="Verdana" w:eastAsiaTheme="minorHAnsi" w:hAnsi="Verdana"/>
          <w:sz w:val="18"/>
          <w:szCs w:val="18"/>
        </w:rPr>
      </w:pPr>
    </w:p>
    <w:p w14:paraId="2D9ACDAE" w14:textId="77777777" w:rsidR="00590B1C" w:rsidRPr="000C7CFA" w:rsidRDefault="00590B1C" w:rsidP="00590B1C">
      <w:pPr>
        <w:pStyle w:val="BodyText"/>
        <w:ind w:left="360" w:right="657"/>
        <w:rPr>
          <w:rFonts w:ascii="Verdana" w:eastAsiaTheme="minorHAnsi" w:hAnsi="Verdana"/>
          <w:sz w:val="18"/>
          <w:szCs w:val="18"/>
        </w:rPr>
      </w:pPr>
    </w:p>
    <w:p w14:paraId="26D15CE9" w14:textId="77777777" w:rsidR="00590B1C" w:rsidRPr="000C7CFA" w:rsidRDefault="00590B1C" w:rsidP="00590B1C">
      <w:pPr>
        <w:pStyle w:val="BodyText"/>
        <w:ind w:left="360" w:right="657"/>
        <w:rPr>
          <w:rFonts w:ascii="Verdana" w:eastAsiaTheme="minorHAnsi" w:hAnsi="Verdana"/>
          <w:sz w:val="18"/>
          <w:szCs w:val="18"/>
        </w:rPr>
      </w:pPr>
    </w:p>
    <w:p w14:paraId="48E6222C" w14:textId="77777777" w:rsidR="00590B1C" w:rsidRPr="000C7CFA" w:rsidRDefault="00590B1C" w:rsidP="00590B1C">
      <w:pPr>
        <w:pStyle w:val="BodyText"/>
        <w:ind w:left="360" w:right="657"/>
        <w:rPr>
          <w:rFonts w:ascii="Verdana" w:eastAsiaTheme="minorHAnsi" w:hAnsi="Verdana"/>
          <w:sz w:val="18"/>
          <w:szCs w:val="18"/>
        </w:rPr>
      </w:pPr>
    </w:p>
    <w:p w14:paraId="3FB9CF6C" w14:textId="1A914D6F" w:rsidR="00FB5D91" w:rsidRPr="000C7CFA" w:rsidRDefault="00FB5D91" w:rsidP="00FB5D91">
      <w:pPr>
        <w:pStyle w:val="BodyText"/>
        <w:ind w:left="360" w:right="657"/>
        <w:rPr>
          <w:rFonts w:ascii="Verdana" w:eastAsiaTheme="minorHAnsi" w:hAnsi="Verdana"/>
          <w:sz w:val="18"/>
          <w:szCs w:val="18"/>
        </w:rPr>
      </w:pPr>
      <w:r w:rsidRPr="000C7CFA">
        <w:rPr>
          <w:rFonts w:ascii="Verdana" w:eastAsiaTheme="minorHAnsi" w:hAnsi="Verdana"/>
          <w:noProof/>
          <w:sz w:val="18"/>
          <w:szCs w:val="18"/>
          <w:lang w:eastAsia="en-GB"/>
        </w:rPr>
        <w:drawing>
          <wp:anchor distT="0" distB="0" distL="114300" distR="114300" simplePos="0" relativeHeight="251648000" behindDoc="1" locked="0" layoutInCell="1" allowOverlap="1" wp14:anchorId="19133B47" wp14:editId="11D5C8F8">
            <wp:simplePos x="0" y="0"/>
            <wp:positionH relativeFrom="column">
              <wp:posOffset>2392045</wp:posOffset>
            </wp:positionH>
            <wp:positionV relativeFrom="paragraph">
              <wp:posOffset>165100</wp:posOffset>
            </wp:positionV>
            <wp:extent cx="865505" cy="241300"/>
            <wp:effectExtent l="19050" t="0" r="0" b="0"/>
            <wp:wrapTight wrapText="bothSides">
              <wp:wrapPolygon edited="0">
                <wp:start x="-475" y="0"/>
                <wp:lineTo x="-475" y="20463"/>
                <wp:lineTo x="21394" y="20463"/>
                <wp:lineTo x="21394" y="0"/>
                <wp:lineTo x="-475" y="0"/>
              </wp:wrapPolygon>
            </wp:wrapTight>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44493" t="94662" r="40906"/>
                    <a:stretch>
                      <a:fillRect/>
                    </a:stretch>
                  </pic:blipFill>
                  <pic:spPr bwMode="auto">
                    <a:xfrm>
                      <a:off x="0" y="0"/>
                      <a:ext cx="865505" cy="241300"/>
                    </a:xfrm>
                    <a:prstGeom prst="rect">
                      <a:avLst/>
                    </a:prstGeom>
                    <a:noFill/>
                    <a:ln w="9525">
                      <a:noFill/>
                      <a:miter lim="800000"/>
                      <a:headEnd/>
                      <a:tailEnd/>
                    </a:ln>
                  </pic:spPr>
                </pic:pic>
              </a:graphicData>
            </a:graphic>
          </wp:anchor>
        </w:drawing>
      </w:r>
    </w:p>
    <w:p w14:paraId="743C0965" w14:textId="77777777" w:rsidR="00E84FC4" w:rsidRPr="000C7CFA" w:rsidRDefault="00E84FC4" w:rsidP="00FB5D91">
      <w:pPr>
        <w:pStyle w:val="BodyText"/>
        <w:ind w:left="1800" w:right="657" w:firstLine="360"/>
        <w:rPr>
          <w:rFonts w:ascii="Verdana" w:eastAsiaTheme="minorHAnsi" w:hAnsi="Verdana"/>
          <w:sz w:val="18"/>
          <w:szCs w:val="18"/>
        </w:rPr>
      </w:pPr>
    </w:p>
    <w:p w14:paraId="5657291E" w14:textId="77777777" w:rsidR="00590B1C" w:rsidRPr="000C7CFA" w:rsidRDefault="00590B1C" w:rsidP="00FB5D91">
      <w:pPr>
        <w:pStyle w:val="BodyText"/>
        <w:ind w:left="1800" w:right="657" w:firstLine="360"/>
        <w:rPr>
          <w:rFonts w:ascii="Verdana" w:eastAsiaTheme="minorHAnsi" w:hAnsi="Verdana"/>
          <w:sz w:val="18"/>
          <w:szCs w:val="18"/>
        </w:rPr>
      </w:pPr>
      <w:r w:rsidRPr="000C7CFA">
        <w:rPr>
          <w:rFonts w:ascii="Verdana" w:eastAsiaTheme="minorHAnsi" w:hAnsi="Verdana"/>
          <w:sz w:val="18"/>
          <w:szCs w:val="18"/>
        </w:rPr>
        <w:t xml:space="preserve">Note: J-LC </w:t>
      </w:r>
      <w:r w:rsidRPr="000C7CFA">
        <w:rPr>
          <w:rFonts w:ascii="Verdana" w:eastAsiaTheme="minorHAnsi" w:hAnsi="Verdana" w:cs="AdvOT2e364b11"/>
          <w:sz w:val="18"/>
          <w:szCs w:val="18"/>
        </w:rPr>
        <w:t>= juvenile Black-tailed Gull</w:t>
      </w:r>
    </w:p>
    <w:p w14:paraId="68D1374B" w14:textId="77777777" w:rsidR="003E7741" w:rsidRPr="000C7CFA" w:rsidRDefault="003E7741" w:rsidP="003E7741">
      <w:pPr>
        <w:autoSpaceDE w:val="0"/>
        <w:autoSpaceDN w:val="0"/>
        <w:adjustRightInd w:val="0"/>
        <w:spacing w:after="0"/>
        <w:ind w:left="1134" w:right="657"/>
        <w:jc w:val="center"/>
        <w:rPr>
          <w:rFonts w:ascii="Verdana" w:hAnsi="Verdana"/>
          <w:b/>
          <w:sz w:val="18"/>
          <w:szCs w:val="18"/>
          <w:lang w:val="en-GB"/>
        </w:rPr>
      </w:pPr>
      <w:r w:rsidRPr="000C7CFA">
        <w:rPr>
          <w:rFonts w:ascii="Verdana" w:hAnsi="Verdana"/>
          <w:b/>
          <w:sz w:val="18"/>
          <w:szCs w:val="18"/>
          <w:lang w:val="en-GB"/>
        </w:rPr>
        <w:t>(</w:t>
      </w:r>
      <w:proofErr w:type="gramStart"/>
      <w:r w:rsidRPr="000C7CFA">
        <w:rPr>
          <w:rFonts w:ascii="Verdana" w:hAnsi="Verdana"/>
          <w:b/>
          <w:sz w:val="18"/>
          <w:szCs w:val="18"/>
          <w:lang w:val="en-GB"/>
        </w:rPr>
        <w:t>reprinted</w:t>
      </w:r>
      <w:proofErr w:type="gramEnd"/>
      <w:r w:rsidRPr="000C7CFA">
        <w:rPr>
          <w:rFonts w:ascii="Verdana" w:hAnsi="Verdana"/>
          <w:b/>
          <w:sz w:val="18"/>
          <w:szCs w:val="18"/>
          <w:lang w:val="en-GB"/>
        </w:rPr>
        <w:t xml:space="preserve"> with permission from Peng</w:t>
      </w:r>
      <w:r w:rsidRPr="000C7CFA">
        <w:rPr>
          <w:rFonts w:ascii="Verdana" w:hAnsi="Verdana"/>
          <w:b/>
          <w:sz w:val="18"/>
          <w:szCs w:val="18"/>
        </w:rPr>
        <w:t xml:space="preserve"> </w:t>
      </w:r>
      <w:r w:rsidRPr="000C7CFA">
        <w:rPr>
          <w:rFonts w:ascii="Verdana" w:hAnsi="Verdana"/>
          <w:b/>
          <w:i/>
          <w:sz w:val="18"/>
          <w:szCs w:val="18"/>
        </w:rPr>
        <w:t>et al</w:t>
      </w:r>
      <w:r w:rsidRPr="000C7CFA">
        <w:rPr>
          <w:rFonts w:ascii="Verdana" w:hAnsi="Verdana"/>
          <w:b/>
          <w:sz w:val="18"/>
          <w:szCs w:val="18"/>
        </w:rPr>
        <w:t>. (2014). Copyright 2014: American Chemical Society</w:t>
      </w:r>
      <w:r w:rsidRPr="000C7CFA">
        <w:rPr>
          <w:rFonts w:ascii="Verdana" w:hAnsi="Verdana"/>
          <w:b/>
          <w:sz w:val="18"/>
          <w:szCs w:val="18"/>
          <w:lang w:val="en-GB"/>
        </w:rPr>
        <w:t>)</w:t>
      </w:r>
    </w:p>
    <w:p w14:paraId="3D431874" w14:textId="77777777" w:rsidR="003E7741" w:rsidRPr="000C7CFA" w:rsidRDefault="003E7741" w:rsidP="003E7741">
      <w:pPr>
        <w:autoSpaceDE w:val="0"/>
        <w:autoSpaceDN w:val="0"/>
        <w:adjustRightInd w:val="0"/>
        <w:spacing w:after="0"/>
        <w:ind w:left="1134" w:right="657"/>
        <w:jc w:val="center"/>
        <w:rPr>
          <w:rFonts w:ascii="Verdana" w:hAnsi="Verdana"/>
          <w:b/>
          <w:sz w:val="18"/>
          <w:szCs w:val="18"/>
          <w:lang w:val="en-GB"/>
        </w:rPr>
      </w:pPr>
    </w:p>
    <w:p w14:paraId="520DFCAC" w14:textId="5A3984C5" w:rsidR="00590B1C" w:rsidRPr="000C7CFA" w:rsidRDefault="00FE6879" w:rsidP="00590B1C">
      <w:pPr>
        <w:pStyle w:val="BodyText"/>
        <w:ind w:left="360" w:right="657"/>
        <w:rPr>
          <w:rFonts w:ascii="Verdana" w:hAnsi="Verdana"/>
          <w:sz w:val="18"/>
          <w:szCs w:val="18"/>
          <w:lang w:eastAsia="en-GB"/>
        </w:rPr>
      </w:pPr>
      <w:r w:rsidRPr="000C7CFA">
        <w:rPr>
          <w:rFonts w:ascii="Verdana" w:hAnsi="Verdana"/>
          <w:sz w:val="18"/>
          <w:szCs w:val="18"/>
          <w:lang w:eastAsia="en-GB"/>
        </w:rPr>
        <w:t>Overall,</w:t>
      </w:r>
      <w:r w:rsidR="00590B1C" w:rsidRPr="000C7CFA">
        <w:rPr>
          <w:rFonts w:ascii="Verdana" w:hAnsi="Verdana"/>
          <w:sz w:val="18"/>
          <w:szCs w:val="18"/>
          <w:lang w:eastAsia="en-GB"/>
        </w:rPr>
        <w:t xml:space="preserve"> the study is of limited usefulness as the representivity of the data is not known, and the reliability of conclusions based on mean concentrations is highly uncertain. </w:t>
      </w:r>
      <w:r w:rsidR="005B6B2B" w:rsidRPr="000C7CFA">
        <w:rPr>
          <w:rFonts w:ascii="Verdana" w:hAnsi="Verdana"/>
          <w:sz w:val="18"/>
          <w:szCs w:val="18"/>
          <w:lang w:eastAsia="en-GB"/>
        </w:rPr>
        <w:t>I</w:t>
      </w:r>
      <w:r w:rsidR="00590B1C" w:rsidRPr="000C7CFA">
        <w:rPr>
          <w:rFonts w:ascii="Verdana" w:hAnsi="Verdana"/>
          <w:sz w:val="18"/>
          <w:szCs w:val="18"/>
          <w:lang w:eastAsia="en-GB"/>
        </w:rPr>
        <w:t>nstead</w:t>
      </w:r>
      <w:r w:rsidR="005B6B2B" w:rsidRPr="000C7CFA">
        <w:rPr>
          <w:rFonts w:ascii="Verdana" w:hAnsi="Verdana"/>
          <w:sz w:val="18"/>
          <w:szCs w:val="18"/>
          <w:lang w:eastAsia="en-GB"/>
        </w:rPr>
        <w:t xml:space="preserve"> it should be</w:t>
      </w:r>
      <w:r w:rsidR="00590B1C" w:rsidRPr="000C7CFA">
        <w:rPr>
          <w:rFonts w:ascii="Verdana" w:hAnsi="Verdana"/>
          <w:sz w:val="18"/>
          <w:szCs w:val="18"/>
          <w:lang w:eastAsia="en-GB"/>
        </w:rPr>
        <w:t xml:space="preserve"> note</w:t>
      </w:r>
      <w:r w:rsidR="005B6B2B" w:rsidRPr="000C7CFA">
        <w:rPr>
          <w:rFonts w:ascii="Verdana" w:hAnsi="Verdana"/>
          <w:sz w:val="18"/>
          <w:szCs w:val="18"/>
          <w:lang w:eastAsia="en-GB"/>
        </w:rPr>
        <w:t>d</w:t>
      </w:r>
      <w:r w:rsidR="00590B1C" w:rsidRPr="000C7CFA">
        <w:rPr>
          <w:rFonts w:ascii="Verdana" w:hAnsi="Verdana"/>
          <w:sz w:val="18"/>
          <w:szCs w:val="18"/>
          <w:lang w:eastAsia="en-GB"/>
        </w:rPr>
        <w:t xml:space="preserve"> that:</w:t>
      </w:r>
    </w:p>
    <w:p w14:paraId="7DA326DA" w14:textId="77777777" w:rsidR="00590B1C" w:rsidRPr="000C7CFA" w:rsidRDefault="00590B1C" w:rsidP="00DC3658">
      <w:pPr>
        <w:pStyle w:val="BodyText"/>
        <w:numPr>
          <w:ilvl w:val="0"/>
          <w:numId w:val="13"/>
        </w:numPr>
        <w:ind w:right="657"/>
        <w:rPr>
          <w:rFonts w:ascii="Verdana" w:hAnsi="Verdana"/>
          <w:sz w:val="18"/>
          <w:szCs w:val="18"/>
          <w:lang w:eastAsia="en-GB"/>
        </w:rPr>
      </w:pPr>
      <w:r w:rsidRPr="000C7CFA">
        <w:rPr>
          <w:rFonts w:ascii="Verdana" w:hAnsi="Verdana"/>
          <w:sz w:val="18"/>
          <w:szCs w:val="18"/>
          <w:lang w:eastAsia="en-GB"/>
        </w:rPr>
        <w:t>Dechlorane Plus was found in all species in this marine food web</w:t>
      </w:r>
      <w:r w:rsidR="000D69BF" w:rsidRPr="000C7CFA">
        <w:rPr>
          <w:rFonts w:ascii="Verdana" w:hAnsi="Verdana"/>
          <w:sz w:val="18"/>
          <w:szCs w:val="18"/>
          <w:lang w:eastAsia="en-GB"/>
        </w:rPr>
        <w:t>, despite the presumably high dilution available in the water column</w:t>
      </w:r>
      <w:r w:rsidRPr="000C7CFA">
        <w:rPr>
          <w:rFonts w:ascii="Verdana" w:hAnsi="Verdana"/>
          <w:sz w:val="18"/>
          <w:szCs w:val="18"/>
          <w:lang w:eastAsia="en-GB"/>
        </w:rPr>
        <w:t xml:space="preserve">. </w:t>
      </w:r>
    </w:p>
    <w:p w14:paraId="77166743" w14:textId="77777777" w:rsidR="00590B1C" w:rsidRPr="000C7CFA" w:rsidRDefault="00590B1C" w:rsidP="00DC3658">
      <w:pPr>
        <w:pStyle w:val="BodyText"/>
        <w:numPr>
          <w:ilvl w:val="0"/>
          <w:numId w:val="13"/>
        </w:numPr>
        <w:ind w:right="657"/>
        <w:rPr>
          <w:rFonts w:ascii="Verdana" w:hAnsi="Verdana"/>
          <w:sz w:val="18"/>
          <w:szCs w:val="18"/>
          <w:lang w:eastAsia="en-GB"/>
        </w:rPr>
      </w:pPr>
      <w:r w:rsidRPr="000C7CFA">
        <w:rPr>
          <w:rFonts w:ascii="Verdana" w:hAnsi="Verdana"/>
          <w:sz w:val="18"/>
          <w:szCs w:val="18"/>
          <w:lang w:eastAsia="en-GB"/>
        </w:rPr>
        <w:t xml:space="preserve">The highest lipid weight concentration of both isomers </w:t>
      </w:r>
      <w:r w:rsidR="000D69BF" w:rsidRPr="000C7CFA">
        <w:rPr>
          <w:rFonts w:ascii="Verdana" w:hAnsi="Verdana"/>
          <w:sz w:val="18"/>
          <w:szCs w:val="18"/>
          <w:lang w:eastAsia="en-GB"/>
        </w:rPr>
        <w:t>combined</w:t>
      </w:r>
      <w:r w:rsidRPr="000C7CFA">
        <w:rPr>
          <w:rFonts w:ascii="Verdana" w:hAnsi="Verdana"/>
          <w:sz w:val="18"/>
          <w:szCs w:val="18"/>
          <w:lang w:eastAsia="en-GB"/>
        </w:rPr>
        <w:t xml:space="preserve"> was found in a fish species (Goby) that did not appear to be feeding on the same carbon sources as the other species in the food web.</w:t>
      </w:r>
    </w:p>
    <w:p w14:paraId="31846F19" w14:textId="1FF637D5" w:rsidR="00590B1C" w:rsidRPr="000C7CFA" w:rsidRDefault="000D69BF" w:rsidP="00DC3658">
      <w:pPr>
        <w:pStyle w:val="BodyText"/>
        <w:numPr>
          <w:ilvl w:val="0"/>
          <w:numId w:val="13"/>
        </w:numPr>
        <w:ind w:right="657"/>
        <w:rPr>
          <w:rFonts w:ascii="Verdana" w:hAnsi="Verdana"/>
          <w:sz w:val="18"/>
          <w:szCs w:val="18"/>
          <w:lang w:eastAsia="en-GB"/>
        </w:rPr>
      </w:pPr>
      <w:r w:rsidRPr="000C7CFA">
        <w:rPr>
          <w:rFonts w:ascii="Verdana" w:hAnsi="Verdana"/>
          <w:sz w:val="18"/>
          <w:szCs w:val="18"/>
          <w:lang w:eastAsia="en-GB"/>
        </w:rPr>
        <w:t>There appears to be a</w:t>
      </w:r>
      <w:r w:rsidR="00590B1C" w:rsidRPr="000C7CFA">
        <w:rPr>
          <w:rFonts w:ascii="Verdana" w:hAnsi="Verdana"/>
          <w:sz w:val="18"/>
          <w:szCs w:val="18"/>
          <w:lang w:eastAsia="en-GB"/>
        </w:rPr>
        <w:t xml:space="preserve"> trend </w:t>
      </w:r>
      <w:r w:rsidRPr="000C7CFA">
        <w:rPr>
          <w:rFonts w:ascii="Verdana" w:hAnsi="Verdana"/>
          <w:sz w:val="18"/>
          <w:szCs w:val="18"/>
          <w:lang w:eastAsia="en-GB"/>
        </w:rPr>
        <w:t>of</w:t>
      </w:r>
      <w:r w:rsidR="00590B1C" w:rsidRPr="000C7CFA">
        <w:rPr>
          <w:rFonts w:ascii="Verdana" w:hAnsi="Verdana"/>
          <w:sz w:val="18"/>
          <w:szCs w:val="18"/>
          <w:lang w:eastAsia="en-GB"/>
        </w:rPr>
        <w:t xml:space="preserve"> increasing concentrations of the anti- isomer with trophic level in fish species</w:t>
      </w:r>
      <w:r w:rsidR="000A2D21" w:rsidRPr="000C7CFA">
        <w:rPr>
          <w:rFonts w:ascii="Verdana" w:hAnsi="Verdana"/>
          <w:sz w:val="18"/>
          <w:szCs w:val="18"/>
          <w:lang w:eastAsia="en-GB"/>
        </w:rPr>
        <w:t xml:space="preserve"> (see Figure </w:t>
      </w:r>
      <w:r w:rsidR="00504011" w:rsidRPr="000C7CFA">
        <w:rPr>
          <w:rFonts w:ascii="Verdana" w:hAnsi="Verdana"/>
          <w:sz w:val="18"/>
          <w:szCs w:val="18"/>
          <w:lang w:eastAsia="en-GB"/>
        </w:rPr>
        <w:t>4</w:t>
      </w:r>
      <w:r w:rsidR="000A2D21" w:rsidRPr="000C7CFA">
        <w:rPr>
          <w:rFonts w:ascii="Verdana" w:hAnsi="Verdana"/>
          <w:sz w:val="18"/>
          <w:szCs w:val="18"/>
          <w:lang w:eastAsia="en-GB"/>
        </w:rPr>
        <w:t>)</w:t>
      </w:r>
      <w:r w:rsidR="00590B1C" w:rsidRPr="000C7CFA">
        <w:rPr>
          <w:rFonts w:ascii="Verdana" w:hAnsi="Verdana"/>
          <w:sz w:val="18"/>
          <w:szCs w:val="18"/>
          <w:lang w:eastAsia="en-GB"/>
        </w:rPr>
        <w:t xml:space="preserve">. </w:t>
      </w:r>
    </w:p>
    <w:p w14:paraId="40A6F25D" w14:textId="77777777" w:rsidR="00590B1C" w:rsidRPr="000C7CFA" w:rsidRDefault="00590B1C" w:rsidP="00DC3658">
      <w:pPr>
        <w:pStyle w:val="BodyText"/>
        <w:numPr>
          <w:ilvl w:val="0"/>
          <w:numId w:val="13"/>
        </w:numPr>
        <w:ind w:right="657"/>
        <w:rPr>
          <w:rFonts w:ascii="Verdana" w:eastAsiaTheme="minorHAnsi" w:hAnsi="Verdana"/>
          <w:sz w:val="18"/>
          <w:szCs w:val="18"/>
        </w:rPr>
      </w:pPr>
      <w:r w:rsidRPr="000C7CFA">
        <w:rPr>
          <w:rFonts w:ascii="Verdana" w:hAnsi="Verdana"/>
          <w:sz w:val="18"/>
          <w:szCs w:val="18"/>
          <w:lang w:eastAsia="en-GB"/>
        </w:rPr>
        <w:t xml:space="preserve">Juvenile gulls contained lower amounts than adults, suggesting that longer-term exposure can lead to higher body burdens. The gulls contained </w:t>
      </w:r>
      <w:r w:rsidRPr="000C7CFA">
        <w:rPr>
          <w:rFonts w:ascii="Verdana" w:eastAsiaTheme="minorHAnsi" w:hAnsi="Verdana"/>
          <w:sz w:val="18"/>
          <w:szCs w:val="18"/>
        </w:rPr>
        <w:t xml:space="preserve">average </w:t>
      </w:r>
      <w:r w:rsidRPr="000C7CFA">
        <w:rPr>
          <w:rFonts w:ascii="Verdana" w:hAnsi="Verdana"/>
          <w:sz w:val="18"/>
          <w:szCs w:val="18"/>
          <w:lang w:eastAsia="en-GB"/>
        </w:rPr>
        <w:t xml:space="preserve">concentrations of </w:t>
      </w:r>
      <w:r w:rsidRPr="000C7CFA">
        <w:rPr>
          <w:rFonts w:ascii="Verdana" w:eastAsiaTheme="minorHAnsi" w:hAnsi="Verdana"/>
          <w:sz w:val="18"/>
          <w:szCs w:val="18"/>
        </w:rPr>
        <w:t>total Dechlorane Plus isomers of around 1 - 2 µg/kg on a lipid weight basis.</w:t>
      </w:r>
    </w:p>
    <w:p w14:paraId="5FACC348" w14:textId="77777777" w:rsidR="00AD07CC" w:rsidRPr="000C7CFA" w:rsidRDefault="000A653E" w:rsidP="000A653E">
      <w:pPr>
        <w:pStyle w:val="BodyText"/>
        <w:ind w:left="360" w:right="657"/>
        <w:rPr>
          <w:rFonts w:ascii="Verdana" w:hAnsi="Verdana"/>
          <w:sz w:val="18"/>
          <w:szCs w:val="18"/>
          <w:lang w:eastAsia="en-GB"/>
        </w:rPr>
      </w:pPr>
      <w:r w:rsidRPr="000C7CFA">
        <w:rPr>
          <w:rFonts w:ascii="Verdana" w:hAnsi="Verdana"/>
          <w:sz w:val="18"/>
          <w:szCs w:val="18"/>
          <w:lang w:eastAsia="en-GB"/>
        </w:rPr>
        <w:t>This study is not included in the registration dossier.</w:t>
      </w:r>
    </w:p>
    <w:p w14:paraId="01CC97C6" w14:textId="77777777" w:rsidR="000A653E" w:rsidRPr="000C7CFA" w:rsidRDefault="000A653E" w:rsidP="000A653E">
      <w:pPr>
        <w:pStyle w:val="BodyText"/>
        <w:ind w:left="360" w:right="657"/>
        <w:rPr>
          <w:rFonts w:ascii="Verdana" w:hAnsi="Verdana"/>
          <w:sz w:val="18"/>
          <w:szCs w:val="18"/>
          <w:lang w:eastAsia="en-GB"/>
        </w:rPr>
      </w:pPr>
    </w:p>
    <w:p w14:paraId="20E728A6" w14:textId="77777777" w:rsidR="00666142" w:rsidRPr="000C7CFA" w:rsidRDefault="000D41B4" w:rsidP="00DC3658">
      <w:pPr>
        <w:pStyle w:val="NoSpacing"/>
        <w:numPr>
          <w:ilvl w:val="0"/>
          <w:numId w:val="6"/>
        </w:numPr>
        <w:spacing w:after="180"/>
        <w:ind w:right="657"/>
        <w:jc w:val="both"/>
        <w:rPr>
          <w:rFonts w:ascii="Verdana" w:hAnsi="Verdana" w:cs="Times New Roman"/>
          <w:color w:val="000000"/>
          <w:sz w:val="18"/>
          <w:szCs w:val="18"/>
        </w:rPr>
      </w:pPr>
      <w:r w:rsidRPr="000C7CFA">
        <w:rPr>
          <w:rFonts w:ascii="Verdana" w:hAnsi="Verdana" w:cs="Times New Roman"/>
          <w:sz w:val="18"/>
          <w:szCs w:val="18"/>
          <w:u w:val="single"/>
          <w:lang w:eastAsia="en-GB"/>
        </w:rPr>
        <w:t>Wang</w:t>
      </w:r>
      <w:r w:rsidRPr="000C7CFA">
        <w:rPr>
          <w:rFonts w:ascii="Verdana" w:eastAsia="BatangChe" w:hAnsi="Verdana" w:cs="Times New Roman"/>
          <w:sz w:val="18"/>
          <w:szCs w:val="18"/>
          <w:u w:val="single"/>
        </w:rPr>
        <w:t xml:space="preserve"> </w:t>
      </w:r>
      <w:r w:rsidRPr="000C7CFA">
        <w:rPr>
          <w:rFonts w:ascii="Verdana" w:eastAsia="BatangChe" w:hAnsi="Verdana" w:cs="Times New Roman"/>
          <w:i/>
          <w:sz w:val="18"/>
          <w:szCs w:val="18"/>
          <w:u w:val="single"/>
        </w:rPr>
        <w:t>et al</w:t>
      </w:r>
      <w:r w:rsidRPr="000C7CFA">
        <w:rPr>
          <w:rFonts w:ascii="Verdana" w:eastAsia="BatangChe" w:hAnsi="Verdana" w:cs="Times New Roman"/>
          <w:sz w:val="18"/>
          <w:szCs w:val="18"/>
          <w:u w:val="single"/>
        </w:rPr>
        <w:t>. (2015)</w:t>
      </w:r>
      <w:r w:rsidRPr="000C7CFA">
        <w:rPr>
          <w:rFonts w:ascii="Verdana" w:hAnsi="Verdana" w:cs="Times New Roman"/>
          <w:sz w:val="18"/>
          <w:szCs w:val="18"/>
          <w:lang w:eastAsia="en-GB"/>
        </w:rPr>
        <w:t xml:space="preserve"> </w:t>
      </w:r>
      <w:r w:rsidRPr="000C7CFA">
        <w:rPr>
          <w:rFonts w:ascii="Verdana" w:eastAsia="BatangChe" w:hAnsi="Verdana" w:cs="Times New Roman"/>
          <w:sz w:val="18"/>
          <w:szCs w:val="18"/>
        </w:rPr>
        <w:t>investigated trophic magnification of Dechlorane Plus and three potential degradation products (anti-</w:t>
      </w:r>
      <w:r w:rsidRPr="000C7CFA">
        <w:rPr>
          <w:rFonts w:ascii="Verdana" w:hAnsi="Verdana" w:cs="Times New Roman"/>
          <w:color w:val="000000"/>
          <w:sz w:val="18"/>
          <w:szCs w:val="18"/>
        </w:rPr>
        <w:t xml:space="preserve">DP-1Cl, anti-DP-2Cl and </w:t>
      </w:r>
      <w:r w:rsidRPr="000C7CFA">
        <w:rPr>
          <w:rFonts w:ascii="Verdana" w:hAnsi="Verdana" w:cs="Times New Roman"/>
          <w:sz w:val="18"/>
          <w:szCs w:val="18"/>
          <w:lang w:eastAsia="en-GB"/>
        </w:rPr>
        <w:t xml:space="preserve">DPMA) in an aquatic food chain </w:t>
      </w:r>
      <w:r w:rsidR="00FB5D91" w:rsidRPr="000C7CFA">
        <w:rPr>
          <w:rFonts w:ascii="Verdana" w:hAnsi="Verdana" w:cs="Times New Roman"/>
          <w:color w:val="000000"/>
          <w:sz w:val="18"/>
          <w:szCs w:val="18"/>
        </w:rPr>
        <w:t xml:space="preserve">that receives discharges from </w:t>
      </w:r>
      <w:r w:rsidR="00EC6771" w:rsidRPr="000C7CFA">
        <w:rPr>
          <w:rFonts w:ascii="Verdana" w:hAnsi="Verdana" w:cs="Times New Roman"/>
          <w:sz w:val="18"/>
          <w:szCs w:val="18"/>
          <w:lang w:eastAsia="en-GB"/>
        </w:rPr>
        <w:t xml:space="preserve">the </w:t>
      </w:r>
      <w:r w:rsidR="00FB5D91" w:rsidRPr="000C7CFA">
        <w:rPr>
          <w:rFonts w:ascii="Verdana" w:hAnsi="Verdana" w:cs="Times New Roman"/>
          <w:sz w:val="18"/>
          <w:szCs w:val="18"/>
          <w:lang w:eastAsia="en-GB"/>
        </w:rPr>
        <w:t>Dechlorane Plus</w:t>
      </w:r>
      <w:r w:rsidR="00EC6771" w:rsidRPr="000C7CFA">
        <w:rPr>
          <w:rFonts w:ascii="Verdana" w:hAnsi="Verdana" w:cs="Times New Roman"/>
          <w:sz w:val="18"/>
          <w:szCs w:val="18"/>
          <w:lang w:eastAsia="en-GB"/>
        </w:rPr>
        <w:t xml:space="preserve"> production facility </w:t>
      </w:r>
      <w:r w:rsidRPr="000C7CFA">
        <w:rPr>
          <w:rFonts w:ascii="Verdana" w:hAnsi="Verdana" w:cs="Times New Roman"/>
          <w:sz w:val="18"/>
          <w:szCs w:val="18"/>
          <w:lang w:eastAsia="en-GB"/>
        </w:rPr>
        <w:t>in Huai’an</w:t>
      </w:r>
      <w:r w:rsidR="00EC6771" w:rsidRPr="000C7CFA">
        <w:rPr>
          <w:rFonts w:ascii="Verdana" w:hAnsi="Verdana" w:cs="Times New Roman"/>
          <w:sz w:val="18"/>
          <w:szCs w:val="18"/>
          <w:lang w:eastAsia="en-GB"/>
        </w:rPr>
        <w:t>,</w:t>
      </w:r>
      <w:r w:rsidRPr="000C7CFA">
        <w:rPr>
          <w:rFonts w:ascii="Verdana" w:hAnsi="Verdana" w:cs="Times New Roman"/>
          <w:sz w:val="18"/>
          <w:szCs w:val="18"/>
          <w:lang w:eastAsia="en-GB"/>
        </w:rPr>
        <w:t xml:space="preserve"> Jiangsu province</w:t>
      </w:r>
      <w:r w:rsidR="00EC6771" w:rsidRPr="000C7CFA">
        <w:rPr>
          <w:rFonts w:ascii="Verdana" w:hAnsi="Verdana" w:cs="Times New Roman"/>
          <w:sz w:val="18"/>
          <w:szCs w:val="18"/>
          <w:lang w:eastAsia="en-GB"/>
        </w:rPr>
        <w:t>,</w:t>
      </w:r>
      <w:r w:rsidRPr="000C7CFA">
        <w:rPr>
          <w:rFonts w:ascii="Verdana" w:hAnsi="Verdana" w:cs="Times New Roman"/>
          <w:sz w:val="18"/>
          <w:szCs w:val="18"/>
          <w:lang w:eastAsia="en-GB"/>
        </w:rPr>
        <w:t xml:space="preserve"> China. Samples of seven aquatic species</w:t>
      </w:r>
      <w:r w:rsidR="00EC6771" w:rsidRPr="000C7CFA">
        <w:rPr>
          <w:rFonts w:ascii="Verdana" w:hAnsi="Verdana" w:cs="Times New Roman"/>
          <w:sz w:val="18"/>
          <w:szCs w:val="18"/>
          <w:lang w:eastAsia="en-GB"/>
        </w:rPr>
        <w:t xml:space="preserve"> (two invertebrates and five fish)</w:t>
      </w:r>
      <w:r w:rsidRPr="000C7CFA">
        <w:rPr>
          <w:rFonts w:ascii="Verdana" w:hAnsi="Verdana" w:cs="Times New Roman"/>
          <w:sz w:val="18"/>
          <w:szCs w:val="18"/>
          <w:lang w:eastAsia="en-GB"/>
        </w:rPr>
        <w:t xml:space="preserve"> were collected concurrently from the Beijing-Hangzhou Grand Canal</w:t>
      </w:r>
      <w:r w:rsidR="00EC6771" w:rsidRPr="000C7CFA">
        <w:rPr>
          <w:rFonts w:ascii="Verdana" w:hAnsi="Verdana" w:cs="Times New Roman"/>
          <w:sz w:val="18"/>
          <w:szCs w:val="18"/>
          <w:lang w:eastAsia="en-GB"/>
        </w:rPr>
        <w:t xml:space="preserve"> in May 2010</w:t>
      </w:r>
      <w:r w:rsidR="004B7ACB" w:rsidRPr="000C7CFA">
        <w:rPr>
          <w:rStyle w:val="FootnoteReference"/>
          <w:rFonts w:ascii="Verdana" w:hAnsi="Verdana" w:cs="Times New Roman"/>
          <w:sz w:val="18"/>
          <w:szCs w:val="18"/>
          <w:lang w:eastAsia="en-GB"/>
        </w:rPr>
        <w:footnoteReference w:id="27"/>
      </w:r>
      <w:r w:rsidRPr="000C7CFA">
        <w:rPr>
          <w:rFonts w:ascii="Verdana" w:hAnsi="Verdana" w:cs="Times New Roman"/>
          <w:color w:val="000000"/>
          <w:sz w:val="18"/>
          <w:szCs w:val="18"/>
        </w:rPr>
        <w:t xml:space="preserve">. </w:t>
      </w:r>
      <w:r w:rsidR="00EC6771" w:rsidRPr="000C7CFA">
        <w:rPr>
          <w:rFonts w:ascii="Verdana" w:hAnsi="Verdana" w:cs="Times New Roman"/>
          <w:color w:val="000000"/>
          <w:sz w:val="18"/>
          <w:szCs w:val="18"/>
        </w:rPr>
        <w:t>N</w:t>
      </w:r>
      <w:r w:rsidRPr="000C7CFA">
        <w:rPr>
          <w:rFonts w:ascii="Verdana" w:hAnsi="Verdana" w:cs="Times New Roman"/>
          <w:color w:val="000000"/>
          <w:sz w:val="18"/>
          <w:szCs w:val="18"/>
        </w:rPr>
        <w:t xml:space="preserve">o information is provided in the paper </w:t>
      </w:r>
      <w:r w:rsidRPr="000C7CFA">
        <w:rPr>
          <w:rFonts w:ascii="Verdana" w:hAnsi="Verdana" w:cs="Times New Roman"/>
          <w:color w:val="000000"/>
          <w:sz w:val="18"/>
          <w:szCs w:val="18"/>
        </w:rPr>
        <w:lastRenderedPageBreak/>
        <w:t>or supporting information about the age of the sampled organisms.</w:t>
      </w:r>
      <w:r w:rsidR="00EC6771" w:rsidRPr="000C7CFA">
        <w:rPr>
          <w:rFonts w:ascii="Verdana" w:eastAsia="BatangChe" w:hAnsi="Verdana" w:cs="Times New Roman"/>
          <w:sz w:val="18"/>
          <w:szCs w:val="18"/>
        </w:rPr>
        <w:t xml:space="preserve"> Composite </w:t>
      </w:r>
      <w:r w:rsidR="00EC6771" w:rsidRPr="000C7CFA">
        <w:rPr>
          <w:rFonts w:ascii="Verdana" w:hAnsi="Verdana" w:cs="Times New Roman"/>
          <w:sz w:val="18"/>
          <w:szCs w:val="18"/>
          <w:lang w:eastAsia="en-GB"/>
        </w:rPr>
        <w:t xml:space="preserve">samples were used, </w:t>
      </w:r>
      <w:r w:rsidR="00666142" w:rsidRPr="000C7CFA">
        <w:rPr>
          <w:rFonts w:ascii="Verdana" w:hAnsi="Verdana" w:cs="Times New Roman"/>
          <w:sz w:val="18"/>
          <w:szCs w:val="18"/>
          <w:lang w:eastAsia="en-GB"/>
        </w:rPr>
        <w:t>comprising five individuals of each species (two for shrimp).</w:t>
      </w:r>
      <w:r w:rsidR="00666142" w:rsidRPr="000C7CFA">
        <w:rPr>
          <w:rFonts w:ascii="Verdana" w:hAnsi="Verdana" w:cs="Times New Roman"/>
          <w:color w:val="000000"/>
          <w:sz w:val="18"/>
          <w:szCs w:val="18"/>
        </w:rPr>
        <w:t xml:space="preserve"> </w:t>
      </w:r>
    </w:p>
    <w:p w14:paraId="5F0F381B" w14:textId="47825D1C" w:rsidR="00666142" w:rsidRPr="000C7CFA" w:rsidRDefault="00666142" w:rsidP="00666142">
      <w:pPr>
        <w:pStyle w:val="BodyText"/>
        <w:ind w:left="360" w:right="657"/>
        <w:rPr>
          <w:rFonts w:ascii="Verdana" w:hAnsi="Verdana"/>
          <w:sz w:val="18"/>
          <w:szCs w:val="18"/>
        </w:rPr>
      </w:pPr>
      <w:r w:rsidRPr="000C7CFA">
        <w:rPr>
          <w:rFonts w:ascii="Verdana" w:eastAsia="BatangChe" w:hAnsi="Verdana"/>
          <w:sz w:val="18"/>
          <w:szCs w:val="18"/>
        </w:rPr>
        <w:t>All samples were stored at −20 °C prior to analysis.  Whole soft</w:t>
      </w:r>
      <w:r w:rsidRPr="000C7CFA">
        <w:rPr>
          <w:rFonts w:ascii="Verdana" w:hAnsi="Verdana"/>
          <w:sz w:val="18"/>
          <w:szCs w:val="18"/>
          <w:lang w:eastAsia="en-GB"/>
        </w:rPr>
        <w:t xml:space="preserve"> tissues of invertebrates and fish muscle were used for the analysis. Following sample work-up, the concentrations of all substances in the extracts were determined by GC-HRMS analysis operated in electron ionization (EI) mode, with all compounds identified with retention times ±0.10 min of the calibration standard, and verified using the two most abundant ions of the fragment cluster, corresponding mass ions ratios, and signal–noise ratio (&gt;3).</w:t>
      </w:r>
      <w:r w:rsidRPr="000C7CFA">
        <w:rPr>
          <w:rFonts w:ascii="Verdana" w:hAnsi="Verdana"/>
          <w:sz w:val="18"/>
          <w:szCs w:val="18"/>
        </w:rPr>
        <w:t xml:space="preserve"> The surrogate and internal standards used for all compounds were 2</w:t>
      </w:r>
      <w:proofErr w:type="gramStart"/>
      <w:r w:rsidRPr="000C7CFA">
        <w:rPr>
          <w:rFonts w:ascii="Verdana" w:hAnsi="Verdana"/>
          <w:sz w:val="18"/>
          <w:szCs w:val="18"/>
        </w:rPr>
        <w:t>,20,4,40,6,60</w:t>
      </w:r>
      <w:proofErr w:type="gramEnd"/>
      <w:r w:rsidRPr="000C7CFA">
        <w:rPr>
          <w:rFonts w:ascii="Verdana" w:hAnsi="Verdana"/>
          <w:sz w:val="18"/>
          <w:szCs w:val="18"/>
        </w:rPr>
        <w:t>-hexachlorobiphenyl (CB-155) and octachloronaphthalene. Calibration standards were prepared in the range of 1–50 ng/mL except for Dechlorane Plus isomers (1–50</w:t>
      </w:r>
      <w:r w:rsidR="002D4EB9" w:rsidRPr="000C7CFA">
        <w:rPr>
          <w:rFonts w:ascii="Verdana" w:hAnsi="Verdana"/>
          <w:sz w:val="18"/>
          <w:szCs w:val="18"/>
        </w:rPr>
        <w:t> </w:t>
      </w:r>
      <w:r w:rsidRPr="000C7CFA">
        <w:rPr>
          <w:rFonts w:ascii="Verdana" w:hAnsi="Verdana"/>
          <w:sz w:val="18"/>
          <w:szCs w:val="18"/>
        </w:rPr>
        <w:t>000 ng/mL). CB-155 surrogate standard recoveries ranged from 5</w:t>
      </w:r>
      <w:r w:rsidR="00AF7606" w:rsidRPr="000C7CFA">
        <w:rPr>
          <w:rFonts w:ascii="Verdana" w:hAnsi="Verdana"/>
          <w:sz w:val="18"/>
          <w:szCs w:val="18"/>
        </w:rPr>
        <w:t>2 %</w:t>
      </w:r>
      <w:r w:rsidRPr="000C7CFA">
        <w:rPr>
          <w:rFonts w:ascii="Verdana" w:hAnsi="Verdana"/>
          <w:sz w:val="18"/>
          <w:szCs w:val="18"/>
        </w:rPr>
        <w:t xml:space="preserve"> to 8</w:t>
      </w:r>
      <w:r w:rsidR="00AF7606" w:rsidRPr="000C7CFA">
        <w:rPr>
          <w:rFonts w:ascii="Verdana" w:hAnsi="Verdana"/>
          <w:sz w:val="18"/>
          <w:szCs w:val="18"/>
        </w:rPr>
        <w:t>5 %</w:t>
      </w:r>
      <w:r w:rsidRPr="000C7CFA">
        <w:rPr>
          <w:rFonts w:ascii="Verdana" w:hAnsi="Verdana"/>
          <w:sz w:val="18"/>
          <w:szCs w:val="18"/>
        </w:rPr>
        <w:t xml:space="preserve"> and the final concentrations were corrected using the surrogate standard recoveries in all samples. Laboratory procedural blanks were used to monitor background contamination from sample handing and processing. Procedural blanks were extracted and analyzed identically to the samples. A procedural </w:t>
      </w:r>
      <w:r w:rsidRPr="000C7CFA">
        <w:rPr>
          <w:rFonts w:ascii="Verdana" w:hAnsi="Verdana"/>
          <w:sz w:val="18"/>
          <w:szCs w:val="18"/>
          <w:lang w:eastAsia="en-GB"/>
        </w:rPr>
        <w:t>blank</w:t>
      </w:r>
      <w:r w:rsidRPr="000C7CFA">
        <w:rPr>
          <w:rFonts w:ascii="Verdana" w:hAnsi="Verdana"/>
          <w:sz w:val="18"/>
          <w:szCs w:val="18"/>
        </w:rPr>
        <w:t xml:space="preserve"> was run for every 12 samples. Only trace levels of Dechlorane Plus isomers were detected in the procedural blanks. The limits of quantification (LOQ) were calculated as 10 times signal-to-noise ratios (</w:t>
      </w:r>
      <w:r w:rsidR="00C00EFC" w:rsidRPr="000C7CFA">
        <w:rPr>
          <w:rFonts w:ascii="Verdana" w:hAnsi="Verdana"/>
          <w:sz w:val="18"/>
          <w:szCs w:val="18"/>
        </w:rPr>
        <w:t>and were below 1 ng/g [µg/kg] lipid weight (</w:t>
      </w:r>
      <w:proofErr w:type="gramStart"/>
      <w:r w:rsidR="00C00EFC" w:rsidRPr="000C7CFA">
        <w:rPr>
          <w:rFonts w:ascii="Verdana" w:hAnsi="Verdana"/>
          <w:sz w:val="18"/>
          <w:szCs w:val="18"/>
        </w:rPr>
        <w:t>lw</w:t>
      </w:r>
      <w:proofErr w:type="gramEnd"/>
      <w:r w:rsidR="00C00EFC" w:rsidRPr="000C7CFA">
        <w:rPr>
          <w:rFonts w:ascii="Verdana" w:hAnsi="Verdana"/>
          <w:sz w:val="18"/>
          <w:szCs w:val="18"/>
        </w:rPr>
        <w:t>) for all test compounds)</w:t>
      </w:r>
      <w:r w:rsidRPr="000C7CFA">
        <w:rPr>
          <w:rFonts w:ascii="Verdana" w:hAnsi="Verdana"/>
          <w:sz w:val="18"/>
          <w:szCs w:val="18"/>
        </w:rPr>
        <w:t>.</w:t>
      </w:r>
    </w:p>
    <w:p w14:paraId="65E83F72" w14:textId="77777777" w:rsidR="00666142" w:rsidRPr="000C7CFA" w:rsidRDefault="00666142" w:rsidP="00666142">
      <w:pPr>
        <w:pStyle w:val="BodyText"/>
        <w:ind w:left="360" w:right="657"/>
        <w:rPr>
          <w:rFonts w:ascii="Verdana" w:hAnsi="Verdana"/>
          <w:sz w:val="18"/>
          <w:szCs w:val="18"/>
          <w:lang w:eastAsia="en-GB"/>
        </w:rPr>
      </w:pPr>
      <w:r w:rsidRPr="000C7CFA">
        <w:rPr>
          <w:rFonts w:ascii="Verdana" w:hAnsi="Verdana"/>
          <w:sz w:val="18"/>
          <w:szCs w:val="18"/>
          <w:lang w:eastAsia="en-GB"/>
        </w:rPr>
        <w:t>Stable nitrogen isotope ratios were measured to determine trophic positions. The trophic level of each sample was calculated from δ</w:t>
      </w:r>
      <w:r w:rsidRPr="000C7CFA">
        <w:rPr>
          <w:rFonts w:ascii="Verdana" w:hAnsi="Verdana"/>
          <w:sz w:val="18"/>
          <w:szCs w:val="18"/>
          <w:vertAlign w:val="superscript"/>
          <w:lang w:eastAsia="en-GB"/>
        </w:rPr>
        <w:t>15</w:t>
      </w:r>
      <w:r w:rsidRPr="000C7CFA">
        <w:rPr>
          <w:rFonts w:ascii="Verdana" w:hAnsi="Verdana"/>
          <w:sz w:val="18"/>
          <w:szCs w:val="18"/>
          <w:lang w:eastAsia="en-GB"/>
        </w:rPr>
        <w:t>N by using an enrichment factor of 3.4‰ relative to the primary consumer (snail), which was assigned a trophic position of 2.</w:t>
      </w:r>
    </w:p>
    <w:p w14:paraId="19D6D7E0" w14:textId="0FF340AC" w:rsidR="0005764A" w:rsidRPr="000C7CFA" w:rsidRDefault="00666142" w:rsidP="0005764A">
      <w:pPr>
        <w:pStyle w:val="BodyText"/>
        <w:ind w:left="360" w:right="657"/>
        <w:rPr>
          <w:rFonts w:ascii="Verdana" w:eastAsiaTheme="minorHAnsi" w:hAnsi="Verdana"/>
          <w:sz w:val="18"/>
          <w:szCs w:val="18"/>
        </w:rPr>
      </w:pPr>
      <w:r w:rsidRPr="000C7CFA">
        <w:rPr>
          <w:rFonts w:ascii="Verdana" w:eastAsiaTheme="minorHAnsi" w:hAnsi="Verdana"/>
          <w:sz w:val="18"/>
          <w:szCs w:val="18"/>
        </w:rPr>
        <w:t xml:space="preserve">All the substances were detected in sediments and biota (see </w:t>
      </w:r>
      <w:r w:rsidR="008C3195" w:rsidRPr="000C7CFA">
        <w:rPr>
          <w:rFonts w:ascii="Verdana" w:eastAsiaTheme="minorHAnsi" w:hAnsi="Verdana"/>
          <w:sz w:val="18"/>
          <w:szCs w:val="18"/>
        </w:rPr>
        <w:fldChar w:fldCharType="begin"/>
      </w:r>
      <w:r w:rsidR="003A6BE0" w:rsidRPr="000C7CFA">
        <w:rPr>
          <w:rFonts w:ascii="Verdana" w:eastAsiaTheme="minorHAnsi" w:hAnsi="Verdana"/>
          <w:sz w:val="18"/>
          <w:szCs w:val="18"/>
        </w:rPr>
        <w:instrText xml:space="preserve"> REF _Ref427766834 \h </w:instrText>
      </w:r>
      <w:r w:rsidR="008640CB" w:rsidRPr="000C7CFA">
        <w:rPr>
          <w:rFonts w:ascii="Verdana" w:eastAsiaTheme="minorHAnsi" w:hAnsi="Verdana"/>
          <w:sz w:val="18"/>
          <w:szCs w:val="18"/>
        </w:rPr>
        <w:instrText xml:space="preserve"> \* MERGEFORMAT </w:instrText>
      </w:r>
      <w:r w:rsidR="008C3195" w:rsidRPr="000C7CFA">
        <w:rPr>
          <w:rFonts w:ascii="Verdana" w:eastAsiaTheme="minorHAnsi" w:hAnsi="Verdana"/>
          <w:sz w:val="18"/>
          <w:szCs w:val="18"/>
        </w:rPr>
      </w:r>
      <w:r w:rsidR="008C3195" w:rsidRPr="000C7CFA">
        <w:rPr>
          <w:rFonts w:ascii="Verdana" w:eastAsiaTheme="minorHAnsi" w:hAnsi="Verdana"/>
          <w:sz w:val="18"/>
          <w:szCs w:val="18"/>
        </w:rPr>
        <w:fldChar w:fldCharType="separate"/>
      </w:r>
      <w:r w:rsidR="00BA2885" w:rsidRPr="000C7CFA">
        <w:rPr>
          <w:rFonts w:ascii="Verdana" w:hAnsi="Verdana"/>
          <w:sz w:val="18"/>
          <w:szCs w:val="18"/>
        </w:rPr>
        <w:t xml:space="preserve">Table </w:t>
      </w:r>
      <w:r w:rsidR="00BA2885" w:rsidRPr="000C7CFA">
        <w:rPr>
          <w:rFonts w:ascii="Verdana" w:hAnsi="Verdana"/>
          <w:noProof/>
          <w:sz w:val="18"/>
          <w:szCs w:val="18"/>
        </w:rPr>
        <w:t>3</w:t>
      </w:r>
      <w:r w:rsidR="008C3195" w:rsidRPr="000C7CFA">
        <w:rPr>
          <w:rFonts w:ascii="Verdana" w:eastAsiaTheme="minorHAnsi" w:hAnsi="Verdana"/>
          <w:sz w:val="18"/>
          <w:szCs w:val="18"/>
        </w:rPr>
        <w:fldChar w:fldCharType="end"/>
      </w:r>
      <w:r w:rsidRPr="000C7CFA">
        <w:rPr>
          <w:rFonts w:ascii="Verdana" w:eastAsiaTheme="minorHAnsi" w:hAnsi="Verdana"/>
          <w:sz w:val="18"/>
          <w:szCs w:val="18"/>
        </w:rPr>
        <w:t xml:space="preserve">). </w:t>
      </w:r>
    </w:p>
    <w:p w14:paraId="62246F95" w14:textId="77777777" w:rsidR="0005764A" w:rsidRPr="000C7CFA" w:rsidRDefault="0005764A" w:rsidP="0005764A">
      <w:pPr>
        <w:pStyle w:val="BodyText"/>
        <w:ind w:left="360" w:right="657"/>
        <w:rPr>
          <w:rFonts w:ascii="Verdana" w:eastAsiaTheme="minorHAnsi" w:hAnsi="Verdana"/>
          <w:sz w:val="18"/>
          <w:szCs w:val="18"/>
        </w:rPr>
      </w:pPr>
      <w:r w:rsidRPr="000C7CFA">
        <w:rPr>
          <w:rFonts w:ascii="Verdana" w:eastAsiaTheme="minorHAnsi" w:hAnsi="Verdana"/>
          <w:sz w:val="18"/>
          <w:szCs w:val="18"/>
        </w:rPr>
        <w:t>Although not stated in the paper, total Dechlorane Plus wet weight concentrations were in the range 0.8 – 1.1 mg/kg for four of the five fish species (i.e. all except Loach). The paper indicated that these levels reflected the point source contamination at this site (unlike the majority of other studies where exposure is more diffuse).</w:t>
      </w:r>
    </w:p>
    <w:p w14:paraId="2AD9A4B6" w14:textId="580640BF" w:rsidR="0005764A" w:rsidRPr="000C7CFA" w:rsidRDefault="0005764A" w:rsidP="0005764A">
      <w:pPr>
        <w:pStyle w:val="BodyText"/>
        <w:ind w:left="360" w:right="657"/>
        <w:rPr>
          <w:rFonts w:ascii="Verdana" w:hAnsi="Verdana"/>
          <w:color w:val="000000"/>
          <w:sz w:val="18"/>
          <w:szCs w:val="18"/>
        </w:rPr>
      </w:pPr>
      <w:r w:rsidRPr="000C7CFA">
        <w:rPr>
          <w:rFonts w:ascii="Verdana" w:hAnsi="Verdana"/>
          <w:color w:val="000000"/>
          <w:sz w:val="18"/>
          <w:szCs w:val="18"/>
        </w:rPr>
        <w:t>All TMFs ranged between 1.0 and 3.1, although the relationship was only statistically significant for anti-Dechlorane Plus (TMF = 1.9 (9</w:t>
      </w:r>
      <w:r w:rsidR="00AF7606" w:rsidRPr="000C7CFA">
        <w:rPr>
          <w:rFonts w:ascii="Verdana" w:hAnsi="Verdana"/>
          <w:color w:val="000000"/>
          <w:sz w:val="18"/>
          <w:szCs w:val="18"/>
        </w:rPr>
        <w:t>5 %</w:t>
      </w:r>
      <w:r w:rsidRPr="000C7CFA">
        <w:rPr>
          <w:rFonts w:ascii="Verdana" w:hAnsi="Verdana"/>
          <w:color w:val="000000"/>
          <w:sz w:val="18"/>
          <w:szCs w:val="18"/>
        </w:rPr>
        <w:t xml:space="preserve"> CI: 1.1–3.4), r</w:t>
      </w:r>
      <w:r w:rsidRPr="000C7CFA">
        <w:rPr>
          <w:rFonts w:ascii="Verdana" w:hAnsi="Verdana"/>
          <w:color w:val="000000"/>
          <w:sz w:val="18"/>
          <w:szCs w:val="18"/>
          <w:vertAlign w:val="superscript"/>
        </w:rPr>
        <w:t>2</w:t>
      </w:r>
      <w:r w:rsidRPr="000C7CFA">
        <w:rPr>
          <w:rFonts w:ascii="Verdana" w:hAnsi="Verdana"/>
          <w:color w:val="000000"/>
          <w:sz w:val="18"/>
          <w:szCs w:val="18"/>
        </w:rPr>
        <w:t xml:space="preserve"> = 0.11, </w:t>
      </w:r>
      <w:r w:rsidRPr="000C7CFA">
        <w:rPr>
          <w:rFonts w:ascii="Verdana" w:hAnsi="Verdana"/>
          <w:i/>
          <w:color w:val="000000"/>
          <w:sz w:val="18"/>
          <w:szCs w:val="18"/>
        </w:rPr>
        <w:t>p</w:t>
      </w:r>
      <w:r w:rsidRPr="000C7CFA">
        <w:rPr>
          <w:rFonts w:ascii="Verdana" w:hAnsi="Verdana"/>
          <w:color w:val="000000"/>
          <w:sz w:val="18"/>
          <w:szCs w:val="18"/>
        </w:rPr>
        <w:t xml:space="preserve"> = 0.04) and total Dechlorane Plus isomers (TMF = 2.2 (9</w:t>
      </w:r>
      <w:r w:rsidR="00AF7606" w:rsidRPr="000C7CFA">
        <w:rPr>
          <w:rFonts w:ascii="Verdana" w:hAnsi="Verdana"/>
          <w:color w:val="000000"/>
          <w:sz w:val="18"/>
          <w:szCs w:val="18"/>
        </w:rPr>
        <w:t>5 %</w:t>
      </w:r>
      <w:r w:rsidRPr="000C7CFA">
        <w:rPr>
          <w:rFonts w:ascii="Verdana" w:hAnsi="Verdana"/>
          <w:color w:val="000000"/>
          <w:sz w:val="18"/>
          <w:szCs w:val="18"/>
        </w:rPr>
        <w:t xml:space="preserve"> CI: 1.2–3.9), r</w:t>
      </w:r>
      <w:r w:rsidRPr="000C7CFA">
        <w:rPr>
          <w:rFonts w:ascii="Verdana" w:hAnsi="Verdana"/>
          <w:color w:val="000000"/>
          <w:sz w:val="18"/>
          <w:szCs w:val="18"/>
          <w:vertAlign w:val="superscript"/>
        </w:rPr>
        <w:t>2</w:t>
      </w:r>
      <w:r w:rsidRPr="000C7CFA">
        <w:rPr>
          <w:rFonts w:ascii="Verdana" w:hAnsi="Verdana"/>
          <w:color w:val="000000"/>
          <w:sz w:val="18"/>
          <w:szCs w:val="18"/>
        </w:rPr>
        <w:t xml:space="preserve"> = 0.16, </w:t>
      </w:r>
      <w:r w:rsidRPr="000C7CFA">
        <w:rPr>
          <w:rFonts w:ascii="Verdana" w:hAnsi="Verdana"/>
          <w:i/>
          <w:color w:val="000000"/>
          <w:sz w:val="18"/>
          <w:szCs w:val="18"/>
        </w:rPr>
        <w:t>p</w:t>
      </w:r>
      <w:r w:rsidRPr="000C7CFA">
        <w:rPr>
          <w:rFonts w:ascii="Verdana" w:hAnsi="Verdana"/>
          <w:color w:val="000000"/>
          <w:sz w:val="18"/>
          <w:szCs w:val="18"/>
        </w:rPr>
        <w:t xml:space="preserve"> = 0.01), the latter driven by the data for the anti- isomer. This suggests that the substance can biomagnify up the food chain (no correlation was found between trophic level and lipid content, suggesting that biomagnification was not attributable to lipid content effects; the paper does not provide the supporting calculations). The plot of concentration against trophic level is given in Figure </w:t>
      </w:r>
      <w:r w:rsidR="00504011" w:rsidRPr="000C7CFA">
        <w:rPr>
          <w:rFonts w:ascii="Verdana" w:hAnsi="Verdana"/>
          <w:color w:val="000000"/>
          <w:sz w:val="18"/>
          <w:szCs w:val="18"/>
        </w:rPr>
        <w:t>5</w:t>
      </w:r>
      <w:r w:rsidRPr="000C7CFA">
        <w:rPr>
          <w:rFonts w:ascii="Verdana" w:hAnsi="Verdana"/>
          <w:color w:val="000000"/>
          <w:sz w:val="18"/>
          <w:szCs w:val="18"/>
        </w:rPr>
        <w:t>.</w:t>
      </w:r>
    </w:p>
    <w:p w14:paraId="7A909E13" w14:textId="299C67F4" w:rsidR="003A6BE0" w:rsidRPr="000C7CFA" w:rsidRDefault="003A6BE0" w:rsidP="003A6BE0">
      <w:pPr>
        <w:pStyle w:val="TableHeading"/>
        <w:ind w:left="1418" w:hanging="1418"/>
        <w:rPr>
          <w:rFonts w:ascii="Verdana" w:hAnsi="Verdana"/>
          <w:sz w:val="18"/>
          <w:szCs w:val="18"/>
        </w:rPr>
      </w:pPr>
      <w:bookmarkStart w:id="72" w:name="_Ref427766834"/>
      <w:bookmarkStart w:id="73" w:name="_Toc489434271"/>
      <w:r w:rsidRPr="000C7CFA">
        <w:rPr>
          <w:rFonts w:ascii="Verdana" w:hAnsi="Verdana"/>
          <w:sz w:val="18"/>
          <w:szCs w:val="18"/>
        </w:rPr>
        <w:t xml:space="preserve">Table </w:t>
      </w:r>
      <w:r w:rsidR="00300CDC" w:rsidRPr="000C7CFA">
        <w:rPr>
          <w:rFonts w:ascii="Verdana" w:hAnsi="Verdana"/>
          <w:sz w:val="18"/>
          <w:szCs w:val="18"/>
        </w:rPr>
        <w:fldChar w:fldCharType="begin"/>
      </w:r>
      <w:r w:rsidR="00300CDC" w:rsidRPr="000C7CFA">
        <w:rPr>
          <w:rFonts w:ascii="Verdana" w:hAnsi="Verdana"/>
          <w:sz w:val="18"/>
          <w:szCs w:val="18"/>
        </w:rPr>
        <w:instrText xml:space="preserve"> SEQ Table \* ARABIC </w:instrText>
      </w:r>
      <w:r w:rsidR="00300CDC" w:rsidRPr="000C7CFA">
        <w:rPr>
          <w:rFonts w:ascii="Verdana" w:hAnsi="Verdana"/>
          <w:sz w:val="18"/>
          <w:szCs w:val="18"/>
        </w:rPr>
        <w:fldChar w:fldCharType="separate"/>
      </w:r>
      <w:r w:rsidR="00BA2885" w:rsidRPr="000C7CFA">
        <w:rPr>
          <w:rFonts w:ascii="Verdana" w:hAnsi="Verdana"/>
          <w:noProof/>
          <w:sz w:val="18"/>
          <w:szCs w:val="18"/>
        </w:rPr>
        <w:t>3</w:t>
      </w:r>
      <w:r w:rsidR="00300CDC" w:rsidRPr="000C7CFA">
        <w:rPr>
          <w:rFonts w:ascii="Verdana" w:hAnsi="Verdana"/>
          <w:noProof/>
          <w:sz w:val="18"/>
          <w:szCs w:val="18"/>
        </w:rPr>
        <w:fldChar w:fldCharType="end"/>
      </w:r>
      <w:bookmarkEnd w:id="72"/>
      <w:r w:rsidRPr="000C7CFA">
        <w:rPr>
          <w:rFonts w:ascii="Verdana" w:hAnsi="Verdana"/>
          <w:sz w:val="18"/>
          <w:szCs w:val="18"/>
        </w:rPr>
        <w:t>:</w:t>
      </w:r>
      <w:r w:rsidRPr="000C7CFA">
        <w:rPr>
          <w:rFonts w:ascii="Verdana" w:hAnsi="Verdana"/>
          <w:sz w:val="18"/>
          <w:szCs w:val="18"/>
        </w:rPr>
        <w:tab/>
        <w:t xml:space="preserve">Concentrations of Dechlorane Plus and potential degradants in a Chinese freshwater food web (from Wang </w:t>
      </w:r>
      <w:r w:rsidRPr="000C7CFA">
        <w:rPr>
          <w:rFonts w:ascii="Verdana" w:hAnsi="Verdana"/>
          <w:i/>
          <w:sz w:val="18"/>
          <w:szCs w:val="18"/>
        </w:rPr>
        <w:t>et al</w:t>
      </w:r>
      <w:r w:rsidRPr="000C7CFA">
        <w:rPr>
          <w:rFonts w:ascii="Verdana" w:hAnsi="Verdana"/>
          <w:sz w:val="18"/>
          <w:szCs w:val="18"/>
        </w:rPr>
        <w:t>., 2015)</w:t>
      </w:r>
      <w:bookmarkEnd w:id="73"/>
    </w:p>
    <w:tbl>
      <w:tblPr>
        <w:tblStyle w:val="TableGrid"/>
        <w:tblW w:w="8253" w:type="dxa"/>
        <w:tblInd w:w="360" w:type="dxa"/>
        <w:tblLayout w:type="fixed"/>
        <w:tblLook w:val="04A0" w:firstRow="1" w:lastRow="0" w:firstColumn="1" w:lastColumn="0" w:noHBand="0" w:noVBand="1"/>
      </w:tblPr>
      <w:tblGrid>
        <w:gridCol w:w="1875"/>
        <w:gridCol w:w="425"/>
        <w:gridCol w:w="709"/>
        <w:gridCol w:w="708"/>
        <w:gridCol w:w="851"/>
        <w:gridCol w:w="850"/>
        <w:gridCol w:w="709"/>
        <w:gridCol w:w="709"/>
        <w:gridCol w:w="661"/>
        <w:gridCol w:w="48"/>
        <w:gridCol w:w="708"/>
      </w:tblGrid>
      <w:tr w:rsidR="00666142" w:rsidRPr="000C7CFA" w14:paraId="1A0B2CCF" w14:textId="77777777" w:rsidTr="00ED409D">
        <w:trPr>
          <w:trHeight w:val="180"/>
        </w:trPr>
        <w:tc>
          <w:tcPr>
            <w:tcW w:w="1875" w:type="dxa"/>
            <w:vMerge w:val="restart"/>
          </w:tcPr>
          <w:p w14:paraId="190D3571" w14:textId="77777777" w:rsidR="00666142" w:rsidRPr="000C7CFA" w:rsidRDefault="00666142" w:rsidP="00ED409D">
            <w:pPr>
              <w:pStyle w:val="BodyText"/>
              <w:spacing w:after="0"/>
              <w:jc w:val="center"/>
              <w:rPr>
                <w:rFonts w:ascii="Verdana" w:hAnsi="Verdana"/>
                <w:b/>
                <w:sz w:val="18"/>
                <w:szCs w:val="18"/>
                <w:lang w:eastAsia="en-GB"/>
              </w:rPr>
            </w:pPr>
            <w:r w:rsidRPr="000C7CFA">
              <w:rPr>
                <w:rFonts w:ascii="Verdana" w:hAnsi="Verdana"/>
                <w:b/>
                <w:sz w:val="18"/>
                <w:szCs w:val="18"/>
                <w:lang w:eastAsia="en-GB"/>
              </w:rPr>
              <w:t>Species</w:t>
            </w:r>
          </w:p>
        </w:tc>
        <w:tc>
          <w:tcPr>
            <w:tcW w:w="425" w:type="dxa"/>
            <w:vMerge w:val="restart"/>
            <w:textDirection w:val="btLr"/>
          </w:tcPr>
          <w:p w14:paraId="2AC7F151" w14:textId="77777777" w:rsidR="00666142" w:rsidRPr="000C7CFA" w:rsidRDefault="00666142" w:rsidP="00ED409D">
            <w:pPr>
              <w:pStyle w:val="BodyText"/>
              <w:spacing w:after="0"/>
              <w:ind w:left="113" w:right="113"/>
              <w:jc w:val="center"/>
              <w:rPr>
                <w:rFonts w:ascii="Verdana" w:hAnsi="Verdana"/>
                <w:b/>
                <w:sz w:val="18"/>
                <w:szCs w:val="18"/>
                <w:lang w:eastAsia="en-GB"/>
              </w:rPr>
            </w:pPr>
            <w:r w:rsidRPr="000C7CFA">
              <w:rPr>
                <w:rFonts w:ascii="Verdana" w:hAnsi="Verdana"/>
                <w:b/>
                <w:sz w:val="18"/>
                <w:szCs w:val="18"/>
                <w:lang w:eastAsia="en-GB"/>
              </w:rPr>
              <w:t>Sample no.</w:t>
            </w:r>
          </w:p>
        </w:tc>
        <w:tc>
          <w:tcPr>
            <w:tcW w:w="709" w:type="dxa"/>
            <w:vMerge w:val="restart"/>
            <w:textDirection w:val="btLr"/>
          </w:tcPr>
          <w:p w14:paraId="53816BEB" w14:textId="77777777" w:rsidR="00666142" w:rsidRPr="000C7CFA" w:rsidRDefault="00666142" w:rsidP="00ED409D">
            <w:pPr>
              <w:pStyle w:val="BodyText"/>
              <w:spacing w:after="0"/>
              <w:ind w:left="113" w:right="113"/>
              <w:jc w:val="center"/>
              <w:rPr>
                <w:rFonts w:ascii="Verdana" w:hAnsi="Verdana"/>
                <w:b/>
                <w:sz w:val="18"/>
                <w:szCs w:val="18"/>
                <w:lang w:eastAsia="en-GB"/>
              </w:rPr>
            </w:pPr>
            <w:r w:rsidRPr="000C7CFA">
              <w:rPr>
                <w:rFonts w:ascii="Verdana" w:hAnsi="Verdana"/>
                <w:b/>
                <w:sz w:val="18"/>
                <w:szCs w:val="18"/>
                <w:lang w:eastAsia="en-GB"/>
              </w:rPr>
              <w:t>Lipid content, %</w:t>
            </w:r>
          </w:p>
        </w:tc>
        <w:tc>
          <w:tcPr>
            <w:tcW w:w="708" w:type="dxa"/>
            <w:vMerge w:val="restart"/>
            <w:textDirection w:val="btLr"/>
          </w:tcPr>
          <w:p w14:paraId="2715F8C1" w14:textId="77777777" w:rsidR="00666142" w:rsidRPr="000C7CFA" w:rsidRDefault="00666142" w:rsidP="00ED409D">
            <w:pPr>
              <w:pStyle w:val="BodyText"/>
              <w:spacing w:after="0"/>
              <w:ind w:left="113" w:right="113"/>
              <w:jc w:val="center"/>
              <w:rPr>
                <w:rFonts w:ascii="Verdana" w:hAnsi="Verdana"/>
                <w:b/>
                <w:sz w:val="18"/>
                <w:szCs w:val="18"/>
                <w:lang w:eastAsia="en-GB"/>
              </w:rPr>
            </w:pPr>
            <w:r w:rsidRPr="000C7CFA">
              <w:rPr>
                <w:rFonts w:ascii="Verdana" w:hAnsi="Verdana"/>
                <w:b/>
                <w:sz w:val="18"/>
                <w:szCs w:val="18"/>
                <w:lang w:eastAsia="en-GB"/>
              </w:rPr>
              <w:t>Trophic level</w:t>
            </w:r>
          </w:p>
        </w:tc>
        <w:tc>
          <w:tcPr>
            <w:tcW w:w="4536" w:type="dxa"/>
            <w:gridSpan w:val="7"/>
          </w:tcPr>
          <w:p w14:paraId="10F4CA8D" w14:textId="77777777" w:rsidR="00666142" w:rsidRPr="000C7CFA" w:rsidRDefault="00666142" w:rsidP="00ED409D">
            <w:pPr>
              <w:pStyle w:val="BodyText"/>
              <w:spacing w:after="0"/>
              <w:jc w:val="center"/>
              <w:rPr>
                <w:rFonts w:ascii="Verdana" w:hAnsi="Verdana"/>
                <w:b/>
                <w:sz w:val="18"/>
                <w:szCs w:val="18"/>
                <w:lang w:eastAsia="en-GB"/>
              </w:rPr>
            </w:pPr>
            <w:r w:rsidRPr="000C7CFA">
              <w:rPr>
                <w:rFonts w:ascii="Verdana" w:hAnsi="Verdana"/>
                <w:b/>
                <w:sz w:val="18"/>
                <w:szCs w:val="18"/>
                <w:lang w:eastAsia="en-GB"/>
              </w:rPr>
              <w:t>Concentration, ng/g lw</w:t>
            </w:r>
          </w:p>
        </w:tc>
      </w:tr>
      <w:tr w:rsidR="00666142" w:rsidRPr="000C7CFA" w14:paraId="38C5E355" w14:textId="77777777" w:rsidTr="00ED409D">
        <w:trPr>
          <w:trHeight w:val="180"/>
        </w:trPr>
        <w:tc>
          <w:tcPr>
            <w:tcW w:w="1875" w:type="dxa"/>
            <w:vMerge/>
          </w:tcPr>
          <w:p w14:paraId="39C2D3C5" w14:textId="77777777" w:rsidR="00666142" w:rsidRPr="000C7CFA" w:rsidRDefault="00666142" w:rsidP="00ED409D">
            <w:pPr>
              <w:pStyle w:val="BodyText"/>
              <w:spacing w:after="0"/>
              <w:jc w:val="center"/>
              <w:rPr>
                <w:rFonts w:ascii="Verdana" w:hAnsi="Verdana"/>
                <w:b/>
                <w:sz w:val="18"/>
                <w:szCs w:val="18"/>
                <w:lang w:eastAsia="en-GB"/>
              </w:rPr>
            </w:pPr>
          </w:p>
        </w:tc>
        <w:tc>
          <w:tcPr>
            <w:tcW w:w="425" w:type="dxa"/>
            <w:vMerge/>
          </w:tcPr>
          <w:p w14:paraId="02430CDA" w14:textId="77777777" w:rsidR="00666142" w:rsidRPr="000C7CFA" w:rsidRDefault="00666142" w:rsidP="00ED409D">
            <w:pPr>
              <w:pStyle w:val="BodyText"/>
              <w:spacing w:after="0"/>
              <w:jc w:val="center"/>
              <w:rPr>
                <w:rFonts w:ascii="Verdana" w:hAnsi="Verdana"/>
                <w:b/>
                <w:sz w:val="18"/>
                <w:szCs w:val="18"/>
                <w:lang w:eastAsia="en-GB"/>
              </w:rPr>
            </w:pPr>
          </w:p>
        </w:tc>
        <w:tc>
          <w:tcPr>
            <w:tcW w:w="709" w:type="dxa"/>
            <w:vMerge/>
          </w:tcPr>
          <w:p w14:paraId="6150CA54" w14:textId="77777777" w:rsidR="00666142" w:rsidRPr="000C7CFA" w:rsidRDefault="00666142" w:rsidP="00ED409D">
            <w:pPr>
              <w:pStyle w:val="BodyText"/>
              <w:spacing w:after="0"/>
              <w:jc w:val="center"/>
              <w:rPr>
                <w:rFonts w:ascii="Verdana" w:hAnsi="Verdana"/>
                <w:b/>
                <w:sz w:val="18"/>
                <w:szCs w:val="18"/>
                <w:lang w:eastAsia="en-GB"/>
              </w:rPr>
            </w:pPr>
          </w:p>
        </w:tc>
        <w:tc>
          <w:tcPr>
            <w:tcW w:w="708" w:type="dxa"/>
            <w:vMerge/>
          </w:tcPr>
          <w:p w14:paraId="736EEF20" w14:textId="77777777" w:rsidR="00666142" w:rsidRPr="000C7CFA" w:rsidRDefault="00666142" w:rsidP="00ED409D">
            <w:pPr>
              <w:pStyle w:val="BodyText"/>
              <w:spacing w:after="0"/>
              <w:jc w:val="center"/>
              <w:rPr>
                <w:rFonts w:ascii="Verdana" w:hAnsi="Verdana"/>
                <w:b/>
                <w:sz w:val="18"/>
                <w:szCs w:val="18"/>
                <w:lang w:eastAsia="en-GB"/>
              </w:rPr>
            </w:pPr>
          </w:p>
        </w:tc>
        <w:tc>
          <w:tcPr>
            <w:tcW w:w="2410" w:type="dxa"/>
            <w:gridSpan w:val="3"/>
          </w:tcPr>
          <w:p w14:paraId="01D8A414" w14:textId="77777777" w:rsidR="00666142" w:rsidRPr="000C7CFA" w:rsidRDefault="00666142" w:rsidP="00ED409D">
            <w:pPr>
              <w:pStyle w:val="BodyText"/>
              <w:spacing w:after="0"/>
              <w:jc w:val="center"/>
              <w:rPr>
                <w:rFonts w:ascii="Verdana" w:hAnsi="Verdana"/>
                <w:b/>
                <w:sz w:val="18"/>
                <w:szCs w:val="18"/>
                <w:lang w:eastAsia="en-GB"/>
              </w:rPr>
            </w:pPr>
            <w:r w:rsidRPr="000C7CFA">
              <w:rPr>
                <w:rFonts w:ascii="Verdana" w:hAnsi="Verdana"/>
                <w:b/>
                <w:sz w:val="18"/>
                <w:szCs w:val="18"/>
                <w:lang w:eastAsia="en-GB"/>
              </w:rPr>
              <w:t>Dechlorane Plus</w:t>
            </w:r>
          </w:p>
        </w:tc>
        <w:tc>
          <w:tcPr>
            <w:tcW w:w="709" w:type="dxa"/>
            <w:vMerge w:val="restart"/>
            <w:textDirection w:val="btLr"/>
          </w:tcPr>
          <w:p w14:paraId="6F1B33B5" w14:textId="77777777" w:rsidR="00666142" w:rsidRPr="000C7CFA" w:rsidRDefault="00666142" w:rsidP="00ED409D">
            <w:pPr>
              <w:pStyle w:val="BodyText"/>
              <w:spacing w:after="0"/>
              <w:ind w:left="113" w:right="113"/>
              <w:jc w:val="center"/>
              <w:rPr>
                <w:rFonts w:ascii="Verdana" w:hAnsi="Verdana"/>
                <w:b/>
                <w:sz w:val="18"/>
                <w:szCs w:val="18"/>
                <w:lang w:eastAsia="en-GB"/>
              </w:rPr>
            </w:pPr>
            <w:r w:rsidRPr="000C7CFA">
              <w:rPr>
                <w:rFonts w:ascii="Verdana" w:hAnsi="Verdana"/>
                <w:b/>
                <w:sz w:val="18"/>
                <w:szCs w:val="18"/>
                <w:lang w:eastAsia="en-GB"/>
              </w:rPr>
              <w:t>Anti-</w:t>
            </w:r>
          </w:p>
          <w:p w14:paraId="019B998D" w14:textId="77777777" w:rsidR="00666142" w:rsidRPr="000C7CFA" w:rsidRDefault="00666142" w:rsidP="00ED409D">
            <w:pPr>
              <w:pStyle w:val="BodyText"/>
              <w:spacing w:after="0"/>
              <w:ind w:left="113" w:right="113"/>
              <w:jc w:val="center"/>
              <w:rPr>
                <w:rFonts w:ascii="Verdana" w:hAnsi="Verdana"/>
                <w:b/>
                <w:sz w:val="18"/>
                <w:szCs w:val="18"/>
                <w:lang w:eastAsia="en-GB"/>
              </w:rPr>
            </w:pPr>
            <w:r w:rsidRPr="000C7CFA">
              <w:rPr>
                <w:rFonts w:ascii="Verdana" w:hAnsi="Verdana"/>
                <w:b/>
                <w:sz w:val="18"/>
                <w:szCs w:val="18"/>
                <w:lang w:eastAsia="en-GB"/>
              </w:rPr>
              <w:t>DP-1Cl</w:t>
            </w:r>
          </w:p>
        </w:tc>
        <w:tc>
          <w:tcPr>
            <w:tcW w:w="709" w:type="dxa"/>
            <w:gridSpan w:val="2"/>
            <w:vMerge w:val="restart"/>
            <w:textDirection w:val="btLr"/>
          </w:tcPr>
          <w:p w14:paraId="495E64E7" w14:textId="77777777" w:rsidR="00666142" w:rsidRPr="000C7CFA" w:rsidRDefault="00666142" w:rsidP="00ED409D">
            <w:pPr>
              <w:pStyle w:val="BodyText"/>
              <w:spacing w:after="0"/>
              <w:ind w:left="113" w:right="113"/>
              <w:jc w:val="center"/>
              <w:rPr>
                <w:rFonts w:ascii="Verdana" w:hAnsi="Verdana"/>
                <w:b/>
                <w:sz w:val="18"/>
                <w:szCs w:val="18"/>
                <w:lang w:eastAsia="en-GB"/>
              </w:rPr>
            </w:pPr>
            <w:r w:rsidRPr="000C7CFA">
              <w:rPr>
                <w:rFonts w:ascii="Verdana" w:hAnsi="Verdana"/>
                <w:b/>
                <w:sz w:val="18"/>
                <w:szCs w:val="18"/>
                <w:lang w:eastAsia="en-GB"/>
              </w:rPr>
              <w:t>Anti-</w:t>
            </w:r>
          </w:p>
          <w:p w14:paraId="4551D1FA" w14:textId="77777777" w:rsidR="00666142" w:rsidRPr="000C7CFA" w:rsidRDefault="00666142" w:rsidP="00ED409D">
            <w:pPr>
              <w:pStyle w:val="BodyText"/>
              <w:spacing w:after="0"/>
              <w:ind w:left="113" w:right="113"/>
              <w:jc w:val="center"/>
              <w:rPr>
                <w:rFonts w:ascii="Verdana" w:hAnsi="Verdana"/>
                <w:sz w:val="18"/>
                <w:szCs w:val="18"/>
                <w:lang w:eastAsia="en-GB"/>
              </w:rPr>
            </w:pPr>
            <w:r w:rsidRPr="000C7CFA">
              <w:rPr>
                <w:rFonts w:ascii="Verdana" w:hAnsi="Verdana"/>
                <w:b/>
                <w:sz w:val="18"/>
                <w:szCs w:val="18"/>
                <w:lang w:eastAsia="en-GB"/>
              </w:rPr>
              <w:t>DP-2Cl</w:t>
            </w:r>
          </w:p>
        </w:tc>
        <w:tc>
          <w:tcPr>
            <w:tcW w:w="708" w:type="dxa"/>
            <w:vMerge w:val="restart"/>
            <w:textDirection w:val="btLr"/>
          </w:tcPr>
          <w:p w14:paraId="6EF143E0" w14:textId="77777777" w:rsidR="00666142" w:rsidRPr="000C7CFA" w:rsidRDefault="00666142" w:rsidP="00ED409D">
            <w:pPr>
              <w:pStyle w:val="BodyText"/>
              <w:spacing w:after="0"/>
              <w:ind w:left="113" w:right="113"/>
              <w:jc w:val="center"/>
              <w:rPr>
                <w:rFonts w:ascii="Verdana" w:hAnsi="Verdana"/>
                <w:b/>
                <w:sz w:val="18"/>
                <w:szCs w:val="18"/>
                <w:lang w:eastAsia="en-GB"/>
              </w:rPr>
            </w:pPr>
            <w:r w:rsidRPr="000C7CFA">
              <w:rPr>
                <w:rFonts w:ascii="Verdana" w:hAnsi="Verdana"/>
                <w:b/>
                <w:sz w:val="18"/>
                <w:szCs w:val="18"/>
                <w:lang w:eastAsia="en-GB"/>
              </w:rPr>
              <w:t>DPMA</w:t>
            </w:r>
          </w:p>
        </w:tc>
      </w:tr>
      <w:tr w:rsidR="00666142" w:rsidRPr="000C7CFA" w14:paraId="7754C989" w14:textId="77777777" w:rsidTr="00ED409D">
        <w:trPr>
          <w:trHeight w:val="678"/>
        </w:trPr>
        <w:tc>
          <w:tcPr>
            <w:tcW w:w="1875" w:type="dxa"/>
            <w:vMerge/>
          </w:tcPr>
          <w:p w14:paraId="1AAF1091" w14:textId="77777777" w:rsidR="00666142" w:rsidRPr="000C7CFA" w:rsidRDefault="00666142" w:rsidP="00ED409D">
            <w:pPr>
              <w:pStyle w:val="BodyText"/>
              <w:spacing w:after="0"/>
              <w:rPr>
                <w:rFonts w:ascii="Verdana" w:hAnsi="Verdana"/>
                <w:b/>
                <w:i/>
                <w:sz w:val="18"/>
                <w:szCs w:val="18"/>
                <w:lang w:eastAsia="en-GB"/>
              </w:rPr>
            </w:pPr>
          </w:p>
        </w:tc>
        <w:tc>
          <w:tcPr>
            <w:tcW w:w="425" w:type="dxa"/>
            <w:vMerge/>
          </w:tcPr>
          <w:p w14:paraId="491B589A" w14:textId="77777777" w:rsidR="00666142" w:rsidRPr="000C7CFA" w:rsidRDefault="00666142" w:rsidP="00ED409D">
            <w:pPr>
              <w:pStyle w:val="BodyText"/>
              <w:spacing w:after="0"/>
              <w:jc w:val="center"/>
              <w:rPr>
                <w:rFonts w:ascii="Verdana" w:hAnsi="Verdana"/>
                <w:sz w:val="18"/>
                <w:szCs w:val="18"/>
                <w:lang w:eastAsia="en-GB"/>
              </w:rPr>
            </w:pPr>
          </w:p>
        </w:tc>
        <w:tc>
          <w:tcPr>
            <w:tcW w:w="709" w:type="dxa"/>
            <w:vMerge/>
          </w:tcPr>
          <w:p w14:paraId="3922E230" w14:textId="77777777" w:rsidR="00666142" w:rsidRPr="000C7CFA" w:rsidRDefault="00666142" w:rsidP="00ED409D">
            <w:pPr>
              <w:pStyle w:val="BodyText"/>
              <w:spacing w:after="0"/>
              <w:jc w:val="center"/>
              <w:rPr>
                <w:rFonts w:ascii="Verdana" w:hAnsi="Verdana"/>
                <w:sz w:val="18"/>
                <w:szCs w:val="18"/>
                <w:lang w:eastAsia="en-GB"/>
              </w:rPr>
            </w:pPr>
          </w:p>
        </w:tc>
        <w:tc>
          <w:tcPr>
            <w:tcW w:w="708" w:type="dxa"/>
            <w:vMerge/>
          </w:tcPr>
          <w:p w14:paraId="0A4C27E7" w14:textId="77777777" w:rsidR="00666142" w:rsidRPr="000C7CFA" w:rsidRDefault="00666142" w:rsidP="00ED409D">
            <w:pPr>
              <w:pStyle w:val="BodyText"/>
              <w:spacing w:after="0"/>
              <w:jc w:val="center"/>
              <w:rPr>
                <w:rFonts w:ascii="Verdana" w:hAnsi="Verdana"/>
                <w:sz w:val="18"/>
                <w:szCs w:val="18"/>
                <w:lang w:eastAsia="en-GB"/>
              </w:rPr>
            </w:pPr>
          </w:p>
        </w:tc>
        <w:tc>
          <w:tcPr>
            <w:tcW w:w="851" w:type="dxa"/>
          </w:tcPr>
          <w:p w14:paraId="26A381F1" w14:textId="77777777" w:rsidR="00666142" w:rsidRPr="000C7CFA" w:rsidRDefault="00666142" w:rsidP="00ED409D">
            <w:pPr>
              <w:pStyle w:val="BodyText"/>
              <w:spacing w:after="0"/>
              <w:jc w:val="center"/>
              <w:rPr>
                <w:rFonts w:ascii="Verdana" w:hAnsi="Verdana"/>
                <w:b/>
                <w:sz w:val="18"/>
                <w:szCs w:val="18"/>
                <w:lang w:eastAsia="en-GB"/>
              </w:rPr>
            </w:pPr>
            <w:r w:rsidRPr="000C7CFA">
              <w:rPr>
                <w:rFonts w:ascii="Verdana" w:hAnsi="Verdana"/>
                <w:b/>
                <w:sz w:val="18"/>
                <w:szCs w:val="18"/>
                <w:lang w:eastAsia="en-GB"/>
              </w:rPr>
              <w:t>Syn-</w:t>
            </w:r>
          </w:p>
        </w:tc>
        <w:tc>
          <w:tcPr>
            <w:tcW w:w="850" w:type="dxa"/>
          </w:tcPr>
          <w:p w14:paraId="69BCB6CA" w14:textId="77777777" w:rsidR="00666142" w:rsidRPr="000C7CFA" w:rsidRDefault="00666142" w:rsidP="00ED409D">
            <w:pPr>
              <w:pStyle w:val="BodyText"/>
              <w:spacing w:after="0"/>
              <w:jc w:val="center"/>
              <w:rPr>
                <w:rFonts w:ascii="Verdana" w:hAnsi="Verdana"/>
                <w:b/>
                <w:sz w:val="18"/>
                <w:szCs w:val="18"/>
                <w:lang w:eastAsia="en-GB"/>
              </w:rPr>
            </w:pPr>
            <w:r w:rsidRPr="000C7CFA">
              <w:rPr>
                <w:rFonts w:ascii="Verdana" w:hAnsi="Verdana"/>
                <w:b/>
                <w:sz w:val="18"/>
                <w:szCs w:val="18"/>
                <w:lang w:eastAsia="en-GB"/>
              </w:rPr>
              <w:t>Anti-</w:t>
            </w:r>
          </w:p>
        </w:tc>
        <w:tc>
          <w:tcPr>
            <w:tcW w:w="709" w:type="dxa"/>
          </w:tcPr>
          <w:p w14:paraId="07BD6516" w14:textId="77777777" w:rsidR="00666142" w:rsidRPr="000C7CFA" w:rsidRDefault="00666142" w:rsidP="00ED409D">
            <w:pPr>
              <w:pStyle w:val="BodyText"/>
              <w:spacing w:after="0"/>
              <w:jc w:val="center"/>
              <w:rPr>
                <w:rFonts w:ascii="Verdana" w:hAnsi="Verdana"/>
                <w:b/>
                <w:sz w:val="18"/>
                <w:szCs w:val="18"/>
                <w:lang w:eastAsia="en-GB"/>
              </w:rPr>
            </w:pPr>
            <w:r w:rsidRPr="000C7CFA">
              <w:rPr>
                <w:rFonts w:ascii="Verdana" w:hAnsi="Verdana"/>
                <w:b/>
                <w:sz w:val="18"/>
                <w:szCs w:val="18"/>
                <w:lang w:eastAsia="en-GB"/>
              </w:rPr>
              <w:t>Total</w:t>
            </w:r>
          </w:p>
        </w:tc>
        <w:tc>
          <w:tcPr>
            <w:tcW w:w="709" w:type="dxa"/>
            <w:vMerge/>
          </w:tcPr>
          <w:p w14:paraId="07DBC095" w14:textId="77777777" w:rsidR="00666142" w:rsidRPr="000C7CFA" w:rsidRDefault="00666142" w:rsidP="00ED409D">
            <w:pPr>
              <w:pStyle w:val="BodyText"/>
              <w:jc w:val="center"/>
              <w:rPr>
                <w:rFonts w:ascii="Verdana" w:hAnsi="Verdana"/>
                <w:sz w:val="18"/>
                <w:szCs w:val="18"/>
                <w:lang w:eastAsia="en-GB"/>
              </w:rPr>
            </w:pPr>
          </w:p>
        </w:tc>
        <w:tc>
          <w:tcPr>
            <w:tcW w:w="709" w:type="dxa"/>
            <w:gridSpan w:val="2"/>
            <w:vMerge/>
          </w:tcPr>
          <w:p w14:paraId="1477C177" w14:textId="77777777" w:rsidR="00666142" w:rsidRPr="000C7CFA" w:rsidRDefault="00666142" w:rsidP="00ED409D">
            <w:pPr>
              <w:pStyle w:val="BodyText"/>
              <w:jc w:val="center"/>
              <w:rPr>
                <w:rFonts w:ascii="Verdana" w:hAnsi="Verdana"/>
                <w:sz w:val="18"/>
                <w:szCs w:val="18"/>
                <w:lang w:eastAsia="en-GB"/>
              </w:rPr>
            </w:pPr>
          </w:p>
        </w:tc>
        <w:tc>
          <w:tcPr>
            <w:tcW w:w="708" w:type="dxa"/>
            <w:vMerge/>
          </w:tcPr>
          <w:p w14:paraId="5145A196" w14:textId="77777777" w:rsidR="00666142" w:rsidRPr="000C7CFA" w:rsidRDefault="00666142" w:rsidP="00ED409D">
            <w:pPr>
              <w:pStyle w:val="BodyText"/>
              <w:jc w:val="center"/>
              <w:rPr>
                <w:rFonts w:ascii="Verdana" w:hAnsi="Verdana"/>
                <w:sz w:val="18"/>
                <w:szCs w:val="18"/>
                <w:lang w:eastAsia="en-GB"/>
              </w:rPr>
            </w:pPr>
          </w:p>
        </w:tc>
      </w:tr>
      <w:tr w:rsidR="00666142" w:rsidRPr="000C7CFA" w14:paraId="30C8A522" w14:textId="77777777" w:rsidTr="00ED409D">
        <w:trPr>
          <w:trHeight w:val="174"/>
        </w:trPr>
        <w:tc>
          <w:tcPr>
            <w:tcW w:w="8253" w:type="dxa"/>
            <w:gridSpan w:val="11"/>
          </w:tcPr>
          <w:p w14:paraId="0AC48901" w14:textId="77777777" w:rsidR="00666142" w:rsidRPr="000C7CFA" w:rsidRDefault="00666142" w:rsidP="00ED409D">
            <w:pPr>
              <w:pStyle w:val="BodyText"/>
              <w:spacing w:after="0"/>
              <w:jc w:val="left"/>
              <w:rPr>
                <w:rFonts w:ascii="Verdana" w:hAnsi="Verdana"/>
                <w:sz w:val="18"/>
                <w:szCs w:val="18"/>
                <w:lang w:eastAsia="en-GB"/>
              </w:rPr>
            </w:pPr>
            <w:r w:rsidRPr="000C7CFA">
              <w:rPr>
                <w:rFonts w:ascii="Verdana" w:hAnsi="Verdana"/>
                <w:b/>
                <w:i/>
                <w:sz w:val="18"/>
                <w:szCs w:val="18"/>
                <w:lang w:eastAsia="en-GB"/>
              </w:rPr>
              <w:t>Invertebrates</w:t>
            </w:r>
          </w:p>
        </w:tc>
      </w:tr>
      <w:tr w:rsidR="00666142" w:rsidRPr="000C7CFA" w14:paraId="4DDE4ABB" w14:textId="77777777" w:rsidTr="00ED409D">
        <w:trPr>
          <w:trHeight w:val="174"/>
        </w:trPr>
        <w:tc>
          <w:tcPr>
            <w:tcW w:w="1875" w:type="dxa"/>
          </w:tcPr>
          <w:p w14:paraId="1C73E4EB" w14:textId="77777777" w:rsidR="00666142" w:rsidRPr="000C7CFA" w:rsidRDefault="00666142" w:rsidP="00ED409D">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River snail </w:t>
            </w:r>
          </w:p>
          <w:p w14:paraId="2521BD80" w14:textId="77777777" w:rsidR="00666142" w:rsidRPr="000C7CFA" w:rsidRDefault="00666142" w:rsidP="00ED409D">
            <w:pPr>
              <w:autoSpaceDE w:val="0"/>
              <w:autoSpaceDN w:val="0"/>
              <w:adjustRightInd w:val="0"/>
              <w:spacing w:after="0"/>
              <w:rPr>
                <w:rFonts w:ascii="Verdana" w:hAnsi="Verdana"/>
                <w:i/>
                <w:sz w:val="18"/>
                <w:szCs w:val="18"/>
                <w:lang w:eastAsia="en-GB"/>
              </w:rPr>
            </w:pPr>
            <w:r w:rsidRPr="000C7CFA">
              <w:rPr>
                <w:rFonts w:ascii="Verdana" w:hAnsi="Verdana"/>
                <w:i/>
                <w:sz w:val="18"/>
                <w:szCs w:val="18"/>
                <w:lang w:eastAsia="en-GB"/>
              </w:rPr>
              <w:t>Viviparus sp.</w:t>
            </w:r>
          </w:p>
        </w:tc>
        <w:tc>
          <w:tcPr>
            <w:tcW w:w="425" w:type="dxa"/>
          </w:tcPr>
          <w:p w14:paraId="1A6F9ED6"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25</w:t>
            </w:r>
          </w:p>
        </w:tc>
        <w:tc>
          <w:tcPr>
            <w:tcW w:w="709" w:type="dxa"/>
          </w:tcPr>
          <w:p w14:paraId="472D2838"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0.6</w:t>
            </w:r>
          </w:p>
        </w:tc>
        <w:tc>
          <w:tcPr>
            <w:tcW w:w="708" w:type="dxa"/>
          </w:tcPr>
          <w:p w14:paraId="2A6CDA31"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2.0± 0.2</w:t>
            </w:r>
          </w:p>
        </w:tc>
        <w:tc>
          <w:tcPr>
            <w:tcW w:w="851" w:type="dxa"/>
          </w:tcPr>
          <w:p w14:paraId="2CFB4838"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3200± 2700</w:t>
            </w:r>
          </w:p>
        </w:tc>
        <w:tc>
          <w:tcPr>
            <w:tcW w:w="850" w:type="dxa"/>
          </w:tcPr>
          <w:p w14:paraId="3F0E4B95"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7300± 200</w:t>
            </w:r>
          </w:p>
        </w:tc>
        <w:tc>
          <w:tcPr>
            <w:tcW w:w="709" w:type="dxa"/>
          </w:tcPr>
          <w:p w14:paraId="227678A9"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10500± 2600</w:t>
            </w:r>
          </w:p>
        </w:tc>
        <w:tc>
          <w:tcPr>
            <w:tcW w:w="709" w:type="dxa"/>
          </w:tcPr>
          <w:p w14:paraId="35FFA397"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126± 12</w:t>
            </w:r>
          </w:p>
        </w:tc>
        <w:tc>
          <w:tcPr>
            <w:tcW w:w="709" w:type="dxa"/>
            <w:gridSpan w:val="2"/>
          </w:tcPr>
          <w:p w14:paraId="2B33BA8A"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12.7±1.9</w:t>
            </w:r>
          </w:p>
        </w:tc>
        <w:tc>
          <w:tcPr>
            <w:tcW w:w="708" w:type="dxa"/>
          </w:tcPr>
          <w:p w14:paraId="7A87FC12"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31.4±7.8</w:t>
            </w:r>
          </w:p>
        </w:tc>
      </w:tr>
      <w:tr w:rsidR="00666142" w:rsidRPr="000C7CFA" w14:paraId="32C897EA" w14:textId="77777777" w:rsidTr="00ED409D">
        <w:trPr>
          <w:trHeight w:val="174"/>
        </w:trPr>
        <w:tc>
          <w:tcPr>
            <w:tcW w:w="1875" w:type="dxa"/>
          </w:tcPr>
          <w:p w14:paraId="63E5BC14" w14:textId="77777777" w:rsidR="00666142" w:rsidRPr="000C7CFA" w:rsidRDefault="00666142" w:rsidP="00ED409D">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Freshwater shrimp </w:t>
            </w:r>
            <w:r w:rsidRPr="000C7CFA">
              <w:rPr>
                <w:rFonts w:ascii="Verdana" w:hAnsi="Verdana"/>
                <w:i/>
                <w:sz w:val="18"/>
                <w:szCs w:val="18"/>
                <w:lang w:eastAsia="en-GB"/>
              </w:rPr>
              <w:t>Macrobrachium nipponense</w:t>
            </w:r>
          </w:p>
        </w:tc>
        <w:tc>
          <w:tcPr>
            <w:tcW w:w="425" w:type="dxa"/>
          </w:tcPr>
          <w:p w14:paraId="7F6D246D"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14</w:t>
            </w:r>
          </w:p>
        </w:tc>
        <w:tc>
          <w:tcPr>
            <w:tcW w:w="709" w:type="dxa"/>
          </w:tcPr>
          <w:p w14:paraId="191B6FA6"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1.03</w:t>
            </w:r>
          </w:p>
        </w:tc>
        <w:tc>
          <w:tcPr>
            <w:tcW w:w="708" w:type="dxa"/>
          </w:tcPr>
          <w:p w14:paraId="4C96E522"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2.1± 0.1</w:t>
            </w:r>
          </w:p>
        </w:tc>
        <w:tc>
          <w:tcPr>
            <w:tcW w:w="851" w:type="dxa"/>
          </w:tcPr>
          <w:p w14:paraId="53E11B2C"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3700± 160</w:t>
            </w:r>
          </w:p>
        </w:tc>
        <w:tc>
          <w:tcPr>
            <w:tcW w:w="850" w:type="dxa"/>
          </w:tcPr>
          <w:p w14:paraId="7DDC4E4F"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15500± 1900</w:t>
            </w:r>
          </w:p>
        </w:tc>
        <w:tc>
          <w:tcPr>
            <w:tcW w:w="709" w:type="dxa"/>
          </w:tcPr>
          <w:p w14:paraId="07B5190D"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19300± 500</w:t>
            </w:r>
          </w:p>
        </w:tc>
        <w:tc>
          <w:tcPr>
            <w:tcW w:w="709" w:type="dxa"/>
          </w:tcPr>
          <w:p w14:paraId="498EAE03"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238± 33</w:t>
            </w:r>
          </w:p>
        </w:tc>
        <w:tc>
          <w:tcPr>
            <w:tcW w:w="709" w:type="dxa"/>
            <w:gridSpan w:val="2"/>
          </w:tcPr>
          <w:p w14:paraId="01B67BF7"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100± 13</w:t>
            </w:r>
          </w:p>
        </w:tc>
        <w:tc>
          <w:tcPr>
            <w:tcW w:w="708" w:type="dxa"/>
          </w:tcPr>
          <w:p w14:paraId="50BE6229"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17.3±5.8</w:t>
            </w:r>
          </w:p>
        </w:tc>
      </w:tr>
      <w:tr w:rsidR="00666142" w:rsidRPr="000C7CFA" w14:paraId="34C72FFC" w14:textId="77777777" w:rsidTr="00ED409D">
        <w:trPr>
          <w:trHeight w:val="174"/>
        </w:trPr>
        <w:tc>
          <w:tcPr>
            <w:tcW w:w="8253" w:type="dxa"/>
            <w:gridSpan w:val="11"/>
          </w:tcPr>
          <w:p w14:paraId="5478AE65" w14:textId="77777777" w:rsidR="00666142" w:rsidRPr="000C7CFA" w:rsidRDefault="00666142" w:rsidP="00ED409D">
            <w:pPr>
              <w:pStyle w:val="BodyText"/>
              <w:spacing w:after="0"/>
              <w:jc w:val="left"/>
              <w:rPr>
                <w:rFonts w:ascii="Verdana" w:hAnsi="Verdana"/>
                <w:sz w:val="18"/>
                <w:szCs w:val="18"/>
                <w:lang w:eastAsia="en-GB"/>
              </w:rPr>
            </w:pPr>
            <w:r w:rsidRPr="000C7CFA">
              <w:rPr>
                <w:rFonts w:ascii="Verdana" w:hAnsi="Verdana"/>
                <w:b/>
                <w:i/>
                <w:sz w:val="18"/>
                <w:szCs w:val="18"/>
                <w:lang w:eastAsia="en-GB"/>
              </w:rPr>
              <w:t>Fish</w:t>
            </w:r>
          </w:p>
        </w:tc>
      </w:tr>
      <w:tr w:rsidR="00666142" w:rsidRPr="000C7CFA" w14:paraId="35B60731" w14:textId="77777777" w:rsidTr="00ED409D">
        <w:trPr>
          <w:trHeight w:val="174"/>
        </w:trPr>
        <w:tc>
          <w:tcPr>
            <w:tcW w:w="1875" w:type="dxa"/>
          </w:tcPr>
          <w:p w14:paraId="5888A179" w14:textId="77777777" w:rsidR="00666142" w:rsidRPr="000C7CFA" w:rsidRDefault="00666142" w:rsidP="00ED409D">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lastRenderedPageBreak/>
              <w:t xml:space="preserve">Crucian Carp </w:t>
            </w:r>
          </w:p>
          <w:p w14:paraId="0CA79160" w14:textId="77777777" w:rsidR="00666142" w:rsidRPr="000C7CFA" w:rsidRDefault="00666142" w:rsidP="00ED409D">
            <w:pPr>
              <w:autoSpaceDE w:val="0"/>
              <w:autoSpaceDN w:val="0"/>
              <w:adjustRightInd w:val="0"/>
              <w:spacing w:after="0"/>
              <w:rPr>
                <w:rFonts w:ascii="Verdana" w:hAnsi="Verdana"/>
                <w:i/>
                <w:sz w:val="18"/>
                <w:szCs w:val="18"/>
                <w:lang w:eastAsia="en-GB"/>
              </w:rPr>
            </w:pPr>
            <w:r w:rsidRPr="000C7CFA">
              <w:rPr>
                <w:rFonts w:ascii="Verdana" w:hAnsi="Verdana"/>
                <w:i/>
                <w:sz w:val="18"/>
                <w:szCs w:val="18"/>
                <w:lang w:eastAsia="en-GB"/>
              </w:rPr>
              <w:t>Carassius auratus</w:t>
            </w:r>
          </w:p>
        </w:tc>
        <w:tc>
          <w:tcPr>
            <w:tcW w:w="425" w:type="dxa"/>
          </w:tcPr>
          <w:p w14:paraId="1380D15E"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6</w:t>
            </w:r>
          </w:p>
        </w:tc>
        <w:tc>
          <w:tcPr>
            <w:tcW w:w="709" w:type="dxa"/>
          </w:tcPr>
          <w:p w14:paraId="4FECAD2F"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1.26</w:t>
            </w:r>
          </w:p>
        </w:tc>
        <w:tc>
          <w:tcPr>
            <w:tcW w:w="708" w:type="dxa"/>
          </w:tcPr>
          <w:p w14:paraId="45BCBA18"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3.1± 0.1</w:t>
            </w:r>
          </w:p>
        </w:tc>
        <w:tc>
          <w:tcPr>
            <w:tcW w:w="851" w:type="dxa"/>
          </w:tcPr>
          <w:p w14:paraId="743BF246"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12000±2800</w:t>
            </w:r>
          </w:p>
        </w:tc>
        <w:tc>
          <w:tcPr>
            <w:tcW w:w="850" w:type="dxa"/>
          </w:tcPr>
          <w:p w14:paraId="3ACA532D"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52400± 5900</w:t>
            </w:r>
          </w:p>
        </w:tc>
        <w:tc>
          <w:tcPr>
            <w:tcW w:w="709" w:type="dxa"/>
          </w:tcPr>
          <w:p w14:paraId="7EE5C6FA"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64400± 3700</w:t>
            </w:r>
          </w:p>
        </w:tc>
        <w:tc>
          <w:tcPr>
            <w:tcW w:w="709" w:type="dxa"/>
          </w:tcPr>
          <w:p w14:paraId="500F58A9"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860± 90</w:t>
            </w:r>
          </w:p>
        </w:tc>
        <w:tc>
          <w:tcPr>
            <w:tcW w:w="661" w:type="dxa"/>
          </w:tcPr>
          <w:p w14:paraId="77C91E56"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165± 15</w:t>
            </w:r>
          </w:p>
        </w:tc>
        <w:tc>
          <w:tcPr>
            <w:tcW w:w="756" w:type="dxa"/>
            <w:gridSpan w:val="2"/>
          </w:tcPr>
          <w:p w14:paraId="799DCC5D"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29.2± 4.5</w:t>
            </w:r>
          </w:p>
        </w:tc>
      </w:tr>
      <w:tr w:rsidR="00666142" w:rsidRPr="000C7CFA" w14:paraId="4E837173" w14:textId="77777777" w:rsidTr="00ED409D">
        <w:trPr>
          <w:trHeight w:val="174"/>
        </w:trPr>
        <w:tc>
          <w:tcPr>
            <w:tcW w:w="1875" w:type="dxa"/>
          </w:tcPr>
          <w:p w14:paraId="233EC2F0" w14:textId="77777777" w:rsidR="00666142" w:rsidRPr="000C7CFA" w:rsidRDefault="00666142" w:rsidP="00ED409D">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Common Carp </w:t>
            </w:r>
          </w:p>
          <w:p w14:paraId="39C92663" w14:textId="77777777" w:rsidR="00666142" w:rsidRPr="000C7CFA" w:rsidRDefault="00666142" w:rsidP="00ED409D">
            <w:pPr>
              <w:autoSpaceDE w:val="0"/>
              <w:autoSpaceDN w:val="0"/>
              <w:adjustRightInd w:val="0"/>
              <w:spacing w:after="0"/>
              <w:rPr>
                <w:rFonts w:ascii="Verdana" w:hAnsi="Verdana"/>
                <w:sz w:val="18"/>
                <w:szCs w:val="18"/>
                <w:lang w:eastAsia="en-GB"/>
              </w:rPr>
            </w:pPr>
            <w:r w:rsidRPr="000C7CFA">
              <w:rPr>
                <w:rFonts w:ascii="Verdana" w:hAnsi="Verdana"/>
                <w:i/>
                <w:sz w:val="18"/>
                <w:szCs w:val="18"/>
                <w:lang w:eastAsia="en-GB"/>
              </w:rPr>
              <w:t>Cyprinus carpio</w:t>
            </w:r>
          </w:p>
        </w:tc>
        <w:tc>
          <w:tcPr>
            <w:tcW w:w="425" w:type="dxa"/>
          </w:tcPr>
          <w:p w14:paraId="74D27C74"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7</w:t>
            </w:r>
          </w:p>
        </w:tc>
        <w:tc>
          <w:tcPr>
            <w:tcW w:w="709" w:type="dxa"/>
          </w:tcPr>
          <w:p w14:paraId="49FD5BD6"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1.32</w:t>
            </w:r>
          </w:p>
        </w:tc>
        <w:tc>
          <w:tcPr>
            <w:tcW w:w="708" w:type="dxa"/>
          </w:tcPr>
          <w:p w14:paraId="17B8F796"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3.2± 0.1</w:t>
            </w:r>
          </w:p>
        </w:tc>
        <w:tc>
          <w:tcPr>
            <w:tcW w:w="851" w:type="dxa"/>
          </w:tcPr>
          <w:p w14:paraId="2DFEFCFA"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20400±6600</w:t>
            </w:r>
          </w:p>
        </w:tc>
        <w:tc>
          <w:tcPr>
            <w:tcW w:w="850" w:type="dxa"/>
          </w:tcPr>
          <w:p w14:paraId="2A3BC13D"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66700± 10700</w:t>
            </w:r>
          </w:p>
        </w:tc>
        <w:tc>
          <w:tcPr>
            <w:tcW w:w="709" w:type="dxa"/>
          </w:tcPr>
          <w:p w14:paraId="51710066"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85700± 300</w:t>
            </w:r>
          </w:p>
        </w:tc>
        <w:tc>
          <w:tcPr>
            <w:tcW w:w="709" w:type="dxa"/>
          </w:tcPr>
          <w:p w14:paraId="77292E94"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2340±410</w:t>
            </w:r>
          </w:p>
        </w:tc>
        <w:tc>
          <w:tcPr>
            <w:tcW w:w="661" w:type="dxa"/>
          </w:tcPr>
          <w:p w14:paraId="01ECE8B1"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6.03± 0.96</w:t>
            </w:r>
          </w:p>
        </w:tc>
        <w:tc>
          <w:tcPr>
            <w:tcW w:w="756" w:type="dxa"/>
            <w:gridSpan w:val="2"/>
          </w:tcPr>
          <w:p w14:paraId="78A78AC4"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14.2± 3.1</w:t>
            </w:r>
          </w:p>
        </w:tc>
      </w:tr>
      <w:tr w:rsidR="00666142" w:rsidRPr="000C7CFA" w14:paraId="41CF1AB2" w14:textId="77777777" w:rsidTr="00ED409D">
        <w:trPr>
          <w:trHeight w:val="174"/>
        </w:trPr>
        <w:tc>
          <w:tcPr>
            <w:tcW w:w="1875" w:type="dxa"/>
          </w:tcPr>
          <w:p w14:paraId="23A41714" w14:textId="77777777" w:rsidR="00666142" w:rsidRPr="000C7CFA" w:rsidRDefault="00666142" w:rsidP="00ED409D">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Bleeker </w:t>
            </w:r>
          </w:p>
          <w:p w14:paraId="69162CFC" w14:textId="77777777" w:rsidR="00666142" w:rsidRPr="000C7CFA" w:rsidRDefault="00666142" w:rsidP="00ED409D">
            <w:pPr>
              <w:autoSpaceDE w:val="0"/>
              <w:autoSpaceDN w:val="0"/>
              <w:adjustRightInd w:val="0"/>
              <w:spacing w:after="0"/>
              <w:rPr>
                <w:rFonts w:ascii="Verdana" w:hAnsi="Verdana"/>
                <w:i/>
                <w:sz w:val="18"/>
                <w:szCs w:val="18"/>
                <w:lang w:eastAsia="en-GB"/>
              </w:rPr>
            </w:pPr>
            <w:r w:rsidRPr="000C7CFA">
              <w:rPr>
                <w:rFonts w:ascii="Verdana" w:hAnsi="Verdana"/>
                <w:i/>
                <w:sz w:val="18"/>
                <w:szCs w:val="18"/>
                <w:lang w:eastAsia="en-GB"/>
              </w:rPr>
              <w:t>Pseudolaubuca sinensis</w:t>
            </w:r>
          </w:p>
        </w:tc>
        <w:tc>
          <w:tcPr>
            <w:tcW w:w="425" w:type="dxa"/>
          </w:tcPr>
          <w:p w14:paraId="12C8ADC5"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7</w:t>
            </w:r>
          </w:p>
        </w:tc>
        <w:tc>
          <w:tcPr>
            <w:tcW w:w="709" w:type="dxa"/>
          </w:tcPr>
          <w:p w14:paraId="37BF1976"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1.03</w:t>
            </w:r>
          </w:p>
        </w:tc>
        <w:tc>
          <w:tcPr>
            <w:tcW w:w="708" w:type="dxa"/>
          </w:tcPr>
          <w:p w14:paraId="394094DE"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3.2± 0.4</w:t>
            </w:r>
          </w:p>
        </w:tc>
        <w:tc>
          <w:tcPr>
            <w:tcW w:w="851" w:type="dxa"/>
          </w:tcPr>
          <w:p w14:paraId="7D9BC9AF"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45500±4500</w:t>
            </w:r>
          </w:p>
        </w:tc>
        <w:tc>
          <w:tcPr>
            <w:tcW w:w="850" w:type="dxa"/>
          </w:tcPr>
          <w:p w14:paraId="5C9531E3"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47500±</w:t>
            </w:r>
            <w:r w:rsidRPr="000C7CFA">
              <w:rPr>
                <w:rFonts w:ascii="Verdana" w:hAnsi="Verdana" w:cs="AdvGulliv-R"/>
                <w:sz w:val="18"/>
                <w:szCs w:val="18"/>
                <w:lang w:eastAsia="en-GB"/>
              </w:rPr>
              <w:t xml:space="preserve"> </w:t>
            </w:r>
            <w:r w:rsidRPr="000C7CFA">
              <w:rPr>
                <w:rFonts w:ascii="Verdana" w:hAnsi="Verdana"/>
                <w:sz w:val="18"/>
                <w:szCs w:val="18"/>
                <w:lang w:eastAsia="en-GB"/>
              </w:rPr>
              <w:t xml:space="preserve">7800 </w:t>
            </w:r>
          </w:p>
        </w:tc>
        <w:tc>
          <w:tcPr>
            <w:tcW w:w="709" w:type="dxa"/>
          </w:tcPr>
          <w:p w14:paraId="62A7C048"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93000± 5600</w:t>
            </w:r>
          </w:p>
        </w:tc>
        <w:tc>
          <w:tcPr>
            <w:tcW w:w="709" w:type="dxa"/>
          </w:tcPr>
          <w:p w14:paraId="58887CCC"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2470±430</w:t>
            </w:r>
          </w:p>
        </w:tc>
        <w:tc>
          <w:tcPr>
            <w:tcW w:w="661" w:type="dxa"/>
          </w:tcPr>
          <w:p w14:paraId="07287481"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25.6±8.0</w:t>
            </w:r>
          </w:p>
        </w:tc>
        <w:tc>
          <w:tcPr>
            <w:tcW w:w="756" w:type="dxa"/>
            <w:gridSpan w:val="2"/>
          </w:tcPr>
          <w:p w14:paraId="360A3CE6"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43.6± 9.7</w:t>
            </w:r>
          </w:p>
        </w:tc>
      </w:tr>
      <w:tr w:rsidR="00666142" w:rsidRPr="000C7CFA" w14:paraId="3A500536" w14:textId="77777777" w:rsidTr="00ED409D">
        <w:trPr>
          <w:trHeight w:val="174"/>
        </w:trPr>
        <w:tc>
          <w:tcPr>
            <w:tcW w:w="1875" w:type="dxa"/>
          </w:tcPr>
          <w:p w14:paraId="41400205" w14:textId="77777777" w:rsidR="00666142" w:rsidRPr="000C7CFA" w:rsidRDefault="00666142" w:rsidP="00ED409D">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Loach </w:t>
            </w:r>
          </w:p>
          <w:p w14:paraId="4F9A4E1C" w14:textId="77777777" w:rsidR="00666142" w:rsidRPr="000C7CFA" w:rsidRDefault="00666142" w:rsidP="00ED409D">
            <w:pPr>
              <w:autoSpaceDE w:val="0"/>
              <w:autoSpaceDN w:val="0"/>
              <w:adjustRightInd w:val="0"/>
              <w:spacing w:after="0"/>
              <w:rPr>
                <w:rFonts w:ascii="Verdana" w:hAnsi="Verdana"/>
                <w:sz w:val="18"/>
                <w:szCs w:val="18"/>
                <w:lang w:eastAsia="en-GB"/>
              </w:rPr>
            </w:pPr>
            <w:r w:rsidRPr="000C7CFA">
              <w:rPr>
                <w:rFonts w:ascii="Verdana" w:hAnsi="Verdana"/>
                <w:i/>
                <w:sz w:val="18"/>
                <w:szCs w:val="18"/>
                <w:lang w:eastAsia="en-GB"/>
              </w:rPr>
              <w:t>Misgurnus anguillicaudatus</w:t>
            </w:r>
          </w:p>
        </w:tc>
        <w:tc>
          <w:tcPr>
            <w:tcW w:w="425" w:type="dxa"/>
          </w:tcPr>
          <w:p w14:paraId="6DB36F45"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5</w:t>
            </w:r>
          </w:p>
        </w:tc>
        <w:tc>
          <w:tcPr>
            <w:tcW w:w="709" w:type="dxa"/>
          </w:tcPr>
          <w:p w14:paraId="17C0A7E0"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2.06</w:t>
            </w:r>
          </w:p>
        </w:tc>
        <w:tc>
          <w:tcPr>
            <w:tcW w:w="708" w:type="dxa"/>
          </w:tcPr>
          <w:p w14:paraId="54F4EEF3"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3.3± 0.2</w:t>
            </w:r>
          </w:p>
        </w:tc>
        <w:tc>
          <w:tcPr>
            <w:tcW w:w="851" w:type="dxa"/>
          </w:tcPr>
          <w:p w14:paraId="537FD16B"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968± 244</w:t>
            </w:r>
          </w:p>
        </w:tc>
        <w:tc>
          <w:tcPr>
            <w:tcW w:w="850" w:type="dxa"/>
          </w:tcPr>
          <w:p w14:paraId="6991DA59"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2040± 190</w:t>
            </w:r>
          </w:p>
        </w:tc>
        <w:tc>
          <w:tcPr>
            <w:tcW w:w="709" w:type="dxa"/>
          </w:tcPr>
          <w:p w14:paraId="1B72786D"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3010± 330</w:t>
            </w:r>
          </w:p>
        </w:tc>
        <w:tc>
          <w:tcPr>
            <w:tcW w:w="709" w:type="dxa"/>
          </w:tcPr>
          <w:p w14:paraId="1182BD40"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144± 31</w:t>
            </w:r>
          </w:p>
        </w:tc>
        <w:tc>
          <w:tcPr>
            <w:tcW w:w="661" w:type="dxa"/>
          </w:tcPr>
          <w:p w14:paraId="5FA2F6F2"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49.1±14.5</w:t>
            </w:r>
          </w:p>
        </w:tc>
        <w:tc>
          <w:tcPr>
            <w:tcW w:w="756" w:type="dxa"/>
            <w:gridSpan w:val="2"/>
          </w:tcPr>
          <w:p w14:paraId="09E892AF"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13.3± 4.9</w:t>
            </w:r>
          </w:p>
        </w:tc>
      </w:tr>
      <w:tr w:rsidR="00666142" w:rsidRPr="000C7CFA" w14:paraId="29F33B1A" w14:textId="77777777" w:rsidTr="00ED409D">
        <w:trPr>
          <w:trHeight w:val="174"/>
        </w:trPr>
        <w:tc>
          <w:tcPr>
            <w:tcW w:w="1875" w:type="dxa"/>
          </w:tcPr>
          <w:p w14:paraId="2AE4C6F4" w14:textId="77777777" w:rsidR="00666142" w:rsidRPr="000C7CFA" w:rsidRDefault="00666142" w:rsidP="00ED409D">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Northern Snakehead </w:t>
            </w:r>
            <w:r w:rsidRPr="000C7CFA">
              <w:rPr>
                <w:rFonts w:ascii="Verdana" w:hAnsi="Verdana"/>
                <w:i/>
                <w:sz w:val="18"/>
                <w:szCs w:val="18"/>
                <w:lang w:eastAsia="en-GB"/>
              </w:rPr>
              <w:t>Channa argus</w:t>
            </w:r>
          </w:p>
        </w:tc>
        <w:tc>
          <w:tcPr>
            <w:tcW w:w="425" w:type="dxa"/>
          </w:tcPr>
          <w:p w14:paraId="25B14C6B"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w:t>
            </w:r>
          </w:p>
        </w:tc>
        <w:tc>
          <w:tcPr>
            <w:tcW w:w="709" w:type="dxa"/>
          </w:tcPr>
          <w:p w14:paraId="1DCD6D2E"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0.95</w:t>
            </w:r>
          </w:p>
        </w:tc>
        <w:tc>
          <w:tcPr>
            <w:tcW w:w="708" w:type="dxa"/>
          </w:tcPr>
          <w:p w14:paraId="6CE23C0D"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4.1± 0.1</w:t>
            </w:r>
          </w:p>
        </w:tc>
        <w:tc>
          <w:tcPr>
            <w:tcW w:w="851" w:type="dxa"/>
          </w:tcPr>
          <w:p w14:paraId="3E269D5C"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45400±4500</w:t>
            </w:r>
          </w:p>
        </w:tc>
        <w:tc>
          <w:tcPr>
            <w:tcW w:w="850" w:type="dxa"/>
          </w:tcPr>
          <w:p w14:paraId="6A6F95C8"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47200± 6080</w:t>
            </w:r>
          </w:p>
        </w:tc>
        <w:tc>
          <w:tcPr>
            <w:tcW w:w="709" w:type="dxa"/>
          </w:tcPr>
          <w:p w14:paraId="55D1FECF"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92600± 1600</w:t>
            </w:r>
          </w:p>
        </w:tc>
        <w:tc>
          <w:tcPr>
            <w:tcW w:w="709" w:type="dxa"/>
          </w:tcPr>
          <w:p w14:paraId="74292D47"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1010±50</w:t>
            </w:r>
          </w:p>
        </w:tc>
        <w:tc>
          <w:tcPr>
            <w:tcW w:w="661" w:type="dxa"/>
          </w:tcPr>
          <w:p w14:paraId="6ABAF414"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232± 15</w:t>
            </w:r>
          </w:p>
        </w:tc>
        <w:tc>
          <w:tcPr>
            <w:tcW w:w="756" w:type="dxa"/>
            <w:gridSpan w:val="2"/>
          </w:tcPr>
          <w:p w14:paraId="213283B3" w14:textId="77777777" w:rsidR="00666142" w:rsidRPr="000C7CFA" w:rsidRDefault="00666142" w:rsidP="00ED409D">
            <w:pPr>
              <w:pStyle w:val="BodyText"/>
              <w:spacing w:after="0"/>
              <w:jc w:val="center"/>
              <w:rPr>
                <w:rFonts w:ascii="Verdana" w:hAnsi="Verdana"/>
                <w:sz w:val="18"/>
                <w:szCs w:val="18"/>
                <w:lang w:eastAsia="en-GB"/>
              </w:rPr>
            </w:pPr>
            <w:r w:rsidRPr="000C7CFA">
              <w:rPr>
                <w:rFonts w:ascii="Verdana" w:hAnsi="Verdana"/>
                <w:sz w:val="18"/>
                <w:szCs w:val="18"/>
                <w:lang w:eastAsia="en-GB"/>
              </w:rPr>
              <w:t>65.5± 14.8</w:t>
            </w:r>
          </w:p>
        </w:tc>
      </w:tr>
    </w:tbl>
    <w:p w14:paraId="732F1C73" w14:textId="77777777" w:rsidR="00666142" w:rsidRPr="000C7CFA" w:rsidRDefault="00666142" w:rsidP="00666142">
      <w:pPr>
        <w:autoSpaceDE w:val="0"/>
        <w:autoSpaceDN w:val="0"/>
        <w:adjustRightInd w:val="0"/>
        <w:spacing w:after="0"/>
        <w:ind w:left="284"/>
        <w:rPr>
          <w:rFonts w:ascii="Verdana" w:hAnsi="Verdana"/>
          <w:sz w:val="18"/>
          <w:szCs w:val="18"/>
          <w:lang w:eastAsia="en-GB"/>
        </w:rPr>
      </w:pPr>
      <w:r w:rsidRPr="000C7CFA">
        <w:rPr>
          <w:rFonts w:ascii="Verdana" w:hAnsi="Verdana"/>
          <w:sz w:val="18"/>
          <w:szCs w:val="18"/>
          <w:lang w:eastAsia="en-GB"/>
        </w:rPr>
        <w:t>Note: All values were indicated by mean ± SD.</w:t>
      </w:r>
    </w:p>
    <w:p w14:paraId="716356F8" w14:textId="77777777" w:rsidR="00666142" w:rsidRPr="000C7CFA" w:rsidRDefault="00666142" w:rsidP="00666142">
      <w:pPr>
        <w:pStyle w:val="BodyText"/>
        <w:spacing w:after="0"/>
        <w:ind w:left="357" w:right="658"/>
        <w:rPr>
          <w:rFonts w:ascii="Verdana" w:eastAsiaTheme="minorHAnsi" w:hAnsi="Verdana"/>
          <w:sz w:val="18"/>
          <w:szCs w:val="18"/>
        </w:rPr>
      </w:pPr>
    </w:p>
    <w:p w14:paraId="0B0C5737" w14:textId="77777777" w:rsidR="00206092" w:rsidRPr="000C7CFA" w:rsidRDefault="00206092">
      <w:pPr>
        <w:spacing w:after="0"/>
        <w:rPr>
          <w:rFonts w:ascii="Verdana" w:hAnsi="Verdana"/>
          <w:b/>
          <w:sz w:val="18"/>
          <w:szCs w:val="18"/>
          <w:lang w:val="en-GB"/>
        </w:rPr>
      </w:pPr>
    </w:p>
    <w:p w14:paraId="737A9AD7" w14:textId="77777777" w:rsidR="00006A75" w:rsidRPr="000C7CFA" w:rsidRDefault="00410A2A" w:rsidP="00FA2BE0">
      <w:pPr>
        <w:pStyle w:val="Caption"/>
        <w:ind w:left="1418" w:hanging="1361"/>
        <w:rPr>
          <w:rFonts w:ascii="Verdana" w:hAnsi="Verdana"/>
          <w:b/>
          <w:sz w:val="18"/>
          <w:szCs w:val="18"/>
        </w:rPr>
      </w:pPr>
      <w:bookmarkStart w:id="74" w:name="_Toc489434279"/>
      <w:r w:rsidRPr="000C7CFA">
        <w:rPr>
          <w:rFonts w:ascii="Verdana" w:hAnsi="Verdana"/>
          <w:b/>
          <w:sz w:val="18"/>
          <w:szCs w:val="18"/>
        </w:rPr>
        <w:t xml:space="preserve">Figure </w:t>
      </w:r>
      <w:r w:rsidR="0005445F" w:rsidRPr="000C7CFA">
        <w:rPr>
          <w:rFonts w:ascii="Verdana" w:hAnsi="Verdana"/>
          <w:b/>
          <w:sz w:val="18"/>
          <w:szCs w:val="18"/>
        </w:rPr>
        <w:fldChar w:fldCharType="begin"/>
      </w:r>
      <w:r w:rsidR="0005445F" w:rsidRPr="000C7CFA">
        <w:rPr>
          <w:rFonts w:ascii="Verdana" w:hAnsi="Verdana"/>
          <w:b/>
          <w:sz w:val="18"/>
          <w:szCs w:val="18"/>
        </w:rPr>
        <w:instrText xml:space="preserve"> SEQ Figure \* ARABIC </w:instrText>
      </w:r>
      <w:r w:rsidR="0005445F" w:rsidRPr="000C7CFA">
        <w:rPr>
          <w:rFonts w:ascii="Verdana" w:hAnsi="Verdana"/>
          <w:b/>
          <w:sz w:val="18"/>
          <w:szCs w:val="18"/>
        </w:rPr>
        <w:fldChar w:fldCharType="separate"/>
      </w:r>
      <w:r w:rsidR="00BA2885" w:rsidRPr="000C7CFA">
        <w:rPr>
          <w:rFonts w:ascii="Verdana" w:hAnsi="Verdana"/>
          <w:b/>
          <w:noProof/>
          <w:sz w:val="18"/>
          <w:szCs w:val="18"/>
        </w:rPr>
        <w:t>5</w:t>
      </w:r>
      <w:r w:rsidR="0005445F" w:rsidRPr="000C7CFA">
        <w:rPr>
          <w:rFonts w:ascii="Verdana" w:hAnsi="Verdana"/>
          <w:b/>
          <w:noProof/>
          <w:sz w:val="18"/>
          <w:szCs w:val="18"/>
        </w:rPr>
        <w:fldChar w:fldCharType="end"/>
      </w:r>
      <w:r w:rsidR="00006A75" w:rsidRPr="000C7CFA">
        <w:rPr>
          <w:rFonts w:ascii="Verdana" w:hAnsi="Verdana"/>
          <w:b/>
          <w:sz w:val="18"/>
          <w:szCs w:val="18"/>
        </w:rPr>
        <w:t xml:space="preserve">: </w:t>
      </w:r>
      <w:r w:rsidR="00006A75" w:rsidRPr="000C7CFA">
        <w:rPr>
          <w:rFonts w:ascii="Verdana" w:hAnsi="Verdana"/>
          <w:b/>
          <w:sz w:val="18"/>
          <w:szCs w:val="18"/>
        </w:rPr>
        <w:tab/>
        <w:t>Regressions between trophic level and concentrations of Dechlorane Plus (anti- and total isomers) in aquatic species</w:t>
      </w:r>
      <w:bookmarkEnd w:id="74"/>
      <w:r w:rsidR="00006A75" w:rsidRPr="000C7CFA">
        <w:rPr>
          <w:rFonts w:ascii="Verdana" w:hAnsi="Verdana"/>
          <w:b/>
          <w:sz w:val="18"/>
          <w:szCs w:val="18"/>
        </w:rPr>
        <w:t xml:space="preserve"> </w:t>
      </w:r>
    </w:p>
    <w:p w14:paraId="41931D58" w14:textId="3A409B2F" w:rsidR="00ED409D" w:rsidRPr="000C7CFA" w:rsidRDefault="00591815" w:rsidP="00ED409D">
      <w:pPr>
        <w:pStyle w:val="BodyText"/>
        <w:ind w:left="360" w:right="657"/>
        <w:jc w:val="center"/>
        <w:rPr>
          <w:rFonts w:ascii="Verdana" w:hAnsi="Verdana"/>
          <w:color w:val="000000"/>
          <w:sz w:val="18"/>
          <w:szCs w:val="18"/>
        </w:rPr>
      </w:pPr>
      <w:r w:rsidRPr="000C7CFA">
        <w:rPr>
          <w:rFonts w:ascii="Verdana" w:hAnsi="Verdana"/>
          <w:noProof/>
          <w:color w:val="000000"/>
          <w:sz w:val="18"/>
          <w:szCs w:val="18"/>
          <w:lang w:eastAsia="en-GB"/>
        </w:rPr>
        <w:drawing>
          <wp:inline distT="0" distB="0" distL="0" distR="0" wp14:anchorId="518B9215" wp14:editId="72700E1C">
            <wp:extent cx="5021123" cy="2044872"/>
            <wp:effectExtent l="19050" t="0" r="8077"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022041" cy="2045246"/>
                    </a:xfrm>
                    <a:prstGeom prst="rect">
                      <a:avLst/>
                    </a:prstGeom>
                    <a:noFill/>
                    <a:ln w="9525">
                      <a:noFill/>
                      <a:miter lim="800000"/>
                      <a:headEnd/>
                      <a:tailEnd/>
                    </a:ln>
                  </pic:spPr>
                </pic:pic>
              </a:graphicData>
            </a:graphic>
          </wp:inline>
        </w:drawing>
      </w:r>
    </w:p>
    <w:p w14:paraId="43D9A0E5" w14:textId="77777777" w:rsidR="003E7741" w:rsidRPr="000C7CFA" w:rsidRDefault="003E7741" w:rsidP="003E7741">
      <w:pPr>
        <w:autoSpaceDE w:val="0"/>
        <w:autoSpaceDN w:val="0"/>
        <w:adjustRightInd w:val="0"/>
        <w:spacing w:after="0"/>
        <w:ind w:left="1134" w:right="657"/>
        <w:jc w:val="center"/>
        <w:rPr>
          <w:rFonts w:ascii="Verdana" w:hAnsi="Verdana"/>
          <w:b/>
          <w:sz w:val="18"/>
          <w:szCs w:val="18"/>
          <w:lang w:val="en-GB"/>
        </w:rPr>
      </w:pPr>
      <w:r w:rsidRPr="000C7CFA">
        <w:rPr>
          <w:rFonts w:ascii="Verdana" w:hAnsi="Verdana"/>
          <w:b/>
          <w:sz w:val="18"/>
          <w:szCs w:val="18"/>
          <w:lang w:val="en-GB"/>
        </w:rPr>
        <w:t>(</w:t>
      </w:r>
      <w:proofErr w:type="gramStart"/>
      <w:r w:rsidRPr="000C7CFA">
        <w:rPr>
          <w:rFonts w:ascii="Verdana" w:hAnsi="Verdana"/>
          <w:b/>
          <w:sz w:val="18"/>
          <w:szCs w:val="18"/>
          <w:lang w:val="en-GB"/>
        </w:rPr>
        <w:t>reprinted</w:t>
      </w:r>
      <w:proofErr w:type="gramEnd"/>
      <w:r w:rsidRPr="000C7CFA">
        <w:rPr>
          <w:rFonts w:ascii="Verdana" w:hAnsi="Verdana"/>
          <w:b/>
          <w:sz w:val="18"/>
          <w:szCs w:val="18"/>
          <w:lang w:val="en-GB"/>
        </w:rPr>
        <w:t xml:space="preserve"> with permission from Wang</w:t>
      </w:r>
      <w:r w:rsidRPr="000C7CFA">
        <w:rPr>
          <w:rFonts w:ascii="Verdana" w:hAnsi="Verdana"/>
          <w:b/>
          <w:sz w:val="18"/>
          <w:szCs w:val="18"/>
        </w:rPr>
        <w:t xml:space="preserve"> </w:t>
      </w:r>
      <w:r w:rsidRPr="000C7CFA">
        <w:rPr>
          <w:rFonts w:ascii="Verdana" w:hAnsi="Verdana"/>
          <w:b/>
          <w:i/>
          <w:sz w:val="18"/>
          <w:szCs w:val="18"/>
        </w:rPr>
        <w:t>et al</w:t>
      </w:r>
      <w:r w:rsidRPr="000C7CFA">
        <w:rPr>
          <w:rFonts w:ascii="Verdana" w:hAnsi="Verdana"/>
          <w:b/>
          <w:sz w:val="18"/>
          <w:szCs w:val="18"/>
        </w:rPr>
        <w:t>. (2015). Copyright 2015:</w:t>
      </w:r>
      <w:r w:rsidR="00DC2425" w:rsidRPr="000C7CFA">
        <w:rPr>
          <w:rFonts w:ascii="Verdana" w:hAnsi="Verdana"/>
          <w:b/>
          <w:sz w:val="18"/>
          <w:szCs w:val="18"/>
        </w:rPr>
        <w:t xml:space="preserve"> Elsevier Ltd.</w:t>
      </w:r>
      <w:r w:rsidRPr="000C7CFA">
        <w:rPr>
          <w:rFonts w:ascii="Verdana" w:hAnsi="Verdana"/>
          <w:b/>
          <w:sz w:val="18"/>
          <w:szCs w:val="18"/>
          <w:lang w:val="en-GB"/>
        </w:rPr>
        <w:t>)</w:t>
      </w:r>
    </w:p>
    <w:p w14:paraId="0EFE4890" w14:textId="77777777" w:rsidR="003E7741" w:rsidRPr="000C7CFA" w:rsidRDefault="003E7741" w:rsidP="003E7741">
      <w:pPr>
        <w:autoSpaceDE w:val="0"/>
        <w:autoSpaceDN w:val="0"/>
        <w:adjustRightInd w:val="0"/>
        <w:spacing w:after="0"/>
        <w:ind w:left="1134" w:right="657"/>
        <w:jc w:val="center"/>
        <w:rPr>
          <w:rFonts w:ascii="Verdana" w:hAnsi="Verdana"/>
          <w:b/>
          <w:sz w:val="18"/>
          <w:szCs w:val="18"/>
          <w:lang w:val="en-GB"/>
        </w:rPr>
      </w:pPr>
    </w:p>
    <w:p w14:paraId="4C3267D8" w14:textId="7EC70D37" w:rsidR="00ED409D" w:rsidRPr="000C7CFA" w:rsidRDefault="000B0599" w:rsidP="00666142">
      <w:pPr>
        <w:pStyle w:val="BodyText"/>
        <w:ind w:left="360" w:right="657"/>
        <w:rPr>
          <w:rFonts w:ascii="Verdana" w:hAnsi="Verdana"/>
          <w:color w:val="000000"/>
          <w:sz w:val="18"/>
          <w:szCs w:val="18"/>
        </w:rPr>
      </w:pPr>
      <w:r w:rsidRPr="000C7CFA">
        <w:rPr>
          <w:rFonts w:ascii="Verdana" w:hAnsi="Verdana"/>
          <w:color w:val="000000"/>
          <w:sz w:val="18"/>
          <w:szCs w:val="18"/>
        </w:rPr>
        <w:t xml:space="preserve">A distinct </w:t>
      </w:r>
      <w:r w:rsidR="00F5692F" w:rsidRPr="000C7CFA">
        <w:rPr>
          <w:rFonts w:ascii="Verdana" w:hAnsi="Verdana"/>
          <w:color w:val="000000"/>
          <w:sz w:val="18"/>
          <w:szCs w:val="18"/>
        </w:rPr>
        <w:t xml:space="preserve">difference between levels in invertebrates and </w:t>
      </w:r>
      <w:r w:rsidRPr="000C7CFA">
        <w:rPr>
          <w:rFonts w:ascii="Verdana" w:hAnsi="Verdana"/>
          <w:color w:val="000000"/>
          <w:sz w:val="18"/>
          <w:szCs w:val="18"/>
        </w:rPr>
        <w:t xml:space="preserve">the majority of the </w:t>
      </w:r>
      <w:r w:rsidR="00F5692F" w:rsidRPr="000C7CFA">
        <w:rPr>
          <w:rFonts w:ascii="Verdana" w:hAnsi="Verdana"/>
          <w:color w:val="000000"/>
          <w:sz w:val="18"/>
          <w:szCs w:val="18"/>
        </w:rPr>
        <w:t>fish is apparent.</w:t>
      </w:r>
      <w:r w:rsidR="00187DAE" w:rsidRPr="000C7CFA">
        <w:rPr>
          <w:rFonts w:ascii="Verdana" w:hAnsi="Verdana"/>
          <w:color w:val="000000"/>
          <w:sz w:val="18"/>
          <w:szCs w:val="18"/>
        </w:rPr>
        <w:t xml:space="preserve"> The paper does not discuss whether the sampled species are part of the same food web</w:t>
      </w:r>
      <w:r w:rsidRPr="000C7CFA">
        <w:rPr>
          <w:rFonts w:ascii="Verdana" w:hAnsi="Verdana"/>
          <w:color w:val="000000"/>
          <w:sz w:val="18"/>
          <w:szCs w:val="18"/>
        </w:rPr>
        <w:t>, and the separation of the five lowest data points for fish (presumably for Loach</w:t>
      </w:r>
      <w:r w:rsidR="00C00EFC" w:rsidRPr="000C7CFA">
        <w:rPr>
          <w:rFonts w:ascii="Verdana" w:hAnsi="Verdana"/>
          <w:color w:val="000000"/>
          <w:sz w:val="18"/>
          <w:szCs w:val="18"/>
        </w:rPr>
        <w:t>; individual data are not provided</w:t>
      </w:r>
      <w:r w:rsidRPr="000C7CFA">
        <w:rPr>
          <w:rFonts w:ascii="Verdana" w:hAnsi="Verdana"/>
          <w:color w:val="000000"/>
          <w:sz w:val="18"/>
          <w:szCs w:val="18"/>
        </w:rPr>
        <w:t>) is striking (as is the range of trophic levels apparently covered by this species).</w:t>
      </w:r>
      <w:r w:rsidR="00C00EFC" w:rsidRPr="000C7CFA">
        <w:rPr>
          <w:rFonts w:ascii="Verdana" w:hAnsi="Verdana"/>
          <w:color w:val="000000"/>
          <w:sz w:val="18"/>
          <w:szCs w:val="18"/>
        </w:rPr>
        <w:t xml:space="preserve"> </w:t>
      </w:r>
      <w:r w:rsidR="00CD0988" w:rsidRPr="000C7CFA">
        <w:rPr>
          <w:rFonts w:ascii="Verdana" w:hAnsi="Verdana"/>
          <w:color w:val="000000"/>
          <w:sz w:val="18"/>
          <w:szCs w:val="18"/>
        </w:rPr>
        <w:t xml:space="preserve">Loach </w:t>
      </w:r>
      <w:r w:rsidR="00C00EFC" w:rsidRPr="000C7CFA">
        <w:rPr>
          <w:rFonts w:ascii="Verdana" w:hAnsi="Verdana"/>
          <w:color w:val="000000"/>
          <w:sz w:val="18"/>
          <w:szCs w:val="18"/>
        </w:rPr>
        <w:t>live in sediments and leaf litter and eats worms, small crustaceans, insects/insect larvae, and other small aquatic organisms</w:t>
      </w:r>
      <w:r w:rsidR="00C00EFC" w:rsidRPr="000C7CFA">
        <w:rPr>
          <w:rFonts w:ascii="Verdana" w:hAnsi="Verdana"/>
          <w:color w:val="000000"/>
          <w:sz w:val="18"/>
          <w:szCs w:val="18"/>
          <w:vertAlign w:val="superscript"/>
        </w:rPr>
        <w:footnoteReference w:id="28"/>
      </w:r>
      <w:r w:rsidR="00C00EFC" w:rsidRPr="000C7CFA">
        <w:rPr>
          <w:rFonts w:ascii="Verdana" w:hAnsi="Verdana"/>
          <w:color w:val="000000"/>
          <w:sz w:val="18"/>
          <w:szCs w:val="18"/>
        </w:rPr>
        <w:t xml:space="preserve">. </w:t>
      </w:r>
      <w:r w:rsidR="00CD0988" w:rsidRPr="000C7CFA">
        <w:rPr>
          <w:rFonts w:ascii="Verdana" w:hAnsi="Verdana"/>
          <w:color w:val="000000"/>
          <w:sz w:val="18"/>
          <w:szCs w:val="18"/>
        </w:rPr>
        <w:t xml:space="preserve">Shrimp at least would seem to be form part of </w:t>
      </w:r>
      <w:r w:rsidR="00B80DD7" w:rsidRPr="000C7CFA">
        <w:rPr>
          <w:rFonts w:ascii="Verdana" w:hAnsi="Verdana"/>
          <w:color w:val="000000"/>
          <w:sz w:val="18"/>
          <w:szCs w:val="18"/>
        </w:rPr>
        <w:t>the</w:t>
      </w:r>
      <w:r w:rsidR="00CD0988" w:rsidRPr="000C7CFA">
        <w:rPr>
          <w:rFonts w:ascii="Verdana" w:hAnsi="Verdana"/>
          <w:color w:val="000000"/>
          <w:sz w:val="18"/>
          <w:szCs w:val="18"/>
        </w:rPr>
        <w:t xml:space="preserve"> diet</w:t>
      </w:r>
      <w:r w:rsidR="00B80DD7" w:rsidRPr="000C7CFA">
        <w:rPr>
          <w:rFonts w:ascii="Verdana" w:hAnsi="Verdana"/>
          <w:color w:val="000000"/>
          <w:sz w:val="18"/>
          <w:szCs w:val="18"/>
        </w:rPr>
        <w:t xml:space="preserve"> of this species</w:t>
      </w:r>
      <w:r w:rsidR="00CD0988" w:rsidRPr="000C7CFA">
        <w:rPr>
          <w:rFonts w:ascii="Verdana" w:hAnsi="Verdana"/>
          <w:color w:val="000000"/>
          <w:sz w:val="18"/>
          <w:szCs w:val="18"/>
        </w:rPr>
        <w:t>.</w:t>
      </w:r>
    </w:p>
    <w:p w14:paraId="44C6B7C3" w14:textId="00A3528E" w:rsidR="00C00EFC" w:rsidRPr="000C7CFA" w:rsidRDefault="00C00EFC" w:rsidP="00666142">
      <w:pPr>
        <w:pStyle w:val="BodyText"/>
        <w:ind w:left="360" w:right="657"/>
        <w:rPr>
          <w:rFonts w:ascii="Verdana" w:hAnsi="Verdana"/>
          <w:color w:val="000000"/>
          <w:sz w:val="18"/>
          <w:szCs w:val="18"/>
        </w:rPr>
      </w:pPr>
      <w:r w:rsidRPr="000C7CFA">
        <w:rPr>
          <w:rFonts w:ascii="Verdana" w:hAnsi="Verdana"/>
          <w:color w:val="000000"/>
          <w:sz w:val="18"/>
          <w:szCs w:val="18"/>
        </w:rPr>
        <w:t>The number of data points (n=39) indicates that the analysis was performed using individual fish measurements, along with five pooled groups of snail and seven pooled groups of shrimp, rather than species means.</w:t>
      </w:r>
      <w:r w:rsidR="00332C7A" w:rsidRPr="000C7CFA">
        <w:rPr>
          <w:rFonts w:ascii="Verdana" w:hAnsi="Verdana"/>
          <w:color w:val="000000"/>
          <w:sz w:val="18"/>
          <w:szCs w:val="18"/>
        </w:rPr>
        <w:t xml:space="preserve"> When species means are used, </w:t>
      </w:r>
      <w:r w:rsidR="004F2D8A" w:rsidRPr="000C7CFA">
        <w:rPr>
          <w:rFonts w:ascii="Verdana" w:hAnsi="Verdana"/>
          <w:color w:val="000000"/>
          <w:sz w:val="18"/>
          <w:szCs w:val="18"/>
        </w:rPr>
        <w:t>a</w:t>
      </w:r>
      <w:r w:rsidR="00332C7A" w:rsidRPr="000C7CFA">
        <w:rPr>
          <w:rFonts w:ascii="Verdana" w:hAnsi="Verdana"/>
          <w:color w:val="000000"/>
          <w:sz w:val="18"/>
          <w:szCs w:val="18"/>
        </w:rPr>
        <w:t xml:space="preserve"> TMF </w:t>
      </w:r>
      <w:r w:rsidR="004F2D8A" w:rsidRPr="000C7CFA">
        <w:rPr>
          <w:rFonts w:ascii="Verdana" w:hAnsi="Verdana"/>
          <w:color w:val="000000"/>
          <w:sz w:val="18"/>
          <w:szCs w:val="18"/>
        </w:rPr>
        <w:t>of</w:t>
      </w:r>
      <w:r w:rsidR="00332C7A" w:rsidRPr="000C7CFA">
        <w:rPr>
          <w:rFonts w:ascii="Verdana" w:hAnsi="Verdana"/>
          <w:color w:val="000000"/>
          <w:sz w:val="18"/>
          <w:szCs w:val="18"/>
        </w:rPr>
        <w:t xml:space="preserve"> 2.5 </w:t>
      </w:r>
      <w:r w:rsidR="005B6B2B" w:rsidRPr="000C7CFA">
        <w:rPr>
          <w:rFonts w:ascii="Verdana" w:hAnsi="Verdana"/>
          <w:color w:val="000000"/>
          <w:sz w:val="18"/>
          <w:szCs w:val="18"/>
        </w:rPr>
        <w:t xml:space="preserve">is calculated </w:t>
      </w:r>
      <w:r w:rsidR="004F2D8A" w:rsidRPr="000C7CFA">
        <w:rPr>
          <w:rFonts w:ascii="Verdana" w:hAnsi="Verdana"/>
          <w:color w:val="000000"/>
          <w:sz w:val="18"/>
          <w:szCs w:val="18"/>
        </w:rPr>
        <w:t xml:space="preserve">for the anti- isomer </w:t>
      </w:r>
      <w:r w:rsidR="00332C7A" w:rsidRPr="000C7CFA">
        <w:rPr>
          <w:rFonts w:ascii="Verdana" w:hAnsi="Verdana"/>
          <w:color w:val="000000"/>
          <w:sz w:val="18"/>
          <w:szCs w:val="18"/>
        </w:rPr>
        <w:t xml:space="preserve">when the data for Loach are </w:t>
      </w:r>
      <w:r w:rsidR="004F2D8A" w:rsidRPr="000C7CFA">
        <w:rPr>
          <w:rFonts w:ascii="Verdana" w:hAnsi="Verdana"/>
          <w:color w:val="000000"/>
          <w:sz w:val="18"/>
          <w:szCs w:val="18"/>
        </w:rPr>
        <w:t>excluded</w:t>
      </w:r>
      <w:r w:rsidR="00332C7A" w:rsidRPr="000C7CFA">
        <w:rPr>
          <w:rFonts w:ascii="Verdana" w:hAnsi="Verdana"/>
          <w:color w:val="000000"/>
          <w:sz w:val="18"/>
          <w:szCs w:val="18"/>
        </w:rPr>
        <w:t>.</w:t>
      </w:r>
      <w:r w:rsidRPr="000C7CFA">
        <w:rPr>
          <w:rFonts w:ascii="Verdana" w:hAnsi="Verdana"/>
          <w:color w:val="000000"/>
          <w:sz w:val="18"/>
          <w:szCs w:val="18"/>
        </w:rPr>
        <w:t xml:space="preserve"> </w:t>
      </w:r>
    </w:p>
    <w:p w14:paraId="16849C11" w14:textId="77777777" w:rsidR="00666142" w:rsidRPr="000C7CFA" w:rsidRDefault="00666142" w:rsidP="00666142">
      <w:pPr>
        <w:pStyle w:val="BodyText"/>
        <w:ind w:left="360" w:right="657"/>
        <w:rPr>
          <w:rFonts w:ascii="Verdana" w:hAnsi="Verdana"/>
          <w:color w:val="000000"/>
          <w:sz w:val="18"/>
          <w:szCs w:val="18"/>
        </w:rPr>
      </w:pPr>
      <w:r w:rsidRPr="000C7CFA">
        <w:rPr>
          <w:rFonts w:ascii="Verdana" w:hAnsi="Verdana"/>
          <w:color w:val="000000"/>
          <w:sz w:val="18"/>
          <w:szCs w:val="18"/>
        </w:rPr>
        <w:lastRenderedPageBreak/>
        <w:t>In addition, the log-normalized concentration ratios of anti-DP-1Cl to anti-DP showed a significant relationship with trophic level (</w:t>
      </w:r>
      <w:r w:rsidRPr="000C7CFA">
        <w:rPr>
          <w:rFonts w:ascii="Verdana" w:hAnsi="Verdana"/>
          <w:i/>
          <w:color w:val="000000"/>
          <w:sz w:val="18"/>
          <w:szCs w:val="18"/>
        </w:rPr>
        <w:t>p</w:t>
      </w:r>
      <w:r w:rsidRPr="000C7CFA">
        <w:rPr>
          <w:rFonts w:ascii="Verdana" w:hAnsi="Verdana"/>
          <w:color w:val="000000"/>
          <w:sz w:val="18"/>
          <w:szCs w:val="18"/>
        </w:rPr>
        <w:t xml:space="preserve"> &lt; 0.001), implying that anti-DP-1Cl may have a higher trophic magnification potential than anti-DP. </w:t>
      </w:r>
    </w:p>
    <w:p w14:paraId="7864050D" w14:textId="77777777" w:rsidR="00666142" w:rsidRPr="000C7CFA" w:rsidRDefault="00666142" w:rsidP="00666142">
      <w:pPr>
        <w:pStyle w:val="BodyText"/>
        <w:ind w:left="360" w:right="657"/>
        <w:rPr>
          <w:rFonts w:ascii="Verdana" w:hAnsi="Verdana"/>
          <w:color w:val="000000"/>
          <w:sz w:val="18"/>
          <w:szCs w:val="18"/>
        </w:rPr>
      </w:pPr>
      <w:r w:rsidRPr="000C7CFA">
        <w:rPr>
          <w:rFonts w:ascii="Verdana" w:hAnsi="Verdana"/>
          <w:color w:val="000000"/>
          <w:sz w:val="18"/>
          <w:szCs w:val="18"/>
        </w:rPr>
        <w:t xml:space="preserve">The fish species occupying the highest trophic position had the lowest </w:t>
      </w:r>
      <w:proofErr w:type="gramStart"/>
      <w:r w:rsidRPr="000C7CFA">
        <w:rPr>
          <w:rFonts w:ascii="Verdana" w:hAnsi="Verdana"/>
          <w:color w:val="000000"/>
          <w:sz w:val="18"/>
          <w:szCs w:val="18"/>
        </w:rPr>
        <w:t>f</w:t>
      </w:r>
      <w:r w:rsidRPr="000C7CFA">
        <w:rPr>
          <w:rFonts w:ascii="Verdana" w:hAnsi="Verdana"/>
          <w:color w:val="000000"/>
          <w:sz w:val="18"/>
          <w:szCs w:val="18"/>
          <w:vertAlign w:val="subscript"/>
        </w:rPr>
        <w:t>anti</w:t>
      </w:r>
      <w:proofErr w:type="gramEnd"/>
      <w:r w:rsidR="006E73E4" w:rsidRPr="000C7CFA">
        <w:rPr>
          <w:rFonts w:ascii="Verdana" w:hAnsi="Verdana"/>
          <w:color w:val="000000"/>
          <w:sz w:val="18"/>
          <w:szCs w:val="18"/>
        </w:rPr>
        <w:t xml:space="preserve"> value</w:t>
      </w:r>
      <w:r w:rsidRPr="000C7CFA">
        <w:rPr>
          <w:rFonts w:ascii="Verdana" w:hAnsi="Verdana"/>
          <w:color w:val="000000"/>
          <w:sz w:val="18"/>
          <w:szCs w:val="18"/>
        </w:rPr>
        <w:t xml:space="preserve"> (0.51), whereas the shrimp occupying the lowest trophic level had the highest f</w:t>
      </w:r>
      <w:r w:rsidRPr="000C7CFA">
        <w:rPr>
          <w:rFonts w:ascii="Verdana" w:hAnsi="Verdana"/>
          <w:color w:val="000000"/>
          <w:sz w:val="18"/>
          <w:szCs w:val="18"/>
          <w:vertAlign w:val="subscript"/>
        </w:rPr>
        <w:t>anti</w:t>
      </w:r>
      <w:r w:rsidRPr="000C7CFA">
        <w:rPr>
          <w:rFonts w:ascii="Verdana" w:hAnsi="Verdana"/>
          <w:color w:val="000000"/>
          <w:sz w:val="18"/>
          <w:szCs w:val="18"/>
        </w:rPr>
        <w:t xml:space="preserve"> value (0.81). A significant negative correlation was found between </w:t>
      </w:r>
      <w:proofErr w:type="gramStart"/>
      <w:r w:rsidRPr="000C7CFA">
        <w:rPr>
          <w:rFonts w:ascii="Verdana" w:hAnsi="Verdana"/>
          <w:color w:val="000000"/>
          <w:sz w:val="18"/>
          <w:szCs w:val="18"/>
        </w:rPr>
        <w:t>f</w:t>
      </w:r>
      <w:r w:rsidRPr="000C7CFA">
        <w:rPr>
          <w:rFonts w:ascii="Verdana" w:hAnsi="Verdana"/>
          <w:color w:val="000000"/>
          <w:sz w:val="18"/>
          <w:szCs w:val="18"/>
          <w:vertAlign w:val="subscript"/>
        </w:rPr>
        <w:t>anti</w:t>
      </w:r>
      <w:proofErr w:type="gramEnd"/>
      <w:r w:rsidRPr="000C7CFA">
        <w:rPr>
          <w:rFonts w:ascii="Verdana" w:hAnsi="Verdana"/>
          <w:color w:val="000000"/>
          <w:sz w:val="18"/>
          <w:szCs w:val="18"/>
        </w:rPr>
        <w:t xml:space="preserve"> and trophic level for the sampled species (</w:t>
      </w:r>
      <w:r w:rsidRPr="000C7CFA">
        <w:rPr>
          <w:rFonts w:ascii="Verdana" w:hAnsi="Verdana"/>
          <w:i/>
          <w:color w:val="000000"/>
          <w:sz w:val="18"/>
          <w:szCs w:val="18"/>
        </w:rPr>
        <w:t>p</w:t>
      </w:r>
      <w:r w:rsidRPr="000C7CFA">
        <w:rPr>
          <w:rFonts w:ascii="Verdana" w:hAnsi="Verdana"/>
          <w:color w:val="000000"/>
          <w:sz w:val="18"/>
          <w:szCs w:val="18"/>
        </w:rPr>
        <w:t xml:space="preserve"> &lt; 0.01), suggesting that the organisms have lower uptake efficiencies and higher depuration rates for the anti- isomer compared to the syn-isomer.</w:t>
      </w:r>
    </w:p>
    <w:p w14:paraId="3022AB80" w14:textId="3D10BC86" w:rsidR="00666142" w:rsidRPr="000C7CFA" w:rsidRDefault="00666142" w:rsidP="00666142">
      <w:pPr>
        <w:pStyle w:val="BodyText"/>
        <w:ind w:left="360" w:right="657"/>
        <w:rPr>
          <w:rFonts w:ascii="Verdana" w:hAnsi="Verdana"/>
          <w:color w:val="000000"/>
          <w:sz w:val="18"/>
          <w:szCs w:val="18"/>
        </w:rPr>
      </w:pPr>
      <w:r w:rsidRPr="000C7CFA">
        <w:rPr>
          <w:rFonts w:ascii="Verdana" w:hAnsi="Verdana"/>
          <w:color w:val="000000"/>
          <w:sz w:val="18"/>
          <w:szCs w:val="18"/>
        </w:rPr>
        <w:t xml:space="preserve">Using sediment concentrations from an earlier study (Wang </w:t>
      </w:r>
      <w:r w:rsidRPr="000C7CFA">
        <w:rPr>
          <w:rFonts w:ascii="Verdana" w:hAnsi="Verdana"/>
          <w:i/>
          <w:color w:val="000000"/>
          <w:sz w:val="18"/>
          <w:szCs w:val="18"/>
        </w:rPr>
        <w:t>et al</w:t>
      </w:r>
      <w:r w:rsidRPr="000C7CFA">
        <w:rPr>
          <w:rFonts w:ascii="Verdana" w:hAnsi="Verdana"/>
          <w:color w:val="000000"/>
          <w:sz w:val="18"/>
          <w:szCs w:val="18"/>
        </w:rPr>
        <w:t xml:space="preserve">. (2010) – see Annex) and an organic carbon content of about </w:t>
      </w:r>
      <w:r w:rsidR="00AF7606" w:rsidRPr="000C7CFA">
        <w:rPr>
          <w:rFonts w:ascii="Verdana" w:hAnsi="Verdana"/>
          <w:color w:val="000000"/>
          <w:sz w:val="18"/>
          <w:szCs w:val="18"/>
        </w:rPr>
        <w:t>2 %</w:t>
      </w:r>
      <w:r w:rsidRPr="000C7CFA">
        <w:rPr>
          <w:rFonts w:ascii="Verdana" w:hAnsi="Verdana"/>
          <w:color w:val="000000"/>
          <w:sz w:val="18"/>
          <w:szCs w:val="18"/>
        </w:rPr>
        <w:t>, BSAFs for anti-DP were estimated as 0.6 for Loach, 1.6 for Crucian Carp and 3.2 for Northern Snakehead, indicating an enrichment from food intake for the latter species. The BSAFs for syn-DP were lower than 1.7 for Common Carp, River snail, shrimp and Loach, indicating these species can accumulate syn-DP through exposure to sediment and water. However, the BSAFs for Northern Snakehead (5.3), Crucian Carp (9.0</w:t>
      </w:r>
      <w:r w:rsidR="001135EA" w:rsidRPr="000C7CFA">
        <w:rPr>
          <w:rFonts w:ascii="Verdana" w:hAnsi="Verdana"/>
          <w:color w:val="000000"/>
          <w:sz w:val="18"/>
          <w:szCs w:val="18"/>
        </w:rPr>
        <w:t>) and</w:t>
      </w:r>
      <w:r w:rsidRPr="000C7CFA">
        <w:rPr>
          <w:rFonts w:ascii="Verdana" w:hAnsi="Verdana"/>
          <w:color w:val="000000"/>
          <w:sz w:val="18"/>
          <w:szCs w:val="18"/>
        </w:rPr>
        <w:t xml:space="preserve"> Bleeker (5.1) suggesting a role for dietary intake. </w:t>
      </w:r>
    </w:p>
    <w:p w14:paraId="3D1A1701" w14:textId="77777777" w:rsidR="002A5A76" w:rsidRPr="000C7CFA" w:rsidRDefault="00666142" w:rsidP="00666142">
      <w:pPr>
        <w:pStyle w:val="BodyText"/>
        <w:ind w:left="360" w:right="657"/>
        <w:rPr>
          <w:rFonts w:ascii="Verdana" w:hAnsi="Verdana"/>
          <w:color w:val="000000"/>
          <w:sz w:val="18"/>
          <w:szCs w:val="18"/>
        </w:rPr>
      </w:pPr>
      <w:r w:rsidRPr="000C7CFA">
        <w:rPr>
          <w:rFonts w:ascii="Verdana" w:hAnsi="Verdana"/>
          <w:color w:val="000000"/>
          <w:sz w:val="18"/>
          <w:szCs w:val="18"/>
        </w:rPr>
        <w:t xml:space="preserve">The study is limited by the small sample numbers involved. However, it indicates that point source emissions can lead to relatively high concentrations of Dechlorane Plus in fish, and that </w:t>
      </w:r>
      <w:r w:rsidR="000A653E" w:rsidRPr="000C7CFA">
        <w:rPr>
          <w:rFonts w:ascii="Verdana" w:hAnsi="Verdana"/>
          <w:color w:val="000000"/>
          <w:sz w:val="18"/>
          <w:szCs w:val="18"/>
        </w:rPr>
        <w:t xml:space="preserve">at least </w:t>
      </w:r>
      <w:r w:rsidRPr="000C7CFA">
        <w:rPr>
          <w:rFonts w:ascii="Verdana" w:hAnsi="Verdana"/>
          <w:color w:val="000000"/>
          <w:sz w:val="18"/>
          <w:szCs w:val="18"/>
        </w:rPr>
        <w:t>the anti- isomer can biomagnify.</w:t>
      </w:r>
    </w:p>
    <w:p w14:paraId="2CF16279" w14:textId="77777777" w:rsidR="000A653E" w:rsidRPr="000C7CFA" w:rsidRDefault="000A653E" w:rsidP="00666142">
      <w:pPr>
        <w:pStyle w:val="BodyText"/>
        <w:ind w:left="360" w:right="657"/>
        <w:rPr>
          <w:rFonts w:ascii="Verdana" w:hAnsi="Verdana"/>
          <w:color w:val="000000"/>
          <w:sz w:val="18"/>
          <w:szCs w:val="18"/>
        </w:rPr>
      </w:pPr>
      <w:r w:rsidRPr="000C7CFA">
        <w:rPr>
          <w:rFonts w:ascii="Verdana" w:hAnsi="Verdana"/>
          <w:color w:val="000000"/>
          <w:sz w:val="18"/>
          <w:szCs w:val="18"/>
        </w:rPr>
        <w:t>This study is not included in the registration dossier.</w:t>
      </w:r>
    </w:p>
    <w:p w14:paraId="435B7F05" w14:textId="77777777" w:rsidR="000A653E" w:rsidRPr="000C7CFA" w:rsidRDefault="000A653E" w:rsidP="00666142">
      <w:pPr>
        <w:pStyle w:val="BodyText"/>
        <w:ind w:left="360" w:right="657"/>
        <w:rPr>
          <w:rFonts w:ascii="Verdana" w:hAnsi="Verdana"/>
          <w:color w:val="000000"/>
          <w:sz w:val="18"/>
          <w:szCs w:val="18"/>
        </w:rPr>
      </w:pPr>
    </w:p>
    <w:p w14:paraId="2824AC19" w14:textId="77777777" w:rsidR="000D41B4" w:rsidRPr="000C7CFA" w:rsidRDefault="000D41B4" w:rsidP="000D41B4">
      <w:pPr>
        <w:autoSpaceDE w:val="0"/>
        <w:autoSpaceDN w:val="0"/>
        <w:adjustRightInd w:val="0"/>
        <w:spacing w:after="0"/>
        <w:rPr>
          <w:rFonts w:ascii="Verdana" w:hAnsi="Verdana" w:cs="AdvGulliv-R"/>
          <w:color w:val="000000"/>
          <w:sz w:val="18"/>
          <w:szCs w:val="18"/>
          <w:lang w:val="en-GB" w:eastAsia="en-GB"/>
        </w:rPr>
      </w:pPr>
    </w:p>
    <w:p w14:paraId="21EB0749" w14:textId="77777777" w:rsidR="00FC37DA" w:rsidRPr="000C7CFA" w:rsidRDefault="00FC37DA" w:rsidP="00DC3658">
      <w:pPr>
        <w:pStyle w:val="NoSpacing"/>
        <w:numPr>
          <w:ilvl w:val="0"/>
          <w:numId w:val="6"/>
        </w:numPr>
        <w:spacing w:after="180"/>
        <w:ind w:right="657"/>
        <w:jc w:val="both"/>
        <w:rPr>
          <w:rFonts w:ascii="Verdana" w:hAnsi="Verdana" w:cs="Times New Roman"/>
          <w:sz w:val="18"/>
          <w:szCs w:val="18"/>
        </w:rPr>
      </w:pPr>
      <w:r w:rsidRPr="000C7CFA">
        <w:rPr>
          <w:rFonts w:ascii="Verdana" w:hAnsi="Verdana" w:cs="Times New Roman"/>
          <w:sz w:val="18"/>
          <w:szCs w:val="18"/>
          <w:u w:val="single"/>
        </w:rPr>
        <w:t xml:space="preserve">Barón </w:t>
      </w:r>
      <w:r w:rsidRPr="000C7CFA">
        <w:rPr>
          <w:rFonts w:ascii="Verdana" w:hAnsi="Verdana" w:cs="Times New Roman"/>
          <w:i/>
          <w:sz w:val="18"/>
          <w:szCs w:val="18"/>
          <w:u w:val="single"/>
        </w:rPr>
        <w:t>et al</w:t>
      </w:r>
      <w:r w:rsidRPr="000C7CFA">
        <w:rPr>
          <w:rFonts w:ascii="Verdana" w:hAnsi="Verdana" w:cs="Times New Roman"/>
          <w:sz w:val="18"/>
          <w:szCs w:val="18"/>
          <w:u w:val="single"/>
        </w:rPr>
        <w:t>. (2013)</w:t>
      </w:r>
      <w:r w:rsidRPr="000C7CFA">
        <w:rPr>
          <w:rFonts w:ascii="Verdana" w:hAnsi="Verdana" w:cs="Times New Roman"/>
          <w:sz w:val="18"/>
          <w:szCs w:val="18"/>
        </w:rPr>
        <w:t xml:space="preserve"> investigated the concentrations of Dechlorane Plus in an aquatic food web from an industrial area of the south central Chilean coast. Samples were collected during July and September 2010 from the Lenga estuary (based on a previous sediment survey in February 2010 to identify an area with a high contamination level). It was not possible to collect all the biota samples in the same location, so samples were collected from a nearby area called Chome and Perone. This area receives industrial discharges from a large petrochemical complex. </w:t>
      </w:r>
    </w:p>
    <w:p w14:paraId="50834AF1" w14:textId="1ADA5C88" w:rsidR="00FC37DA" w:rsidRPr="000C7CFA" w:rsidRDefault="00FC37DA" w:rsidP="00FC37DA">
      <w:pPr>
        <w:pStyle w:val="BodyText"/>
        <w:ind w:left="360" w:right="657"/>
        <w:rPr>
          <w:rFonts w:ascii="Verdana" w:hAnsi="Verdana"/>
          <w:sz w:val="18"/>
          <w:szCs w:val="18"/>
        </w:rPr>
      </w:pPr>
      <w:r w:rsidRPr="000C7CFA">
        <w:rPr>
          <w:rFonts w:ascii="Verdana" w:hAnsi="Verdana"/>
          <w:sz w:val="18"/>
          <w:szCs w:val="18"/>
        </w:rPr>
        <w:t>Fifty-five</w:t>
      </w:r>
      <w:r w:rsidRPr="000C7CFA">
        <w:rPr>
          <w:rFonts w:ascii="Verdana" w:eastAsiaTheme="minorHAnsi" w:hAnsi="Verdana"/>
          <w:sz w:val="18"/>
          <w:szCs w:val="18"/>
        </w:rPr>
        <w:t xml:space="preserve"> biota samples</w:t>
      </w:r>
      <w:r w:rsidRPr="000C7CFA">
        <w:rPr>
          <w:rFonts w:ascii="Verdana" w:hAnsi="Verdana"/>
          <w:sz w:val="18"/>
          <w:szCs w:val="18"/>
        </w:rPr>
        <w:t xml:space="preserve"> </w:t>
      </w:r>
      <w:r w:rsidRPr="000C7CFA">
        <w:rPr>
          <w:rFonts w:ascii="Verdana" w:eastAsiaTheme="minorHAnsi" w:hAnsi="Verdana"/>
          <w:sz w:val="18"/>
          <w:szCs w:val="18"/>
        </w:rPr>
        <w:t>were collected</w:t>
      </w:r>
      <w:r w:rsidRPr="000C7CFA">
        <w:rPr>
          <w:rFonts w:ascii="Verdana" w:hAnsi="Verdana"/>
          <w:sz w:val="18"/>
          <w:szCs w:val="18"/>
        </w:rPr>
        <w:t xml:space="preserve"> (</w:t>
      </w:r>
      <w:r w:rsidRPr="000C7CFA">
        <w:rPr>
          <w:rFonts w:ascii="Verdana" w:eastAsiaTheme="minorHAnsi" w:hAnsi="Verdana"/>
          <w:sz w:val="18"/>
          <w:szCs w:val="18"/>
        </w:rPr>
        <w:t xml:space="preserve">divided into </w:t>
      </w:r>
      <w:r w:rsidRPr="000C7CFA">
        <w:rPr>
          <w:rFonts w:ascii="Verdana" w:hAnsi="Verdana"/>
          <w:sz w:val="18"/>
          <w:szCs w:val="18"/>
        </w:rPr>
        <w:t>three</w:t>
      </w:r>
      <w:r w:rsidRPr="000C7CFA">
        <w:rPr>
          <w:rFonts w:ascii="Verdana" w:eastAsiaTheme="minorHAnsi" w:hAnsi="Verdana"/>
          <w:sz w:val="18"/>
          <w:szCs w:val="18"/>
        </w:rPr>
        <w:t xml:space="preserve"> trophic groups </w:t>
      </w:r>
      <w:r w:rsidRPr="000C7CFA">
        <w:rPr>
          <w:rFonts w:ascii="Verdana" w:hAnsi="Verdana"/>
          <w:sz w:val="18"/>
          <w:szCs w:val="18"/>
        </w:rPr>
        <w:t xml:space="preserve">based on diet), </w:t>
      </w:r>
      <w:r w:rsidRPr="000C7CFA">
        <w:rPr>
          <w:rFonts w:ascii="Verdana" w:eastAsiaTheme="minorHAnsi" w:hAnsi="Verdana"/>
          <w:sz w:val="18"/>
          <w:szCs w:val="18"/>
        </w:rPr>
        <w:t>freeze dried</w:t>
      </w:r>
      <w:r w:rsidRPr="000C7CFA">
        <w:rPr>
          <w:rFonts w:ascii="Verdana" w:hAnsi="Verdana"/>
          <w:sz w:val="18"/>
          <w:szCs w:val="18"/>
        </w:rPr>
        <w:t xml:space="preserve"> </w:t>
      </w:r>
      <w:r w:rsidRPr="000C7CFA">
        <w:rPr>
          <w:rFonts w:ascii="Verdana" w:eastAsiaTheme="minorHAnsi" w:hAnsi="Verdana"/>
          <w:sz w:val="18"/>
          <w:szCs w:val="18"/>
        </w:rPr>
        <w:t>and stored in sealed containers at −20 </w:t>
      </w:r>
      <w:r w:rsidRPr="000C7CFA">
        <w:rPr>
          <w:rFonts w:ascii="Verdana" w:hAnsi="Verdana"/>
          <w:sz w:val="18"/>
          <w:szCs w:val="18"/>
        </w:rPr>
        <w:t>º</w:t>
      </w:r>
      <w:r w:rsidRPr="000C7CFA">
        <w:rPr>
          <w:rFonts w:ascii="Verdana" w:eastAsiaTheme="minorHAnsi" w:hAnsi="Verdana"/>
          <w:sz w:val="18"/>
          <w:szCs w:val="18"/>
        </w:rPr>
        <w:t xml:space="preserve">C </w:t>
      </w:r>
      <w:r w:rsidRPr="000C7CFA">
        <w:rPr>
          <w:rFonts w:ascii="Verdana" w:hAnsi="Verdana"/>
          <w:sz w:val="18"/>
          <w:szCs w:val="18"/>
        </w:rPr>
        <w:t>until analysis</w:t>
      </w:r>
      <w:r w:rsidRPr="000C7CFA">
        <w:rPr>
          <w:rFonts w:ascii="Verdana" w:eastAsiaTheme="minorHAnsi" w:hAnsi="Verdana"/>
          <w:sz w:val="18"/>
          <w:szCs w:val="18"/>
        </w:rPr>
        <w:t>.</w:t>
      </w:r>
      <w:r w:rsidRPr="000C7CFA">
        <w:rPr>
          <w:rFonts w:ascii="Verdana" w:hAnsi="Verdana"/>
          <w:sz w:val="18"/>
          <w:szCs w:val="18"/>
        </w:rPr>
        <w:t xml:space="preserve"> L</w:t>
      </w:r>
      <w:r w:rsidRPr="000C7CFA">
        <w:rPr>
          <w:rFonts w:ascii="Verdana" w:eastAsiaTheme="minorHAnsi" w:hAnsi="Verdana"/>
          <w:sz w:val="18"/>
          <w:szCs w:val="18"/>
        </w:rPr>
        <w:t>yophilized and homogenized sample</w:t>
      </w:r>
      <w:r w:rsidRPr="000C7CFA">
        <w:rPr>
          <w:rFonts w:ascii="Verdana" w:hAnsi="Verdana"/>
          <w:sz w:val="18"/>
          <w:szCs w:val="18"/>
        </w:rPr>
        <w:t>s</w:t>
      </w:r>
      <w:r w:rsidRPr="000C7CFA">
        <w:rPr>
          <w:rFonts w:ascii="Verdana" w:eastAsiaTheme="minorHAnsi" w:hAnsi="Verdana"/>
          <w:sz w:val="18"/>
          <w:szCs w:val="18"/>
        </w:rPr>
        <w:t xml:space="preserve"> </w:t>
      </w:r>
      <w:r w:rsidRPr="000C7CFA">
        <w:rPr>
          <w:rFonts w:ascii="Verdana" w:hAnsi="Verdana"/>
          <w:sz w:val="18"/>
          <w:szCs w:val="18"/>
        </w:rPr>
        <w:t>were</w:t>
      </w:r>
      <w:r w:rsidRPr="000C7CFA">
        <w:rPr>
          <w:rFonts w:ascii="Verdana" w:eastAsiaTheme="minorHAnsi" w:hAnsi="Verdana"/>
          <w:sz w:val="18"/>
          <w:szCs w:val="18"/>
        </w:rPr>
        <w:t xml:space="preserve"> spiked with the surrogate standard </w:t>
      </w:r>
      <w:r w:rsidRPr="000C7CFA">
        <w:rPr>
          <w:rFonts w:ascii="Verdana" w:eastAsiaTheme="minorHAnsi" w:hAnsi="Verdana"/>
          <w:sz w:val="18"/>
          <w:szCs w:val="18"/>
          <w:vertAlign w:val="superscript"/>
        </w:rPr>
        <w:t>13</w:t>
      </w:r>
      <w:r w:rsidRPr="000C7CFA">
        <w:rPr>
          <w:rFonts w:ascii="Verdana" w:eastAsiaTheme="minorHAnsi" w:hAnsi="Verdana"/>
          <w:sz w:val="18"/>
          <w:szCs w:val="18"/>
        </w:rPr>
        <w:t>C-syn-DP</w:t>
      </w:r>
      <w:r w:rsidRPr="000C7CFA">
        <w:rPr>
          <w:rFonts w:ascii="Verdana" w:hAnsi="Verdana"/>
          <w:sz w:val="18"/>
          <w:szCs w:val="18"/>
        </w:rPr>
        <w:t xml:space="preserve"> b</w:t>
      </w:r>
      <w:r w:rsidRPr="000C7CFA">
        <w:rPr>
          <w:rFonts w:ascii="Verdana" w:eastAsiaTheme="minorHAnsi" w:hAnsi="Verdana"/>
          <w:sz w:val="18"/>
          <w:szCs w:val="18"/>
        </w:rPr>
        <w:t xml:space="preserve">efore pressurized liquid extraction. </w:t>
      </w:r>
      <w:r w:rsidRPr="000C7CFA">
        <w:rPr>
          <w:rFonts w:ascii="Verdana" w:hAnsi="Verdana"/>
          <w:sz w:val="18"/>
          <w:szCs w:val="18"/>
        </w:rPr>
        <w:t>A</w:t>
      </w:r>
      <w:r w:rsidRPr="000C7CFA">
        <w:rPr>
          <w:rFonts w:ascii="Verdana" w:eastAsiaTheme="minorHAnsi" w:hAnsi="Verdana"/>
          <w:sz w:val="18"/>
          <w:szCs w:val="18"/>
        </w:rPr>
        <w:t>naly</w:t>
      </w:r>
      <w:r w:rsidRPr="000C7CFA">
        <w:rPr>
          <w:rFonts w:ascii="Verdana" w:hAnsi="Verdana"/>
          <w:sz w:val="18"/>
          <w:szCs w:val="18"/>
        </w:rPr>
        <w:t>sis was via GC/MS t</w:t>
      </w:r>
      <w:r w:rsidRPr="000C7CFA">
        <w:rPr>
          <w:rFonts w:ascii="Verdana" w:eastAsiaTheme="minorHAnsi" w:hAnsi="Verdana"/>
          <w:sz w:val="18"/>
          <w:szCs w:val="18"/>
        </w:rPr>
        <w:t xml:space="preserve">riple </w:t>
      </w:r>
      <w:r w:rsidRPr="000C7CFA">
        <w:rPr>
          <w:rFonts w:ascii="Verdana" w:hAnsi="Verdana"/>
          <w:sz w:val="18"/>
          <w:szCs w:val="18"/>
        </w:rPr>
        <w:t>q</w:t>
      </w:r>
      <w:r w:rsidRPr="000C7CFA">
        <w:rPr>
          <w:rFonts w:ascii="Verdana" w:eastAsiaTheme="minorHAnsi" w:hAnsi="Verdana"/>
          <w:sz w:val="18"/>
          <w:szCs w:val="18"/>
        </w:rPr>
        <w:t xml:space="preserve">uadrupole, working in negative chemical ionization mode. </w:t>
      </w:r>
      <w:r w:rsidRPr="000C7CFA">
        <w:rPr>
          <w:rFonts w:ascii="Verdana" w:hAnsi="Verdana"/>
          <w:sz w:val="18"/>
          <w:szCs w:val="18"/>
        </w:rPr>
        <w:t>R</w:t>
      </w:r>
      <w:r w:rsidRPr="000C7CFA">
        <w:rPr>
          <w:rFonts w:ascii="Verdana" w:eastAsiaTheme="minorHAnsi" w:hAnsi="Verdana"/>
          <w:sz w:val="18"/>
          <w:szCs w:val="18"/>
        </w:rPr>
        <w:t xml:space="preserve">ecoveries </w:t>
      </w:r>
      <w:r w:rsidRPr="000C7CFA">
        <w:rPr>
          <w:rFonts w:ascii="Verdana" w:hAnsi="Verdana"/>
          <w:sz w:val="18"/>
          <w:szCs w:val="18"/>
        </w:rPr>
        <w:t xml:space="preserve">were in the range </w:t>
      </w:r>
      <w:r w:rsidRPr="000C7CFA">
        <w:rPr>
          <w:rFonts w:ascii="Verdana" w:eastAsiaTheme="minorHAnsi" w:hAnsi="Verdana"/>
          <w:sz w:val="18"/>
          <w:szCs w:val="18"/>
        </w:rPr>
        <w:t xml:space="preserve">82 </w:t>
      </w:r>
      <w:r w:rsidRPr="000C7CFA">
        <w:rPr>
          <w:rFonts w:ascii="Verdana" w:hAnsi="Verdana"/>
          <w:sz w:val="18"/>
          <w:szCs w:val="18"/>
        </w:rPr>
        <w:t>–</w:t>
      </w:r>
      <w:r w:rsidRPr="000C7CFA">
        <w:rPr>
          <w:rFonts w:ascii="Verdana" w:eastAsiaTheme="minorHAnsi" w:hAnsi="Verdana"/>
          <w:sz w:val="18"/>
          <w:szCs w:val="18"/>
        </w:rPr>
        <w:t xml:space="preserve"> 9</w:t>
      </w:r>
      <w:r w:rsidR="00AF7606" w:rsidRPr="000C7CFA">
        <w:rPr>
          <w:rFonts w:ascii="Verdana" w:eastAsiaTheme="minorHAnsi" w:hAnsi="Verdana"/>
          <w:sz w:val="18"/>
          <w:szCs w:val="18"/>
        </w:rPr>
        <w:t>7 %</w:t>
      </w:r>
      <w:r w:rsidRPr="000C7CFA">
        <w:rPr>
          <w:rFonts w:ascii="Verdana" w:hAnsi="Verdana"/>
          <w:sz w:val="18"/>
          <w:szCs w:val="18"/>
        </w:rPr>
        <w:t>. I</w:t>
      </w:r>
      <w:r w:rsidRPr="000C7CFA">
        <w:rPr>
          <w:rFonts w:ascii="Verdana" w:eastAsiaTheme="minorHAnsi" w:hAnsi="Verdana"/>
          <w:sz w:val="18"/>
          <w:szCs w:val="18"/>
        </w:rPr>
        <w:t xml:space="preserve">dentification and confirmation was based on </w:t>
      </w:r>
      <w:r w:rsidRPr="000C7CFA">
        <w:rPr>
          <w:rFonts w:ascii="Verdana" w:hAnsi="Verdana"/>
          <w:sz w:val="18"/>
          <w:szCs w:val="18"/>
        </w:rPr>
        <w:t>s</w:t>
      </w:r>
      <w:r w:rsidRPr="000C7CFA">
        <w:rPr>
          <w:rFonts w:ascii="Verdana" w:eastAsiaTheme="minorHAnsi" w:hAnsi="Verdana"/>
          <w:sz w:val="18"/>
          <w:szCs w:val="18"/>
        </w:rPr>
        <w:t>imultaneous responses to the two selected ions or transitions</w:t>
      </w:r>
      <w:r w:rsidRPr="000C7CFA">
        <w:rPr>
          <w:rFonts w:ascii="Verdana" w:hAnsi="Verdana"/>
          <w:sz w:val="18"/>
          <w:szCs w:val="18"/>
        </w:rPr>
        <w:t>, a</w:t>
      </w:r>
      <w:r w:rsidRPr="000C7CFA">
        <w:rPr>
          <w:rFonts w:ascii="Verdana" w:eastAsiaTheme="minorHAnsi" w:hAnsi="Verdana"/>
          <w:sz w:val="18"/>
          <w:szCs w:val="18"/>
        </w:rPr>
        <w:t xml:space="preserve"> signal area at least </w:t>
      </w:r>
      <w:r w:rsidRPr="000C7CFA">
        <w:rPr>
          <w:rFonts w:ascii="Verdana" w:hAnsi="Verdana"/>
          <w:sz w:val="18"/>
          <w:szCs w:val="18"/>
        </w:rPr>
        <w:t>three</w:t>
      </w:r>
      <w:r w:rsidRPr="000C7CFA">
        <w:rPr>
          <w:rFonts w:ascii="Verdana" w:eastAsiaTheme="minorHAnsi" w:hAnsi="Verdana"/>
          <w:sz w:val="18"/>
          <w:szCs w:val="18"/>
        </w:rPr>
        <w:t xml:space="preserve"> times higher than the signal noise, and the difference in the relative intensity of a peak </w:t>
      </w:r>
      <w:r w:rsidRPr="000C7CFA">
        <w:rPr>
          <w:rFonts w:ascii="Verdana" w:hAnsi="Verdana"/>
          <w:sz w:val="18"/>
          <w:szCs w:val="18"/>
        </w:rPr>
        <w:t xml:space="preserve">with </w:t>
      </w:r>
      <w:r w:rsidRPr="000C7CFA">
        <w:rPr>
          <w:rFonts w:ascii="Verdana" w:eastAsiaTheme="minorHAnsi" w:hAnsi="Verdana"/>
          <w:sz w:val="18"/>
          <w:szCs w:val="18"/>
        </w:rPr>
        <w:t>respect to theoretical values</w:t>
      </w:r>
      <w:r w:rsidRPr="000C7CFA">
        <w:rPr>
          <w:rFonts w:ascii="Verdana" w:hAnsi="Verdana"/>
          <w:sz w:val="18"/>
          <w:szCs w:val="18"/>
        </w:rPr>
        <w:t xml:space="preserve"> </w:t>
      </w:r>
      <w:r w:rsidRPr="000C7CFA">
        <w:rPr>
          <w:rFonts w:ascii="Verdana" w:eastAsiaTheme="minorHAnsi" w:hAnsi="Verdana"/>
          <w:sz w:val="18"/>
          <w:szCs w:val="18"/>
        </w:rPr>
        <w:t>obtained with standard solutions not exceed</w:t>
      </w:r>
      <w:r w:rsidRPr="000C7CFA">
        <w:rPr>
          <w:rFonts w:ascii="Verdana" w:hAnsi="Verdana"/>
          <w:sz w:val="18"/>
          <w:szCs w:val="18"/>
        </w:rPr>
        <w:t>ing</w:t>
      </w:r>
      <w:r w:rsidRPr="000C7CFA">
        <w:rPr>
          <w:rFonts w:ascii="Verdana" w:eastAsiaTheme="minorHAnsi" w:hAnsi="Verdana"/>
          <w:sz w:val="18"/>
          <w:szCs w:val="18"/>
        </w:rPr>
        <w:t> ± 1</w:t>
      </w:r>
      <w:r w:rsidR="00AF7606" w:rsidRPr="000C7CFA">
        <w:rPr>
          <w:rFonts w:ascii="Verdana" w:eastAsiaTheme="minorHAnsi" w:hAnsi="Verdana"/>
          <w:sz w:val="18"/>
          <w:szCs w:val="18"/>
        </w:rPr>
        <w:t>5 %</w:t>
      </w:r>
      <w:r w:rsidRPr="000C7CFA">
        <w:rPr>
          <w:rFonts w:ascii="Verdana" w:eastAsiaTheme="minorHAnsi" w:hAnsi="Verdana"/>
          <w:sz w:val="18"/>
          <w:szCs w:val="18"/>
        </w:rPr>
        <w:t xml:space="preserve">. </w:t>
      </w:r>
      <w:r w:rsidRPr="000C7CFA">
        <w:rPr>
          <w:rFonts w:ascii="Verdana" w:hAnsi="Verdana"/>
          <w:sz w:val="18"/>
          <w:szCs w:val="18"/>
        </w:rPr>
        <w:t>Five</w:t>
      </w:r>
      <w:r w:rsidRPr="000C7CFA">
        <w:rPr>
          <w:rFonts w:ascii="Verdana" w:eastAsiaTheme="minorHAnsi" w:hAnsi="Verdana"/>
          <w:sz w:val="18"/>
          <w:szCs w:val="18"/>
        </w:rPr>
        <w:t xml:space="preserve"> procedural blanks were made to prevent interferences and contamination.</w:t>
      </w:r>
      <w:r w:rsidRPr="000C7CFA">
        <w:rPr>
          <w:rFonts w:ascii="Verdana" w:hAnsi="Verdana"/>
          <w:sz w:val="18"/>
          <w:szCs w:val="18"/>
        </w:rPr>
        <w:t xml:space="preserve"> The detection limit was</w:t>
      </w:r>
      <w:r w:rsidRPr="000C7CFA">
        <w:rPr>
          <w:rFonts w:ascii="Verdana" w:eastAsiaTheme="minorHAnsi" w:hAnsi="Verdana"/>
          <w:sz w:val="18"/>
          <w:szCs w:val="18"/>
        </w:rPr>
        <w:t xml:space="preserve"> 5.5–21</w:t>
      </w:r>
      <w:r w:rsidRPr="000C7CFA">
        <w:rPr>
          <w:rFonts w:ascii="Verdana" w:hAnsi="Verdana"/>
          <w:sz w:val="18"/>
          <w:szCs w:val="18"/>
        </w:rPr>
        <w:t xml:space="preserve"> </w:t>
      </w:r>
      <w:r w:rsidRPr="000C7CFA">
        <w:rPr>
          <w:rFonts w:ascii="Verdana" w:eastAsiaTheme="minorHAnsi" w:hAnsi="Verdana"/>
          <w:sz w:val="18"/>
          <w:szCs w:val="18"/>
        </w:rPr>
        <w:t xml:space="preserve">pg/g </w:t>
      </w:r>
      <w:r w:rsidRPr="000C7CFA">
        <w:rPr>
          <w:rFonts w:ascii="Verdana" w:hAnsi="Verdana"/>
          <w:sz w:val="18"/>
          <w:szCs w:val="18"/>
        </w:rPr>
        <w:t xml:space="preserve">[ng/kg] </w:t>
      </w:r>
      <w:proofErr w:type="gramStart"/>
      <w:r w:rsidRPr="000C7CFA">
        <w:rPr>
          <w:rFonts w:ascii="Verdana" w:eastAsiaTheme="minorHAnsi" w:hAnsi="Verdana"/>
          <w:sz w:val="18"/>
          <w:szCs w:val="18"/>
        </w:rPr>
        <w:t>lw</w:t>
      </w:r>
      <w:proofErr w:type="gramEnd"/>
      <w:r w:rsidRPr="000C7CFA">
        <w:rPr>
          <w:rFonts w:ascii="Verdana" w:hAnsi="Verdana"/>
          <w:sz w:val="18"/>
          <w:szCs w:val="18"/>
        </w:rPr>
        <w:t xml:space="preserve"> and the </w:t>
      </w:r>
      <w:r w:rsidRPr="000C7CFA">
        <w:rPr>
          <w:rFonts w:ascii="Verdana" w:eastAsiaTheme="minorHAnsi" w:hAnsi="Verdana"/>
          <w:sz w:val="18"/>
          <w:szCs w:val="18"/>
        </w:rPr>
        <w:t>limit of quantification w</w:t>
      </w:r>
      <w:r w:rsidRPr="000C7CFA">
        <w:rPr>
          <w:rFonts w:ascii="Verdana" w:hAnsi="Verdana"/>
          <w:sz w:val="18"/>
          <w:szCs w:val="18"/>
        </w:rPr>
        <w:t xml:space="preserve">as </w:t>
      </w:r>
      <w:r w:rsidRPr="000C7CFA">
        <w:rPr>
          <w:rFonts w:ascii="Verdana" w:eastAsiaTheme="minorHAnsi" w:hAnsi="Verdana"/>
          <w:sz w:val="18"/>
          <w:szCs w:val="18"/>
        </w:rPr>
        <w:t>7.7–70</w:t>
      </w:r>
      <w:r w:rsidRPr="000C7CFA">
        <w:rPr>
          <w:rFonts w:ascii="Verdana" w:hAnsi="Verdana"/>
          <w:sz w:val="18"/>
          <w:szCs w:val="18"/>
        </w:rPr>
        <w:t xml:space="preserve"> </w:t>
      </w:r>
      <w:r w:rsidRPr="000C7CFA">
        <w:rPr>
          <w:rFonts w:ascii="Verdana" w:eastAsiaTheme="minorHAnsi" w:hAnsi="Verdana"/>
          <w:sz w:val="18"/>
          <w:szCs w:val="18"/>
        </w:rPr>
        <w:t xml:space="preserve">pg/g lw. </w:t>
      </w:r>
      <w:r w:rsidRPr="000C7CFA">
        <w:rPr>
          <w:rFonts w:ascii="Verdana" w:hAnsi="Verdana"/>
          <w:sz w:val="18"/>
          <w:szCs w:val="18"/>
        </w:rPr>
        <w:t xml:space="preserve">Results are summarised in </w:t>
      </w:r>
      <w:r w:rsidR="008C3195" w:rsidRPr="000C7CFA">
        <w:rPr>
          <w:rFonts w:ascii="Verdana" w:hAnsi="Verdana"/>
          <w:sz w:val="18"/>
          <w:szCs w:val="18"/>
        </w:rPr>
        <w:fldChar w:fldCharType="begin"/>
      </w:r>
      <w:r w:rsidR="00160FED" w:rsidRPr="000C7CFA">
        <w:rPr>
          <w:rFonts w:ascii="Verdana" w:hAnsi="Verdana"/>
          <w:sz w:val="18"/>
          <w:szCs w:val="18"/>
        </w:rPr>
        <w:instrText xml:space="preserve"> REF _Ref427766895 \h </w:instrText>
      </w:r>
      <w:r w:rsidR="008640CB" w:rsidRPr="000C7CFA">
        <w:rPr>
          <w:rFonts w:ascii="Verdana" w:hAnsi="Verdana"/>
          <w:sz w:val="18"/>
          <w:szCs w:val="18"/>
        </w:rPr>
        <w:instrText xml:space="preserve"> \* MERGEFORMAT </w:instrText>
      </w:r>
      <w:r w:rsidR="008C3195" w:rsidRPr="000C7CFA">
        <w:rPr>
          <w:rFonts w:ascii="Verdana" w:hAnsi="Verdana"/>
          <w:sz w:val="18"/>
          <w:szCs w:val="18"/>
        </w:rPr>
      </w:r>
      <w:r w:rsidR="008C3195" w:rsidRPr="000C7CFA">
        <w:rPr>
          <w:rFonts w:ascii="Verdana" w:hAnsi="Verdana"/>
          <w:sz w:val="18"/>
          <w:szCs w:val="18"/>
        </w:rPr>
        <w:fldChar w:fldCharType="separate"/>
      </w:r>
      <w:r w:rsidR="00BA2885" w:rsidRPr="000C7CFA">
        <w:rPr>
          <w:rFonts w:ascii="Verdana" w:hAnsi="Verdana"/>
          <w:sz w:val="18"/>
          <w:szCs w:val="18"/>
        </w:rPr>
        <w:t xml:space="preserve">Table </w:t>
      </w:r>
      <w:r w:rsidR="00BA2885" w:rsidRPr="000C7CFA">
        <w:rPr>
          <w:rFonts w:ascii="Verdana" w:hAnsi="Verdana"/>
          <w:noProof/>
          <w:sz w:val="18"/>
          <w:szCs w:val="18"/>
        </w:rPr>
        <w:t>4</w:t>
      </w:r>
      <w:r w:rsidR="008C3195" w:rsidRPr="000C7CFA">
        <w:rPr>
          <w:rFonts w:ascii="Verdana" w:hAnsi="Verdana"/>
          <w:sz w:val="18"/>
          <w:szCs w:val="18"/>
        </w:rPr>
        <w:fldChar w:fldCharType="end"/>
      </w:r>
      <w:r w:rsidRPr="000C7CFA">
        <w:rPr>
          <w:rFonts w:ascii="Verdana" w:hAnsi="Verdana"/>
          <w:sz w:val="18"/>
          <w:szCs w:val="18"/>
        </w:rPr>
        <w:t>.</w:t>
      </w:r>
    </w:p>
    <w:p w14:paraId="57DEEE12" w14:textId="4B2661FE" w:rsidR="00160FED" w:rsidRPr="000C7CFA" w:rsidRDefault="00160FED" w:rsidP="00160FED">
      <w:pPr>
        <w:pStyle w:val="TableHeading"/>
        <w:ind w:left="1418" w:hanging="1418"/>
        <w:rPr>
          <w:rFonts w:ascii="Verdana" w:hAnsi="Verdana"/>
          <w:sz w:val="18"/>
          <w:szCs w:val="18"/>
        </w:rPr>
      </w:pPr>
      <w:bookmarkStart w:id="75" w:name="_Ref427766895"/>
      <w:bookmarkStart w:id="76" w:name="_Toc489434272"/>
      <w:r w:rsidRPr="000C7CFA">
        <w:rPr>
          <w:rFonts w:ascii="Verdana" w:hAnsi="Verdana"/>
          <w:sz w:val="18"/>
          <w:szCs w:val="18"/>
        </w:rPr>
        <w:t xml:space="preserve">Table </w:t>
      </w:r>
      <w:r w:rsidR="00300CDC" w:rsidRPr="000C7CFA">
        <w:rPr>
          <w:rFonts w:ascii="Verdana" w:hAnsi="Verdana"/>
          <w:sz w:val="18"/>
          <w:szCs w:val="18"/>
        </w:rPr>
        <w:fldChar w:fldCharType="begin"/>
      </w:r>
      <w:r w:rsidR="00300CDC" w:rsidRPr="000C7CFA">
        <w:rPr>
          <w:rFonts w:ascii="Verdana" w:hAnsi="Verdana"/>
          <w:sz w:val="18"/>
          <w:szCs w:val="18"/>
        </w:rPr>
        <w:instrText xml:space="preserve"> SEQ Table \* ARABIC </w:instrText>
      </w:r>
      <w:r w:rsidR="00300CDC" w:rsidRPr="000C7CFA">
        <w:rPr>
          <w:rFonts w:ascii="Verdana" w:hAnsi="Verdana"/>
          <w:sz w:val="18"/>
          <w:szCs w:val="18"/>
        </w:rPr>
        <w:fldChar w:fldCharType="separate"/>
      </w:r>
      <w:r w:rsidR="00BA2885" w:rsidRPr="000C7CFA">
        <w:rPr>
          <w:rFonts w:ascii="Verdana" w:hAnsi="Verdana"/>
          <w:noProof/>
          <w:sz w:val="18"/>
          <w:szCs w:val="18"/>
        </w:rPr>
        <w:t>4</w:t>
      </w:r>
      <w:r w:rsidR="00300CDC" w:rsidRPr="000C7CFA">
        <w:rPr>
          <w:rFonts w:ascii="Verdana" w:hAnsi="Verdana"/>
          <w:noProof/>
          <w:sz w:val="18"/>
          <w:szCs w:val="18"/>
        </w:rPr>
        <w:fldChar w:fldCharType="end"/>
      </w:r>
      <w:bookmarkEnd w:id="75"/>
      <w:r w:rsidRPr="000C7CFA">
        <w:rPr>
          <w:rFonts w:ascii="Verdana" w:hAnsi="Verdana"/>
          <w:sz w:val="18"/>
          <w:szCs w:val="18"/>
        </w:rPr>
        <w:t>:</w:t>
      </w:r>
      <w:r w:rsidRPr="000C7CFA">
        <w:rPr>
          <w:rFonts w:ascii="Verdana" w:hAnsi="Verdana"/>
          <w:sz w:val="18"/>
          <w:szCs w:val="18"/>
        </w:rPr>
        <w:tab/>
        <w:t xml:space="preserve">Concentrations of Dechlorane Plus in a Chilean marine food web (from Barón </w:t>
      </w:r>
      <w:r w:rsidRPr="000C7CFA">
        <w:rPr>
          <w:rFonts w:ascii="Verdana" w:hAnsi="Verdana"/>
          <w:i/>
          <w:sz w:val="18"/>
          <w:szCs w:val="18"/>
        </w:rPr>
        <w:t>et al</w:t>
      </w:r>
      <w:r w:rsidRPr="000C7CFA">
        <w:rPr>
          <w:rFonts w:ascii="Verdana" w:hAnsi="Verdana"/>
          <w:sz w:val="18"/>
          <w:szCs w:val="18"/>
        </w:rPr>
        <w:t>., 2013)</w:t>
      </w:r>
      <w:bookmarkEnd w:id="76"/>
    </w:p>
    <w:tbl>
      <w:tblPr>
        <w:tblStyle w:val="TableGrid"/>
        <w:tblW w:w="8222" w:type="dxa"/>
        <w:tblInd w:w="360" w:type="dxa"/>
        <w:tblLayout w:type="fixed"/>
        <w:tblLook w:val="04A0" w:firstRow="1" w:lastRow="0" w:firstColumn="1" w:lastColumn="0" w:noHBand="0" w:noVBand="1"/>
      </w:tblPr>
      <w:tblGrid>
        <w:gridCol w:w="2596"/>
        <w:gridCol w:w="1483"/>
        <w:gridCol w:w="1000"/>
        <w:gridCol w:w="1000"/>
        <w:gridCol w:w="1000"/>
        <w:gridCol w:w="1143"/>
      </w:tblGrid>
      <w:tr w:rsidR="00FC37DA" w:rsidRPr="000C7CFA" w14:paraId="1288C8C3" w14:textId="77777777" w:rsidTr="00FC37DA">
        <w:trPr>
          <w:trHeight w:val="427"/>
        </w:trPr>
        <w:tc>
          <w:tcPr>
            <w:tcW w:w="2596" w:type="dxa"/>
            <w:vMerge w:val="restart"/>
          </w:tcPr>
          <w:p w14:paraId="1E5FFF4F" w14:textId="77777777" w:rsidR="00FC37DA" w:rsidRPr="000C7CFA" w:rsidRDefault="00FC37DA" w:rsidP="00010160">
            <w:pPr>
              <w:pStyle w:val="BodyText"/>
              <w:spacing w:after="0"/>
              <w:jc w:val="center"/>
              <w:rPr>
                <w:rFonts w:ascii="Verdana" w:hAnsi="Verdana"/>
                <w:b/>
                <w:sz w:val="18"/>
                <w:szCs w:val="18"/>
                <w:lang w:eastAsia="en-GB"/>
              </w:rPr>
            </w:pPr>
            <w:r w:rsidRPr="000C7CFA">
              <w:rPr>
                <w:rFonts w:ascii="Verdana" w:hAnsi="Verdana"/>
                <w:b/>
                <w:sz w:val="18"/>
                <w:szCs w:val="18"/>
                <w:lang w:eastAsia="en-GB"/>
              </w:rPr>
              <w:t>Species</w:t>
            </w:r>
          </w:p>
        </w:tc>
        <w:tc>
          <w:tcPr>
            <w:tcW w:w="1483" w:type="dxa"/>
            <w:vMerge w:val="restart"/>
          </w:tcPr>
          <w:p w14:paraId="63D23A36" w14:textId="77777777" w:rsidR="00FC37DA" w:rsidRPr="000C7CFA" w:rsidRDefault="00FC37DA" w:rsidP="00010160">
            <w:pPr>
              <w:pStyle w:val="BodyText"/>
              <w:spacing w:after="0"/>
              <w:jc w:val="center"/>
              <w:rPr>
                <w:rFonts w:ascii="Verdana" w:hAnsi="Verdana"/>
                <w:b/>
                <w:sz w:val="18"/>
                <w:szCs w:val="18"/>
                <w:lang w:eastAsia="en-GB"/>
              </w:rPr>
            </w:pPr>
            <w:r w:rsidRPr="000C7CFA">
              <w:rPr>
                <w:rFonts w:ascii="Verdana" w:hAnsi="Verdana"/>
                <w:b/>
                <w:sz w:val="18"/>
                <w:szCs w:val="18"/>
              </w:rPr>
              <w:t>N</w:t>
            </w:r>
            <w:r w:rsidRPr="000C7CFA">
              <w:rPr>
                <w:rFonts w:ascii="Verdana" w:hAnsi="Verdana"/>
                <w:b/>
                <w:sz w:val="18"/>
                <w:szCs w:val="18"/>
                <w:lang w:eastAsia="en-GB"/>
              </w:rPr>
              <w:t>o.</w:t>
            </w:r>
            <w:r w:rsidRPr="000C7CFA">
              <w:rPr>
                <w:rFonts w:ascii="Verdana" w:hAnsi="Verdana"/>
                <w:b/>
                <w:sz w:val="18"/>
                <w:szCs w:val="18"/>
              </w:rPr>
              <w:t xml:space="preserve"> of s</w:t>
            </w:r>
            <w:r w:rsidRPr="000C7CFA">
              <w:rPr>
                <w:rFonts w:ascii="Verdana" w:hAnsi="Verdana"/>
                <w:b/>
                <w:sz w:val="18"/>
                <w:szCs w:val="18"/>
                <w:lang w:eastAsia="en-GB"/>
              </w:rPr>
              <w:t>ample</w:t>
            </w:r>
            <w:r w:rsidRPr="000C7CFA">
              <w:rPr>
                <w:rFonts w:ascii="Verdana" w:hAnsi="Verdana"/>
                <w:b/>
                <w:sz w:val="18"/>
                <w:szCs w:val="18"/>
              </w:rPr>
              <w:t xml:space="preserve"> pools analysed</w:t>
            </w:r>
            <w:r w:rsidRPr="000C7CFA">
              <w:rPr>
                <w:rFonts w:ascii="Verdana" w:hAnsi="Verdana"/>
                <w:b/>
                <w:sz w:val="18"/>
                <w:szCs w:val="18"/>
                <w:lang w:eastAsia="en-GB"/>
              </w:rPr>
              <w:t xml:space="preserve"> </w:t>
            </w:r>
            <w:r w:rsidRPr="000C7CFA">
              <w:rPr>
                <w:rFonts w:ascii="Verdana" w:hAnsi="Verdana"/>
                <w:b/>
                <w:sz w:val="18"/>
                <w:szCs w:val="18"/>
              </w:rPr>
              <w:t>(sample nos./pool)</w:t>
            </w:r>
          </w:p>
        </w:tc>
        <w:tc>
          <w:tcPr>
            <w:tcW w:w="3000" w:type="dxa"/>
            <w:gridSpan w:val="3"/>
          </w:tcPr>
          <w:p w14:paraId="13101285" w14:textId="77777777" w:rsidR="00FC37DA" w:rsidRPr="000C7CFA" w:rsidRDefault="00FC37DA" w:rsidP="00010160">
            <w:pPr>
              <w:pStyle w:val="BodyText"/>
              <w:spacing w:after="0"/>
              <w:jc w:val="center"/>
              <w:rPr>
                <w:rFonts w:ascii="Verdana" w:hAnsi="Verdana"/>
                <w:b/>
                <w:sz w:val="18"/>
                <w:szCs w:val="18"/>
                <w:lang w:eastAsia="en-GB"/>
              </w:rPr>
            </w:pPr>
            <w:r w:rsidRPr="000C7CFA">
              <w:rPr>
                <w:rFonts w:ascii="Verdana" w:hAnsi="Verdana"/>
                <w:b/>
                <w:sz w:val="18"/>
                <w:szCs w:val="18"/>
                <w:lang w:eastAsia="en-GB"/>
              </w:rPr>
              <w:t>Dechlorane Plus</w:t>
            </w:r>
            <w:r w:rsidRPr="000C7CFA">
              <w:rPr>
                <w:rFonts w:ascii="Verdana" w:hAnsi="Verdana"/>
                <w:b/>
                <w:sz w:val="18"/>
                <w:szCs w:val="18"/>
              </w:rPr>
              <w:t xml:space="preserve"> c</w:t>
            </w:r>
            <w:r w:rsidRPr="000C7CFA">
              <w:rPr>
                <w:rFonts w:ascii="Verdana" w:hAnsi="Verdana"/>
                <w:b/>
                <w:sz w:val="18"/>
                <w:szCs w:val="18"/>
                <w:lang w:eastAsia="en-GB"/>
              </w:rPr>
              <w:t xml:space="preserve">oncentration, </w:t>
            </w:r>
            <w:r w:rsidRPr="000C7CFA">
              <w:rPr>
                <w:rFonts w:ascii="Verdana" w:hAnsi="Verdana"/>
                <w:b/>
                <w:sz w:val="18"/>
                <w:szCs w:val="18"/>
              </w:rPr>
              <w:t>n</w:t>
            </w:r>
            <w:r w:rsidRPr="000C7CFA">
              <w:rPr>
                <w:rFonts w:ascii="Verdana" w:hAnsi="Verdana"/>
                <w:b/>
                <w:sz w:val="18"/>
                <w:szCs w:val="18"/>
                <w:lang w:eastAsia="en-GB"/>
              </w:rPr>
              <w:t>g/g</w:t>
            </w:r>
            <w:r w:rsidRPr="000C7CFA">
              <w:rPr>
                <w:rFonts w:ascii="Verdana" w:hAnsi="Verdana"/>
                <w:b/>
                <w:sz w:val="18"/>
                <w:szCs w:val="18"/>
              </w:rPr>
              <w:t xml:space="preserve"> [µg/kg]</w:t>
            </w:r>
            <w:r w:rsidRPr="000C7CFA">
              <w:rPr>
                <w:rFonts w:ascii="Verdana" w:hAnsi="Verdana"/>
                <w:b/>
                <w:sz w:val="18"/>
                <w:szCs w:val="18"/>
                <w:lang w:eastAsia="en-GB"/>
              </w:rPr>
              <w:t xml:space="preserve"> </w:t>
            </w:r>
            <w:r w:rsidRPr="000C7CFA">
              <w:rPr>
                <w:rFonts w:ascii="Verdana" w:hAnsi="Verdana"/>
                <w:b/>
                <w:sz w:val="18"/>
                <w:szCs w:val="18"/>
              </w:rPr>
              <w:t>l</w:t>
            </w:r>
            <w:r w:rsidRPr="000C7CFA">
              <w:rPr>
                <w:rFonts w:ascii="Verdana" w:hAnsi="Verdana"/>
                <w:b/>
                <w:sz w:val="18"/>
                <w:szCs w:val="18"/>
                <w:lang w:eastAsia="en-GB"/>
              </w:rPr>
              <w:t>w</w:t>
            </w:r>
          </w:p>
        </w:tc>
        <w:tc>
          <w:tcPr>
            <w:tcW w:w="1143" w:type="dxa"/>
            <w:vMerge w:val="restart"/>
          </w:tcPr>
          <w:p w14:paraId="6AA3372E" w14:textId="77777777" w:rsidR="00FC37DA" w:rsidRPr="000C7CFA" w:rsidRDefault="00FC37DA" w:rsidP="00010160">
            <w:pPr>
              <w:pStyle w:val="BodyText"/>
              <w:spacing w:after="0"/>
              <w:jc w:val="center"/>
              <w:rPr>
                <w:rFonts w:ascii="Verdana" w:hAnsi="Verdana"/>
                <w:b/>
                <w:sz w:val="18"/>
                <w:szCs w:val="18"/>
                <w:lang w:eastAsia="en-GB"/>
              </w:rPr>
            </w:pPr>
            <w:r w:rsidRPr="000C7CFA">
              <w:rPr>
                <w:rFonts w:ascii="Verdana" w:hAnsi="Verdana"/>
                <w:b/>
                <w:sz w:val="18"/>
                <w:szCs w:val="18"/>
              </w:rPr>
              <w:t>Detection frequency, %</w:t>
            </w:r>
          </w:p>
        </w:tc>
      </w:tr>
      <w:tr w:rsidR="00FC37DA" w:rsidRPr="000C7CFA" w14:paraId="74A45890" w14:textId="77777777" w:rsidTr="00FC37DA">
        <w:trPr>
          <w:trHeight w:val="174"/>
        </w:trPr>
        <w:tc>
          <w:tcPr>
            <w:tcW w:w="2596" w:type="dxa"/>
            <w:vMerge/>
          </w:tcPr>
          <w:p w14:paraId="248AADA5" w14:textId="77777777" w:rsidR="00FC37DA" w:rsidRPr="000C7CFA" w:rsidRDefault="00FC37DA" w:rsidP="00010160">
            <w:pPr>
              <w:pStyle w:val="BodyText"/>
              <w:spacing w:after="0"/>
              <w:rPr>
                <w:rFonts w:ascii="Verdana" w:hAnsi="Verdana"/>
                <w:b/>
                <w:i/>
                <w:sz w:val="18"/>
                <w:szCs w:val="18"/>
                <w:lang w:eastAsia="en-GB"/>
              </w:rPr>
            </w:pPr>
          </w:p>
        </w:tc>
        <w:tc>
          <w:tcPr>
            <w:tcW w:w="1483" w:type="dxa"/>
            <w:vMerge/>
          </w:tcPr>
          <w:p w14:paraId="77344D62" w14:textId="77777777" w:rsidR="00FC37DA" w:rsidRPr="000C7CFA" w:rsidRDefault="00FC37DA" w:rsidP="00010160">
            <w:pPr>
              <w:pStyle w:val="BodyText"/>
              <w:spacing w:after="0"/>
              <w:jc w:val="center"/>
              <w:rPr>
                <w:rFonts w:ascii="Verdana" w:hAnsi="Verdana"/>
                <w:sz w:val="18"/>
                <w:szCs w:val="18"/>
                <w:lang w:eastAsia="en-GB"/>
              </w:rPr>
            </w:pPr>
          </w:p>
        </w:tc>
        <w:tc>
          <w:tcPr>
            <w:tcW w:w="1000" w:type="dxa"/>
          </w:tcPr>
          <w:p w14:paraId="2C899C84" w14:textId="77777777" w:rsidR="00FC37DA" w:rsidRPr="000C7CFA" w:rsidRDefault="00FC37DA" w:rsidP="00010160">
            <w:pPr>
              <w:pStyle w:val="BodyText"/>
              <w:spacing w:after="0"/>
              <w:jc w:val="center"/>
              <w:rPr>
                <w:rFonts w:ascii="Verdana" w:hAnsi="Verdana"/>
                <w:b/>
                <w:sz w:val="18"/>
                <w:szCs w:val="18"/>
                <w:lang w:eastAsia="en-GB"/>
              </w:rPr>
            </w:pPr>
            <w:r w:rsidRPr="000C7CFA">
              <w:rPr>
                <w:rFonts w:ascii="Verdana" w:hAnsi="Verdana"/>
                <w:b/>
                <w:sz w:val="18"/>
                <w:szCs w:val="18"/>
                <w:lang w:eastAsia="en-GB"/>
              </w:rPr>
              <w:t>Syn-</w:t>
            </w:r>
          </w:p>
        </w:tc>
        <w:tc>
          <w:tcPr>
            <w:tcW w:w="1000" w:type="dxa"/>
          </w:tcPr>
          <w:p w14:paraId="36464DCB" w14:textId="77777777" w:rsidR="00FC37DA" w:rsidRPr="000C7CFA" w:rsidRDefault="00FC37DA" w:rsidP="00010160">
            <w:pPr>
              <w:pStyle w:val="BodyText"/>
              <w:spacing w:after="0"/>
              <w:jc w:val="center"/>
              <w:rPr>
                <w:rFonts w:ascii="Verdana" w:hAnsi="Verdana"/>
                <w:b/>
                <w:sz w:val="18"/>
                <w:szCs w:val="18"/>
                <w:lang w:eastAsia="en-GB"/>
              </w:rPr>
            </w:pPr>
            <w:r w:rsidRPr="000C7CFA">
              <w:rPr>
                <w:rFonts w:ascii="Verdana" w:hAnsi="Verdana"/>
                <w:b/>
                <w:sz w:val="18"/>
                <w:szCs w:val="18"/>
                <w:lang w:eastAsia="en-GB"/>
              </w:rPr>
              <w:t>Anti-</w:t>
            </w:r>
          </w:p>
        </w:tc>
        <w:tc>
          <w:tcPr>
            <w:tcW w:w="1000" w:type="dxa"/>
          </w:tcPr>
          <w:p w14:paraId="4223366B" w14:textId="77777777" w:rsidR="00FC37DA" w:rsidRPr="000C7CFA" w:rsidRDefault="00FC37DA" w:rsidP="00010160">
            <w:pPr>
              <w:pStyle w:val="BodyText"/>
              <w:spacing w:after="0"/>
              <w:jc w:val="center"/>
              <w:rPr>
                <w:rFonts w:ascii="Verdana" w:hAnsi="Verdana"/>
                <w:sz w:val="18"/>
                <w:szCs w:val="18"/>
                <w:lang w:eastAsia="en-GB"/>
              </w:rPr>
            </w:pPr>
            <w:r w:rsidRPr="000C7CFA">
              <w:rPr>
                <w:rFonts w:ascii="Verdana" w:hAnsi="Verdana"/>
                <w:b/>
                <w:sz w:val="18"/>
                <w:szCs w:val="18"/>
              </w:rPr>
              <w:t>Total</w:t>
            </w:r>
          </w:p>
        </w:tc>
        <w:tc>
          <w:tcPr>
            <w:tcW w:w="1143" w:type="dxa"/>
            <w:vMerge/>
          </w:tcPr>
          <w:p w14:paraId="5BEB8042" w14:textId="77777777" w:rsidR="00FC37DA" w:rsidRPr="000C7CFA" w:rsidRDefault="00FC37DA" w:rsidP="00010160">
            <w:pPr>
              <w:pStyle w:val="BodyText"/>
              <w:spacing w:after="0"/>
              <w:jc w:val="center"/>
              <w:rPr>
                <w:rFonts w:ascii="Verdana" w:hAnsi="Verdana"/>
                <w:b/>
                <w:sz w:val="18"/>
                <w:szCs w:val="18"/>
              </w:rPr>
            </w:pPr>
          </w:p>
        </w:tc>
      </w:tr>
      <w:tr w:rsidR="00FC37DA" w:rsidRPr="000C7CFA" w14:paraId="288D0E04" w14:textId="77777777" w:rsidTr="00FC37DA">
        <w:trPr>
          <w:trHeight w:val="174"/>
        </w:trPr>
        <w:tc>
          <w:tcPr>
            <w:tcW w:w="8222" w:type="dxa"/>
            <w:gridSpan w:val="6"/>
          </w:tcPr>
          <w:p w14:paraId="5FE67E6D" w14:textId="77777777" w:rsidR="00FC37DA" w:rsidRPr="000C7CFA" w:rsidRDefault="00FC37DA" w:rsidP="00010160">
            <w:pPr>
              <w:pStyle w:val="BodyText"/>
              <w:spacing w:after="0"/>
              <w:jc w:val="left"/>
              <w:rPr>
                <w:rFonts w:ascii="Verdana" w:hAnsi="Verdana"/>
                <w:sz w:val="18"/>
                <w:szCs w:val="18"/>
                <w:lang w:eastAsia="en-GB"/>
              </w:rPr>
            </w:pPr>
            <w:r w:rsidRPr="000C7CFA">
              <w:rPr>
                <w:rFonts w:ascii="Verdana" w:hAnsi="Verdana"/>
                <w:b/>
                <w:sz w:val="18"/>
                <w:szCs w:val="18"/>
                <w:lang w:val="en-US" w:eastAsia="en-GB"/>
              </w:rPr>
              <w:t>Primary consumer</w:t>
            </w:r>
          </w:p>
        </w:tc>
      </w:tr>
      <w:tr w:rsidR="00FC37DA" w:rsidRPr="000C7CFA" w14:paraId="01536E73" w14:textId="77777777" w:rsidTr="00FC37DA">
        <w:trPr>
          <w:trHeight w:val="174"/>
        </w:trPr>
        <w:tc>
          <w:tcPr>
            <w:tcW w:w="2596" w:type="dxa"/>
          </w:tcPr>
          <w:p w14:paraId="465F70F1" w14:textId="77777777" w:rsidR="00FC37DA" w:rsidRPr="000C7CFA" w:rsidRDefault="00FC37DA" w:rsidP="00FC37DA">
            <w:pPr>
              <w:pStyle w:val="NoSpacing"/>
              <w:spacing w:after="0"/>
              <w:rPr>
                <w:rFonts w:ascii="Verdana" w:hAnsi="Verdana"/>
                <w:sz w:val="18"/>
                <w:szCs w:val="18"/>
                <w:lang w:val="en-US" w:eastAsia="en-GB"/>
              </w:rPr>
            </w:pPr>
            <w:r w:rsidRPr="000C7CFA">
              <w:rPr>
                <w:rFonts w:ascii="Verdana" w:eastAsia="Times New Roman" w:hAnsi="Verdana" w:cs="Times New Roman"/>
                <w:sz w:val="18"/>
                <w:szCs w:val="18"/>
                <w:lang w:val="en-US" w:eastAsia="en-GB"/>
              </w:rPr>
              <w:t xml:space="preserve">Giant Barnacle </w:t>
            </w:r>
            <w:r w:rsidRPr="000C7CFA">
              <w:rPr>
                <w:rFonts w:ascii="Verdana" w:eastAsia="Times New Roman" w:hAnsi="Verdana" w:cs="Times New Roman"/>
                <w:i/>
                <w:sz w:val="18"/>
                <w:szCs w:val="18"/>
                <w:lang w:val="en-US" w:eastAsia="en-GB"/>
              </w:rPr>
              <w:t>Austromegabalanus pstittacus</w:t>
            </w:r>
          </w:p>
        </w:tc>
        <w:tc>
          <w:tcPr>
            <w:tcW w:w="1483" w:type="dxa"/>
          </w:tcPr>
          <w:p w14:paraId="567C9DF3"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7</w:t>
            </w:r>
            <w:r w:rsidRPr="000C7CFA">
              <w:rPr>
                <w:rFonts w:ascii="Verdana" w:hAnsi="Verdana"/>
                <w:sz w:val="18"/>
                <w:szCs w:val="18"/>
              </w:rPr>
              <w:t xml:space="preserve"> (3-5)</w:t>
            </w:r>
          </w:p>
        </w:tc>
        <w:tc>
          <w:tcPr>
            <w:tcW w:w="1000" w:type="dxa"/>
          </w:tcPr>
          <w:p w14:paraId="05C4494D"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–0.3</w:t>
            </w:r>
          </w:p>
        </w:tc>
        <w:tc>
          <w:tcPr>
            <w:tcW w:w="1000" w:type="dxa"/>
          </w:tcPr>
          <w:p w14:paraId="563CB02A"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–0.3</w:t>
            </w:r>
          </w:p>
        </w:tc>
        <w:tc>
          <w:tcPr>
            <w:tcW w:w="1000" w:type="dxa"/>
          </w:tcPr>
          <w:p w14:paraId="713F2701"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–0.6</w:t>
            </w:r>
          </w:p>
        </w:tc>
        <w:tc>
          <w:tcPr>
            <w:tcW w:w="1143" w:type="dxa"/>
          </w:tcPr>
          <w:p w14:paraId="1EC832D9"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71</w:t>
            </w:r>
          </w:p>
        </w:tc>
      </w:tr>
      <w:tr w:rsidR="00FC37DA" w:rsidRPr="000C7CFA" w14:paraId="02EB72A1" w14:textId="77777777" w:rsidTr="00FC37DA">
        <w:trPr>
          <w:trHeight w:val="174"/>
        </w:trPr>
        <w:tc>
          <w:tcPr>
            <w:tcW w:w="2596" w:type="dxa"/>
          </w:tcPr>
          <w:p w14:paraId="78C0ED6B" w14:textId="77777777" w:rsidR="00FC37DA" w:rsidRPr="000C7CFA" w:rsidRDefault="00FC37DA" w:rsidP="00FC37DA">
            <w:pPr>
              <w:pStyle w:val="NoSpacing"/>
              <w:spacing w:after="0"/>
              <w:rPr>
                <w:rFonts w:ascii="Verdana" w:hAnsi="Verdana"/>
                <w:sz w:val="18"/>
                <w:szCs w:val="18"/>
                <w:lang w:val="en-US" w:eastAsia="en-GB"/>
              </w:rPr>
            </w:pPr>
            <w:r w:rsidRPr="000C7CFA">
              <w:rPr>
                <w:rFonts w:ascii="Verdana" w:eastAsia="Times New Roman" w:hAnsi="Verdana" w:cs="Times New Roman"/>
                <w:sz w:val="18"/>
                <w:szCs w:val="18"/>
                <w:lang w:val="en-US" w:eastAsia="en-GB"/>
              </w:rPr>
              <w:lastRenderedPageBreak/>
              <w:t xml:space="preserve">Keyhole Limpet </w:t>
            </w:r>
            <w:r w:rsidRPr="000C7CFA">
              <w:rPr>
                <w:rFonts w:ascii="Verdana" w:eastAsia="Times New Roman" w:hAnsi="Verdana" w:cs="Times New Roman"/>
                <w:i/>
                <w:sz w:val="18"/>
                <w:szCs w:val="18"/>
                <w:lang w:val="en-US" w:eastAsia="en-GB"/>
              </w:rPr>
              <w:t>Fisurella sp.</w:t>
            </w:r>
          </w:p>
        </w:tc>
        <w:tc>
          <w:tcPr>
            <w:tcW w:w="1483" w:type="dxa"/>
          </w:tcPr>
          <w:p w14:paraId="1C611231"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3</w:t>
            </w:r>
            <w:r w:rsidRPr="000C7CFA">
              <w:rPr>
                <w:rFonts w:ascii="Verdana" w:hAnsi="Verdana"/>
                <w:sz w:val="18"/>
                <w:szCs w:val="18"/>
              </w:rPr>
              <w:t xml:space="preserve"> (1)</w:t>
            </w:r>
          </w:p>
        </w:tc>
        <w:tc>
          <w:tcPr>
            <w:tcW w:w="1000" w:type="dxa"/>
          </w:tcPr>
          <w:p w14:paraId="5303AB9B"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0.8–2.9</w:t>
            </w:r>
          </w:p>
        </w:tc>
        <w:tc>
          <w:tcPr>
            <w:tcW w:w="1000" w:type="dxa"/>
          </w:tcPr>
          <w:p w14:paraId="4EDB2FED"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1.5–7.0</w:t>
            </w:r>
          </w:p>
        </w:tc>
        <w:tc>
          <w:tcPr>
            <w:tcW w:w="1000" w:type="dxa"/>
          </w:tcPr>
          <w:p w14:paraId="49CA700A"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2.3–9.8</w:t>
            </w:r>
          </w:p>
        </w:tc>
        <w:tc>
          <w:tcPr>
            <w:tcW w:w="1143" w:type="dxa"/>
          </w:tcPr>
          <w:p w14:paraId="7638FA69"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100</w:t>
            </w:r>
          </w:p>
        </w:tc>
      </w:tr>
      <w:tr w:rsidR="00FC37DA" w:rsidRPr="000C7CFA" w14:paraId="26FF6A99" w14:textId="77777777" w:rsidTr="00FC37DA">
        <w:trPr>
          <w:trHeight w:val="174"/>
        </w:trPr>
        <w:tc>
          <w:tcPr>
            <w:tcW w:w="2596" w:type="dxa"/>
          </w:tcPr>
          <w:p w14:paraId="1D992DEF" w14:textId="77777777" w:rsidR="00FC37DA" w:rsidRPr="000C7CFA" w:rsidRDefault="00FC37DA" w:rsidP="00FC37DA">
            <w:pPr>
              <w:pStyle w:val="NoSpacing"/>
              <w:spacing w:after="0"/>
              <w:rPr>
                <w:rFonts w:ascii="Verdana" w:hAnsi="Verdana"/>
                <w:sz w:val="18"/>
                <w:szCs w:val="18"/>
                <w:lang w:val="en-US" w:eastAsia="en-GB"/>
              </w:rPr>
            </w:pPr>
            <w:r w:rsidRPr="000C7CFA">
              <w:rPr>
                <w:rFonts w:ascii="Verdana" w:eastAsia="Times New Roman" w:hAnsi="Verdana" w:cs="Times New Roman"/>
                <w:sz w:val="18"/>
                <w:szCs w:val="18"/>
                <w:lang w:val="en-US" w:eastAsia="en-GB"/>
              </w:rPr>
              <w:t xml:space="preserve">Sea Squirt </w:t>
            </w:r>
            <w:r w:rsidRPr="000C7CFA">
              <w:rPr>
                <w:rFonts w:ascii="Verdana" w:eastAsia="Times New Roman" w:hAnsi="Verdana" w:cs="Times New Roman"/>
                <w:i/>
                <w:sz w:val="18"/>
                <w:szCs w:val="18"/>
                <w:lang w:val="en-US" w:eastAsia="en-GB"/>
              </w:rPr>
              <w:t>Pyura chilensis</w:t>
            </w:r>
          </w:p>
        </w:tc>
        <w:tc>
          <w:tcPr>
            <w:tcW w:w="1483" w:type="dxa"/>
          </w:tcPr>
          <w:p w14:paraId="1883DA15"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6</w:t>
            </w:r>
            <w:r w:rsidRPr="000C7CFA">
              <w:rPr>
                <w:rFonts w:ascii="Verdana" w:hAnsi="Verdana"/>
                <w:sz w:val="18"/>
                <w:szCs w:val="18"/>
              </w:rPr>
              <w:t xml:space="preserve"> (15-20)</w:t>
            </w:r>
          </w:p>
        </w:tc>
        <w:tc>
          <w:tcPr>
            <w:tcW w:w="1000" w:type="dxa"/>
          </w:tcPr>
          <w:p w14:paraId="15522136"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–0.1</w:t>
            </w:r>
          </w:p>
        </w:tc>
        <w:tc>
          <w:tcPr>
            <w:tcW w:w="1000" w:type="dxa"/>
          </w:tcPr>
          <w:p w14:paraId="0AD0D655"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–0.2</w:t>
            </w:r>
          </w:p>
        </w:tc>
        <w:tc>
          <w:tcPr>
            <w:tcW w:w="1000" w:type="dxa"/>
          </w:tcPr>
          <w:p w14:paraId="08BB39D3"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–0.3</w:t>
            </w:r>
          </w:p>
        </w:tc>
        <w:tc>
          <w:tcPr>
            <w:tcW w:w="1143" w:type="dxa"/>
          </w:tcPr>
          <w:p w14:paraId="11A5F6F2"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83</w:t>
            </w:r>
          </w:p>
        </w:tc>
      </w:tr>
      <w:tr w:rsidR="00FC37DA" w:rsidRPr="000C7CFA" w14:paraId="089033DA" w14:textId="77777777" w:rsidTr="00FC37DA">
        <w:trPr>
          <w:trHeight w:val="174"/>
        </w:trPr>
        <w:tc>
          <w:tcPr>
            <w:tcW w:w="2596" w:type="dxa"/>
          </w:tcPr>
          <w:p w14:paraId="2FA92A67" w14:textId="77777777" w:rsidR="00FC37DA" w:rsidRPr="000C7CFA" w:rsidRDefault="00FC37DA" w:rsidP="00FC37DA">
            <w:pPr>
              <w:pStyle w:val="NoSpacing"/>
              <w:spacing w:after="0"/>
              <w:rPr>
                <w:rFonts w:ascii="Verdana" w:hAnsi="Verdana"/>
                <w:sz w:val="18"/>
                <w:szCs w:val="18"/>
                <w:lang w:val="en-US" w:eastAsia="en-GB"/>
              </w:rPr>
            </w:pPr>
            <w:r w:rsidRPr="000C7CFA">
              <w:rPr>
                <w:rFonts w:ascii="Verdana" w:eastAsia="Times New Roman" w:hAnsi="Verdana" w:cs="Times New Roman"/>
                <w:sz w:val="18"/>
                <w:szCs w:val="18"/>
                <w:lang w:val="en-US" w:eastAsia="en-GB"/>
              </w:rPr>
              <w:t xml:space="preserve">Clam </w:t>
            </w:r>
            <w:r w:rsidRPr="000C7CFA">
              <w:rPr>
                <w:rFonts w:ascii="Verdana" w:eastAsia="Times New Roman" w:hAnsi="Verdana" w:cs="Times New Roman"/>
                <w:i/>
                <w:sz w:val="18"/>
                <w:szCs w:val="18"/>
                <w:lang w:val="en-US" w:eastAsia="en-GB"/>
              </w:rPr>
              <w:t>Venus antiqu</w:t>
            </w:r>
            <w:r w:rsidRPr="000C7CFA">
              <w:rPr>
                <w:rFonts w:ascii="Verdana" w:hAnsi="Verdana"/>
                <w:i/>
                <w:sz w:val="18"/>
                <w:szCs w:val="18"/>
                <w:lang w:val="en-US"/>
              </w:rPr>
              <w:t>a</w:t>
            </w:r>
          </w:p>
        </w:tc>
        <w:tc>
          <w:tcPr>
            <w:tcW w:w="1483" w:type="dxa"/>
          </w:tcPr>
          <w:p w14:paraId="07CC7B73"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6</w:t>
            </w:r>
            <w:r w:rsidRPr="000C7CFA">
              <w:rPr>
                <w:rFonts w:ascii="Verdana" w:hAnsi="Verdana"/>
                <w:sz w:val="18"/>
                <w:szCs w:val="18"/>
              </w:rPr>
              <w:t xml:space="preserve"> (3)</w:t>
            </w:r>
          </w:p>
        </w:tc>
        <w:tc>
          <w:tcPr>
            <w:tcW w:w="1000" w:type="dxa"/>
          </w:tcPr>
          <w:p w14:paraId="4AA8AFF0"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–0.2</w:t>
            </w:r>
          </w:p>
        </w:tc>
        <w:tc>
          <w:tcPr>
            <w:tcW w:w="1000" w:type="dxa"/>
          </w:tcPr>
          <w:p w14:paraId="447256C4"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–0.3</w:t>
            </w:r>
          </w:p>
        </w:tc>
        <w:tc>
          <w:tcPr>
            <w:tcW w:w="1000" w:type="dxa"/>
          </w:tcPr>
          <w:p w14:paraId="7177691A"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–0.4</w:t>
            </w:r>
          </w:p>
        </w:tc>
        <w:tc>
          <w:tcPr>
            <w:tcW w:w="1143" w:type="dxa"/>
          </w:tcPr>
          <w:p w14:paraId="0D080ABA"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75</w:t>
            </w:r>
          </w:p>
        </w:tc>
      </w:tr>
      <w:tr w:rsidR="00FC37DA" w:rsidRPr="000C7CFA" w14:paraId="4F287815" w14:textId="77777777" w:rsidTr="00FC37DA">
        <w:trPr>
          <w:trHeight w:val="174"/>
        </w:trPr>
        <w:tc>
          <w:tcPr>
            <w:tcW w:w="2596" w:type="dxa"/>
          </w:tcPr>
          <w:p w14:paraId="1F21E11A" w14:textId="77777777" w:rsidR="00FC37DA" w:rsidRPr="000C7CFA" w:rsidRDefault="00FC37DA" w:rsidP="00FC37DA">
            <w:pPr>
              <w:pStyle w:val="NoSpacing"/>
              <w:spacing w:after="0"/>
              <w:rPr>
                <w:rFonts w:ascii="Verdana" w:hAnsi="Verdana"/>
                <w:sz w:val="18"/>
                <w:szCs w:val="18"/>
                <w:lang w:val="en-US" w:eastAsia="en-GB"/>
              </w:rPr>
            </w:pPr>
            <w:r w:rsidRPr="000C7CFA">
              <w:rPr>
                <w:rFonts w:ascii="Verdana" w:eastAsia="Times New Roman" w:hAnsi="Verdana" w:cs="Times New Roman"/>
                <w:sz w:val="18"/>
                <w:szCs w:val="18"/>
                <w:lang w:val="en-US" w:eastAsia="en-GB"/>
              </w:rPr>
              <w:t xml:space="preserve">Razor Shell Clam </w:t>
            </w:r>
            <w:r w:rsidRPr="000C7CFA">
              <w:rPr>
                <w:rFonts w:ascii="Verdana" w:eastAsia="Times New Roman" w:hAnsi="Verdana" w:cs="Times New Roman"/>
                <w:i/>
                <w:sz w:val="18"/>
                <w:szCs w:val="18"/>
                <w:lang w:val="en-US" w:eastAsia="en-GB"/>
              </w:rPr>
              <w:t>Tagelus dombeii</w:t>
            </w:r>
          </w:p>
        </w:tc>
        <w:tc>
          <w:tcPr>
            <w:tcW w:w="1483" w:type="dxa"/>
          </w:tcPr>
          <w:p w14:paraId="71C5710B"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7</w:t>
            </w:r>
            <w:r w:rsidRPr="000C7CFA">
              <w:rPr>
                <w:rFonts w:ascii="Verdana" w:hAnsi="Verdana"/>
                <w:sz w:val="18"/>
                <w:szCs w:val="18"/>
              </w:rPr>
              <w:t xml:space="preserve"> (5)</w:t>
            </w:r>
          </w:p>
        </w:tc>
        <w:tc>
          <w:tcPr>
            <w:tcW w:w="1000" w:type="dxa"/>
          </w:tcPr>
          <w:p w14:paraId="3E8EA197"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–0.5</w:t>
            </w:r>
          </w:p>
        </w:tc>
        <w:tc>
          <w:tcPr>
            <w:tcW w:w="1000" w:type="dxa"/>
          </w:tcPr>
          <w:p w14:paraId="00D9FB98"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–5.4</w:t>
            </w:r>
          </w:p>
        </w:tc>
        <w:tc>
          <w:tcPr>
            <w:tcW w:w="1000" w:type="dxa"/>
          </w:tcPr>
          <w:p w14:paraId="4595B29C"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–5.8</w:t>
            </w:r>
          </w:p>
        </w:tc>
        <w:tc>
          <w:tcPr>
            <w:tcW w:w="1143" w:type="dxa"/>
          </w:tcPr>
          <w:p w14:paraId="1AF1F3F3"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85</w:t>
            </w:r>
          </w:p>
        </w:tc>
      </w:tr>
      <w:tr w:rsidR="00FC37DA" w:rsidRPr="000C7CFA" w14:paraId="62E3DD33" w14:textId="77777777" w:rsidTr="00FC37DA">
        <w:trPr>
          <w:trHeight w:val="174"/>
        </w:trPr>
        <w:tc>
          <w:tcPr>
            <w:tcW w:w="8222" w:type="dxa"/>
            <w:gridSpan w:val="6"/>
          </w:tcPr>
          <w:p w14:paraId="5E93B06B" w14:textId="77777777" w:rsidR="00FC37DA" w:rsidRPr="000C7CFA" w:rsidRDefault="00FC37DA" w:rsidP="00010160">
            <w:pPr>
              <w:pStyle w:val="BodyText"/>
              <w:spacing w:after="0"/>
              <w:jc w:val="left"/>
              <w:rPr>
                <w:rFonts w:ascii="Verdana" w:hAnsi="Verdana"/>
                <w:sz w:val="18"/>
                <w:szCs w:val="18"/>
                <w:lang w:eastAsia="en-GB"/>
              </w:rPr>
            </w:pPr>
            <w:r w:rsidRPr="000C7CFA">
              <w:rPr>
                <w:rFonts w:ascii="Verdana" w:hAnsi="Verdana"/>
                <w:b/>
                <w:sz w:val="18"/>
                <w:szCs w:val="18"/>
                <w:lang w:val="en-US" w:eastAsia="en-GB"/>
              </w:rPr>
              <w:t>Secondary consumer</w:t>
            </w:r>
          </w:p>
        </w:tc>
      </w:tr>
      <w:tr w:rsidR="00FC37DA" w:rsidRPr="000C7CFA" w14:paraId="52393192" w14:textId="77777777" w:rsidTr="00FC37DA">
        <w:trPr>
          <w:trHeight w:val="129"/>
        </w:trPr>
        <w:tc>
          <w:tcPr>
            <w:tcW w:w="2596" w:type="dxa"/>
          </w:tcPr>
          <w:p w14:paraId="5AA9CFAF" w14:textId="77777777" w:rsidR="00FC37DA" w:rsidRPr="000C7CFA" w:rsidRDefault="00FC37DA" w:rsidP="00FC37DA">
            <w:pPr>
              <w:pStyle w:val="NoSpacing"/>
              <w:spacing w:after="0"/>
              <w:rPr>
                <w:rFonts w:ascii="Verdana" w:eastAsia="Times New Roman" w:hAnsi="Verdana" w:cs="Times New Roman"/>
                <w:sz w:val="18"/>
                <w:szCs w:val="18"/>
                <w:lang w:val="en-US" w:eastAsia="en-GB"/>
              </w:rPr>
            </w:pPr>
            <w:r w:rsidRPr="000C7CFA">
              <w:rPr>
                <w:rFonts w:ascii="Verdana" w:eastAsia="Times New Roman" w:hAnsi="Verdana" w:cs="Times New Roman"/>
                <w:sz w:val="18"/>
                <w:szCs w:val="18"/>
                <w:lang w:val="en-US" w:eastAsia="en-GB"/>
              </w:rPr>
              <w:t xml:space="preserve">Crab </w:t>
            </w:r>
            <w:r w:rsidRPr="000C7CFA">
              <w:rPr>
                <w:rFonts w:ascii="Verdana" w:eastAsia="Times New Roman" w:hAnsi="Verdana" w:cs="Times New Roman"/>
                <w:i/>
                <w:sz w:val="18"/>
                <w:szCs w:val="18"/>
                <w:lang w:val="en-US" w:eastAsia="en-GB"/>
              </w:rPr>
              <w:t>Homalaspis plana</w:t>
            </w:r>
          </w:p>
        </w:tc>
        <w:tc>
          <w:tcPr>
            <w:tcW w:w="1483" w:type="dxa"/>
          </w:tcPr>
          <w:p w14:paraId="3F914477"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1</w:t>
            </w:r>
            <w:r w:rsidRPr="000C7CFA">
              <w:rPr>
                <w:rFonts w:ascii="Verdana" w:hAnsi="Verdana"/>
                <w:sz w:val="18"/>
                <w:szCs w:val="18"/>
              </w:rPr>
              <w:t xml:space="preserve"> (1)</w:t>
            </w:r>
          </w:p>
        </w:tc>
        <w:tc>
          <w:tcPr>
            <w:tcW w:w="1000" w:type="dxa"/>
          </w:tcPr>
          <w:p w14:paraId="42FC658B"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p>
        </w:tc>
        <w:tc>
          <w:tcPr>
            <w:tcW w:w="1000" w:type="dxa"/>
          </w:tcPr>
          <w:p w14:paraId="67D056F1"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p>
        </w:tc>
        <w:tc>
          <w:tcPr>
            <w:tcW w:w="1000" w:type="dxa"/>
          </w:tcPr>
          <w:p w14:paraId="3EA44666"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p>
        </w:tc>
        <w:tc>
          <w:tcPr>
            <w:tcW w:w="1143" w:type="dxa"/>
          </w:tcPr>
          <w:p w14:paraId="3F2D91A5"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0</w:t>
            </w:r>
          </w:p>
        </w:tc>
      </w:tr>
      <w:tr w:rsidR="00FC37DA" w:rsidRPr="000C7CFA" w14:paraId="3AC0155D" w14:textId="77777777" w:rsidTr="00FC37DA">
        <w:trPr>
          <w:trHeight w:val="174"/>
        </w:trPr>
        <w:tc>
          <w:tcPr>
            <w:tcW w:w="2596" w:type="dxa"/>
          </w:tcPr>
          <w:p w14:paraId="772F8494" w14:textId="77777777" w:rsidR="00FC37DA" w:rsidRPr="000C7CFA" w:rsidRDefault="00FC37DA" w:rsidP="00FC37DA">
            <w:pPr>
              <w:pStyle w:val="NoSpacing"/>
              <w:spacing w:after="0"/>
              <w:rPr>
                <w:rFonts w:ascii="Verdana" w:eastAsia="Times New Roman" w:hAnsi="Verdana" w:cs="Times New Roman"/>
                <w:sz w:val="18"/>
                <w:szCs w:val="18"/>
                <w:lang w:val="en-US" w:eastAsia="en-GB"/>
              </w:rPr>
            </w:pPr>
            <w:r w:rsidRPr="000C7CFA">
              <w:rPr>
                <w:rFonts w:ascii="Verdana" w:eastAsia="Times New Roman" w:hAnsi="Verdana" w:cs="Times New Roman"/>
                <w:sz w:val="18"/>
                <w:szCs w:val="18"/>
                <w:lang w:val="en-US" w:eastAsia="en-GB"/>
              </w:rPr>
              <w:t xml:space="preserve">Crab </w:t>
            </w:r>
            <w:r w:rsidRPr="000C7CFA">
              <w:rPr>
                <w:rFonts w:ascii="Verdana" w:eastAsia="Times New Roman" w:hAnsi="Verdana" w:cs="Times New Roman"/>
                <w:i/>
                <w:sz w:val="18"/>
                <w:szCs w:val="18"/>
                <w:lang w:val="en-US" w:eastAsia="en-GB"/>
              </w:rPr>
              <w:t>Taliepus dentatus</w:t>
            </w:r>
          </w:p>
        </w:tc>
        <w:tc>
          <w:tcPr>
            <w:tcW w:w="1483" w:type="dxa"/>
          </w:tcPr>
          <w:p w14:paraId="74FE1A19"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4</w:t>
            </w:r>
            <w:r w:rsidRPr="000C7CFA">
              <w:rPr>
                <w:rFonts w:ascii="Verdana" w:hAnsi="Verdana"/>
                <w:sz w:val="18"/>
                <w:szCs w:val="18"/>
              </w:rPr>
              <w:t xml:space="preserve"> (3-4)</w:t>
            </w:r>
          </w:p>
        </w:tc>
        <w:tc>
          <w:tcPr>
            <w:tcW w:w="1000" w:type="dxa"/>
          </w:tcPr>
          <w:p w14:paraId="533C267E"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0.1–0.4</w:t>
            </w:r>
          </w:p>
        </w:tc>
        <w:tc>
          <w:tcPr>
            <w:tcW w:w="1000" w:type="dxa"/>
          </w:tcPr>
          <w:p w14:paraId="459DA1E4"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0.1–0.8</w:t>
            </w:r>
          </w:p>
        </w:tc>
        <w:tc>
          <w:tcPr>
            <w:tcW w:w="1000" w:type="dxa"/>
          </w:tcPr>
          <w:p w14:paraId="4B5873CE"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0.3–1.1</w:t>
            </w:r>
          </w:p>
        </w:tc>
        <w:tc>
          <w:tcPr>
            <w:tcW w:w="1143" w:type="dxa"/>
          </w:tcPr>
          <w:p w14:paraId="1B5F86B9"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100</w:t>
            </w:r>
          </w:p>
        </w:tc>
      </w:tr>
      <w:tr w:rsidR="00FC37DA" w:rsidRPr="000C7CFA" w14:paraId="0E5717F6" w14:textId="77777777" w:rsidTr="00FC37DA">
        <w:trPr>
          <w:trHeight w:val="174"/>
        </w:trPr>
        <w:tc>
          <w:tcPr>
            <w:tcW w:w="2596" w:type="dxa"/>
          </w:tcPr>
          <w:p w14:paraId="7600666D" w14:textId="77777777" w:rsidR="00FC37DA" w:rsidRPr="000C7CFA" w:rsidRDefault="00FC37DA" w:rsidP="00FC37DA">
            <w:pPr>
              <w:pStyle w:val="NoSpacing"/>
              <w:spacing w:after="0"/>
              <w:rPr>
                <w:rFonts w:ascii="Verdana" w:eastAsia="Times New Roman" w:hAnsi="Verdana" w:cs="Times New Roman"/>
                <w:sz w:val="18"/>
                <w:szCs w:val="18"/>
                <w:lang w:val="en-US" w:eastAsia="en-GB"/>
              </w:rPr>
            </w:pPr>
            <w:r w:rsidRPr="000C7CFA">
              <w:rPr>
                <w:rFonts w:ascii="Verdana" w:eastAsia="Times New Roman" w:hAnsi="Verdana" w:cs="Times New Roman"/>
                <w:sz w:val="18"/>
                <w:szCs w:val="18"/>
                <w:lang w:val="en-US" w:eastAsia="en-GB"/>
              </w:rPr>
              <w:t xml:space="preserve">Peruvian Morwong </w:t>
            </w:r>
            <w:r w:rsidRPr="000C7CFA">
              <w:rPr>
                <w:rFonts w:ascii="Verdana" w:eastAsia="Times New Roman" w:hAnsi="Verdana" w:cs="Times New Roman"/>
                <w:i/>
                <w:sz w:val="18"/>
                <w:szCs w:val="18"/>
                <w:lang w:val="en-US" w:eastAsia="en-GB"/>
              </w:rPr>
              <w:t xml:space="preserve">Cheilodactylus </w:t>
            </w:r>
            <w:r w:rsidRPr="000C7CFA">
              <w:rPr>
                <w:rFonts w:ascii="Verdana" w:hAnsi="Verdana"/>
                <w:i/>
                <w:sz w:val="18"/>
                <w:szCs w:val="18"/>
                <w:lang w:val="en-US"/>
              </w:rPr>
              <w:t>variegatu</w:t>
            </w:r>
            <w:r w:rsidRPr="000C7CFA">
              <w:rPr>
                <w:rFonts w:ascii="Verdana" w:eastAsia="Times New Roman" w:hAnsi="Verdana" w:cs="Times New Roman"/>
                <w:i/>
                <w:sz w:val="18"/>
                <w:szCs w:val="18"/>
                <w:lang w:val="en-US" w:eastAsia="en-GB"/>
              </w:rPr>
              <w:t>s</w:t>
            </w:r>
          </w:p>
        </w:tc>
        <w:tc>
          <w:tcPr>
            <w:tcW w:w="1483" w:type="dxa"/>
          </w:tcPr>
          <w:p w14:paraId="0866550B"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2</w:t>
            </w:r>
            <w:r w:rsidRPr="000C7CFA">
              <w:rPr>
                <w:rFonts w:ascii="Verdana" w:hAnsi="Verdana"/>
                <w:sz w:val="18"/>
                <w:szCs w:val="18"/>
              </w:rPr>
              <w:t xml:space="preserve"> (1)</w:t>
            </w:r>
          </w:p>
        </w:tc>
        <w:tc>
          <w:tcPr>
            <w:tcW w:w="1000" w:type="dxa"/>
          </w:tcPr>
          <w:p w14:paraId="58D93AC5"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0.04</w:t>
            </w:r>
          </w:p>
        </w:tc>
        <w:tc>
          <w:tcPr>
            <w:tcW w:w="1000" w:type="dxa"/>
          </w:tcPr>
          <w:p w14:paraId="20B0851D"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0.04–0.1</w:t>
            </w:r>
          </w:p>
        </w:tc>
        <w:tc>
          <w:tcPr>
            <w:tcW w:w="1000" w:type="dxa"/>
          </w:tcPr>
          <w:p w14:paraId="2EEF7271"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0.08–0.1</w:t>
            </w:r>
          </w:p>
        </w:tc>
        <w:tc>
          <w:tcPr>
            <w:tcW w:w="1143" w:type="dxa"/>
          </w:tcPr>
          <w:p w14:paraId="330628C7"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100</w:t>
            </w:r>
          </w:p>
        </w:tc>
      </w:tr>
      <w:tr w:rsidR="00FC37DA" w:rsidRPr="000C7CFA" w14:paraId="227140DF" w14:textId="77777777" w:rsidTr="00FC37DA">
        <w:trPr>
          <w:trHeight w:val="174"/>
        </w:trPr>
        <w:tc>
          <w:tcPr>
            <w:tcW w:w="2596" w:type="dxa"/>
          </w:tcPr>
          <w:p w14:paraId="3E3EFEA6" w14:textId="77777777" w:rsidR="00FC37DA" w:rsidRPr="000C7CFA" w:rsidRDefault="00FC37DA" w:rsidP="00FC37DA">
            <w:pPr>
              <w:pStyle w:val="NoSpacing"/>
              <w:spacing w:after="0"/>
              <w:rPr>
                <w:rFonts w:ascii="Verdana" w:eastAsia="Times New Roman" w:hAnsi="Verdana" w:cs="Times New Roman"/>
                <w:sz w:val="18"/>
                <w:szCs w:val="18"/>
                <w:lang w:val="en-US" w:eastAsia="en-GB"/>
              </w:rPr>
            </w:pPr>
            <w:r w:rsidRPr="000C7CFA">
              <w:rPr>
                <w:rFonts w:ascii="Verdana" w:eastAsia="Times New Roman" w:hAnsi="Verdana" w:cs="Times New Roman"/>
                <w:sz w:val="18"/>
                <w:szCs w:val="18"/>
                <w:lang w:val="en-US" w:eastAsia="en-GB"/>
              </w:rPr>
              <w:t xml:space="preserve">Damselfish </w:t>
            </w:r>
            <w:r w:rsidRPr="000C7CFA">
              <w:rPr>
                <w:rFonts w:ascii="Verdana" w:eastAsia="Times New Roman" w:hAnsi="Verdana" w:cs="Times New Roman"/>
                <w:i/>
                <w:sz w:val="18"/>
                <w:szCs w:val="18"/>
                <w:lang w:val="en-US" w:eastAsia="en-GB"/>
              </w:rPr>
              <w:t>Chromis crusma</w:t>
            </w:r>
          </w:p>
        </w:tc>
        <w:tc>
          <w:tcPr>
            <w:tcW w:w="1483" w:type="dxa"/>
          </w:tcPr>
          <w:p w14:paraId="11BC0EAF"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4</w:t>
            </w:r>
            <w:r w:rsidRPr="000C7CFA">
              <w:rPr>
                <w:rFonts w:ascii="Verdana" w:hAnsi="Verdana"/>
                <w:sz w:val="18"/>
                <w:szCs w:val="18"/>
              </w:rPr>
              <w:t xml:space="preserve"> (1)</w:t>
            </w:r>
          </w:p>
        </w:tc>
        <w:tc>
          <w:tcPr>
            <w:tcW w:w="1000" w:type="dxa"/>
          </w:tcPr>
          <w:p w14:paraId="768C0405"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0.01–0.1</w:t>
            </w:r>
          </w:p>
        </w:tc>
        <w:tc>
          <w:tcPr>
            <w:tcW w:w="1000" w:type="dxa"/>
          </w:tcPr>
          <w:p w14:paraId="748339B6"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0.03–0.2</w:t>
            </w:r>
          </w:p>
        </w:tc>
        <w:tc>
          <w:tcPr>
            <w:tcW w:w="1000" w:type="dxa"/>
          </w:tcPr>
          <w:p w14:paraId="6949EBBB"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0.04–0.3</w:t>
            </w:r>
          </w:p>
        </w:tc>
        <w:tc>
          <w:tcPr>
            <w:tcW w:w="1143" w:type="dxa"/>
          </w:tcPr>
          <w:p w14:paraId="53E5656F"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100</w:t>
            </w:r>
          </w:p>
        </w:tc>
      </w:tr>
      <w:tr w:rsidR="00FC37DA" w:rsidRPr="000C7CFA" w14:paraId="3DB5CE18" w14:textId="77777777" w:rsidTr="00FC37DA">
        <w:trPr>
          <w:trHeight w:val="174"/>
        </w:trPr>
        <w:tc>
          <w:tcPr>
            <w:tcW w:w="8222" w:type="dxa"/>
            <w:gridSpan w:val="6"/>
          </w:tcPr>
          <w:p w14:paraId="6DD273EA" w14:textId="77777777" w:rsidR="00FC37DA" w:rsidRPr="000C7CFA" w:rsidRDefault="00FC37DA" w:rsidP="00010160">
            <w:pPr>
              <w:pStyle w:val="BodyText"/>
              <w:spacing w:after="0"/>
              <w:jc w:val="left"/>
              <w:rPr>
                <w:rFonts w:ascii="Verdana" w:hAnsi="Verdana"/>
                <w:sz w:val="18"/>
                <w:szCs w:val="18"/>
                <w:lang w:eastAsia="en-GB"/>
              </w:rPr>
            </w:pPr>
            <w:r w:rsidRPr="000C7CFA">
              <w:rPr>
                <w:rFonts w:ascii="Verdana" w:hAnsi="Verdana"/>
                <w:b/>
                <w:sz w:val="18"/>
                <w:szCs w:val="18"/>
                <w:lang w:val="en-US" w:eastAsia="en-GB"/>
              </w:rPr>
              <w:t>Tertiary consumer</w:t>
            </w:r>
          </w:p>
        </w:tc>
      </w:tr>
      <w:tr w:rsidR="00FC37DA" w:rsidRPr="000C7CFA" w14:paraId="27D39178" w14:textId="77777777" w:rsidTr="00FC37DA">
        <w:trPr>
          <w:trHeight w:val="174"/>
        </w:trPr>
        <w:tc>
          <w:tcPr>
            <w:tcW w:w="2596" w:type="dxa"/>
          </w:tcPr>
          <w:p w14:paraId="02B052C1" w14:textId="77777777" w:rsidR="00FC37DA" w:rsidRPr="000C7CFA" w:rsidRDefault="00FC37DA" w:rsidP="00FC37DA">
            <w:pPr>
              <w:pStyle w:val="NoSpacing"/>
              <w:spacing w:after="0"/>
              <w:rPr>
                <w:rFonts w:ascii="Verdana" w:eastAsia="Times New Roman" w:hAnsi="Verdana" w:cs="Times New Roman"/>
                <w:sz w:val="18"/>
                <w:szCs w:val="18"/>
                <w:lang w:val="en-US" w:eastAsia="en-GB"/>
              </w:rPr>
            </w:pPr>
            <w:r w:rsidRPr="000C7CFA">
              <w:rPr>
                <w:rFonts w:ascii="Verdana" w:eastAsia="Times New Roman" w:hAnsi="Verdana" w:cs="Times New Roman"/>
                <w:sz w:val="18"/>
                <w:szCs w:val="18"/>
                <w:lang w:val="en-US" w:eastAsia="en-GB"/>
              </w:rPr>
              <w:t xml:space="preserve">Sandperch </w:t>
            </w:r>
            <w:r w:rsidRPr="000C7CFA">
              <w:rPr>
                <w:rFonts w:ascii="Verdana" w:eastAsia="Times New Roman" w:hAnsi="Verdana" w:cs="Times New Roman"/>
                <w:i/>
                <w:sz w:val="18"/>
                <w:szCs w:val="18"/>
                <w:lang w:val="en-US" w:eastAsia="en-GB"/>
              </w:rPr>
              <w:t>Pinguipes chilensis</w:t>
            </w:r>
          </w:p>
        </w:tc>
        <w:tc>
          <w:tcPr>
            <w:tcW w:w="1483" w:type="dxa"/>
          </w:tcPr>
          <w:p w14:paraId="41635608"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13 (1)</w:t>
            </w:r>
          </w:p>
        </w:tc>
        <w:tc>
          <w:tcPr>
            <w:tcW w:w="1000" w:type="dxa"/>
          </w:tcPr>
          <w:p w14:paraId="1AE85949"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–0.9</w:t>
            </w:r>
          </w:p>
        </w:tc>
        <w:tc>
          <w:tcPr>
            <w:tcW w:w="1000" w:type="dxa"/>
          </w:tcPr>
          <w:p w14:paraId="5EB610F9"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–1.2</w:t>
            </w:r>
          </w:p>
        </w:tc>
        <w:tc>
          <w:tcPr>
            <w:tcW w:w="1000" w:type="dxa"/>
          </w:tcPr>
          <w:p w14:paraId="09B5F6EE"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r w:rsidRPr="000C7CFA">
              <w:rPr>
                <w:rFonts w:ascii="Verdana" w:hAnsi="Verdana"/>
                <w:sz w:val="18"/>
                <w:szCs w:val="18"/>
                <w:lang w:eastAsia="en-GB"/>
              </w:rPr>
              <w:t>–2.0</w:t>
            </w:r>
          </w:p>
        </w:tc>
        <w:tc>
          <w:tcPr>
            <w:tcW w:w="1143" w:type="dxa"/>
          </w:tcPr>
          <w:p w14:paraId="24CEAD1A"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lang w:eastAsia="en-GB"/>
              </w:rPr>
              <w:t>69</w:t>
            </w:r>
          </w:p>
        </w:tc>
      </w:tr>
      <w:tr w:rsidR="00FC37DA" w:rsidRPr="000C7CFA" w14:paraId="1E7C4901" w14:textId="77777777" w:rsidTr="00FC37DA">
        <w:trPr>
          <w:trHeight w:val="174"/>
        </w:trPr>
        <w:tc>
          <w:tcPr>
            <w:tcW w:w="2596" w:type="dxa"/>
          </w:tcPr>
          <w:p w14:paraId="7A8065F5" w14:textId="31A1728E" w:rsidR="00FC37DA" w:rsidRPr="000C7CFA" w:rsidRDefault="00FC37DA" w:rsidP="00FC37DA">
            <w:pPr>
              <w:pStyle w:val="NoSpacing"/>
              <w:spacing w:after="0"/>
              <w:rPr>
                <w:rFonts w:ascii="Verdana" w:eastAsia="Times New Roman" w:hAnsi="Verdana" w:cs="Times New Roman"/>
                <w:sz w:val="18"/>
                <w:szCs w:val="18"/>
                <w:lang w:val="en-US" w:eastAsia="en-GB"/>
              </w:rPr>
            </w:pPr>
            <w:r w:rsidRPr="000C7CFA">
              <w:rPr>
                <w:rFonts w:ascii="Verdana" w:eastAsia="Times New Roman" w:hAnsi="Verdana" w:cs="Times New Roman"/>
                <w:sz w:val="18"/>
                <w:szCs w:val="18"/>
                <w:lang w:val="en-US" w:eastAsia="en-GB"/>
              </w:rPr>
              <w:t>Chilean Abalone C</w:t>
            </w:r>
            <w:r w:rsidRPr="000C7CFA">
              <w:rPr>
                <w:rFonts w:ascii="Verdana" w:eastAsia="Times New Roman" w:hAnsi="Verdana" w:cs="Times New Roman"/>
                <w:i/>
                <w:sz w:val="18"/>
                <w:szCs w:val="18"/>
                <w:lang w:val="en-US" w:eastAsia="en-GB"/>
              </w:rPr>
              <w:t>oncholepas</w:t>
            </w:r>
          </w:p>
        </w:tc>
        <w:tc>
          <w:tcPr>
            <w:tcW w:w="1483" w:type="dxa"/>
          </w:tcPr>
          <w:p w14:paraId="2AD45F24"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4 (1)</w:t>
            </w:r>
          </w:p>
        </w:tc>
        <w:tc>
          <w:tcPr>
            <w:tcW w:w="1000" w:type="dxa"/>
          </w:tcPr>
          <w:p w14:paraId="3052BABA"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p>
        </w:tc>
        <w:tc>
          <w:tcPr>
            <w:tcW w:w="1000" w:type="dxa"/>
          </w:tcPr>
          <w:p w14:paraId="70D23275"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p>
        </w:tc>
        <w:tc>
          <w:tcPr>
            <w:tcW w:w="1000" w:type="dxa"/>
          </w:tcPr>
          <w:p w14:paraId="4AE697E2"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ND</w:t>
            </w:r>
          </w:p>
        </w:tc>
        <w:tc>
          <w:tcPr>
            <w:tcW w:w="1143" w:type="dxa"/>
          </w:tcPr>
          <w:p w14:paraId="0B5D89CE" w14:textId="77777777" w:rsidR="00FC37DA" w:rsidRPr="000C7CFA" w:rsidRDefault="00FC37DA" w:rsidP="00FC37DA">
            <w:pPr>
              <w:pStyle w:val="BodyText"/>
              <w:spacing w:after="0"/>
              <w:jc w:val="center"/>
              <w:rPr>
                <w:rFonts w:ascii="Verdana" w:hAnsi="Verdana"/>
                <w:sz w:val="18"/>
                <w:szCs w:val="18"/>
                <w:lang w:eastAsia="en-GB"/>
              </w:rPr>
            </w:pPr>
            <w:r w:rsidRPr="000C7CFA">
              <w:rPr>
                <w:rFonts w:ascii="Verdana" w:hAnsi="Verdana"/>
                <w:sz w:val="18"/>
                <w:szCs w:val="18"/>
              </w:rPr>
              <w:t>0</w:t>
            </w:r>
          </w:p>
        </w:tc>
      </w:tr>
    </w:tbl>
    <w:p w14:paraId="21096270" w14:textId="77777777" w:rsidR="00FC37DA" w:rsidRPr="000C7CFA" w:rsidRDefault="00FC37DA" w:rsidP="00FC37DA">
      <w:pPr>
        <w:pStyle w:val="NoSpacing"/>
        <w:ind w:left="284"/>
        <w:rPr>
          <w:rFonts w:ascii="Verdana" w:eastAsia="Times New Roman" w:hAnsi="Verdana" w:cs="Times New Roman"/>
          <w:sz w:val="18"/>
          <w:szCs w:val="18"/>
          <w:lang w:val="en-US" w:eastAsia="en-GB"/>
        </w:rPr>
      </w:pPr>
      <w:r w:rsidRPr="000C7CFA">
        <w:rPr>
          <w:rFonts w:ascii="Verdana" w:eastAsia="Times New Roman" w:hAnsi="Verdana" w:cs="Times New Roman"/>
          <w:sz w:val="18"/>
          <w:szCs w:val="18"/>
          <w:lang w:val="en-US" w:eastAsia="en-GB"/>
        </w:rPr>
        <w:t>Note: ND – not detected in any sample.</w:t>
      </w:r>
    </w:p>
    <w:p w14:paraId="00122993" w14:textId="77777777" w:rsidR="00FA2BE0" w:rsidRPr="000C7CFA" w:rsidRDefault="00FA2BE0" w:rsidP="00FA2BE0">
      <w:pPr>
        <w:pStyle w:val="BodyText"/>
        <w:spacing w:after="0"/>
        <w:ind w:left="357" w:right="658"/>
        <w:rPr>
          <w:rFonts w:ascii="Verdana" w:eastAsiaTheme="minorHAnsi" w:hAnsi="Verdana"/>
          <w:sz w:val="18"/>
          <w:szCs w:val="18"/>
        </w:rPr>
      </w:pPr>
    </w:p>
    <w:p w14:paraId="53D1996F" w14:textId="77777777" w:rsidR="00FA2BE0" w:rsidRPr="000C7CFA" w:rsidRDefault="00FA2BE0" w:rsidP="00FA2BE0">
      <w:pPr>
        <w:pStyle w:val="BodyText"/>
        <w:ind w:left="360" w:right="657"/>
        <w:rPr>
          <w:rFonts w:ascii="Verdana" w:hAnsi="Verdana"/>
          <w:sz w:val="18"/>
          <w:szCs w:val="18"/>
        </w:rPr>
      </w:pPr>
      <w:r w:rsidRPr="000C7CFA">
        <w:rPr>
          <w:rFonts w:ascii="Verdana" w:eastAsiaTheme="minorHAnsi" w:hAnsi="Verdana"/>
          <w:sz w:val="18"/>
          <w:szCs w:val="18"/>
        </w:rPr>
        <w:t>D</w:t>
      </w:r>
      <w:r w:rsidRPr="000C7CFA">
        <w:rPr>
          <w:rFonts w:ascii="Verdana" w:hAnsi="Verdana"/>
          <w:sz w:val="18"/>
          <w:szCs w:val="18"/>
        </w:rPr>
        <w:t xml:space="preserve">echlorane </w:t>
      </w:r>
      <w:r w:rsidRPr="000C7CFA">
        <w:rPr>
          <w:rFonts w:ascii="Verdana" w:eastAsiaTheme="minorHAnsi" w:hAnsi="Verdana"/>
          <w:sz w:val="18"/>
          <w:szCs w:val="18"/>
        </w:rPr>
        <w:t>P</w:t>
      </w:r>
      <w:r w:rsidRPr="000C7CFA">
        <w:rPr>
          <w:rFonts w:ascii="Verdana" w:hAnsi="Verdana"/>
          <w:sz w:val="18"/>
          <w:szCs w:val="18"/>
        </w:rPr>
        <w:t>lus</w:t>
      </w:r>
      <w:r w:rsidRPr="000C7CFA">
        <w:rPr>
          <w:rFonts w:ascii="Verdana" w:eastAsiaTheme="minorHAnsi" w:hAnsi="Verdana"/>
          <w:sz w:val="18"/>
          <w:szCs w:val="18"/>
        </w:rPr>
        <w:t xml:space="preserve"> was detected in </w:t>
      </w:r>
      <w:r w:rsidRPr="000C7CFA">
        <w:rPr>
          <w:rFonts w:ascii="Verdana" w:hAnsi="Verdana"/>
          <w:sz w:val="18"/>
          <w:szCs w:val="18"/>
        </w:rPr>
        <w:t xml:space="preserve">all of the </w:t>
      </w:r>
      <w:r w:rsidRPr="000C7CFA">
        <w:rPr>
          <w:rFonts w:ascii="Verdana" w:eastAsiaTheme="minorHAnsi" w:hAnsi="Verdana"/>
          <w:sz w:val="18"/>
          <w:szCs w:val="18"/>
        </w:rPr>
        <w:t>primary consumer</w:t>
      </w:r>
      <w:r w:rsidRPr="000C7CFA">
        <w:rPr>
          <w:rFonts w:ascii="Verdana" w:hAnsi="Verdana"/>
          <w:sz w:val="18"/>
          <w:szCs w:val="18"/>
        </w:rPr>
        <w:t xml:space="preserve"> specie</w:t>
      </w:r>
      <w:r w:rsidRPr="000C7CFA">
        <w:rPr>
          <w:rFonts w:ascii="Verdana" w:eastAsiaTheme="minorHAnsi" w:hAnsi="Verdana"/>
          <w:sz w:val="18"/>
          <w:szCs w:val="18"/>
        </w:rPr>
        <w:t>s</w:t>
      </w:r>
      <w:r w:rsidRPr="000C7CFA">
        <w:rPr>
          <w:rFonts w:ascii="Verdana" w:hAnsi="Verdana"/>
          <w:sz w:val="18"/>
          <w:szCs w:val="18"/>
        </w:rPr>
        <w:t xml:space="preserve"> (though not every sample), at a maximum concentration of </w:t>
      </w:r>
      <w:r w:rsidRPr="000C7CFA">
        <w:rPr>
          <w:rFonts w:ascii="Verdana" w:eastAsiaTheme="minorHAnsi" w:hAnsi="Verdana"/>
          <w:sz w:val="18"/>
          <w:szCs w:val="18"/>
        </w:rPr>
        <w:t>9.8 </w:t>
      </w:r>
      <w:r w:rsidRPr="000C7CFA">
        <w:rPr>
          <w:rFonts w:ascii="Verdana" w:hAnsi="Verdana"/>
          <w:sz w:val="18"/>
          <w:szCs w:val="18"/>
        </w:rPr>
        <w:t>µ</w:t>
      </w:r>
      <w:r w:rsidRPr="000C7CFA">
        <w:rPr>
          <w:rFonts w:ascii="Verdana" w:eastAsiaTheme="minorHAnsi" w:hAnsi="Verdana"/>
          <w:sz w:val="18"/>
          <w:szCs w:val="18"/>
        </w:rPr>
        <w:t>g/</w:t>
      </w:r>
      <w:r w:rsidRPr="000C7CFA">
        <w:rPr>
          <w:rFonts w:ascii="Verdana" w:hAnsi="Verdana"/>
          <w:sz w:val="18"/>
          <w:szCs w:val="18"/>
        </w:rPr>
        <w:t>k</w:t>
      </w:r>
      <w:r w:rsidRPr="000C7CFA">
        <w:rPr>
          <w:rFonts w:ascii="Verdana" w:eastAsiaTheme="minorHAnsi" w:hAnsi="Verdana"/>
          <w:sz w:val="18"/>
          <w:szCs w:val="18"/>
        </w:rPr>
        <w:t xml:space="preserve">g </w:t>
      </w:r>
      <w:proofErr w:type="gramStart"/>
      <w:r w:rsidRPr="000C7CFA">
        <w:rPr>
          <w:rFonts w:ascii="Verdana" w:eastAsiaTheme="minorHAnsi" w:hAnsi="Verdana"/>
          <w:sz w:val="18"/>
          <w:szCs w:val="18"/>
        </w:rPr>
        <w:t>lw</w:t>
      </w:r>
      <w:proofErr w:type="gramEnd"/>
      <w:r w:rsidRPr="000C7CFA">
        <w:rPr>
          <w:rFonts w:ascii="Verdana" w:hAnsi="Verdana"/>
          <w:sz w:val="18"/>
          <w:szCs w:val="18"/>
        </w:rPr>
        <w:t xml:space="preserve"> (total isomers)</w:t>
      </w:r>
      <w:r w:rsidRPr="000C7CFA">
        <w:rPr>
          <w:rFonts w:ascii="Verdana" w:eastAsiaTheme="minorHAnsi" w:hAnsi="Verdana"/>
          <w:sz w:val="18"/>
          <w:szCs w:val="18"/>
        </w:rPr>
        <w:t xml:space="preserve">. </w:t>
      </w:r>
      <w:r w:rsidRPr="000C7CFA">
        <w:rPr>
          <w:rFonts w:ascii="Verdana" w:hAnsi="Verdana"/>
          <w:sz w:val="18"/>
          <w:szCs w:val="18"/>
        </w:rPr>
        <w:t>It</w:t>
      </w:r>
      <w:r w:rsidRPr="000C7CFA">
        <w:rPr>
          <w:rFonts w:ascii="Verdana" w:eastAsiaTheme="minorHAnsi" w:hAnsi="Verdana"/>
          <w:sz w:val="18"/>
          <w:szCs w:val="18"/>
        </w:rPr>
        <w:t xml:space="preserve"> was also detected in </w:t>
      </w:r>
      <w:r w:rsidRPr="000C7CFA">
        <w:rPr>
          <w:rFonts w:ascii="Verdana" w:hAnsi="Verdana"/>
          <w:sz w:val="18"/>
          <w:szCs w:val="18"/>
        </w:rPr>
        <w:t>all of the samples of</w:t>
      </w:r>
      <w:r w:rsidRPr="000C7CFA">
        <w:rPr>
          <w:rFonts w:ascii="Verdana" w:eastAsiaTheme="minorHAnsi" w:hAnsi="Verdana"/>
          <w:sz w:val="18"/>
          <w:szCs w:val="18"/>
        </w:rPr>
        <w:t xml:space="preserve"> secondary consumers</w:t>
      </w:r>
      <w:r w:rsidRPr="000C7CFA">
        <w:rPr>
          <w:rFonts w:ascii="Verdana" w:hAnsi="Verdana"/>
          <w:sz w:val="18"/>
          <w:szCs w:val="18"/>
        </w:rPr>
        <w:t>, with the exception of one crab sample, with a maximum concentration of</w:t>
      </w:r>
      <w:r w:rsidRPr="000C7CFA">
        <w:rPr>
          <w:rFonts w:ascii="Verdana" w:eastAsiaTheme="minorHAnsi" w:hAnsi="Verdana"/>
          <w:sz w:val="18"/>
          <w:szCs w:val="18"/>
        </w:rPr>
        <w:t xml:space="preserve"> 1.1 </w:t>
      </w:r>
      <w:r w:rsidRPr="000C7CFA">
        <w:rPr>
          <w:rFonts w:ascii="Verdana" w:hAnsi="Verdana"/>
          <w:sz w:val="18"/>
          <w:szCs w:val="18"/>
        </w:rPr>
        <w:t>µ</w:t>
      </w:r>
      <w:r w:rsidRPr="000C7CFA">
        <w:rPr>
          <w:rFonts w:ascii="Verdana" w:eastAsiaTheme="minorHAnsi" w:hAnsi="Verdana"/>
          <w:sz w:val="18"/>
          <w:szCs w:val="18"/>
        </w:rPr>
        <w:t>g/</w:t>
      </w:r>
      <w:r w:rsidRPr="000C7CFA">
        <w:rPr>
          <w:rFonts w:ascii="Verdana" w:hAnsi="Verdana"/>
          <w:sz w:val="18"/>
          <w:szCs w:val="18"/>
        </w:rPr>
        <w:t>k</w:t>
      </w:r>
      <w:r w:rsidRPr="000C7CFA">
        <w:rPr>
          <w:rFonts w:ascii="Verdana" w:eastAsiaTheme="minorHAnsi" w:hAnsi="Verdana"/>
          <w:sz w:val="18"/>
          <w:szCs w:val="18"/>
        </w:rPr>
        <w:t xml:space="preserve">g </w:t>
      </w:r>
      <w:proofErr w:type="gramStart"/>
      <w:r w:rsidRPr="000C7CFA">
        <w:rPr>
          <w:rFonts w:ascii="Verdana" w:eastAsiaTheme="minorHAnsi" w:hAnsi="Verdana"/>
          <w:sz w:val="18"/>
          <w:szCs w:val="18"/>
        </w:rPr>
        <w:t>lw</w:t>
      </w:r>
      <w:proofErr w:type="gramEnd"/>
      <w:r w:rsidRPr="000C7CFA">
        <w:rPr>
          <w:rFonts w:ascii="Verdana" w:hAnsi="Verdana"/>
          <w:sz w:val="18"/>
          <w:szCs w:val="18"/>
        </w:rPr>
        <w:t xml:space="preserve"> (total isomers)</w:t>
      </w:r>
      <w:r w:rsidRPr="000C7CFA">
        <w:rPr>
          <w:rFonts w:ascii="Verdana" w:eastAsiaTheme="minorHAnsi" w:hAnsi="Verdana"/>
          <w:sz w:val="18"/>
          <w:szCs w:val="18"/>
        </w:rPr>
        <w:t xml:space="preserve">. </w:t>
      </w:r>
      <w:r w:rsidRPr="000C7CFA">
        <w:rPr>
          <w:rFonts w:ascii="Verdana" w:hAnsi="Verdana"/>
          <w:sz w:val="18"/>
          <w:szCs w:val="18"/>
        </w:rPr>
        <w:t>It was not detected in any sample of on</w:t>
      </w:r>
      <w:r w:rsidRPr="000C7CFA">
        <w:rPr>
          <w:rFonts w:ascii="Verdana" w:eastAsiaTheme="minorHAnsi" w:hAnsi="Verdana"/>
          <w:sz w:val="18"/>
          <w:szCs w:val="18"/>
        </w:rPr>
        <w:t>e of the tertiary consumer species</w:t>
      </w:r>
      <w:r w:rsidRPr="000C7CFA">
        <w:rPr>
          <w:rFonts w:ascii="Verdana" w:hAnsi="Verdana"/>
          <w:sz w:val="18"/>
          <w:szCs w:val="18"/>
        </w:rPr>
        <w:t xml:space="preserve"> (</w:t>
      </w:r>
      <w:r w:rsidRPr="000C7CFA">
        <w:rPr>
          <w:rFonts w:ascii="Verdana" w:eastAsiaTheme="minorHAnsi" w:hAnsi="Verdana"/>
          <w:sz w:val="18"/>
          <w:szCs w:val="18"/>
        </w:rPr>
        <w:t xml:space="preserve">Chilean </w:t>
      </w:r>
      <w:r w:rsidRPr="000C7CFA">
        <w:rPr>
          <w:rFonts w:ascii="Verdana" w:hAnsi="Verdana"/>
          <w:sz w:val="18"/>
          <w:szCs w:val="18"/>
        </w:rPr>
        <w:t>A</w:t>
      </w:r>
      <w:r w:rsidRPr="000C7CFA">
        <w:rPr>
          <w:rFonts w:ascii="Verdana" w:eastAsiaTheme="minorHAnsi" w:hAnsi="Verdana"/>
          <w:sz w:val="18"/>
          <w:szCs w:val="18"/>
        </w:rPr>
        <w:t>balone</w:t>
      </w:r>
      <w:r w:rsidRPr="000C7CFA">
        <w:rPr>
          <w:rFonts w:ascii="Verdana" w:hAnsi="Verdana"/>
          <w:sz w:val="18"/>
          <w:szCs w:val="18"/>
        </w:rPr>
        <w:t>) but occurred at a maximum concentration of 2.0 µ</w:t>
      </w:r>
      <w:r w:rsidRPr="000C7CFA">
        <w:rPr>
          <w:rFonts w:ascii="Verdana" w:eastAsiaTheme="minorHAnsi" w:hAnsi="Verdana"/>
          <w:sz w:val="18"/>
          <w:szCs w:val="18"/>
        </w:rPr>
        <w:t>g/</w:t>
      </w:r>
      <w:r w:rsidRPr="000C7CFA">
        <w:rPr>
          <w:rFonts w:ascii="Verdana" w:hAnsi="Verdana"/>
          <w:sz w:val="18"/>
          <w:szCs w:val="18"/>
        </w:rPr>
        <w:t>k</w:t>
      </w:r>
      <w:r w:rsidRPr="000C7CFA">
        <w:rPr>
          <w:rFonts w:ascii="Verdana" w:eastAsiaTheme="minorHAnsi" w:hAnsi="Verdana"/>
          <w:sz w:val="18"/>
          <w:szCs w:val="18"/>
        </w:rPr>
        <w:t xml:space="preserve">g </w:t>
      </w:r>
      <w:proofErr w:type="gramStart"/>
      <w:r w:rsidRPr="000C7CFA">
        <w:rPr>
          <w:rFonts w:ascii="Verdana" w:eastAsiaTheme="minorHAnsi" w:hAnsi="Verdana"/>
          <w:sz w:val="18"/>
          <w:szCs w:val="18"/>
        </w:rPr>
        <w:t>lw</w:t>
      </w:r>
      <w:proofErr w:type="gramEnd"/>
      <w:r w:rsidRPr="000C7CFA">
        <w:rPr>
          <w:rFonts w:ascii="Verdana" w:hAnsi="Verdana"/>
          <w:sz w:val="18"/>
          <w:szCs w:val="18"/>
        </w:rPr>
        <w:t xml:space="preserve"> (total isomers) in the other species (S</w:t>
      </w:r>
      <w:r w:rsidRPr="000C7CFA">
        <w:rPr>
          <w:rFonts w:ascii="Verdana" w:eastAsiaTheme="minorHAnsi" w:hAnsi="Verdana"/>
          <w:sz w:val="18"/>
          <w:szCs w:val="18"/>
        </w:rPr>
        <w:t>andperch</w:t>
      </w:r>
      <w:r w:rsidRPr="000C7CFA">
        <w:rPr>
          <w:rFonts w:ascii="Verdana" w:hAnsi="Verdana"/>
          <w:sz w:val="18"/>
          <w:szCs w:val="18"/>
        </w:rPr>
        <w:t>)</w:t>
      </w:r>
      <w:r w:rsidRPr="000C7CFA">
        <w:rPr>
          <w:rFonts w:ascii="Verdana" w:eastAsiaTheme="minorHAnsi" w:hAnsi="Verdana"/>
          <w:sz w:val="18"/>
          <w:szCs w:val="18"/>
        </w:rPr>
        <w:t xml:space="preserve">. </w:t>
      </w:r>
      <w:r w:rsidRPr="000C7CFA">
        <w:rPr>
          <w:rFonts w:ascii="Verdana" w:hAnsi="Verdana"/>
          <w:sz w:val="18"/>
          <w:szCs w:val="18"/>
        </w:rPr>
        <w:t xml:space="preserve">Although the maximum concentration in tertiary consumers was higher than secondary consumers, it was lower than that in primary consumers, suggesting overall biodilution across the whole food web. </w:t>
      </w:r>
      <w:r w:rsidRPr="000C7CFA">
        <w:rPr>
          <w:rFonts w:ascii="Verdana" w:eastAsiaTheme="minorHAnsi" w:hAnsi="Verdana"/>
          <w:sz w:val="18"/>
          <w:szCs w:val="18"/>
        </w:rPr>
        <w:t>Chilean Abalone is known to prey on Giant Barnacle and Sandperch, and Peruvian Morwong can feed on Keyhole Limpet; BMFs were below 1 for all three predator-prey relationships.</w:t>
      </w:r>
      <w:r w:rsidRPr="000C7CFA">
        <w:rPr>
          <w:rFonts w:ascii="Verdana" w:hAnsi="Verdana"/>
          <w:sz w:val="18"/>
          <w:szCs w:val="18"/>
        </w:rPr>
        <w:t xml:space="preserve"> </w:t>
      </w:r>
    </w:p>
    <w:p w14:paraId="2AF81789" w14:textId="77777777" w:rsidR="00FA2BE0" w:rsidRPr="000C7CFA" w:rsidRDefault="00FA2BE0" w:rsidP="00FA2BE0">
      <w:pPr>
        <w:pStyle w:val="BodyText"/>
        <w:ind w:left="360" w:right="657"/>
        <w:rPr>
          <w:rFonts w:ascii="Verdana" w:eastAsiaTheme="minorHAnsi" w:hAnsi="Verdana"/>
          <w:sz w:val="18"/>
          <w:szCs w:val="18"/>
        </w:rPr>
      </w:pPr>
      <w:r w:rsidRPr="000C7CFA">
        <w:rPr>
          <w:rFonts w:ascii="Verdana" w:hAnsi="Verdana"/>
          <w:sz w:val="18"/>
          <w:szCs w:val="18"/>
        </w:rPr>
        <w:t>Sample numbers were low, and the organisms were not all sampled from the same locality or necessarily the same food chains, so the representivity of the data is unknown. F</w:t>
      </w:r>
      <w:r w:rsidRPr="000C7CFA">
        <w:rPr>
          <w:rFonts w:ascii="Verdana" w:eastAsiaTheme="minorHAnsi" w:hAnsi="Verdana"/>
          <w:sz w:val="18"/>
          <w:szCs w:val="18"/>
          <w:vertAlign w:val="subscript"/>
        </w:rPr>
        <w:t>anti</w:t>
      </w:r>
      <w:r w:rsidRPr="000C7CFA">
        <w:rPr>
          <w:rFonts w:ascii="Verdana" w:eastAsiaTheme="minorHAnsi" w:hAnsi="Verdana"/>
          <w:sz w:val="18"/>
          <w:szCs w:val="18"/>
        </w:rPr>
        <w:t xml:space="preserve"> values</w:t>
      </w:r>
      <w:r w:rsidRPr="000C7CFA">
        <w:rPr>
          <w:rFonts w:ascii="Verdana" w:hAnsi="Verdana"/>
          <w:sz w:val="18"/>
          <w:szCs w:val="18"/>
        </w:rPr>
        <w:t xml:space="preserve"> were</w:t>
      </w:r>
      <w:r w:rsidRPr="000C7CFA">
        <w:rPr>
          <w:rFonts w:ascii="Verdana" w:eastAsiaTheme="minorHAnsi" w:hAnsi="Verdana"/>
          <w:sz w:val="18"/>
          <w:szCs w:val="18"/>
        </w:rPr>
        <w:t xml:space="preserve"> similar for primary and secondary consumers (0.60 and 0.61 respectively), but lower for the tertiary consumers (0.47), which was significantly different (t</w:t>
      </w:r>
      <w:r w:rsidRPr="000C7CFA">
        <w:rPr>
          <w:rFonts w:ascii="Verdana" w:eastAsiaTheme="minorHAnsi" w:hAnsi="Verdana"/>
          <w:sz w:val="18"/>
          <w:szCs w:val="18"/>
        </w:rPr>
        <w:noBreakHyphen/>
        <w:t xml:space="preserve">test, </w:t>
      </w:r>
      <w:r w:rsidRPr="000C7CFA">
        <w:rPr>
          <w:rFonts w:ascii="Verdana" w:eastAsiaTheme="minorHAnsi" w:hAnsi="Verdana"/>
          <w:i/>
          <w:sz w:val="18"/>
          <w:szCs w:val="18"/>
        </w:rPr>
        <w:t>p</w:t>
      </w:r>
      <w:r w:rsidRPr="000C7CFA">
        <w:rPr>
          <w:rFonts w:ascii="Verdana" w:eastAsiaTheme="minorHAnsi" w:hAnsi="Verdana"/>
          <w:sz w:val="18"/>
          <w:szCs w:val="18"/>
        </w:rPr>
        <w:t xml:space="preserve"> &lt; 0.01). This may indicate that syn-DP is more bioaccumulative than the anti- isomer, or that tertiary consumers can eliminate the anti- isomer more efficiently. </w:t>
      </w:r>
    </w:p>
    <w:p w14:paraId="0AABAC94" w14:textId="77777777" w:rsidR="00FA2BE0" w:rsidRPr="000C7CFA" w:rsidRDefault="00FA2BE0" w:rsidP="00FA2BE0">
      <w:pPr>
        <w:pStyle w:val="BodyText"/>
        <w:ind w:left="360" w:right="657"/>
        <w:rPr>
          <w:rFonts w:ascii="Verdana" w:hAnsi="Verdana"/>
          <w:sz w:val="18"/>
          <w:szCs w:val="18"/>
        </w:rPr>
      </w:pPr>
      <w:r w:rsidRPr="000C7CFA">
        <w:rPr>
          <w:rFonts w:ascii="Verdana" w:hAnsi="Verdana"/>
          <w:sz w:val="18"/>
          <w:szCs w:val="18"/>
        </w:rPr>
        <w:t>This study is not included in the registration dossier.</w:t>
      </w:r>
    </w:p>
    <w:p w14:paraId="77085A04" w14:textId="77777777" w:rsidR="00FC37DA" w:rsidRPr="000C7CFA" w:rsidRDefault="00FC37DA" w:rsidP="00FC37DA">
      <w:pPr>
        <w:pStyle w:val="NoSpacing"/>
        <w:jc w:val="both"/>
        <w:rPr>
          <w:rFonts w:ascii="Verdana" w:hAnsi="Verdana" w:cs="Times New Roman"/>
          <w:sz w:val="18"/>
          <w:szCs w:val="18"/>
        </w:rPr>
      </w:pPr>
    </w:p>
    <w:p w14:paraId="39AABF55" w14:textId="77777777" w:rsidR="00E45EAC" w:rsidRPr="000C7CFA" w:rsidRDefault="00E45EAC" w:rsidP="000D41B4">
      <w:pPr>
        <w:autoSpaceDE w:val="0"/>
        <w:autoSpaceDN w:val="0"/>
        <w:adjustRightInd w:val="0"/>
        <w:spacing w:after="0"/>
        <w:rPr>
          <w:rFonts w:ascii="Verdana" w:hAnsi="Verdana" w:cs="AdvGulliv-R"/>
          <w:sz w:val="18"/>
          <w:szCs w:val="18"/>
          <w:lang w:val="en-GB" w:eastAsia="en-GB"/>
        </w:rPr>
      </w:pPr>
    </w:p>
    <w:p w14:paraId="667AE4F6" w14:textId="77777777" w:rsidR="002E596A" w:rsidRPr="000C7CFA" w:rsidRDefault="00850949" w:rsidP="00DC3658">
      <w:pPr>
        <w:pStyle w:val="NoSpacing"/>
        <w:numPr>
          <w:ilvl w:val="0"/>
          <w:numId w:val="6"/>
        </w:numPr>
        <w:spacing w:after="180"/>
        <w:ind w:right="657"/>
        <w:jc w:val="both"/>
        <w:rPr>
          <w:rFonts w:ascii="Verdana" w:hAnsi="Verdana" w:cs="Times New Roman"/>
          <w:sz w:val="18"/>
          <w:szCs w:val="18"/>
          <w:lang w:val="en-US"/>
        </w:rPr>
      </w:pPr>
      <w:r w:rsidRPr="000C7CFA">
        <w:rPr>
          <w:rFonts w:ascii="Verdana" w:hAnsi="Verdana" w:cs="Times New Roman"/>
          <w:sz w:val="18"/>
          <w:szCs w:val="18"/>
          <w:u w:val="single"/>
        </w:rPr>
        <w:t xml:space="preserve">She </w:t>
      </w:r>
      <w:r w:rsidRPr="000C7CFA">
        <w:rPr>
          <w:rFonts w:ascii="Verdana" w:hAnsi="Verdana" w:cs="Times New Roman"/>
          <w:i/>
          <w:sz w:val="18"/>
          <w:szCs w:val="18"/>
          <w:u w:val="single"/>
        </w:rPr>
        <w:t>et al</w:t>
      </w:r>
      <w:r w:rsidRPr="000C7CFA">
        <w:rPr>
          <w:rFonts w:ascii="Verdana" w:hAnsi="Verdana" w:cs="Times New Roman"/>
          <w:sz w:val="18"/>
          <w:szCs w:val="18"/>
          <w:u w:val="single"/>
        </w:rPr>
        <w:t>. (2013)</w:t>
      </w:r>
      <w:r w:rsidRPr="000C7CFA">
        <w:rPr>
          <w:rFonts w:ascii="Verdana" w:hAnsi="Verdana" w:cs="Times New Roman"/>
          <w:sz w:val="18"/>
          <w:szCs w:val="18"/>
        </w:rPr>
        <w:t xml:space="preserve"> evaluated the bioaccumulation of Dechlorane Plus in a </w:t>
      </w:r>
      <w:r w:rsidR="00E45EAC" w:rsidRPr="000C7CFA">
        <w:rPr>
          <w:rFonts w:ascii="Verdana" w:hAnsi="Verdana" w:cs="Times New Roman"/>
          <w:sz w:val="18"/>
          <w:szCs w:val="18"/>
        </w:rPr>
        <w:t>short</w:t>
      </w:r>
      <w:r w:rsidRPr="000C7CFA">
        <w:rPr>
          <w:rFonts w:ascii="Verdana" w:hAnsi="Verdana" w:cs="Times New Roman"/>
          <w:sz w:val="18"/>
          <w:szCs w:val="18"/>
        </w:rPr>
        <w:t xml:space="preserve"> herbivorous food chain</w:t>
      </w:r>
      <w:r w:rsidRPr="000C7CFA">
        <w:rPr>
          <w:rFonts w:ascii="Verdana" w:hAnsi="Verdana"/>
          <w:sz w:val="18"/>
          <w:szCs w:val="18"/>
        </w:rPr>
        <w:t xml:space="preserve"> </w:t>
      </w:r>
      <w:r w:rsidRPr="000C7CFA">
        <w:rPr>
          <w:rFonts w:ascii="Verdana" w:hAnsi="Verdana" w:cs="Times New Roman"/>
          <w:sz w:val="18"/>
          <w:szCs w:val="18"/>
          <w:lang w:val="en-US"/>
        </w:rPr>
        <w:t>(paddy soil</w:t>
      </w:r>
      <w:r w:rsidRPr="000C7CFA">
        <w:rPr>
          <w:rFonts w:ascii="Verdana" w:hAnsi="Verdana"/>
          <w:sz w:val="18"/>
          <w:szCs w:val="18"/>
        </w:rPr>
        <w:t xml:space="preserve"> – </w:t>
      </w:r>
      <w:r w:rsidRPr="000C7CFA">
        <w:rPr>
          <w:rFonts w:ascii="Verdana" w:hAnsi="Verdana" w:cs="Times New Roman"/>
          <w:sz w:val="18"/>
          <w:szCs w:val="18"/>
          <w:lang w:val="en-US"/>
        </w:rPr>
        <w:t>rice</w:t>
      </w:r>
      <w:r w:rsidRPr="000C7CFA">
        <w:rPr>
          <w:rFonts w:ascii="Verdana" w:hAnsi="Verdana"/>
          <w:sz w:val="18"/>
          <w:szCs w:val="18"/>
        </w:rPr>
        <w:t xml:space="preserve"> </w:t>
      </w:r>
      <w:r w:rsidRPr="000C7CFA">
        <w:rPr>
          <w:rFonts w:ascii="Verdana" w:hAnsi="Verdana" w:cs="Times New Roman"/>
          <w:sz w:val="18"/>
          <w:szCs w:val="18"/>
          <w:lang w:val="en-US"/>
        </w:rPr>
        <w:t>plant</w:t>
      </w:r>
      <w:r w:rsidRPr="000C7CFA">
        <w:rPr>
          <w:rFonts w:ascii="Verdana" w:hAnsi="Verdana"/>
          <w:sz w:val="18"/>
          <w:szCs w:val="18"/>
        </w:rPr>
        <w:t xml:space="preserve"> </w:t>
      </w:r>
      <w:r w:rsidRPr="000C7CFA">
        <w:rPr>
          <w:rFonts w:ascii="Verdana" w:hAnsi="Verdana" w:cs="Times New Roman"/>
          <w:i/>
          <w:sz w:val="18"/>
          <w:szCs w:val="18"/>
        </w:rPr>
        <w:t>Oryza sativa</w:t>
      </w:r>
      <w:r w:rsidRPr="000C7CFA">
        <w:rPr>
          <w:rFonts w:ascii="Verdana" w:hAnsi="Verdana"/>
          <w:sz w:val="18"/>
          <w:szCs w:val="18"/>
        </w:rPr>
        <w:t xml:space="preserve"> - </w:t>
      </w:r>
      <w:r w:rsidRPr="000C7CFA">
        <w:rPr>
          <w:rFonts w:ascii="Verdana" w:hAnsi="Verdana" w:cs="Times New Roman"/>
          <w:sz w:val="18"/>
          <w:szCs w:val="18"/>
          <w:lang w:val="en-US"/>
        </w:rPr>
        <w:t>apple snail</w:t>
      </w:r>
      <w:r w:rsidRPr="000C7CFA">
        <w:rPr>
          <w:rFonts w:ascii="Verdana" w:hAnsi="Verdana" w:cs="Times New Roman"/>
          <w:i/>
          <w:sz w:val="18"/>
          <w:szCs w:val="18"/>
        </w:rPr>
        <w:t xml:space="preserve"> Pomacea canaliculata</w:t>
      </w:r>
      <w:r w:rsidRPr="000C7CFA">
        <w:rPr>
          <w:rFonts w:ascii="Verdana" w:hAnsi="Verdana" w:cs="Times New Roman"/>
          <w:sz w:val="18"/>
          <w:szCs w:val="18"/>
          <w:lang w:val="en-US"/>
        </w:rPr>
        <w:t>) from an electronic waste recycling site in</w:t>
      </w:r>
      <w:r w:rsidR="002E596A" w:rsidRPr="000C7CFA">
        <w:rPr>
          <w:rFonts w:ascii="Verdana" w:hAnsi="Verdana" w:cs="Times New Roman"/>
          <w:sz w:val="18"/>
          <w:szCs w:val="18"/>
          <w:lang w:val="en-US"/>
        </w:rPr>
        <w:t xml:space="preserve"> South China. Soil (n = 12; 6 pooled samples), tender rice plant leaves (n = 30; 10 pooled samples), and snails (n = 98; 12 pooled samples) were collected concurrently in 2010 from a paddy field. The snails were picked by hand, and the plants and soil were sampled from around the same location using stainless scissors and stainless steel shovels, respectively. All the samples were wrapped with aluminum foil, put in polythene zip-bags, and transported to the laboratory within 12 hours. At the laboratory, plant leaves were rinsed three times with distilled water and blotted with organic chemical free tissue paper. Soft tissue was dissected from the snails. All the samples we</w:t>
      </w:r>
      <w:r w:rsidR="00E45EAC" w:rsidRPr="000C7CFA">
        <w:rPr>
          <w:rFonts w:ascii="Verdana" w:hAnsi="Verdana" w:cs="Times New Roman"/>
          <w:sz w:val="18"/>
          <w:szCs w:val="18"/>
          <w:lang w:val="en-US"/>
        </w:rPr>
        <w:t xml:space="preserve">re freeze-dried, ground with a </w:t>
      </w:r>
      <w:r w:rsidR="002E596A" w:rsidRPr="000C7CFA">
        <w:rPr>
          <w:rFonts w:ascii="Verdana" w:hAnsi="Verdana" w:cs="Times New Roman"/>
          <w:sz w:val="18"/>
          <w:szCs w:val="18"/>
          <w:lang w:val="en-US"/>
        </w:rPr>
        <w:t xml:space="preserve">mortar, and stored below 0 ºC until analysis. </w:t>
      </w:r>
    </w:p>
    <w:p w14:paraId="13AE9D58" w14:textId="5C21AC8D" w:rsidR="00E45EAC" w:rsidRPr="000C7CFA" w:rsidRDefault="00E45EAC" w:rsidP="00E45EAC">
      <w:pPr>
        <w:pStyle w:val="NoSpacing"/>
        <w:spacing w:after="180"/>
        <w:ind w:left="360" w:right="657"/>
        <w:jc w:val="both"/>
        <w:rPr>
          <w:rFonts w:ascii="Verdana" w:hAnsi="Verdana" w:cs="Times New Roman"/>
          <w:sz w:val="18"/>
          <w:szCs w:val="18"/>
          <w:lang w:val="en-US"/>
        </w:rPr>
      </w:pPr>
      <w:r w:rsidRPr="000C7CFA">
        <w:rPr>
          <w:rFonts w:ascii="Verdana" w:hAnsi="Verdana" w:cs="Times New Roman"/>
          <w:sz w:val="18"/>
          <w:szCs w:val="18"/>
          <w:lang w:val="en-US"/>
        </w:rPr>
        <w:t xml:space="preserve">Samples were spiked with surrogate standards (BDE-77 and </w:t>
      </w:r>
      <w:r w:rsidRPr="000C7CFA">
        <w:rPr>
          <w:rFonts w:ascii="Verdana" w:hAnsi="Verdana" w:cs="Times New Roman"/>
          <w:sz w:val="18"/>
          <w:szCs w:val="18"/>
          <w:lang w:val="en-US"/>
        </w:rPr>
        <w:noBreakHyphen/>
        <w:t xml:space="preserve">181) and extracted, and the extracts spiked with known amounts of internal standards (BDE-118 and -128) prior to instrumental analysis via GC-MS using ECNI in SIM mode. Ions </w:t>
      </w:r>
      <w:r w:rsidRPr="000C7CFA">
        <w:rPr>
          <w:rFonts w:ascii="Verdana" w:hAnsi="Verdana" w:cs="Times New Roman"/>
          <w:sz w:val="18"/>
          <w:szCs w:val="18"/>
          <w:lang w:val="en-US"/>
        </w:rPr>
        <w:lastRenderedPageBreak/>
        <w:t xml:space="preserve">m/z 653.8 and 655.8 were monitored for Dechlorane Plus. Procedural blanks contained traces of the target chemicals, but the levels were less than </w:t>
      </w:r>
      <w:r w:rsidR="00AF7606" w:rsidRPr="000C7CFA">
        <w:rPr>
          <w:rFonts w:ascii="Verdana" w:hAnsi="Verdana" w:cs="Times New Roman"/>
          <w:sz w:val="18"/>
          <w:szCs w:val="18"/>
          <w:lang w:val="en-US"/>
        </w:rPr>
        <w:t>1 %</w:t>
      </w:r>
      <w:r w:rsidRPr="000C7CFA">
        <w:rPr>
          <w:rFonts w:ascii="Verdana" w:hAnsi="Verdana" w:cs="Times New Roman"/>
          <w:sz w:val="18"/>
          <w:szCs w:val="18"/>
          <w:lang w:val="en-US"/>
        </w:rPr>
        <w:t xml:space="preserve"> of the analyzed concentration in the samples. The mean recoveries in spiking blanks were in the range 98 – 10</w:t>
      </w:r>
      <w:r w:rsidR="00AF7606" w:rsidRPr="000C7CFA">
        <w:rPr>
          <w:rFonts w:ascii="Verdana" w:hAnsi="Verdana" w:cs="Times New Roman"/>
          <w:sz w:val="18"/>
          <w:szCs w:val="18"/>
          <w:lang w:val="en-US"/>
        </w:rPr>
        <w:t>2 %</w:t>
      </w:r>
      <w:r w:rsidRPr="000C7CFA">
        <w:rPr>
          <w:rFonts w:ascii="Verdana" w:hAnsi="Verdana" w:cs="Times New Roman"/>
          <w:sz w:val="18"/>
          <w:szCs w:val="18"/>
          <w:lang w:val="en-US"/>
        </w:rPr>
        <w:t xml:space="preserve">. The recoveries of surrogate standards were 93 ± </w:t>
      </w:r>
      <w:r w:rsidR="00AF7606" w:rsidRPr="000C7CFA">
        <w:rPr>
          <w:rFonts w:ascii="Verdana" w:hAnsi="Verdana" w:cs="Times New Roman"/>
          <w:sz w:val="18"/>
          <w:szCs w:val="18"/>
          <w:lang w:val="en-US"/>
        </w:rPr>
        <w:t>2 %</w:t>
      </w:r>
      <w:r w:rsidRPr="000C7CFA">
        <w:rPr>
          <w:rFonts w:ascii="Verdana" w:hAnsi="Verdana" w:cs="Times New Roman"/>
          <w:sz w:val="18"/>
          <w:szCs w:val="18"/>
          <w:lang w:val="en-US"/>
        </w:rPr>
        <w:t xml:space="preserve"> (mean ± standard error) for BDE-77 and 95 ± </w:t>
      </w:r>
      <w:r w:rsidR="00AF7606" w:rsidRPr="000C7CFA">
        <w:rPr>
          <w:rFonts w:ascii="Verdana" w:hAnsi="Verdana" w:cs="Times New Roman"/>
          <w:sz w:val="18"/>
          <w:szCs w:val="18"/>
          <w:lang w:val="en-US"/>
        </w:rPr>
        <w:t>2 %</w:t>
      </w:r>
      <w:r w:rsidRPr="000C7CFA">
        <w:rPr>
          <w:rFonts w:ascii="Verdana" w:hAnsi="Verdana" w:cs="Times New Roman"/>
          <w:sz w:val="18"/>
          <w:szCs w:val="18"/>
          <w:lang w:val="en-US"/>
        </w:rPr>
        <w:t xml:space="preserve"> for BDE-181. No surrogate or blank corrections were made to the final concentrations. Target chemicals detected in the triplicate samples were consistent. Instrumental quality control was performed by regular injection of solvent blanks and standard solutions. The limits of quantification </w:t>
      </w:r>
      <w:r w:rsidR="00AD6A51" w:rsidRPr="000C7CFA">
        <w:rPr>
          <w:rFonts w:ascii="Verdana" w:hAnsi="Verdana" w:cs="Times New Roman"/>
          <w:sz w:val="18"/>
          <w:szCs w:val="18"/>
          <w:lang w:val="en-US"/>
        </w:rPr>
        <w:t xml:space="preserve">(LoQ) </w:t>
      </w:r>
      <w:r w:rsidRPr="000C7CFA">
        <w:rPr>
          <w:rFonts w:ascii="Verdana" w:hAnsi="Verdana" w:cs="Times New Roman"/>
          <w:sz w:val="18"/>
          <w:szCs w:val="18"/>
          <w:lang w:val="en-US"/>
        </w:rPr>
        <w:t xml:space="preserve">were in the range 0.01 – 0.22, 0.01 – 0.06, and 0.02 – 0.35 µg/kg </w:t>
      </w:r>
      <w:proofErr w:type="gramStart"/>
      <w:r w:rsidRPr="000C7CFA">
        <w:rPr>
          <w:rFonts w:ascii="Verdana" w:hAnsi="Verdana" w:cs="Times New Roman"/>
          <w:sz w:val="18"/>
          <w:szCs w:val="18"/>
          <w:lang w:val="en-US"/>
        </w:rPr>
        <w:t>dw</w:t>
      </w:r>
      <w:proofErr w:type="gramEnd"/>
      <w:r w:rsidRPr="000C7CFA">
        <w:rPr>
          <w:rFonts w:ascii="Verdana" w:hAnsi="Verdana" w:cs="Times New Roman"/>
          <w:sz w:val="18"/>
          <w:szCs w:val="18"/>
          <w:lang w:val="en-US"/>
        </w:rPr>
        <w:t xml:space="preserve"> for soils, rice plant, and apple snails, respectively.</w:t>
      </w:r>
    </w:p>
    <w:p w14:paraId="2CD6E2A1" w14:textId="207092C0" w:rsidR="00AD6A51" w:rsidRPr="000C7CFA" w:rsidRDefault="00E45EAC" w:rsidP="00AD6A51">
      <w:pPr>
        <w:pStyle w:val="NoSpacing"/>
        <w:spacing w:after="180"/>
        <w:ind w:left="360" w:right="657"/>
        <w:jc w:val="both"/>
        <w:rPr>
          <w:rFonts w:ascii="Verdana" w:hAnsi="Verdana" w:cs="Times New Roman"/>
          <w:sz w:val="18"/>
          <w:szCs w:val="18"/>
          <w:lang w:val="en-US"/>
        </w:rPr>
      </w:pPr>
      <w:r w:rsidRPr="000C7CFA">
        <w:rPr>
          <w:rFonts w:ascii="Verdana" w:hAnsi="Verdana" w:cs="Times New Roman"/>
          <w:sz w:val="18"/>
          <w:szCs w:val="18"/>
          <w:lang w:val="en-US"/>
        </w:rPr>
        <w:t>Dechlorane Plus was detected in all matrices</w:t>
      </w:r>
      <w:r w:rsidR="00AD6A51" w:rsidRPr="000C7CFA">
        <w:rPr>
          <w:rFonts w:ascii="Verdana" w:hAnsi="Verdana" w:cs="Times New Roman"/>
          <w:sz w:val="18"/>
          <w:szCs w:val="18"/>
          <w:lang w:val="en-US"/>
        </w:rPr>
        <w:t>,</w:t>
      </w:r>
      <w:r w:rsidRPr="000C7CFA">
        <w:rPr>
          <w:rFonts w:ascii="Verdana" w:hAnsi="Verdana" w:cs="Times New Roman"/>
          <w:sz w:val="18"/>
          <w:szCs w:val="18"/>
          <w:lang w:val="en-US"/>
        </w:rPr>
        <w:t xml:space="preserve"> with an overall detection frequency of 9</w:t>
      </w:r>
      <w:r w:rsidR="00AF7606" w:rsidRPr="000C7CFA">
        <w:rPr>
          <w:rFonts w:ascii="Verdana" w:hAnsi="Verdana" w:cs="Times New Roman"/>
          <w:sz w:val="18"/>
          <w:szCs w:val="18"/>
          <w:lang w:val="en-US"/>
        </w:rPr>
        <w:t>6 %</w:t>
      </w:r>
      <w:r w:rsidR="00AD6A51" w:rsidRPr="000C7CFA">
        <w:rPr>
          <w:rFonts w:ascii="Verdana" w:hAnsi="Verdana" w:cs="Times New Roman"/>
          <w:sz w:val="18"/>
          <w:szCs w:val="18"/>
          <w:lang w:val="en-US"/>
        </w:rPr>
        <w:t xml:space="preserve"> (although the ranges quoted in the paper imply that no measurement was below the LoQ)</w:t>
      </w:r>
      <w:r w:rsidRPr="000C7CFA">
        <w:rPr>
          <w:rFonts w:ascii="Verdana" w:hAnsi="Verdana" w:cs="Times New Roman"/>
          <w:sz w:val="18"/>
          <w:szCs w:val="18"/>
          <w:lang w:val="en-US"/>
        </w:rPr>
        <w:t xml:space="preserve">. The mean concentrations for the syn- isomer were 3.66 (range: 2.89 – 4.52) µg/kg </w:t>
      </w:r>
      <w:proofErr w:type="gramStart"/>
      <w:r w:rsidRPr="000C7CFA">
        <w:rPr>
          <w:rFonts w:ascii="Verdana" w:hAnsi="Verdana" w:cs="Times New Roman"/>
          <w:sz w:val="18"/>
          <w:szCs w:val="18"/>
          <w:lang w:val="en-US"/>
        </w:rPr>
        <w:t>dw</w:t>
      </w:r>
      <w:proofErr w:type="gramEnd"/>
      <w:r w:rsidRPr="000C7CFA">
        <w:rPr>
          <w:rFonts w:ascii="Verdana" w:hAnsi="Verdana" w:cs="Times New Roman"/>
          <w:sz w:val="18"/>
          <w:szCs w:val="18"/>
          <w:lang w:val="en-US"/>
        </w:rPr>
        <w:t xml:space="preserve"> in soil, 0.23 (range: 0.16 – 0.39) µg/kg dw in rice plant leaves and 1.12 (range: 0.24 – 3.19) µg/kg dw in snails. </w:t>
      </w:r>
      <w:r w:rsidR="00AD6A51" w:rsidRPr="000C7CFA">
        <w:rPr>
          <w:rFonts w:ascii="Verdana" w:hAnsi="Verdana" w:cs="Times New Roman"/>
          <w:sz w:val="18"/>
          <w:szCs w:val="18"/>
          <w:lang w:val="en-US"/>
        </w:rPr>
        <w:t xml:space="preserve">The mean concentrations for the anti- isomer were 10.8 (range: 9.20 – 12.9) µg/kg </w:t>
      </w:r>
      <w:proofErr w:type="gramStart"/>
      <w:r w:rsidR="00AD6A51" w:rsidRPr="000C7CFA">
        <w:rPr>
          <w:rFonts w:ascii="Verdana" w:hAnsi="Verdana" w:cs="Times New Roman"/>
          <w:sz w:val="18"/>
          <w:szCs w:val="18"/>
          <w:lang w:val="en-US"/>
        </w:rPr>
        <w:t>dw</w:t>
      </w:r>
      <w:proofErr w:type="gramEnd"/>
      <w:r w:rsidR="00AD6A51" w:rsidRPr="000C7CFA">
        <w:rPr>
          <w:rFonts w:ascii="Verdana" w:hAnsi="Verdana" w:cs="Times New Roman"/>
          <w:sz w:val="18"/>
          <w:szCs w:val="18"/>
          <w:lang w:val="en-US"/>
        </w:rPr>
        <w:t xml:space="preserve"> in soil, 0.89 (range: 0.55 – 1.60) µg/kg dw in rice plant leaves and 3.06 (range: 0.99 – 6.35) µg/kg dw in snails. The mean total Dechlorane Plus concentration in the paddy soils was 14.5 µg/kg </w:t>
      </w:r>
      <w:proofErr w:type="gramStart"/>
      <w:r w:rsidR="00AD6A51" w:rsidRPr="000C7CFA">
        <w:rPr>
          <w:rFonts w:ascii="Verdana" w:hAnsi="Verdana" w:cs="Times New Roman"/>
          <w:sz w:val="18"/>
          <w:szCs w:val="18"/>
          <w:lang w:val="en-US"/>
        </w:rPr>
        <w:t>dw</w:t>
      </w:r>
      <w:proofErr w:type="gramEnd"/>
      <w:r w:rsidR="00AD6A51" w:rsidRPr="000C7CFA">
        <w:rPr>
          <w:rFonts w:ascii="Verdana" w:hAnsi="Verdana" w:cs="Times New Roman"/>
          <w:sz w:val="18"/>
          <w:szCs w:val="18"/>
          <w:lang w:val="en-US"/>
        </w:rPr>
        <w:t>. The l</w:t>
      </w:r>
      <w:r w:rsidR="00850949" w:rsidRPr="000C7CFA">
        <w:rPr>
          <w:rFonts w:ascii="Verdana" w:hAnsi="Verdana" w:cs="Times New Roman"/>
          <w:sz w:val="18"/>
          <w:szCs w:val="18"/>
          <w:lang w:val="en-US"/>
        </w:rPr>
        <w:t xml:space="preserve">ipid content </w:t>
      </w:r>
      <w:r w:rsidR="00AD6A51" w:rsidRPr="000C7CFA">
        <w:rPr>
          <w:rFonts w:ascii="Verdana" w:hAnsi="Verdana" w:cs="Times New Roman"/>
          <w:sz w:val="18"/>
          <w:szCs w:val="18"/>
          <w:lang w:val="en-US"/>
        </w:rPr>
        <w:t>of the plant leaves and snails was 0.74 (range: 0.61 – 0.92) and 0.71 (range: 0.54 – 0.94) per cent</w:t>
      </w:r>
      <w:r w:rsidR="00850949" w:rsidRPr="000C7CFA">
        <w:rPr>
          <w:rFonts w:ascii="Verdana" w:hAnsi="Verdana" w:cs="Times New Roman"/>
          <w:sz w:val="18"/>
          <w:szCs w:val="18"/>
          <w:lang w:val="en-US"/>
        </w:rPr>
        <w:t xml:space="preserve"> dry weight</w:t>
      </w:r>
      <w:r w:rsidR="00AD6A51" w:rsidRPr="000C7CFA">
        <w:rPr>
          <w:rFonts w:ascii="Verdana" w:hAnsi="Verdana" w:cs="Times New Roman"/>
          <w:sz w:val="18"/>
          <w:szCs w:val="18"/>
          <w:lang w:val="en-US"/>
        </w:rPr>
        <w:t xml:space="preserve">, respectively. </w:t>
      </w:r>
    </w:p>
    <w:p w14:paraId="4AC11407" w14:textId="77777777" w:rsidR="00AD6A51" w:rsidRPr="000C7CFA" w:rsidRDefault="00AD6A51" w:rsidP="00AD6A51">
      <w:pPr>
        <w:pStyle w:val="NoSpacing"/>
        <w:spacing w:after="180"/>
        <w:ind w:left="360" w:right="657"/>
        <w:jc w:val="both"/>
        <w:rPr>
          <w:rFonts w:ascii="Verdana" w:hAnsi="Verdana" w:cs="Times New Roman"/>
          <w:sz w:val="18"/>
          <w:szCs w:val="18"/>
          <w:lang w:val="en-US"/>
        </w:rPr>
      </w:pPr>
      <w:r w:rsidRPr="000C7CFA">
        <w:rPr>
          <w:rFonts w:ascii="Verdana" w:hAnsi="Verdana" w:cs="Times New Roman"/>
          <w:sz w:val="18"/>
          <w:szCs w:val="18"/>
          <w:lang w:val="en-US"/>
        </w:rPr>
        <w:t>The mean plant-to-soil concentration ratio (defined as the ratio of the lipid-normalized concentration in the rice plant leaves to the organic carbon-normalized concentration in the paddy soil) was 0.05 (range: 0.03 – 0.11) and 0.07 (range: 0.04 – 0.15) for the syn- and anti- isomer, respectively. It should be noted that these ratios may not accurately represent the bioavailability of the substance, because measurements in other plant tissues (e.g. root) were not performed. In addition, as the plants were growing, it is unlikely that equilibrium had been achieved.</w:t>
      </w:r>
    </w:p>
    <w:p w14:paraId="6C2A2CB4" w14:textId="77777777" w:rsidR="00E45EAC" w:rsidRPr="000C7CFA" w:rsidRDefault="00E45EAC" w:rsidP="00E45EAC">
      <w:pPr>
        <w:pStyle w:val="NoSpacing"/>
        <w:spacing w:after="180"/>
        <w:ind w:left="360" w:right="657"/>
        <w:jc w:val="both"/>
        <w:rPr>
          <w:rFonts w:ascii="Verdana" w:hAnsi="Verdana" w:cs="Times New Roman"/>
          <w:sz w:val="18"/>
          <w:szCs w:val="18"/>
          <w:lang w:val="en-US"/>
        </w:rPr>
      </w:pPr>
      <w:r w:rsidRPr="000C7CFA">
        <w:rPr>
          <w:rFonts w:ascii="Verdana" w:hAnsi="Verdana" w:cs="Times New Roman"/>
          <w:sz w:val="18"/>
          <w:szCs w:val="18"/>
          <w:lang w:val="en-US"/>
        </w:rPr>
        <w:t xml:space="preserve">Mean biomagnification factors (defined as the ratio of the lipid-normalized concentrations in snails and in rice plants) were 3.1 (range: 0.63 – 7.9) and 2.3 (range: 0.59 – 4.7) for syn- and anti-Dechlorane Plus, respectively. Although rice plants are likely to be a major part of the diet of the snails in this study, </w:t>
      </w:r>
      <w:r w:rsidRPr="000C7CFA">
        <w:rPr>
          <w:rFonts w:ascii="Verdana" w:hAnsi="Verdana" w:cs="Times New Roman"/>
          <w:i/>
          <w:sz w:val="18"/>
          <w:szCs w:val="18"/>
        </w:rPr>
        <w:t>P. canaliculata</w:t>
      </w:r>
      <w:r w:rsidRPr="000C7CFA">
        <w:rPr>
          <w:rFonts w:ascii="Verdana" w:hAnsi="Verdana" w:cs="Times New Roman"/>
          <w:sz w:val="18"/>
          <w:szCs w:val="18"/>
          <w:lang w:val="en-US"/>
        </w:rPr>
        <w:t xml:space="preserve"> is a freshwater mollusc with gills, and so exposure via the </w:t>
      </w:r>
      <w:r w:rsidR="00C66BAD" w:rsidRPr="000C7CFA">
        <w:rPr>
          <w:rFonts w:ascii="Verdana" w:hAnsi="Verdana" w:cs="Times New Roman"/>
          <w:sz w:val="18"/>
          <w:szCs w:val="18"/>
          <w:lang w:val="en-US"/>
        </w:rPr>
        <w:t xml:space="preserve">paddy water is also a possibility (and this was not sampled). </w:t>
      </w:r>
      <w:r w:rsidR="005F6769" w:rsidRPr="000C7CFA">
        <w:rPr>
          <w:rFonts w:ascii="Verdana" w:hAnsi="Verdana" w:cs="Times New Roman"/>
          <w:sz w:val="18"/>
          <w:szCs w:val="18"/>
          <w:lang w:val="en-US"/>
        </w:rPr>
        <w:t>Nevertheless, th</w:t>
      </w:r>
      <w:r w:rsidR="00C66BAD" w:rsidRPr="000C7CFA">
        <w:rPr>
          <w:rFonts w:ascii="Verdana" w:hAnsi="Verdana" w:cs="Times New Roman"/>
          <w:sz w:val="18"/>
          <w:szCs w:val="18"/>
          <w:lang w:val="en-US"/>
        </w:rPr>
        <w:t>is study implies that biomagnification can occur from ric</w:t>
      </w:r>
      <w:r w:rsidRPr="000C7CFA">
        <w:rPr>
          <w:rFonts w:ascii="Verdana" w:hAnsi="Verdana" w:cs="Times New Roman"/>
          <w:sz w:val="18"/>
          <w:szCs w:val="18"/>
          <w:lang w:val="en-US"/>
        </w:rPr>
        <w:t>e plant</w:t>
      </w:r>
      <w:r w:rsidR="00C66BAD" w:rsidRPr="000C7CFA">
        <w:rPr>
          <w:rFonts w:ascii="Verdana" w:hAnsi="Verdana" w:cs="Times New Roman"/>
          <w:sz w:val="18"/>
          <w:szCs w:val="18"/>
          <w:lang w:val="en-US"/>
        </w:rPr>
        <w:t>s</w:t>
      </w:r>
      <w:r w:rsidRPr="000C7CFA">
        <w:rPr>
          <w:rFonts w:ascii="Verdana" w:hAnsi="Verdana" w:cs="Times New Roman"/>
          <w:sz w:val="18"/>
          <w:szCs w:val="18"/>
          <w:lang w:val="en-US"/>
        </w:rPr>
        <w:t xml:space="preserve"> to </w:t>
      </w:r>
      <w:r w:rsidR="00C66BAD" w:rsidRPr="000C7CFA">
        <w:rPr>
          <w:rFonts w:ascii="Verdana" w:hAnsi="Verdana" w:cs="Times New Roman"/>
          <w:sz w:val="18"/>
          <w:szCs w:val="18"/>
          <w:lang w:val="en-US"/>
        </w:rPr>
        <w:t>snail</w:t>
      </w:r>
      <w:r w:rsidRPr="000C7CFA">
        <w:rPr>
          <w:rFonts w:ascii="Verdana" w:hAnsi="Verdana" w:cs="Times New Roman"/>
          <w:sz w:val="18"/>
          <w:szCs w:val="18"/>
          <w:lang w:val="en-US"/>
        </w:rPr>
        <w:t>.</w:t>
      </w:r>
    </w:p>
    <w:p w14:paraId="2901DF44" w14:textId="77777777" w:rsidR="000A653E" w:rsidRPr="000C7CFA" w:rsidRDefault="000A653E" w:rsidP="000A653E">
      <w:pPr>
        <w:pStyle w:val="BodyText"/>
        <w:ind w:left="360" w:right="657"/>
        <w:rPr>
          <w:rFonts w:ascii="Verdana" w:hAnsi="Verdana"/>
          <w:sz w:val="18"/>
          <w:szCs w:val="18"/>
        </w:rPr>
      </w:pPr>
      <w:r w:rsidRPr="000C7CFA">
        <w:rPr>
          <w:rFonts w:ascii="Verdana" w:hAnsi="Verdana"/>
          <w:sz w:val="18"/>
          <w:szCs w:val="18"/>
        </w:rPr>
        <w:t>This study is not included in the registration dossier.</w:t>
      </w:r>
    </w:p>
    <w:p w14:paraId="47DF0081" w14:textId="77777777" w:rsidR="004D5415" w:rsidRPr="000C7CFA" w:rsidRDefault="004D5415" w:rsidP="00E45EAC">
      <w:pPr>
        <w:pStyle w:val="NoSpacing"/>
        <w:spacing w:after="180"/>
        <w:ind w:left="360" w:right="657"/>
        <w:jc w:val="both"/>
        <w:rPr>
          <w:rFonts w:ascii="Verdana" w:hAnsi="Verdana" w:cs="Times New Roman"/>
          <w:sz w:val="18"/>
          <w:szCs w:val="18"/>
        </w:rPr>
      </w:pPr>
    </w:p>
    <w:p w14:paraId="512335AB" w14:textId="40250211" w:rsidR="00E10290" w:rsidRPr="000C7CFA" w:rsidRDefault="004D5415" w:rsidP="00DC3658">
      <w:pPr>
        <w:pStyle w:val="NoSpacing"/>
        <w:numPr>
          <w:ilvl w:val="0"/>
          <w:numId w:val="6"/>
        </w:numPr>
        <w:spacing w:after="180"/>
        <w:ind w:right="657"/>
        <w:jc w:val="both"/>
        <w:rPr>
          <w:rFonts w:ascii="Verdana" w:hAnsi="Verdana" w:cs="Times New Roman"/>
          <w:sz w:val="18"/>
          <w:szCs w:val="18"/>
          <w:lang w:val="en-US"/>
        </w:rPr>
      </w:pPr>
      <w:r w:rsidRPr="000C7CFA">
        <w:rPr>
          <w:rFonts w:ascii="Verdana" w:hAnsi="Verdana" w:cs="Times New Roman"/>
          <w:sz w:val="18"/>
          <w:szCs w:val="18"/>
          <w:u w:val="single"/>
        </w:rPr>
        <w:t xml:space="preserve">Jia </w:t>
      </w:r>
      <w:r w:rsidRPr="000C7CFA">
        <w:rPr>
          <w:rFonts w:ascii="Verdana" w:hAnsi="Verdana" w:cs="Times New Roman"/>
          <w:i/>
          <w:sz w:val="18"/>
          <w:szCs w:val="18"/>
          <w:u w:val="single"/>
        </w:rPr>
        <w:t>et al</w:t>
      </w:r>
      <w:r w:rsidRPr="000C7CFA">
        <w:rPr>
          <w:rFonts w:ascii="Verdana" w:hAnsi="Verdana" w:cs="Times New Roman"/>
          <w:sz w:val="18"/>
          <w:szCs w:val="18"/>
          <w:u w:val="single"/>
        </w:rPr>
        <w:t>. (2011)</w:t>
      </w:r>
      <w:r w:rsidRPr="000C7CFA">
        <w:rPr>
          <w:rFonts w:ascii="Verdana" w:hAnsi="Verdana" w:cs="Times New Roman"/>
          <w:sz w:val="18"/>
          <w:szCs w:val="18"/>
        </w:rPr>
        <w:t xml:space="preserve"> investigated concentrations of Dechlorane Plus in a coastal environment </w:t>
      </w:r>
      <w:r w:rsidR="003D18B8" w:rsidRPr="000C7CFA">
        <w:rPr>
          <w:rFonts w:ascii="Verdana" w:hAnsi="Verdana" w:cs="Times New Roman"/>
          <w:sz w:val="18"/>
          <w:szCs w:val="18"/>
        </w:rPr>
        <w:t xml:space="preserve">around Dalian, north-east China. The study involved sampling </w:t>
      </w:r>
      <w:r w:rsidR="00AD7D36" w:rsidRPr="000C7CFA">
        <w:rPr>
          <w:rFonts w:ascii="Verdana" w:hAnsi="Verdana" w:cs="Times New Roman"/>
          <w:sz w:val="18"/>
          <w:szCs w:val="18"/>
        </w:rPr>
        <w:t>at 15 sites</w:t>
      </w:r>
      <w:r w:rsidR="003D18B8" w:rsidRPr="000C7CFA">
        <w:rPr>
          <w:rFonts w:ascii="Verdana" w:hAnsi="Verdana" w:cs="Times New Roman"/>
          <w:sz w:val="18"/>
          <w:szCs w:val="18"/>
        </w:rPr>
        <w:t xml:space="preserve">, representing </w:t>
      </w:r>
      <w:r w:rsidR="00E10290" w:rsidRPr="000C7CFA">
        <w:rPr>
          <w:rFonts w:ascii="Verdana" w:hAnsi="Verdana" w:cs="Times New Roman"/>
          <w:sz w:val="18"/>
          <w:szCs w:val="18"/>
        </w:rPr>
        <w:t>one</w:t>
      </w:r>
      <w:r w:rsidR="00E10290" w:rsidRPr="000C7CFA">
        <w:rPr>
          <w:rFonts w:ascii="Verdana" w:hAnsi="Verdana" w:cs="Times New Roman"/>
          <w:sz w:val="18"/>
          <w:szCs w:val="18"/>
          <w:lang w:val="en-US"/>
        </w:rPr>
        <w:t xml:space="preserve"> industrial, two urban and twelve rural locations</w:t>
      </w:r>
      <w:r w:rsidR="00E10290" w:rsidRPr="000C7CFA">
        <w:rPr>
          <w:rFonts w:ascii="Verdana" w:hAnsi="Verdana" w:cs="Times New Roman"/>
          <w:sz w:val="18"/>
          <w:szCs w:val="18"/>
        </w:rPr>
        <w:t xml:space="preserve"> </w:t>
      </w:r>
      <w:r w:rsidR="003D18B8" w:rsidRPr="000C7CFA">
        <w:rPr>
          <w:rFonts w:ascii="Verdana" w:hAnsi="Verdana" w:cs="Times New Roman"/>
          <w:sz w:val="18"/>
          <w:szCs w:val="18"/>
        </w:rPr>
        <w:t>(</w:t>
      </w:r>
      <w:r w:rsidR="00E10290" w:rsidRPr="000C7CFA">
        <w:rPr>
          <w:rFonts w:ascii="Verdana" w:hAnsi="Verdana" w:cs="Times New Roman"/>
          <w:sz w:val="18"/>
          <w:szCs w:val="18"/>
        </w:rPr>
        <w:t>eight</w:t>
      </w:r>
      <w:r w:rsidR="003D18B8" w:rsidRPr="000C7CFA">
        <w:rPr>
          <w:rFonts w:ascii="Verdana" w:hAnsi="Verdana" w:cs="Times New Roman"/>
          <w:sz w:val="18"/>
          <w:szCs w:val="18"/>
        </w:rPr>
        <w:t xml:space="preserve"> from</w:t>
      </w:r>
      <w:r w:rsidR="00AD7D36" w:rsidRPr="000C7CFA">
        <w:rPr>
          <w:rFonts w:ascii="Verdana" w:hAnsi="Verdana" w:cs="Times New Roman"/>
          <w:sz w:val="18"/>
          <w:szCs w:val="18"/>
        </w:rPr>
        <w:t xml:space="preserve"> the </w:t>
      </w:r>
      <w:r w:rsidR="00E10290" w:rsidRPr="000C7CFA">
        <w:rPr>
          <w:rFonts w:ascii="Verdana" w:hAnsi="Verdana" w:cs="Times New Roman"/>
          <w:sz w:val="18"/>
          <w:szCs w:val="18"/>
        </w:rPr>
        <w:t xml:space="preserve">relatively </w:t>
      </w:r>
      <w:r w:rsidR="003D18B8" w:rsidRPr="000C7CFA">
        <w:rPr>
          <w:rFonts w:ascii="Verdana" w:hAnsi="Verdana" w:cs="Times New Roman"/>
          <w:sz w:val="18"/>
          <w:szCs w:val="18"/>
        </w:rPr>
        <w:t xml:space="preserve">enclosed </w:t>
      </w:r>
      <w:r w:rsidR="00AD7D36" w:rsidRPr="000C7CFA">
        <w:rPr>
          <w:rFonts w:ascii="Verdana" w:hAnsi="Verdana" w:cs="Times New Roman"/>
          <w:sz w:val="18"/>
          <w:szCs w:val="18"/>
        </w:rPr>
        <w:t>Bohai</w:t>
      </w:r>
      <w:r w:rsidR="003D18B8" w:rsidRPr="000C7CFA">
        <w:rPr>
          <w:rFonts w:ascii="Verdana" w:hAnsi="Verdana" w:cs="Times New Roman"/>
          <w:sz w:val="18"/>
          <w:szCs w:val="18"/>
        </w:rPr>
        <w:t xml:space="preserve"> Sea</w:t>
      </w:r>
      <w:r w:rsidR="00AD7D36" w:rsidRPr="000C7CFA">
        <w:rPr>
          <w:rFonts w:ascii="Verdana" w:hAnsi="Verdana" w:cs="Times New Roman"/>
          <w:sz w:val="18"/>
          <w:szCs w:val="18"/>
          <w:lang w:val="en-US"/>
        </w:rPr>
        <w:t xml:space="preserve"> and </w:t>
      </w:r>
      <w:r w:rsidR="00E10290" w:rsidRPr="000C7CFA">
        <w:rPr>
          <w:rFonts w:ascii="Verdana" w:hAnsi="Verdana" w:cs="Times New Roman"/>
          <w:sz w:val="18"/>
          <w:szCs w:val="18"/>
          <w:lang w:val="en-US"/>
        </w:rPr>
        <w:t>seven</w:t>
      </w:r>
      <w:r w:rsidR="003D18B8" w:rsidRPr="000C7CFA">
        <w:rPr>
          <w:rFonts w:ascii="Verdana" w:hAnsi="Verdana" w:cs="Times New Roman"/>
          <w:sz w:val="18"/>
          <w:szCs w:val="18"/>
          <w:lang w:val="en-US"/>
        </w:rPr>
        <w:t xml:space="preserve"> from the more open </w:t>
      </w:r>
      <w:r w:rsidR="00AD7D36" w:rsidRPr="000C7CFA">
        <w:rPr>
          <w:rFonts w:ascii="Verdana" w:hAnsi="Verdana" w:cs="Times New Roman"/>
          <w:sz w:val="18"/>
          <w:szCs w:val="18"/>
          <w:lang w:val="en-US"/>
        </w:rPr>
        <w:t>Huanghai Sea</w:t>
      </w:r>
      <w:r w:rsidR="003D18B8" w:rsidRPr="000C7CFA">
        <w:rPr>
          <w:rFonts w:ascii="Verdana" w:hAnsi="Verdana" w:cs="Times New Roman"/>
          <w:sz w:val="18"/>
          <w:szCs w:val="18"/>
          <w:lang w:val="en-US"/>
        </w:rPr>
        <w:t>)</w:t>
      </w:r>
      <w:r w:rsidRPr="000C7CFA">
        <w:rPr>
          <w:rFonts w:ascii="Verdana" w:hAnsi="Verdana" w:cs="Times New Roman"/>
          <w:sz w:val="18"/>
          <w:szCs w:val="18"/>
        </w:rPr>
        <w:t xml:space="preserve"> </w:t>
      </w:r>
      <w:r w:rsidR="003D18B8" w:rsidRPr="000C7CFA">
        <w:rPr>
          <w:rFonts w:ascii="Verdana" w:hAnsi="Verdana" w:cs="Times New Roman"/>
          <w:sz w:val="18"/>
          <w:szCs w:val="18"/>
          <w:lang w:val="en-US"/>
        </w:rPr>
        <w:t>between</w:t>
      </w:r>
      <w:r w:rsidR="00AD7D36" w:rsidRPr="000C7CFA">
        <w:rPr>
          <w:rFonts w:ascii="Verdana" w:hAnsi="Verdana" w:cs="Times New Roman"/>
          <w:sz w:val="18"/>
          <w:szCs w:val="18"/>
          <w:lang w:val="en-US"/>
        </w:rPr>
        <w:t xml:space="preserve"> </w:t>
      </w:r>
      <w:r w:rsidR="003D18B8" w:rsidRPr="000C7CFA">
        <w:rPr>
          <w:rFonts w:ascii="Verdana" w:hAnsi="Verdana" w:cs="Times New Roman"/>
          <w:sz w:val="18"/>
          <w:szCs w:val="18"/>
          <w:lang w:val="en-US"/>
        </w:rPr>
        <w:t xml:space="preserve">October and December </w:t>
      </w:r>
      <w:r w:rsidR="00AD7D36" w:rsidRPr="000C7CFA">
        <w:rPr>
          <w:rFonts w:ascii="Verdana" w:hAnsi="Verdana" w:cs="Times New Roman"/>
          <w:sz w:val="18"/>
          <w:szCs w:val="18"/>
          <w:lang w:val="en-US"/>
        </w:rPr>
        <w:t>2008</w:t>
      </w:r>
      <w:r w:rsidRPr="000C7CFA">
        <w:rPr>
          <w:rFonts w:ascii="Verdana" w:hAnsi="Verdana" w:cs="Times New Roman"/>
          <w:sz w:val="18"/>
          <w:szCs w:val="18"/>
        </w:rPr>
        <w:t xml:space="preserve">. </w:t>
      </w:r>
      <w:r w:rsidR="00E10290" w:rsidRPr="000C7CFA">
        <w:rPr>
          <w:rFonts w:ascii="Verdana" w:hAnsi="Verdana" w:cs="Times New Roman"/>
          <w:sz w:val="18"/>
          <w:szCs w:val="18"/>
          <w:lang w:val="en-US"/>
        </w:rPr>
        <w:t>At least 15 individual oysters (species not stated) (n = 45</w:t>
      </w:r>
      <w:r w:rsidR="00B42F3B" w:rsidRPr="000C7CFA">
        <w:rPr>
          <w:rStyle w:val="FootnoteReference"/>
          <w:rFonts w:ascii="Verdana" w:hAnsi="Verdana" w:cs="Times New Roman"/>
          <w:sz w:val="18"/>
          <w:szCs w:val="18"/>
          <w:lang w:val="en-US"/>
        </w:rPr>
        <w:footnoteReference w:id="29"/>
      </w:r>
      <w:r w:rsidR="00E10290" w:rsidRPr="000C7CFA">
        <w:rPr>
          <w:rFonts w:ascii="Verdana" w:hAnsi="Verdana" w:cs="Times New Roman"/>
          <w:sz w:val="18"/>
          <w:szCs w:val="18"/>
          <w:lang w:val="en-US"/>
        </w:rPr>
        <w:t xml:space="preserve">), and </w:t>
      </w:r>
      <w:r w:rsidR="0092038A" w:rsidRPr="000C7CFA">
        <w:rPr>
          <w:rFonts w:ascii="Verdana" w:hAnsi="Verdana" w:cs="Times New Roman"/>
          <w:sz w:val="18"/>
          <w:szCs w:val="18"/>
          <w:lang w:val="en-US"/>
        </w:rPr>
        <w:t>one</w:t>
      </w:r>
      <w:r w:rsidR="008A27AE" w:rsidRPr="000C7CFA">
        <w:rPr>
          <w:rFonts w:ascii="Verdana" w:hAnsi="Verdana" w:cs="Times New Roman"/>
          <w:sz w:val="18"/>
          <w:szCs w:val="18"/>
          <w:lang w:val="en-US"/>
        </w:rPr>
        <w:t xml:space="preserve"> water and one </w:t>
      </w:r>
      <w:r w:rsidR="00E10290" w:rsidRPr="000C7CFA">
        <w:rPr>
          <w:rFonts w:ascii="Verdana" w:hAnsi="Verdana" w:cs="Times New Roman"/>
          <w:sz w:val="18"/>
          <w:szCs w:val="18"/>
          <w:lang w:val="en-US"/>
        </w:rPr>
        <w:t xml:space="preserve">sediment sample </w:t>
      </w:r>
      <w:r w:rsidR="008A27AE" w:rsidRPr="000C7CFA">
        <w:rPr>
          <w:rFonts w:ascii="Verdana" w:hAnsi="Verdana" w:cs="Times New Roman"/>
          <w:sz w:val="18"/>
          <w:szCs w:val="18"/>
          <w:lang w:val="en-US"/>
        </w:rPr>
        <w:t>were collected per site (n = 15 for both matrices) (the abiotic samples</w:t>
      </w:r>
      <w:r w:rsidR="0092038A" w:rsidRPr="000C7CFA">
        <w:rPr>
          <w:rFonts w:ascii="Verdana" w:hAnsi="Verdana" w:cs="Times New Roman"/>
          <w:sz w:val="18"/>
          <w:szCs w:val="18"/>
          <w:lang w:val="en-US"/>
        </w:rPr>
        <w:t xml:space="preserve"> </w:t>
      </w:r>
      <w:r w:rsidR="00E10290" w:rsidRPr="000C7CFA">
        <w:rPr>
          <w:rFonts w:ascii="Verdana" w:hAnsi="Verdana" w:cs="Times New Roman"/>
          <w:sz w:val="18"/>
          <w:szCs w:val="18"/>
          <w:lang w:val="en-US"/>
        </w:rPr>
        <w:t>comprised</w:t>
      </w:r>
      <w:r w:rsidR="0092038A" w:rsidRPr="000C7CFA">
        <w:rPr>
          <w:rFonts w:ascii="Verdana" w:hAnsi="Verdana" w:cs="Times New Roman"/>
          <w:sz w:val="18"/>
          <w:szCs w:val="18"/>
          <w:lang w:val="en-US"/>
        </w:rPr>
        <w:t xml:space="preserve"> </w:t>
      </w:r>
      <w:r w:rsidR="00E10290" w:rsidRPr="000C7CFA">
        <w:rPr>
          <w:rFonts w:ascii="Verdana" w:hAnsi="Verdana" w:cs="Times New Roman"/>
          <w:sz w:val="18"/>
          <w:szCs w:val="18"/>
          <w:lang w:val="en-US"/>
        </w:rPr>
        <w:t xml:space="preserve">five well-mixed subsamples collected from different locations at </w:t>
      </w:r>
      <w:r w:rsidR="0092038A" w:rsidRPr="000C7CFA">
        <w:rPr>
          <w:rFonts w:ascii="Verdana" w:hAnsi="Verdana" w:cs="Times New Roman"/>
          <w:sz w:val="18"/>
          <w:szCs w:val="18"/>
          <w:lang w:val="en-US"/>
        </w:rPr>
        <w:t>th</w:t>
      </w:r>
      <w:r w:rsidR="008A27AE" w:rsidRPr="000C7CFA">
        <w:rPr>
          <w:rFonts w:ascii="Verdana" w:hAnsi="Verdana" w:cs="Times New Roman"/>
          <w:sz w:val="18"/>
          <w:szCs w:val="18"/>
          <w:lang w:val="en-US"/>
        </w:rPr>
        <w:t>e</w:t>
      </w:r>
      <w:r w:rsidR="00E10290" w:rsidRPr="000C7CFA">
        <w:rPr>
          <w:rFonts w:ascii="Verdana" w:hAnsi="Verdana" w:cs="Times New Roman"/>
          <w:sz w:val="18"/>
          <w:szCs w:val="18"/>
          <w:lang w:val="en-US"/>
        </w:rPr>
        <w:t xml:space="preserve"> site</w:t>
      </w:r>
      <w:r w:rsidR="008A27AE" w:rsidRPr="000C7CFA">
        <w:rPr>
          <w:rFonts w:ascii="Verdana" w:hAnsi="Verdana" w:cs="Times New Roman"/>
          <w:sz w:val="18"/>
          <w:szCs w:val="18"/>
          <w:lang w:val="en-US"/>
        </w:rPr>
        <w:t>)</w:t>
      </w:r>
      <w:r w:rsidR="00E10290" w:rsidRPr="000C7CFA">
        <w:rPr>
          <w:rFonts w:ascii="Verdana" w:hAnsi="Verdana" w:cs="Times New Roman"/>
          <w:sz w:val="18"/>
          <w:szCs w:val="18"/>
          <w:lang w:val="en-US"/>
        </w:rPr>
        <w:t>. It is not stated whether the oysters were allowed to depurate prior to analysis (i.e. it might be possible that some of the oysters contained the substance bound to particulates).</w:t>
      </w:r>
    </w:p>
    <w:p w14:paraId="4ECED509" w14:textId="4ABEB1DB" w:rsidR="0092038A" w:rsidRPr="000C7CFA" w:rsidRDefault="0092038A" w:rsidP="0092038A">
      <w:pPr>
        <w:pStyle w:val="NoSpacing"/>
        <w:spacing w:after="180"/>
        <w:ind w:left="360" w:right="657"/>
        <w:jc w:val="both"/>
        <w:rPr>
          <w:rFonts w:ascii="Verdana" w:hAnsi="Verdana" w:cs="Times New Roman"/>
          <w:sz w:val="18"/>
          <w:szCs w:val="18"/>
          <w:lang w:val="en-US"/>
        </w:rPr>
      </w:pPr>
      <w:r w:rsidRPr="000C7CFA">
        <w:rPr>
          <w:rFonts w:ascii="Verdana" w:hAnsi="Verdana" w:cs="Times New Roman"/>
          <w:sz w:val="18"/>
          <w:szCs w:val="18"/>
        </w:rPr>
        <w:lastRenderedPageBreak/>
        <w:t xml:space="preserve">At least one isomer of the substance was detected in </w:t>
      </w:r>
      <w:r w:rsidRPr="000C7CFA">
        <w:rPr>
          <w:rFonts w:ascii="Verdana" w:hAnsi="Verdana" w:cs="Times New Roman"/>
          <w:sz w:val="18"/>
          <w:szCs w:val="18"/>
          <w:lang w:val="en-US"/>
        </w:rPr>
        <w:t>most (≥7</w:t>
      </w:r>
      <w:r w:rsidR="00AF7606" w:rsidRPr="000C7CFA">
        <w:rPr>
          <w:rFonts w:ascii="Verdana" w:hAnsi="Verdana" w:cs="Times New Roman"/>
          <w:sz w:val="18"/>
          <w:szCs w:val="18"/>
          <w:lang w:val="en-US"/>
        </w:rPr>
        <w:t>8 %</w:t>
      </w:r>
      <w:r w:rsidRPr="000C7CFA">
        <w:rPr>
          <w:rFonts w:ascii="Verdana" w:hAnsi="Verdana" w:cs="Times New Roman"/>
          <w:sz w:val="18"/>
          <w:szCs w:val="18"/>
          <w:lang w:val="en-US"/>
        </w:rPr>
        <w:t xml:space="preserve">) samples (the limit of detection was 0.01 ng/g ww for each isomer in oysters). The mean total isomer concentration was 1.8 ng/L, 2.9 ng/g </w:t>
      </w:r>
      <w:proofErr w:type="gramStart"/>
      <w:r w:rsidRPr="000C7CFA">
        <w:rPr>
          <w:rFonts w:ascii="Verdana" w:hAnsi="Verdana" w:cs="Times New Roman"/>
          <w:sz w:val="18"/>
          <w:szCs w:val="18"/>
          <w:lang w:val="en-US"/>
        </w:rPr>
        <w:t>dw</w:t>
      </w:r>
      <w:proofErr w:type="gramEnd"/>
      <w:r w:rsidRPr="000C7CFA">
        <w:rPr>
          <w:rFonts w:ascii="Verdana" w:hAnsi="Verdana" w:cs="Times New Roman"/>
          <w:sz w:val="18"/>
          <w:szCs w:val="18"/>
          <w:lang w:val="en-US"/>
        </w:rPr>
        <w:t xml:space="preserve"> and 4.1 ng/g ww in water, surficial sediment (top 0-5 cm) and oyster</w:t>
      </w:r>
      <w:r w:rsidR="007E42AE" w:rsidRPr="000C7CFA">
        <w:rPr>
          <w:rFonts w:ascii="Verdana" w:hAnsi="Verdana" w:cs="Times New Roman"/>
          <w:sz w:val="18"/>
          <w:szCs w:val="18"/>
          <w:lang w:val="en-US"/>
        </w:rPr>
        <w:t xml:space="preserve"> tissue</w:t>
      </w:r>
      <w:r w:rsidRPr="000C7CFA">
        <w:rPr>
          <w:rFonts w:ascii="Verdana" w:hAnsi="Verdana" w:cs="Times New Roman"/>
          <w:sz w:val="18"/>
          <w:szCs w:val="18"/>
          <w:lang w:val="en-US"/>
        </w:rPr>
        <w:t>, respectively. The maximum concent</w:t>
      </w:r>
      <w:r w:rsidR="00E84FC4" w:rsidRPr="000C7CFA">
        <w:rPr>
          <w:rFonts w:ascii="Verdana" w:hAnsi="Verdana" w:cs="Times New Roman"/>
          <w:sz w:val="18"/>
          <w:szCs w:val="18"/>
          <w:lang w:val="en-US"/>
        </w:rPr>
        <w:t>ration in oyster tissue was 8.1 </w:t>
      </w:r>
      <w:r w:rsidRPr="000C7CFA">
        <w:rPr>
          <w:rFonts w:ascii="Verdana" w:hAnsi="Verdana" w:cs="Times New Roman"/>
          <w:sz w:val="18"/>
          <w:szCs w:val="18"/>
          <w:lang w:val="en-US"/>
        </w:rPr>
        <w:t xml:space="preserve">ng/g ww for the syn- isomer and 11 </w:t>
      </w:r>
      <w:r w:rsidR="00E84FC4" w:rsidRPr="000C7CFA">
        <w:rPr>
          <w:rFonts w:ascii="Verdana" w:hAnsi="Verdana" w:cs="Times New Roman"/>
          <w:sz w:val="18"/>
          <w:szCs w:val="18"/>
          <w:lang w:val="en-US"/>
        </w:rPr>
        <w:t>ng/g ww for the anti-isomer (17 </w:t>
      </w:r>
      <w:r w:rsidRPr="000C7CFA">
        <w:rPr>
          <w:rFonts w:ascii="Verdana" w:hAnsi="Verdana" w:cs="Times New Roman"/>
          <w:sz w:val="18"/>
          <w:szCs w:val="18"/>
          <w:lang w:val="en-US"/>
        </w:rPr>
        <w:t xml:space="preserve">ng/g ww for total isomers). </w:t>
      </w:r>
      <w:r w:rsidR="008A27AE" w:rsidRPr="000C7CFA">
        <w:rPr>
          <w:rFonts w:ascii="Verdana" w:hAnsi="Verdana" w:cs="Times New Roman"/>
          <w:sz w:val="18"/>
          <w:szCs w:val="18"/>
          <w:lang w:val="en-US"/>
        </w:rPr>
        <w:t>Isomer ratios suggested an enrichment of the syn- isomer in oyster.</w:t>
      </w:r>
    </w:p>
    <w:p w14:paraId="6FCF9408" w14:textId="3E83A433" w:rsidR="00C31BE5" w:rsidRPr="000C7CFA" w:rsidRDefault="008A27AE" w:rsidP="00C31BE5">
      <w:pPr>
        <w:pStyle w:val="NoSpacing"/>
        <w:spacing w:after="180"/>
        <w:ind w:left="360" w:right="657"/>
        <w:jc w:val="both"/>
        <w:rPr>
          <w:rFonts w:ascii="Verdana" w:hAnsi="Verdana" w:cs="Times New Roman"/>
          <w:sz w:val="18"/>
          <w:szCs w:val="18"/>
          <w:lang w:val="en-US"/>
        </w:rPr>
      </w:pPr>
      <w:r w:rsidRPr="000C7CFA">
        <w:rPr>
          <w:rFonts w:ascii="Verdana" w:hAnsi="Verdana" w:cs="Times New Roman"/>
          <w:sz w:val="18"/>
          <w:szCs w:val="18"/>
          <w:lang w:val="en-US"/>
        </w:rPr>
        <w:t>A statistically significant correlation (r</w:t>
      </w:r>
      <w:r w:rsidRPr="000C7CFA">
        <w:rPr>
          <w:rFonts w:ascii="Verdana" w:hAnsi="Verdana" w:cs="Times New Roman"/>
          <w:sz w:val="18"/>
          <w:szCs w:val="18"/>
          <w:vertAlign w:val="superscript"/>
          <w:lang w:val="en-US"/>
        </w:rPr>
        <w:t>2</w:t>
      </w:r>
      <w:r w:rsidRPr="000C7CFA">
        <w:rPr>
          <w:rFonts w:ascii="Verdana" w:hAnsi="Verdana" w:cs="Times New Roman"/>
          <w:sz w:val="18"/>
          <w:szCs w:val="18"/>
          <w:lang w:val="en-US"/>
        </w:rPr>
        <w:t xml:space="preserve"> = 0.64, </w:t>
      </w:r>
      <w:r w:rsidRPr="000C7CFA">
        <w:rPr>
          <w:rFonts w:ascii="Verdana" w:hAnsi="Verdana" w:cs="Times New Roman"/>
          <w:i/>
          <w:sz w:val="18"/>
          <w:szCs w:val="18"/>
          <w:lang w:val="en-US"/>
        </w:rPr>
        <w:t>p</w:t>
      </w:r>
      <w:r w:rsidRPr="000C7CFA">
        <w:rPr>
          <w:rFonts w:ascii="Verdana" w:hAnsi="Verdana" w:cs="Times New Roman"/>
          <w:sz w:val="18"/>
          <w:szCs w:val="18"/>
          <w:lang w:val="en-US"/>
        </w:rPr>
        <w:t xml:space="preserve"> &lt; 0.001) was observed between total Dechlorane Plus concentrations in oyster and oyster sample lipid content. BSAFs (based on organic matter</w:t>
      </w:r>
      <w:r w:rsidR="00C31BE5" w:rsidRPr="000C7CFA">
        <w:rPr>
          <w:rFonts w:ascii="Verdana" w:hAnsi="Verdana" w:cs="Times New Roman"/>
          <w:sz w:val="18"/>
          <w:szCs w:val="18"/>
          <w:lang w:val="en-US"/>
        </w:rPr>
        <w:t>-</w:t>
      </w:r>
      <w:r w:rsidRPr="000C7CFA">
        <w:rPr>
          <w:rFonts w:ascii="Verdana" w:hAnsi="Verdana" w:cs="Times New Roman"/>
          <w:sz w:val="18"/>
          <w:szCs w:val="18"/>
          <w:lang w:val="en-US"/>
        </w:rPr>
        <w:t xml:space="preserve"> and lipid</w:t>
      </w:r>
      <w:r w:rsidR="00C31BE5" w:rsidRPr="000C7CFA">
        <w:rPr>
          <w:rFonts w:ascii="Verdana" w:hAnsi="Verdana" w:cs="Times New Roman"/>
          <w:sz w:val="18"/>
          <w:szCs w:val="18"/>
          <w:lang w:val="en-US"/>
        </w:rPr>
        <w:t>-</w:t>
      </w:r>
      <w:r w:rsidR="001135EA" w:rsidRPr="000C7CFA">
        <w:rPr>
          <w:rFonts w:ascii="Verdana" w:hAnsi="Verdana" w:cs="Times New Roman"/>
          <w:sz w:val="18"/>
          <w:szCs w:val="18"/>
          <w:lang w:val="en-US"/>
        </w:rPr>
        <w:t>normalized</w:t>
      </w:r>
      <w:r w:rsidRPr="000C7CFA">
        <w:rPr>
          <w:rFonts w:ascii="Verdana" w:hAnsi="Verdana" w:cs="Times New Roman"/>
          <w:sz w:val="18"/>
          <w:szCs w:val="18"/>
          <w:lang w:val="en-US"/>
        </w:rPr>
        <w:t xml:space="preserve"> concentrations) were calculated for paired sediment and oyster samples for which concentrations were above the detection limit. The mean BSAF for total isomers was 4.6 (range: 1.0 – 7.9).</w:t>
      </w:r>
      <w:r w:rsidR="007E42AE" w:rsidRPr="000C7CFA">
        <w:rPr>
          <w:rFonts w:ascii="Verdana" w:hAnsi="Verdana" w:cs="Times New Roman"/>
          <w:sz w:val="18"/>
          <w:szCs w:val="18"/>
          <w:lang w:val="en-US"/>
        </w:rPr>
        <w:t xml:space="preserve"> </w:t>
      </w:r>
      <w:r w:rsidR="00C31BE5" w:rsidRPr="000C7CFA">
        <w:rPr>
          <w:rFonts w:ascii="Verdana" w:hAnsi="Verdana" w:cs="Times New Roman"/>
          <w:sz w:val="18"/>
          <w:szCs w:val="18"/>
          <w:lang w:val="en-US"/>
        </w:rPr>
        <w:t>This value cannot be directly compared to BSAFs reported in other studies that use</w:t>
      </w:r>
      <w:r w:rsidR="00B42F3B" w:rsidRPr="000C7CFA">
        <w:rPr>
          <w:rFonts w:ascii="Verdana" w:hAnsi="Verdana" w:cs="Times New Roman"/>
          <w:sz w:val="18"/>
          <w:szCs w:val="18"/>
          <w:lang w:val="en-US"/>
        </w:rPr>
        <w:t xml:space="preserve"> the </w:t>
      </w:r>
      <w:r w:rsidR="003F0F1B" w:rsidRPr="000C7CFA">
        <w:rPr>
          <w:rFonts w:ascii="Verdana" w:hAnsi="Verdana" w:cs="Times New Roman"/>
          <w:sz w:val="18"/>
          <w:szCs w:val="18"/>
          <w:lang w:val="en-US"/>
        </w:rPr>
        <w:t xml:space="preserve">sediment concentration normalized to </w:t>
      </w:r>
      <w:r w:rsidR="00B42F3B" w:rsidRPr="000C7CFA">
        <w:rPr>
          <w:rFonts w:ascii="Verdana" w:hAnsi="Verdana" w:cs="Times New Roman"/>
          <w:sz w:val="18"/>
          <w:szCs w:val="18"/>
          <w:lang w:val="en-US"/>
        </w:rPr>
        <w:t xml:space="preserve">organic </w:t>
      </w:r>
      <w:r w:rsidR="00B42F3B" w:rsidRPr="000C7CFA">
        <w:rPr>
          <w:rFonts w:ascii="Verdana" w:hAnsi="Verdana" w:cs="Times New Roman"/>
          <w:i/>
          <w:sz w:val="18"/>
          <w:szCs w:val="18"/>
          <w:lang w:val="en-US"/>
        </w:rPr>
        <w:t>carbon</w:t>
      </w:r>
      <w:r w:rsidR="003F0F1B" w:rsidRPr="000C7CFA">
        <w:rPr>
          <w:rFonts w:ascii="Verdana" w:hAnsi="Verdana" w:cs="Times New Roman"/>
          <w:sz w:val="18"/>
          <w:szCs w:val="18"/>
          <w:lang w:val="en-US"/>
        </w:rPr>
        <w:t xml:space="preserve"> content. Organic </w:t>
      </w:r>
      <w:r w:rsidR="003F0F1B" w:rsidRPr="000C7CFA">
        <w:rPr>
          <w:rFonts w:ascii="Verdana" w:hAnsi="Verdana" w:cs="Times New Roman"/>
          <w:i/>
          <w:sz w:val="18"/>
          <w:szCs w:val="18"/>
          <w:lang w:val="en-US"/>
        </w:rPr>
        <w:t>matter</w:t>
      </w:r>
      <w:r w:rsidR="003F0F1B" w:rsidRPr="000C7CFA">
        <w:rPr>
          <w:rFonts w:ascii="Verdana" w:hAnsi="Verdana" w:cs="Times New Roman"/>
          <w:sz w:val="18"/>
          <w:szCs w:val="18"/>
          <w:lang w:val="en-US"/>
        </w:rPr>
        <w:t xml:space="preserve"> concentrations are</w:t>
      </w:r>
      <w:r w:rsidR="00C31BE5" w:rsidRPr="000C7CFA">
        <w:rPr>
          <w:rFonts w:ascii="Verdana" w:hAnsi="Verdana" w:cs="Times New Roman"/>
          <w:sz w:val="18"/>
          <w:szCs w:val="18"/>
          <w:lang w:val="en-US"/>
        </w:rPr>
        <w:t xml:space="preserve"> typically</w:t>
      </w:r>
      <w:r w:rsidR="003F0F1B" w:rsidRPr="000C7CFA">
        <w:rPr>
          <w:rFonts w:ascii="Verdana" w:hAnsi="Verdana" w:cs="Times New Roman"/>
          <w:sz w:val="18"/>
          <w:szCs w:val="18"/>
          <w:lang w:val="en-US"/>
        </w:rPr>
        <w:t xml:space="preserve"> higher than the organic carbon content by a factor of around 2 (depending on matrix)</w:t>
      </w:r>
      <w:r w:rsidR="00B42F3B" w:rsidRPr="000C7CFA">
        <w:rPr>
          <w:rFonts w:ascii="Verdana" w:hAnsi="Verdana" w:cs="Times New Roman"/>
          <w:sz w:val="18"/>
          <w:szCs w:val="18"/>
          <w:lang w:val="en-US"/>
        </w:rPr>
        <w:t>.</w:t>
      </w:r>
      <w:r w:rsidR="003F0F1B" w:rsidRPr="000C7CFA">
        <w:rPr>
          <w:rFonts w:ascii="Verdana" w:hAnsi="Verdana" w:cs="Times New Roman"/>
          <w:sz w:val="18"/>
          <w:szCs w:val="18"/>
          <w:lang w:val="en-US"/>
        </w:rPr>
        <w:t xml:space="preserve"> </w:t>
      </w:r>
      <w:r w:rsidR="00C31BE5" w:rsidRPr="000C7CFA">
        <w:rPr>
          <w:rFonts w:ascii="Verdana" w:hAnsi="Verdana" w:cs="Times New Roman"/>
          <w:sz w:val="18"/>
          <w:szCs w:val="18"/>
          <w:lang w:val="en-US"/>
        </w:rPr>
        <w:t>The</w:t>
      </w:r>
      <w:r w:rsidR="003F0F1B" w:rsidRPr="000C7CFA">
        <w:rPr>
          <w:rFonts w:ascii="Verdana" w:hAnsi="Verdana" w:cs="Times New Roman"/>
          <w:sz w:val="18"/>
          <w:szCs w:val="18"/>
          <w:lang w:val="en-US"/>
        </w:rPr>
        <w:t xml:space="preserve"> </w:t>
      </w:r>
      <w:r w:rsidR="00C31BE5" w:rsidRPr="000C7CFA">
        <w:rPr>
          <w:rFonts w:ascii="Verdana" w:hAnsi="Verdana" w:cs="Times New Roman"/>
          <w:sz w:val="18"/>
          <w:szCs w:val="18"/>
          <w:lang w:val="en-US"/>
        </w:rPr>
        <w:t xml:space="preserve">average </w:t>
      </w:r>
      <w:r w:rsidR="003F0F1B" w:rsidRPr="000C7CFA">
        <w:rPr>
          <w:rFonts w:ascii="Verdana" w:hAnsi="Verdana" w:cs="Times New Roman"/>
          <w:sz w:val="18"/>
          <w:szCs w:val="18"/>
          <w:lang w:val="en-US"/>
        </w:rPr>
        <w:t>BSAF based on organic carbon content would</w:t>
      </w:r>
      <w:r w:rsidR="00C31BE5" w:rsidRPr="000C7CFA">
        <w:rPr>
          <w:rFonts w:ascii="Verdana" w:hAnsi="Verdana" w:cs="Times New Roman"/>
          <w:sz w:val="18"/>
          <w:szCs w:val="18"/>
          <w:lang w:val="en-US"/>
        </w:rPr>
        <w:t xml:space="preserve"> therefore be</w:t>
      </w:r>
      <w:r w:rsidR="003F0F1B" w:rsidRPr="000C7CFA">
        <w:rPr>
          <w:rFonts w:ascii="Verdana" w:hAnsi="Verdana" w:cs="Times New Roman"/>
          <w:sz w:val="18"/>
          <w:szCs w:val="18"/>
          <w:lang w:val="en-US"/>
        </w:rPr>
        <w:t xml:space="preserve"> approximately </w:t>
      </w:r>
      <w:r w:rsidR="00C31BE5" w:rsidRPr="000C7CFA">
        <w:rPr>
          <w:rFonts w:ascii="Verdana" w:hAnsi="Verdana" w:cs="Times New Roman"/>
          <w:sz w:val="18"/>
          <w:szCs w:val="18"/>
          <w:lang w:val="en-US"/>
        </w:rPr>
        <w:t>2.3</w:t>
      </w:r>
      <w:r w:rsidR="003F0F1B" w:rsidRPr="000C7CFA">
        <w:rPr>
          <w:rFonts w:ascii="Verdana" w:hAnsi="Verdana" w:cs="Times New Roman"/>
          <w:sz w:val="18"/>
          <w:szCs w:val="18"/>
          <w:lang w:val="en-US"/>
        </w:rPr>
        <w:t>.</w:t>
      </w:r>
      <w:r w:rsidR="00B42F3B" w:rsidRPr="000C7CFA">
        <w:rPr>
          <w:rFonts w:ascii="Verdana" w:hAnsi="Verdana" w:cs="Times New Roman"/>
          <w:sz w:val="18"/>
          <w:szCs w:val="18"/>
          <w:lang w:val="en-US"/>
        </w:rPr>
        <w:t xml:space="preserve"> </w:t>
      </w:r>
    </w:p>
    <w:p w14:paraId="096EE7FA" w14:textId="6C023243" w:rsidR="008A27AE" w:rsidRPr="000C7CFA" w:rsidRDefault="007E42AE" w:rsidP="003F0F1B">
      <w:pPr>
        <w:pStyle w:val="NoSpacing"/>
        <w:spacing w:after="180"/>
        <w:ind w:left="360" w:right="657"/>
        <w:jc w:val="both"/>
        <w:rPr>
          <w:rFonts w:ascii="Verdana" w:hAnsi="Verdana" w:cs="Times New Roman"/>
          <w:sz w:val="18"/>
          <w:szCs w:val="18"/>
          <w:lang w:val="en-US"/>
        </w:rPr>
      </w:pPr>
      <w:r w:rsidRPr="000C7CFA">
        <w:rPr>
          <w:rFonts w:ascii="Verdana" w:hAnsi="Verdana" w:cs="Times New Roman"/>
          <w:sz w:val="18"/>
          <w:szCs w:val="18"/>
          <w:lang w:val="en-US"/>
        </w:rPr>
        <w:t>Although not presented in the paper, a BAF of 2</w:t>
      </w:r>
      <w:r w:rsidR="002D4EB9" w:rsidRPr="000C7CFA">
        <w:rPr>
          <w:rFonts w:ascii="Verdana" w:hAnsi="Verdana" w:cs="Times New Roman"/>
          <w:sz w:val="18"/>
          <w:szCs w:val="18"/>
          <w:lang w:val="en-US"/>
        </w:rPr>
        <w:t> </w:t>
      </w:r>
      <w:r w:rsidRPr="000C7CFA">
        <w:rPr>
          <w:rFonts w:ascii="Verdana" w:hAnsi="Verdana" w:cs="Times New Roman"/>
          <w:sz w:val="18"/>
          <w:szCs w:val="18"/>
          <w:lang w:val="en-US"/>
        </w:rPr>
        <w:t>300 L/kg can be calculated from the average concentration in water and oysters.</w:t>
      </w:r>
    </w:p>
    <w:p w14:paraId="7EC6190A" w14:textId="77777777" w:rsidR="000A653E" w:rsidRPr="000C7CFA" w:rsidRDefault="000A653E" w:rsidP="000A653E">
      <w:pPr>
        <w:pStyle w:val="BodyText"/>
        <w:ind w:left="360" w:right="657"/>
        <w:rPr>
          <w:rFonts w:ascii="Verdana" w:hAnsi="Verdana"/>
          <w:sz w:val="18"/>
          <w:szCs w:val="18"/>
        </w:rPr>
      </w:pPr>
      <w:r w:rsidRPr="000C7CFA">
        <w:rPr>
          <w:rFonts w:ascii="Verdana" w:hAnsi="Verdana"/>
          <w:sz w:val="18"/>
          <w:szCs w:val="18"/>
        </w:rPr>
        <w:t>This study is not included in the registration dossier.</w:t>
      </w:r>
    </w:p>
    <w:p w14:paraId="10BB8FD1" w14:textId="77777777" w:rsidR="00DC3CA5" w:rsidRPr="000C7CFA" w:rsidRDefault="00DC3CA5" w:rsidP="00DC3CA5">
      <w:pPr>
        <w:pStyle w:val="NoSpacing"/>
        <w:spacing w:after="180"/>
        <w:ind w:left="360" w:right="657"/>
        <w:jc w:val="both"/>
        <w:rPr>
          <w:rFonts w:ascii="Verdana" w:hAnsi="Verdana" w:cs="Times New Roman"/>
          <w:sz w:val="18"/>
          <w:szCs w:val="18"/>
          <w:lang w:val="en-US"/>
        </w:rPr>
      </w:pPr>
    </w:p>
    <w:p w14:paraId="06891015" w14:textId="77777777" w:rsidR="00DC3CA5" w:rsidRPr="000C7CFA" w:rsidRDefault="00DC3CA5" w:rsidP="00DC3658">
      <w:pPr>
        <w:pStyle w:val="NoSpacing"/>
        <w:numPr>
          <w:ilvl w:val="0"/>
          <w:numId w:val="6"/>
        </w:numPr>
        <w:spacing w:after="180"/>
        <w:ind w:right="657"/>
        <w:jc w:val="both"/>
        <w:rPr>
          <w:rFonts w:ascii="Verdana" w:hAnsi="Verdana" w:cs="Times New Roman"/>
          <w:sz w:val="18"/>
          <w:szCs w:val="18"/>
        </w:rPr>
      </w:pPr>
      <w:r w:rsidRPr="000C7CFA">
        <w:rPr>
          <w:rFonts w:ascii="Verdana" w:hAnsi="Verdana" w:cs="Times New Roman"/>
          <w:sz w:val="18"/>
          <w:szCs w:val="18"/>
          <w:u w:val="single"/>
        </w:rPr>
        <w:t xml:space="preserve">Shen </w:t>
      </w:r>
      <w:r w:rsidRPr="000C7CFA">
        <w:rPr>
          <w:rFonts w:ascii="Verdana" w:hAnsi="Verdana" w:cs="Times New Roman"/>
          <w:i/>
          <w:sz w:val="18"/>
          <w:szCs w:val="18"/>
          <w:u w:val="single"/>
        </w:rPr>
        <w:t>et al</w:t>
      </w:r>
      <w:r w:rsidRPr="000C7CFA">
        <w:rPr>
          <w:rFonts w:ascii="Verdana" w:hAnsi="Verdana" w:cs="Times New Roman"/>
          <w:sz w:val="18"/>
          <w:szCs w:val="18"/>
          <w:u w:val="single"/>
        </w:rPr>
        <w:t>. (2011a)</w:t>
      </w:r>
      <w:r w:rsidRPr="000C7CFA">
        <w:rPr>
          <w:rFonts w:ascii="Verdana" w:hAnsi="Verdana" w:cs="Times New Roman"/>
          <w:sz w:val="18"/>
          <w:szCs w:val="18"/>
        </w:rPr>
        <w:t xml:space="preserve"> investigated levels of Dechlorane Plus in suspended matter, sediment and Lake Trout</w:t>
      </w:r>
      <w:r w:rsidR="00CB0022" w:rsidRPr="000C7CFA">
        <w:rPr>
          <w:rFonts w:ascii="Verdana" w:hAnsi="Verdana" w:cs="Times New Roman"/>
          <w:sz w:val="18"/>
          <w:szCs w:val="18"/>
        </w:rPr>
        <w:t xml:space="preserve"> (Latin name not provided</w:t>
      </w:r>
      <w:r w:rsidR="001144A8" w:rsidRPr="000C7CFA">
        <w:rPr>
          <w:rFonts w:ascii="Verdana" w:hAnsi="Verdana" w:cs="Times New Roman"/>
          <w:sz w:val="18"/>
          <w:szCs w:val="18"/>
        </w:rPr>
        <w:t>, but presumably</w:t>
      </w:r>
      <w:r w:rsidR="001144A8" w:rsidRPr="000C7CFA">
        <w:rPr>
          <w:rFonts w:ascii="Verdana" w:hAnsi="Verdana" w:cs="Times New Roman"/>
          <w:i/>
          <w:sz w:val="18"/>
          <w:szCs w:val="18"/>
        </w:rPr>
        <w:t xml:space="preserve"> Salvelinus namaycush</w:t>
      </w:r>
      <w:r w:rsidR="00CB0022" w:rsidRPr="000C7CFA">
        <w:rPr>
          <w:rFonts w:ascii="Verdana" w:hAnsi="Verdana" w:cs="Times New Roman"/>
          <w:sz w:val="18"/>
          <w:szCs w:val="18"/>
        </w:rPr>
        <w:t>)</w:t>
      </w:r>
      <w:r w:rsidRPr="000C7CFA">
        <w:rPr>
          <w:rFonts w:ascii="Verdana" w:hAnsi="Verdana" w:cs="Times New Roman"/>
          <w:sz w:val="18"/>
          <w:szCs w:val="18"/>
        </w:rPr>
        <w:t xml:space="preserve"> in Lake Ontario, Canada. Niagara River suspended sediments were collected near the river mouth at Niagara-on-the-Lake, Ontario using a large volume 24-h time-integrated dissolved/particulate phase sampler on a weekly/biweekly basis. Lake trout were collected every four to six years (1979, 1983, 1988, 1993, 1998 and 2004, with four or five individuals per time point) from Lake Ontario north of Main Duck Island as part of a long-term monitoring project. All samples were archived, and the temporal study was conducted on spring composites of these prepared from April and/or May samples from 1980 to 2002. Samples collected over the period April 2006 to March 2007 were combined into monthly composites to examine seasonal variation. Homogenates of individual whole fish were used. A sediment core was also collected from Lake Ontario using a mini-box core sampler followed by subsampling using push cores and extrusion and sectioning into 1 cm (for first 15 cm) and 2 cm intervals. A replicate core from the same box was dated by determining the </w:t>
      </w:r>
      <w:r w:rsidRPr="000C7CFA">
        <w:rPr>
          <w:rFonts w:ascii="Verdana" w:hAnsi="Verdana" w:cs="Times New Roman"/>
          <w:sz w:val="18"/>
          <w:szCs w:val="18"/>
          <w:vertAlign w:val="superscript"/>
        </w:rPr>
        <w:t>210</w:t>
      </w:r>
      <w:r w:rsidRPr="000C7CFA">
        <w:rPr>
          <w:rFonts w:ascii="Verdana" w:hAnsi="Verdana" w:cs="Times New Roman"/>
          <w:sz w:val="18"/>
          <w:szCs w:val="18"/>
        </w:rPr>
        <w:t>Pb activity as a function of the chronological age of the sediments.</w:t>
      </w:r>
    </w:p>
    <w:p w14:paraId="533AB039" w14:textId="01D13590" w:rsidR="00CB0022" w:rsidRPr="000C7CFA" w:rsidRDefault="00DC3CA5" w:rsidP="00CB0022">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 xml:space="preserve">Method detection limits were 0.5 - 1 </w:t>
      </w:r>
      <w:r w:rsidR="001135EA" w:rsidRPr="000C7CFA">
        <w:rPr>
          <w:rFonts w:ascii="Verdana" w:hAnsi="Verdana" w:cs="Times New Roman"/>
          <w:sz w:val="18"/>
          <w:szCs w:val="18"/>
        </w:rPr>
        <w:t xml:space="preserve">pg/g </w:t>
      </w:r>
      <w:proofErr w:type="gramStart"/>
      <w:r w:rsidR="001135EA" w:rsidRPr="000C7CFA">
        <w:rPr>
          <w:rFonts w:ascii="Verdana" w:hAnsi="Verdana" w:cs="Times New Roman"/>
          <w:sz w:val="18"/>
          <w:szCs w:val="18"/>
        </w:rPr>
        <w:t>dw</w:t>
      </w:r>
      <w:proofErr w:type="gramEnd"/>
      <w:r w:rsidR="001135EA" w:rsidRPr="000C7CFA">
        <w:rPr>
          <w:rFonts w:ascii="Verdana" w:hAnsi="Verdana" w:cs="Times New Roman"/>
          <w:sz w:val="18"/>
          <w:szCs w:val="18"/>
        </w:rPr>
        <w:t xml:space="preserve"> in sediments and 5 – 15 </w:t>
      </w:r>
      <w:r w:rsidRPr="000C7CFA">
        <w:rPr>
          <w:rFonts w:ascii="Verdana" w:hAnsi="Verdana" w:cs="Times New Roman"/>
          <w:sz w:val="18"/>
          <w:szCs w:val="18"/>
        </w:rPr>
        <w:t>pg/g lw for fish. Only low levels of the two Dechlorane Plus isomers were detected in procedural blanks. Mass-labelled surrogates for Dechlorane Plus were not added as the limited archived samples were originally analyzed for PCBs and dioxin/furans prior to study conception. Instead, spike tests confirmed that the substance was extracted, cleaned and fractionated quantitatively in a similar manner to the PCBs in sediments and fish tissue (e.g. recoveries in sediment samples were 102±</w:t>
      </w:r>
      <w:r w:rsidR="00AF7606" w:rsidRPr="000C7CFA">
        <w:rPr>
          <w:rFonts w:ascii="Verdana" w:hAnsi="Verdana" w:cs="Times New Roman"/>
          <w:sz w:val="18"/>
          <w:szCs w:val="18"/>
        </w:rPr>
        <w:t>4 %</w:t>
      </w:r>
      <w:r w:rsidRPr="000C7CFA">
        <w:rPr>
          <w:rFonts w:ascii="Verdana" w:hAnsi="Verdana" w:cs="Times New Roman"/>
          <w:sz w:val="18"/>
          <w:szCs w:val="18"/>
        </w:rPr>
        <w:t xml:space="preserve"> and 82±</w:t>
      </w:r>
      <w:r w:rsidR="00AF7606" w:rsidRPr="000C7CFA">
        <w:rPr>
          <w:rFonts w:ascii="Verdana" w:hAnsi="Verdana" w:cs="Times New Roman"/>
          <w:sz w:val="18"/>
          <w:szCs w:val="18"/>
        </w:rPr>
        <w:t>5 %</w:t>
      </w:r>
      <w:r w:rsidRPr="000C7CFA">
        <w:rPr>
          <w:rFonts w:ascii="Verdana" w:hAnsi="Verdana" w:cs="Times New Roman"/>
          <w:sz w:val="18"/>
          <w:szCs w:val="18"/>
        </w:rPr>
        <w:t xml:space="preserve"> for the syn- and anti- isomers, respectively)</w:t>
      </w:r>
      <w:r w:rsidR="001135EA" w:rsidRPr="000C7CFA">
        <w:rPr>
          <w:rFonts w:ascii="Verdana" w:hAnsi="Verdana" w:cs="Times New Roman"/>
          <w:sz w:val="18"/>
          <w:szCs w:val="18"/>
        </w:rPr>
        <w:t>. R</w:t>
      </w:r>
      <w:r w:rsidRPr="000C7CFA">
        <w:rPr>
          <w:rFonts w:ascii="Verdana" w:hAnsi="Verdana" w:cs="Times New Roman"/>
          <w:sz w:val="18"/>
          <w:szCs w:val="18"/>
        </w:rPr>
        <w:t xml:space="preserve">eported </w:t>
      </w:r>
      <w:r w:rsidR="00CB0022" w:rsidRPr="000C7CFA">
        <w:rPr>
          <w:rFonts w:ascii="Verdana" w:hAnsi="Verdana" w:cs="Times New Roman"/>
          <w:sz w:val="18"/>
          <w:szCs w:val="18"/>
        </w:rPr>
        <w:t xml:space="preserve">concentrations were </w:t>
      </w:r>
      <w:r w:rsidR="001135EA" w:rsidRPr="000C7CFA">
        <w:rPr>
          <w:rFonts w:ascii="Verdana" w:hAnsi="Verdana" w:cs="Times New Roman"/>
          <w:sz w:val="18"/>
          <w:szCs w:val="18"/>
        </w:rPr>
        <w:t xml:space="preserve">therefore </w:t>
      </w:r>
      <w:r w:rsidR="00CB0022" w:rsidRPr="000C7CFA">
        <w:rPr>
          <w:rFonts w:ascii="Verdana" w:hAnsi="Verdana" w:cs="Times New Roman"/>
          <w:sz w:val="18"/>
          <w:szCs w:val="18"/>
        </w:rPr>
        <w:t xml:space="preserve">not corrected for recoveries. </w:t>
      </w:r>
    </w:p>
    <w:p w14:paraId="0D875633" w14:textId="5DFF2622" w:rsidR="00CB0022" w:rsidRPr="000C7CFA" w:rsidRDefault="00CB0022" w:rsidP="00CB0022">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Total Dechlorane Plus concentrations (5.4±9.5 ng/g dw) were similar to those of BDE-209 in suspended river sediments collected since 2000, whilst the average concentration in the top 3 cm of the Lake Ontario sediment core (110 ng/g [µg/kg] dw) was greater. Both Dechlorane Plus isomers were also detected in all fish samples between 1979 and 2004, with an</w:t>
      </w:r>
      <w:r w:rsidR="008610EB" w:rsidRPr="000C7CFA">
        <w:rPr>
          <w:rFonts w:ascii="Verdana" w:hAnsi="Verdana" w:cs="Times New Roman"/>
          <w:sz w:val="18"/>
          <w:szCs w:val="18"/>
        </w:rPr>
        <w:t xml:space="preserve"> average concentration of 180±1 </w:t>
      </w:r>
      <w:r w:rsidRPr="000C7CFA">
        <w:rPr>
          <w:rFonts w:ascii="Verdana" w:hAnsi="Verdana" w:cs="Times New Roman"/>
          <w:sz w:val="18"/>
          <w:szCs w:val="18"/>
        </w:rPr>
        <w:t xml:space="preserve">900 pg/g [ng/kg]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w:t>
      </w:r>
    </w:p>
    <w:p w14:paraId="1C028DB0" w14:textId="3752A4EA" w:rsidR="00A44305" w:rsidRPr="000C7CFA" w:rsidRDefault="00A44305" w:rsidP="00A44305">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 xml:space="preserve">The paper reports BSAFs calculated as the ratio of the average contaminant concentration in biota (wet weight) (for 1998 and 2004) and the corresponding </w:t>
      </w:r>
      <w:r w:rsidRPr="000C7CFA">
        <w:rPr>
          <w:rFonts w:ascii="Verdana" w:hAnsi="Verdana" w:cs="Times New Roman"/>
          <w:sz w:val="18"/>
          <w:szCs w:val="18"/>
        </w:rPr>
        <w:lastRenderedPageBreak/>
        <w:t xml:space="preserve">average concentration in surface sediment (dry weight) (top 3 cm) from three sites in Lake Ontario using data from this study and Shen </w:t>
      </w:r>
      <w:r w:rsidRPr="000C7CFA">
        <w:rPr>
          <w:rFonts w:ascii="Verdana" w:hAnsi="Verdana" w:cs="Times New Roman"/>
          <w:i/>
          <w:sz w:val="18"/>
          <w:szCs w:val="18"/>
        </w:rPr>
        <w:t>et al</w:t>
      </w:r>
      <w:r w:rsidRPr="000C7CFA">
        <w:rPr>
          <w:rFonts w:ascii="Verdana" w:hAnsi="Verdana" w:cs="Times New Roman"/>
          <w:sz w:val="18"/>
          <w:szCs w:val="18"/>
        </w:rPr>
        <w:t xml:space="preserve">. (2010). The values were 0.8 and 0.3 for syn- and anti- isomers, respectively. For comparison, the corresponding BSAF for BDE-183 using this method was also 0.3. As for the study of Jia </w:t>
      </w:r>
      <w:r w:rsidRPr="000C7CFA">
        <w:rPr>
          <w:rFonts w:ascii="Verdana" w:hAnsi="Verdana" w:cs="Times New Roman"/>
          <w:i/>
          <w:sz w:val="18"/>
          <w:szCs w:val="18"/>
        </w:rPr>
        <w:t>et al</w:t>
      </w:r>
      <w:r w:rsidRPr="000C7CFA">
        <w:rPr>
          <w:rFonts w:ascii="Verdana" w:hAnsi="Verdana" w:cs="Times New Roman"/>
          <w:sz w:val="18"/>
          <w:szCs w:val="18"/>
        </w:rPr>
        <w:t>. (2011), these</w:t>
      </w:r>
      <w:r w:rsidRPr="000C7CFA">
        <w:rPr>
          <w:rFonts w:ascii="Verdana" w:hAnsi="Verdana" w:cs="Times New Roman"/>
          <w:sz w:val="18"/>
          <w:szCs w:val="18"/>
          <w:lang w:val="en-US"/>
        </w:rPr>
        <w:t xml:space="preserve"> values cannot be directly compared to BSAFs reported in other studies that use</w:t>
      </w:r>
      <w:r w:rsidR="00561E2E" w:rsidRPr="000C7CFA">
        <w:rPr>
          <w:rFonts w:ascii="Verdana" w:hAnsi="Verdana" w:cs="Times New Roman"/>
          <w:sz w:val="18"/>
          <w:szCs w:val="18"/>
          <w:lang w:val="en-US"/>
        </w:rPr>
        <w:t xml:space="preserve"> </w:t>
      </w:r>
      <w:r w:rsidRPr="000C7CFA">
        <w:rPr>
          <w:rFonts w:ascii="Verdana" w:hAnsi="Verdana" w:cs="Times New Roman"/>
          <w:sz w:val="18"/>
          <w:szCs w:val="18"/>
          <w:lang w:val="en-US"/>
        </w:rPr>
        <w:t>organic carbon content</w:t>
      </w:r>
      <w:r w:rsidR="00561E2E" w:rsidRPr="000C7CFA">
        <w:rPr>
          <w:rFonts w:ascii="Verdana" w:hAnsi="Verdana" w:cs="Times New Roman"/>
          <w:sz w:val="18"/>
          <w:szCs w:val="18"/>
          <w:lang w:val="en-US"/>
        </w:rPr>
        <w:t>-/lipid-normalized concentrations</w:t>
      </w:r>
      <w:r w:rsidRPr="000C7CFA">
        <w:rPr>
          <w:rFonts w:ascii="Verdana" w:hAnsi="Verdana" w:cs="Times New Roman"/>
          <w:sz w:val="18"/>
          <w:szCs w:val="18"/>
          <w:lang w:val="en-US"/>
        </w:rPr>
        <w:t>. The sample numbers were low, and the relationship between the sampled fish and sediment sites is unclear, so the reliability of the</w:t>
      </w:r>
      <w:r w:rsidR="00561E2E" w:rsidRPr="000C7CFA">
        <w:rPr>
          <w:rFonts w:ascii="Verdana" w:hAnsi="Verdana" w:cs="Times New Roman"/>
          <w:sz w:val="18"/>
          <w:szCs w:val="18"/>
          <w:lang w:val="en-US"/>
        </w:rPr>
        <w:t xml:space="preserve"> BSAF</w:t>
      </w:r>
      <w:r w:rsidRPr="000C7CFA">
        <w:rPr>
          <w:rFonts w:ascii="Verdana" w:hAnsi="Verdana" w:cs="Times New Roman"/>
          <w:sz w:val="18"/>
          <w:szCs w:val="18"/>
          <w:lang w:val="en-US"/>
        </w:rPr>
        <w:t xml:space="preserve"> values is unknown.</w:t>
      </w:r>
    </w:p>
    <w:p w14:paraId="29026464" w14:textId="77777777" w:rsidR="00A44305" w:rsidRPr="000C7CFA" w:rsidRDefault="00A44305" w:rsidP="00A44305">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 xml:space="preserve">The paper also notes that the fraction of the syn- isomer in the fish samples was higher than that reported in technical products, suggesting enrichment. </w:t>
      </w:r>
    </w:p>
    <w:p w14:paraId="5BD226CB" w14:textId="43D20FB7" w:rsidR="001144A8" w:rsidRPr="000C7CFA" w:rsidRDefault="00BE4203" w:rsidP="00A44305">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This study is included in the registration dossier and is considered fully reliable by the</w:t>
      </w:r>
      <w:r w:rsidR="00F0006B" w:rsidRPr="000C7CFA">
        <w:rPr>
          <w:rFonts w:ascii="Verdana" w:hAnsi="Verdana" w:cs="Times New Roman"/>
          <w:sz w:val="18"/>
          <w:szCs w:val="18"/>
        </w:rPr>
        <w:t xml:space="preserve"> Registrant</w:t>
      </w:r>
      <w:r w:rsidRPr="000C7CFA">
        <w:rPr>
          <w:rFonts w:ascii="Verdana" w:hAnsi="Verdana" w:cs="Times New Roman"/>
          <w:sz w:val="18"/>
          <w:szCs w:val="18"/>
        </w:rPr>
        <w:t xml:space="preserve">. </w:t>
      </w:r>
      <w:r w:rsidR="001144A8" w:rsidRPr="000C7CFA">
        <w:rPr>
          <w:rFonts w:ascii="Verdana" w:hAnsi="Verdana" w:cs="Times New Roman"/>
          <w:sz w:val="18"/>
          <w:szCs w:val="18"/>
        </w:rPr>
        <w:t xml:space="preserve">The same information is presented in Shen </w:t>
      </w:r>
      <w:r w:rsidR="001144A8" w:rsidRPr="000C7CFA">
        <w:rPr>
          <w:rFonts w:ascii="Verdana" w:hAnsi="Verdana" w:cs="Times New Roman"/>
          <w:i/>
          <w:sz w:val="18"/>
          <w:szCs w:val="18"/>
        </w:rPr>
        <w:t>et al</w:t>
      </w:r>
      <w:r w:rsidR="001144A8" w:rsidRPr="000C7CFA">
        <w:rPr>
          <w:rFonts w:ascii="Verdana" w:hAnsi="Verdana" w:cs="Times New Roman"/>
          <w:sz w:val="18"/>
          <w:szCs w:val="18"/>
        </w:rPr>
        <w:t>. (2011b).</w:t>
      </w:r>
    </w:p>
    <w:p w14:paraId="28272B1D" w14:textId="77777777" w:rsidR="00FD5D08" w:rsidRPr="000C7CFA" w:rsidRDefault="00FD5D08" w:rsidP="00FD5D08">
      <w:pPr>
        <w:pStyle w:val="NoSpacing"/>
        <w:spacing w:after="180"/>
        <w:ind w:left="360" w:right="657"/>
        <w:jc w:val="both"/>
        <w:rPr>
          <w:rFonts w:ascii="Verdana" w:hAnsi="Verdana" w:cs="Times New Roman"/>
          <w:sz w:val="18"/>
          <w:szCs w:val="18"/>
        </w:rPr>
      </w:pPr>
    </w:p>
    <w:p w14:paraId="01ADCA8F" w14:textId="77777777" w:rsidR="00FD5D08" w:rsidRPr="000C7CFA" w:rsidRDefault="00FD5D08" w:rsidP="00DC3658">
      <w:pPr>
        <w:pStyle w:val="NoSpacing"/>
        <w:numPr>
          <w:ilvl w:val="0"/>
          <w:numId w:val="6"/>
        </w:numPr>
        <w:spacing w:after="180"/>
        <w:ind w:right="657"/>
        <w:jc w:val="both"/>
        <w:rPr>
          <w:rFonts w:ascii="Verdana" w:hAnsi="Verdana" w:cs="Times New Roman"/>
          <w:sz w:val="18"/>
          <w:szCs w:val="18"/>
        </w:rPr>
      </w:pPr>
      <w:r w:rsidRPr="000C7CFA">
        <w:rPr>
          <w:rFonts w:ascii="Verdana" w:hAnsi="Verdana" w:cs="Times New Roman"/>
          <w:sz w:val="18"/>
          <w:szCs w:val="18"/>
          <w:u w:val="single"/>
        </w:rPr>
        <w:t xml:space="preserve">Wang </w:t>
      </w:r>
      <w:r w:rsidRPr="000C7CFA">
        <w:rPr>
          <w:rFonts w:ascii="Verdana" w:hAnsi="Verdana" w:cs="Times New Roman"/>
          <w:i/>
          <w:sz w:val="18"/>
          <w:szCs w:val="18"/>
          <w:u w:val="single"/>
        </w:rPr>
        <w:t>et al.</w:t>
      </w:r>
      <w:r w:rsidRPr="000C7CFA">
        <w:rPr>
          <w:rFonts w:ascii="Verdana" w:hAnsi="Verdana" w:cs="Times New Roman"/>
          <w:sz w:val="18"/>
          <w:szCs w:val="18"/>
          <w:u w:val="single"/>
        </w:rPr>
        <w:t xml:space="preserve"> (2012)</w:t>
      </w:r>
      <w:r w:rsidRPr="000C7CFA">
        <w:rPr>
          <w:rFonts w:ascii="Verdana" w:hAnsi="Verdana" w:cs="Times New Roman"/>
          <w:sz w:val="18"/>
          <w:szCs w:val="18"/>
        </w:rPr>
        <w:t xml:space="preserve"> investigated the accumulation of Dechlorane Plus in a riverine environment in China. Samples of water (n=16), sediment (n=16), reed (</w:t>
      </w:r>
      <w:r w:rsidRPr="000C7CFA">
        <w:rPr>
          <w:rFonts w:ascii="Verdana" w:hAnsi="Verdana" w:cs="Times New Roman"/>
          <w:i/>
          <w:sz w:val="18"/>
          <w:szCs w:val="18"/>
        </w:rPr>
        <w:t>Phragmites australis</w:t>
      </w:r>
      <w:r w:rsidRPr="000C7CFA">
        <w:rPr>
          <w:rFonts w:ascii="Verdana" w:hAnsi="Verdana" w:cs="Times New Roman"/>
          <w:sz w:val="18"/>
          <w:szCs w:val="18"/>
        </w:rPr>
        <w:t>) (n=5, five sub-samples per site) and Eelpout (</w:t>
      </w:r>
      <w:proofErr w:type="gramStart"/>
      <w:r w:rsidRPr="000C7CFA">
        <w:rPr>
          <w:rFonts w:ascii="Verdana" w:hAnsi="Verdana" w:cs="Times New Roman"/>
          <w:i/>
          <w:sz w:val="18"/>
          <w:szCs w:val="18"/>
        </w:rPr>
        <w:t>Enchelyopus  elongatus</w:t>
      </w:r>
      <w:proofErr w:type="gramEnd"/>
      <w:r w:rsidRPr="000C7CFA">
        <w:rPr>
          <w:rFonts w:ascii="Verdana" w:hAnsi="Verdana" w:cs="Times New Roman"/>
          <w:sz w:val="18"/>
          <w:szCs w:val="18"/>
        </w:rPr>
        <w:t>) (n=15) were collected from sampling sites along the Daling River in August 2010. The fish samples were collected from a single site in the river estuary. Analysis was by GC-MS, and strict quality assurance and quality control measures were taken to monitor the analytical process.</w:t>
      </w:r>
    </w:p>
    <w:p w14:paraId="03408D52" w14:textId="77777777" w:rsidR="00FD5D08" w:rsidRPr="000C7CFA" w:rsidRDefault="00FD5D08" w:rsidP="00FD5D08">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 xml:space="preserve">Dechlorane Plus was detected in all biota samples. The mean concentration (total isomers) was 0.63 (range: 0.53–0.88) µg/kg </w:t>
      </w:r>
      <w:r w:rsidR="00420A13" w:rsidRPr="000C7CFA">
        <w:rPr>
          <w:rFonts w:ascii="Verdana" w:hAnsi="Verdana" w:cs="Times New Roman"/>
          <w:sz w:val="18"/>
          <w:szCs w:val="18"/>
        </w:rPr>
        <w:t>w</w:t>
      </w:r>
      <w:r w:rsidRPr="000C7CFA">
        <w:rPr>
          <w:rFonts w:ascii="Verdana" w:hAnsi="Verdana" w:cs="Times New Roman"/>
          <w:sz w:val="18"/>
          <w:szCs w:val="18"/>
        </w:rPr>
        <w:t>w in reed and 29</w:t>
      </w:r>
      <w:r w:rsidR="00420A13" w:rsidRPr="000C7CFA">
        <w:rPr>
          <w:rFonts w:ascii="Verdana" w:hAnsi="Verdana" w:cs="Times New Roman"/>
          <w:sz w:val="18"/>
          <w:szCs w:val="18"/>
        </w:rPr>
        <w:t> </w:t>
      </w:r>
      <w:r w:rsidRPr="000C7CFA">
        <w:rPr>
          <w:rFonts w:ascii="Verdana" w:hAnsi="Verdana" w:cs="Times New Roman"/>
          <w:sz w:val="18"/>
          <w:szCs w:val="18"/>
        </w:rPr>
        <w:t xml:space="preserve">(range: 8.7–93) µg/kg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in fish. Although both isomers were measured in water and fish at the estuary site, dissolved concentrations were not measured, so a BAF was not estimated in the paper (total water concentrations are not reported for individual sites either). </w:t>
      </w:r>
    </w:p>
    <w:p w14:paraId="5E7A2D33" w14:textId="77777777" w:rsidR="00FD5D08" w:rsidRPr="000C7CFA" w:rsidRDefault="00FD5D08" w:rsidP="00FD5D08">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The mean BSAF based on fish wet weight and sediment dry weight was 0.88 (range: 0.33–2.8) for the syn- isomer and 0.33 (range: 0.086–1.0) for the anti- isomer. The mean BSAF based on lipid and organic carbon normalised concentrations was 0.75 (range: 0.27–2.5) and 0.28 (range: 0.070–0.89) for the syn- and anti- isomers, respectively. The representivity of the sampling regime for the sediment at this site is unknown (it appears to have involved single grab sample</w:t>
      </w:r>
      <w:r w:rsidR="00420A13" w:rsidRPr="000C7CFA">
        <w:rPr>
          <w:rFonts w:ascii="Verdana" w:hAnsi="Verdana" w:cs="Times New Roman"/>
          <w:sz w:val="18"/>
          <w:szCs w:val="18"/>
        </w:rPr>
        <w:t>s and the estimated BSAF may have also considered sediment from areas other than those where the biota were sampled</w:t>
      </w:r>
      <w:r w:rsidRPr="000C7CFA">
        <w:rPr>
          <w:rFonts w:ascii="Verdana" w:hAnsi="Verdana" w:cs="Times New Roman"/>
          <w:sz w:val="18"/>
          <w:szCs w:val="18"/>
        </w:rPr>
        <w:t>).</w:t>
      </w:r>
    </w:p>
    <w:p w14:paraId="1024E706" w14:textId="77777777" w:rsidR="00BE4203" w:rsidRPr="000C7CFA" w:rsidRDefault="00FD5D08" w:rsidP="00FD5D08">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 xml:space="preserve">The mean </w:t>
      </w:r>
      <w:proofErr w:type="gramStart"/>
      <w:r w:rsidRPr="000C7CFA">
        <w:rPr>
          <w:rFonts w:ascii="Verdana" w:hAnsi="Verdana" w:cs="Times New Roman"/>
          <w:sz w:val="18"/>
          <w:szCs w:val="18"/>
        </w:rPr>
        <w:t>f</w:t>
      </w:r>
      <w:r w:rsidRPr="000C7CFA">
        <w:rPr>
          <w:rFonts w:ascii="Verdana" w:hAnsi="Verdana" w:cs="Times New Roman"/>
          <w:sz w:val="18"/>
          <w:szCs w:val="18"/>
          <w:vertAlign w:val="subscript"/>
        </w:rPr>
        <w:t>anti</w:t>
      </w:r>
      <w:proofErr w:type="gramEnd"/>
      <w:r w:rsidRPr="000C7CFA">
        <w:rPr>
          <w:rFonts w:ascii="Verdana" w:hAnsi="Verdana" w:cs="Times New Roman"/>
          <w:sz w:val="18"/>
          <w:szCs w:val="18"/>
        </w:rPr>
        <w:t xml:space="preserve"> in water, sediment, reed and fish was 0.72, 0.75, 0.73 and 0.53, respectively. The value for fish was significantly different from the other media (</w:t>
      </w:r>
      <w:r w:rsidRPr="000C7CFA">
        <w:rPr>
          <w:rFonts w:ascii="Verdana" w:hAnsi="Verdana" w:cs="Times New Roman"/>
          <w:i/>
          <w:sz w:val="18"/>
          <w:szCs w:val="18"/>
        </w:rPr>
        <w:t>p</w:t>
      </w:r>
      <w:r w:rsidRPr="000C7CFA">
        <w:rPr>
          <w:rFonts w:ascii="Verdana" w:hAnsi="Verdana" w:cs="Times New Roman"/>
          <w:sz w:val="18"/>
          <w:szCs w:val="18"/>
        </w:rPr>
        <w:t xml:space="preserve"> &lt; 0.01), suggesting enrichment of the syn- isomer.</w:t>
      </w:r>
      <w:r w:rsidR="00BE4203" w:rsidRPr="000C7CFA">
        <w:rPr>
          <w:rFonts w:ascii="Verdana" w:hAnsi="Verdana" w:cs="Times New Roman"/>
          <w:sz w:val="18"/>
          <w:szCs w:val="18"/>
        </w:rPr>
        <w:t xml:space="preserve"> </w:t>
      </w:r>
    </w:p>
    <w:p w14:paraId="72BF99C8" w14:textId="77777777" w:rsidR="00FD5D08" w:rsidRPr="000C7CFA" w:rsidRDefault="00BE4203" w:rsidP="00FD5D08">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This study is included in the registration dossier and is considered fully reliable by the</w:t>
      </w:r>
      <w:r w:rsidR="00F0006B" w:rsidRPr="000C7CFA">
        <w:rPr>
          <w:rFonts w:ascii="Verdana" w:hAnsi="Verdana" w:cs="Times New Roman"/>
          <w:sz w:val="18"/>
          <w:szCs w:val="18"/>
        </w:rPr>
        <w:t xml:space="preserve"> Registrant</w:t>
      </w:r>
      <w:r w:rsidRPr="000C7CFA">
        <w:rPr>
          <w:rFonts w:ascii="Verdana" w:hAnsi="Verdana" w:cs="Times New Roman"/>
          <w:sz w:val="18"/>
          <w:szCs w:val="18"/>
        </w:rPr>
        <w:t>.</w:t>
      </w:r>
    </w:p>
    <w:p w14:paraId="3B7B8E3C" w14:textId="77777777" w:rsidR="00CB0022" w:rsidRPr="000C7CFA" w:rsidRDefault="00CB0022" w:rsidP="00674833">
      <w:pPr>
        <w:pStyle w:val="BodyText"/>
        <w:ind w:right="-52"/>
        <w:rPr>
          <w:rFonts w:ascii="Verdana" w:hAnsi="Verdana"/>
          <w:sz w:val="18"/>
          <w:szCs w:val="18"/>
        </w:rPr>
      </w:pPr>
    </w:p>
    <w:p w14:paraId="0E0C61F3" w14:textId="77777777" w:rsidR="002245B2" w:rsidRPr="000C7CFA" w:rsidRDefault="002245B2" w:rsidP="00DC3658">
      <w:pPr>
        <w:pStyle w:val="NoSpacing"/>
        <w:numPr>
          <w:ilvl w:val="0"/>
          <w:numId w:val="6"/>
        </w:numPr>
        <w:spacing w:after="180"/>
        <w:ind w:right="657"/>
        <w:jc w:val="both"/>
        <w:rPr>
          <w:rFonts w:ascii="Verdana" w:eastAsia="Calibri" w:hAnsi="Verdana" w:cs="Times New Roman"/>
          <w:sz w:val="18"/>
          <w:szCs w:val="18"/>
        </w:rPr>
      </w:pPr>
      <w:r w:rsidRPr="000C7CFA">
        <w:rPr>
          <w:rFonts w:ascii="Verdana" w:hAnsi="Verdana" w:cs="Times New Roman"/>
          <w:noProof/>
          <w:sz w:val="18"/>
          <w:szCs w:val="18"/>
          <w:u w:val="single"/>
          <w:lang w:eastAsia="en-GB"/>
        </w:rPr>
        <w:t xml:space="preserve">Chen </w:t>
      </w:r>
      <w:r w:rsidRPr="000C7CFA">
        <w:rPr>
          <w:rFonts w:ascii="Verdana" w:hAnsi="Verdana" w:cs="Times New Roman"/>
          <w:i/>
          <w:noProof/>
          <w:sz w:val="18"/>
          <w:szCs w:val="18"/>
          <w:u w:val="single"/>
          <w:lang w:eastAsia="en-GB"/>
        </w:rPr>
        <w:t>et al</w:t>
      </w:r>
      <w:r w:rsidRPr="000C7CFA">
        <w:rPr>
          <w:rFonts w:ascii="Verdana" w:hAnsi="Verdana" w:cs="Times New Roman"/>
          <w:noProof/>
          <w:sz w:val="18"/>
          <w:szCs w:val="18"/>
          <w:u w:val="single"/>
          <w:lang w:eastAsia="en-GB"/>
        </w:rPr>
        <w:t>. (2012b)</w:t>
      </w:r>
      <w:r w:rsidRPr="000C7CFA">
        <w:rPr>
          <w:rFonts w:ascii="Verdana" w:hAnsi="Verdana" w:cs="Times New Roman"/>
          <w:noProof/>
          <w:sz w:val="18"/>
          <w:szCs w:val="18"/>
          <w:lang w:eastAsia="en-GB"/>
        </w:rPr>
        <w:t xml:space="preserve"> investigated levels of a variety of flame retardants in eggs from four gull species breeding across Canada. Eggs from </w:t>
      </w:r>
      <w:r w:rsidRPr="000C7CFA">
        <w:rPr>
          <w:rFonts w:ascii="Verdana" w:hAnsi="Verdana" w:cs="Times New Roman"/>
          <w:sz w:val="18"/>
          <w:szCs w:val="18"/>
          <w:lang w:eastAsia="en-GB"/>
        </w:rPr>
        <w:t xml:space="preserve">fifteen </w:t>
      </w:r>
      <w:r w:rsidRPr="000C7CFA">
        <w:rPr>
          <w:rFonts w:ascii="Verdana" w:eastAsia="Calibri" w:hAnsi="Verdana" w:cs="Times New Roman"/>
          <w:sz w:val="18"/>
          <w:szCs w:val="18"/>
        </w:rPr>
        <w:t>Herring Gull (</w:t>
      </w:r>
      <w:r w:rsidRPr="000C7CFA">
        <w:rPr>
          <w:rFonts w:ascii="Verdana" w:eastAsia="Calibri" w:hAnsi="Verdana" w:cs="Times New Roman"/>
          <w:i/>
          <w:sz w:val="18"/>
          <w:szCs w:val="18"/>
        </w:rPr>
        <w:t>Larus argentatus</w:t>
      </w:r>
      <w:r w:rsidRPr="000C7CFA">
        <w:rPr>
          <w:rFonts w:ascii="Verdana" w:eastAsia="Calibri" w:hAnsi="Verdana" w:cs="Times New Roman"/>
          <w:sz w:val="18"/>
          <w:szCs w:val="18"/>
        </w:rPr>
        <w:t>)</w:t>
      </w:r>
      <w:r w:rsidRPr="000C7CFA">
        <w:rPr>
          <w:rFonts w:ascii="Verdana" w:hAnsi="Verdana" w:cs="Times New Roman"/>
          <w:snapToGrid w:val="0"/>
          <w:sz w:val="18"/>
          <w:szCs w:val="18"/>
          <w:lang w:eastAsia="da-DK"/>
        </w:rPr>
        <w:t xml:space="preserve"> </w:t>
      </w:r>
      <w:r w:rsidRPr="000C7CFA">
        <w:rPr>
          <w:rFonts w:ascii="Verdana" w:hAnsi="Verdana" w:cs="Times New Roman"/>
          <w:sz w:val="18"/>
          <w:szCs w:val="18"/>
          <w:lang w:eastAsia="en-GB"/>
        </w:rPr>
        <w:t xml:space="preserve">colonies in the </w:t>
      </w:r>
      <w:r w:rsidRPr="000C7CFA">
        <w:rPr>
          <w:rFonts w:ascii="Verdana" w:eastAsia="Calibri" w:hAnsi="Verdana" w:cs="Times New Roman"/>
          <w:sz w:val="18"/>
          <w:szCs w:val="18"/>
        </w:rPr>
        <w:t xml:space="preserve">Great Lakes region were collected from </w:t>
      </w:r>
      <w:r w:rsidRPr="000C7CFA">
        <w:rPr>
          <w:rFonts w:ascii="Verdana" w:hAnsi="Verdana" w:cs="Times New Roman"/>
          <w:sz w:val="18"/>
          <w:szCs w:val="18"/>
          <w:lang w:eastAsia="en-GB"/>
        </w:rPr>
        <w:t xml:space="preserve">late April to early May </w:t>
      </w:r>
      <w:r w:rsidRPr="000C7CFA">
        <w:rPr>
          <w:rFonts w:ascii="Verdana" w:eastAsia="Calibri" w:hAnsi="Verdana" w:cs="Times New Roman"/>
          <w:sz w:val="18"/>
          <w:szCs w:val="18"/>
        </w:rPr>
        <w:t>2008</w:t>
      </w:r>
      <w:r w:rsidRPr="000C7CFA">
        <w:rPr>
          <w:rFonts w:ascii="Verdana" w:hAnsi="Verdana" w:cs="Times New Roman"/>
          <w:sz w:val="18"/>
          <w:szCs w:val="18"/>
          <w:lang w:eastAsia="en-GB"/>
        </w:rPr>
        <w:t xml:space="preserve"> (10-13 eggs per site, subsequently pooled).</w:t>
      </w:r>
      <w:r w:rsidRPr="000C7CFA">
        <w:rPr>
          <w:rFonts w:ascii="Verdana" w:eastAsia="Calibri" w:hAnsi="Verdana" w:cs="Times New Roman"/>
          <w:sz w:val="18"/>
          <w:szCs w:val="18"/>
        </w:rPr>
        <w:t xml:space="preserve"> Individual eggs (n=10) from different nests of Glaucous-winged (</w:t>
      </w:r>
      <w:r w:rsidRPr="000C7CFA">
        <w:rPr>
          <w:rFonts w:ascii="Verdana" w:eastAsia="Calibri" w:hAnsi="Verdana" w:cs="Times New Roman"/>
          <w:i/>
          <w:sz w:val="18"/>
          <w:szCs w:val="18"/>
        </w:rPr>
        <w:t>L. glaucescens</w:t>
      </w:r>
      <w:r w:rsidRPr="000C7CFA">
        <w:rPr>
          <w:rFonts w:ascii="Verdana" w:eastAsia="Calibri" w:hAnsi="Verdana" w:cs="Times New Roman"/>
          <w:sz w:val="18"/>
          <w:szCs w:val="18"/>
        </w:rPr>
        <w:t>) (two sites), California (</w:t>
      </w:r>
      <w:r w:rsidRPr="000C7CFA">
        <w:rPr>
          <w:rFonts w:ascii="Verdana" w:eastAsia="Calibri" w:hAnsi="Verdana" w:cs="Times New Roman"/>
          <w:i/>
          <w:sz w:val="18"/>
          <w:szCs w:val="18"/>
        </w:rPr>
        <w:t>L. californicus</w:t>
      </w:r>
      <w:r w:rsidRPr="000C7CFA">
        <w:rPr>
          <w:rFonts w:ascii="Verdana" w:eastAsia="Calibri" w:hAnsi="Verdana" w:cs="Times New Roman"/>
          <w:sz w:val="18"/>
          <w:szCs w:val="18"/>
        </w:rPr>
        <w:t>) (one site), Ring-billed (</w:t>
      </w:r>
      <w:r w:rsidRPr="000C7CFA">
        <w:rPr>
          <w:rFonts w:ascii="Verdana" w:eastAsia="Calibri" w:hAnsi="Verdana" w:cs="Times New Roman"/>
          <w:i/>
          <w:sz w:val="18"/>
          <w:szCs w:val="18"/>
        </w:rPr>
        <w:t>L. delawarensis</w:t>
      </w:r>
      <w:r w:rsidRPr="000C7CFA">
        <w:rPr>
          <w:rFonts w:ascii="Verdana" w:eastAsia="Calibri" w:hAnsi="Verdana" w:cs="Times New Roman"/>
          <w:sz w:val="18"/>
          <w:szCs w:val="18"/>
        </w:rPr>
        <w:t xml:space="preserve">) (one site) or Herring Gulls were also collected from early May to early July 2008 from additional colonies across the country from the Pacific to the Atlantic. </w:t>
      </w:r>
    </w:p>
    <w:p w14:paraId="0C166C11" w14:textId="400559DF" w:rsidR="002245B2" w:rsidRPr="000C7CFA" w:rsidRDefault="002245B2" w:rsidP="002245B2">
      <w:pPr>
        <w:pStyle w:val="NoSpacing"/>
        <w:spacing w:after="180"/>
        <w:ind w:left="360" w:right="657"/>
        <w:jc w:val="both"/>
        <w:rPr>
          <w:rFonts w:ascii="Verdana" w:hAnsi="Verdana" w:cs="Times New Roman"/>
          <w:sz w:val="18"/>
          <w:szCs w:val="18"/>
        </w:rPr>
      </w:pPr>
      <w:r w:rsidRPr="000C7CFA">
        <w:rPr>
          <w:rFonts w:ascii="Verdana" w:eastAsia="Calibri" w:hAnsi="Verdana" w:cs="Times New Roman"/>
          <w:sz w:val="18"/>
          <w:szCs w:val="18"/>
        </w:rPr>
        <w:t>E</w:t>
      </w:r>
      <w:r w:rsidRPr="000C7CFA">
        <w:rPr>
          <w:rFonts w:ascii="Verdana" w:hAnsi="Verdana" w:cs="Times New Roman"/>
          <w:sz w:val="18"/>
          <w:szCs w:val="18"/>
        </w:rPr>
        <w:t xml:space="preserve">gg homogenate was ground with diatomaceous earth, spiked with internal standards (BDE-156 and </w:t>
      </w:r>
      <w:r w:rsidRPr="000C7CFA">
        <w:rPr>
          <w:rFonts w:ascii="Verdana" w:hAnsi="Verdana" w:cs="Times New Roman"/>
          <w:sz w:val="18"/>
          <w:szCs w:val="18"/>
          <w:vertAlign w:val="superscript"/>
        </w:rPr>
        <w:t>13</w:t>
      </w:r>
      <w:r w:rsidRPr="000C7CFA">
        <w:rPr>
          <w:rFonts w:ascii="Verdana" w:hAnsi="Verdana" w:cs="Times New Roman"/>
          <w:sz w:val="18"/>
          <w:szCs w:val="18"/>
        </w:rPr>
        <w:t>C-BDE-209), and then extracted with 50:50 dichloromethane</w:t>
      </w:r>
      <w:proofErr w:type="gramStart"/>
      <w:r w:rsidRPr="000C7CFA">
        <w:rPr>
          <w:rFonts w:ascii="Verdana" w:hAnsi="Verdana" w:cs="Times New Roman"/>
          <w:sz w:val="18"/>
          <w:szCs w:val="18"/>
        </w:rPr>
        <w:t>:hexane</w:t>
      </w:r>
      <w:proofErr w:type="gramEnd"/>
      <w:r w:rsidRPr="000C7CFA">
        <w:rPr>
          <w:rFonts w:ascii="Verdana" w:hAnsi="Verdana" w:cs="Times New Roman"/>
          <w:sz w:val="18"/>
          <w:szCs w:val="18"/>
        </w:rPr>
        <w:t xml:space="preserve"> using an accelerated solvent extraction system. The extract was subjected to gel-permeation chromatography, followed by </w:t>
      </w:r>
      <w:r w:rsidR="001135EA" w:rsidRPr="000C7CFA">
        <w:rPr>
          <w:rFonts w:ascii="Verdana" w:hAnsi="Verdana" w:cs="Times New Roman"/>
          <w:sz w:val="18"/>
          <w:szCs w:val="18"/>
        </w:rPr>
        <w:t>clean-up</w:t>
      </w:r>
      <w:r w:rsidRPr="000C7CFA">
        <w:rPr>
          <w:rFonts w:ascii="Verdana" w:hAnsi="Verdana" w:cs="Times New Roman"/>
          <w:sz w:val="18"/>
          <w:szCs w:val="18"/>
        </w:rPr>
        <w:t xml:space="preserve"> </w:t>
      </w:r>
      <w:r w:rsidRPr="000C7CFA">
        <w:rPr>
          <w:rFonts w:ascii="Verdana" w:hAnsi="Verdana" w:cs="Times New Roman"/>
          <w:sz w:val="18"/>
          <w:szCs w:val="18"/>
        </w:rPr>
        <w:lastRenderedPageBreak/>
        <w:t xml:space="preserve">on a silica gel cartridge. Analysis was by GC-MS in electron capture negative ionization (ECNI) mode using selected ion monitoring. Method blanks were processed to monitor interferences and contamination. A Standard Reference Material (SRM) was analyzed with each batch of samples (PBDE concentrations were within 8 ± </w:t>
      </w:r>
      <w:r w:rsidR="00AF7606" w:rsidRPr="000C7CFA">
        <w:rPr>
          <w:rFonts w:ascii="Verdana" w:hAnsi="Verdana" w:cs="Times New Roman"/>
          <w:sz w:val="18"/>
          <w:szCs w:val="18"/>
        </w:rPr>
        <w:t>4 %</w:t>
      </w:r>
      <w:r w:rsidRPr="000C7CFA">
        <w:rPr>
          <w:rFonts w:ascii="Verdana" w:hAnsi="Verdana" w:cs="Times New Roman"/>
          <w:sz w:val="18"/>
          <w:szCs w:val="18"/>
        </w:rPr>
        <w:t xml:space="preserve"> of previous results). Replicate analyses (n=4) were made on standard additions to the SRM to evaluate the analytical precision and accuracy for Dechlorane Plus. Recovery efficiencies were comparable between non-PBDE substances and the internal standard BDE-156 (95 ± 1</w:t>
      </w:r>
      <w:r w:rsidR="00AF7606" w:rsidRPr="000C7CFA">
        <w:rPr>
          <w:rFonts w:ascii="Verdana" w:hAnsi="Verdana" w:cs="Times New Roman"/>
          <w:sz w:val="18"/>
          <w:szCs w:val="18"/>
        </w:rPr>
        <w:t>3 %</w:t>
      </w:r>
      <w:r w:rsidRPr="000C7CFA">
        <w:rPr>
          <w:rFonts w:ascii="Verdana" w:hAnsi="Verdana" w:cs="Times New Roman"/>
          <w:sz w:val="18"/>
          <w:szCs w:val="18"/>
        </w:rPr>
        <w:t>). Reported analyte concentrations were therefore corrected based on the recovery of BDE-156. Within individual colonies, none of analytes had wet weight-based concentrations significantly correlated with lipid content in individual egg homogenates (</w:t>
      </w:r>
      <w:r w:rsidRPr="000C7CFA">
        <w:rPr>
          <w:rFonts w:ascii="Verdana" w:hAnsi="Verdana" w:cs="Times New Roman"/>
          <w:i/>
          <w:sz w:val="18"/>
          <w:szCs w:val="18"/>
        </w:rPr>
        <w:t>p</w:t>
      </w:r>
      <w:r w:rsidRPr="000C7CFA">
        <w:rPr>
          <w:rFonts w:ascii="Verdana" w:hAnsi="Verdana" w:cs="Times New Roman"/>
          <w:sz w:val="18"/>
          <w:szCs w:val="18"/>
        </w:rPr>
        <w:t xml:space="preserve"> &gt; 0.05). The LoQ and LoD were 0.12/0.03 and 0.03/0.01 for the syn- and anti- isomers, respectively. For measurements below the LoQ, a regression probability plotting method was applied to assign values for statistical analysis. </w:t>
      </w:r>
    </w:p>
    <w:p w14:paraId="533C71E9" w14:textId="77777777" w:rsidR="002245B2" w:rsidRPr="000C7CFA" w:rsidRDefault="002245B2" w:rsidP="002245B2">
      <w:pPr>
        <w:pStyle w:val="NoSpacing"/>
        <w:spacing w:after="180"/>
        <w:ind w:left="360" w:right="657"/>
        <w:jc w:val="both"/>
        <w:rPr>
          <w:rFonts w:ascii="Verdana" w:eastAsia="Calibri" w:hAnsi="Verdana" w:cs="Times New Roman"/>
          <w:sz w:val="18"/>
          <w:szCs w:val="18"/>
        </w:rPr>
      </w:pPr>
      <w:r w:rsidRPr="000C7CFA">
        <w:rPr>
          <w:rFonts w:ascii="Verdana" w:eastAsia="Calibri" w:hAnsi="Verdana" w:cs="Times New Roman"/>
          <w:sz w:val="18"/>
          <w:szCs w:val="18"/>
        </w:rPr>
        <w:t>Dechlorane Plus (total isomers) was frequently detected in eggs of all four species, with a maximum concentration of 5.5 μg/kg ww (for comparison, the maximum concentration of hexabro</w:t>
      </w:r>
      <w:r w:rsidR="00010B06" w:rsidRPr="000C7CFA">
        <w:rPr>
          <w:rFonts w:ascii="Verdana" w:eastAsia="Calibri" w:hAnsi="Verdana" w:cs="Times New Roman"/>
          <w:sz w:val="18"/>
          <w:szCs w:val="18"/>
        </w:rPr>
        <w:t>mocyclododecane detected was 12 </w:t>
      </w:r>
      <w:r w:rsidRPr="000C7CFA">
        <w:rPr>
          <w:rFonts w:ascii="Verdana" w:eastAsia="Calibri" w:hAnsi="Verdana" w:cs="Times New Roman"/>
          <w:sz w:val="18"/>
          <w:szCs w:val="18"/>
        </w:rPr>
        <w:t>μg/kg ww). Only egg homogenate from one relatively pristine site (for Glaucous-winged Gull) did not contain the substance above the LoQ.</w:t>
      </w:r>
    </w:p>
    <w:p w14:paraId="50EAD827" w14:textId="77777777" w:rsidR="002245B2" w:rsidRPr="000C7CFA" w:rsidRDefault="002245B2" w:rsidP="002245B2">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The gull colonies were located in a variety of freshwater and marine ecosystems. However, gulls tend to be migratory, feed opportunistically on a variety of aquatic and terrestrial food types, and birds from the same colony may consume different foods. This was reflected in large variations in egg stable isotope ratio values within colonies: egg δ</w:t>
      </w:r>
      <w:r w:rsidRPr="000C7CFA">
        <w:rPr>
          <w:rFonts w:ascii="Verdana" w:hAnsi="Verdana" w:cs="Times New Roman"/>
          <w:sz w:val="18"/>
          <w:szCs w:val="18"/>
          <w:vertAlign w:val="superscript"/>
        </w:rPr>
        <w:t>15</w:t>
      </w:r>
      <w:r w:rsidRPr="000C7CFA">
        <w:rPr>
          <w:rFonts w:ascii="Verdana" w:hAnsi="Verdana" w:cs="Times New Roman"/>
          <w:sz w:val="18"/>
          <w:szCs w:val="18"/>
        </w:rPr>
        <w:t>N and δ</w:t>
      </w:r>
      <w:r w:rsidRPr="000C7CFA">
        <w:rPr>
          <w:rFonts w:ascii="Verdana" w:hAnsi="Verdana" w:cs="Times New Roman"/>
          <w:sz w:val="18"/>
          <w:szCs w:val="18"/>
          <w:vertAlign w:val="superscript"/>
        </w:rPr>
        <w:t>13</w:t>
      </w:r>
      <w:r w:rsidRPr="000C7CFA">
        <w:rPr>
          <w:rFonts w:ascii="Verdana" w:hAnsi="Verdana" w:cs="Times New Roman"/>
          <w:sz w:val="18"/>
          <w:szCs w:val="18"/>
        </w:rPr>
        <w:t xml:space="preserve">C values were in the range 8.88 to 16.42‰ and -24.39 to </w:t>
      </w:r>
      <w:r w:rsidRPr="000C7CFA">
        <w:rPr>
          <w:rFonts w:ascii="Verdana" w:hAnsi="Verdana" w:cs="Times New Roman"/>
          <w:sz w:val="18"/>
          <w:szCs w:val="18"/>
        </w:rPr>
        <w:noBreakHyphen/>
        <w:t xml:space="preserve">17.03‰, respectively. </w:t>
      </w:r>
    </w:p>
    <w:p w14:paraId="5C732835" w14:textId="7CB805B0" w:rsidR="002245B2" w:rsidRPr="000C7CFA" w:rsidRDefault="002245B2" w:rsidP="002245B2">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A significant negative correlation between the concentration of Dechlorane Plus (total isomers) and δ</w:t>
      </w:r>
      <w:r w:rsidRPr="000C7CFA">
        <w:rPr>
          <w:rFonts w:ascii="Verdana" w:hAnsi="Verdana" w:cs="Times New Roman"/>
          <w:sz w:val="18"/>
          <w:szCs w:val="18"/>
          <w:vertAlign w:val="superscript"/>
        </w:rPr>
        <w:t>15</w:t>
      </w:r>
      <w:r w:rsidRPr="000C7CFA">
        <w:rPr>
          <w:rFonts w:ascii="Verdana" w:hAnsi="Verdana" w:cs="Times New Roman"/>
          <w:sz w:val="18"/>
          <w:szCs w:val="18"/>
        </w:rPr>
        <w:t xml:space="preserve">N in Gull Island and Sable Island (Atlantic Ocean) gull eggs suggests that a greater reliance on a marine diet was related to </w:t>
      </w:r>
      <w:r w:rsidR="001135EA" w:rsidRPr="000C7CFA">
        <w:rPr>
          <w:rFonts w:ascii="Verdana" w:hAnsi="Verdana" w:cs="Times New Roman"/>
          <w:sz w:val="18"/>
          <w:szCs w:val="18"/>
        </w:rPr>
        <w:t>lower</w:t>
      </w:r>
      <w:r w:rsidRPr="000C7CFA">
        <w:rPr>
          <w:rFonts w:ascii="Verdana" w:hAnsi="Verdana" w:cs="Times New Roman"/>
          <w:sz w:val="18"/>
          <w:szCs w:val="18"/>
        </w:rPr>
        <w:t xml:space="preserve"> Dechlorane Plus exposure. </w:t>
      </w:r>
      <w:proofErr w:type="gramStart"/>
      <w:r w:rsidRPr="000C7CFA">
        <w:rPr>
          <w:rFonts w:ascii="Verdana" w:hAnsi="Verdana" w:cs="Times New Roman"/>
          <w:sz w:val="18"/>
          <w:szCs w:val="18"/>
        </w:rPr>
        <w:t>δ</w:t>
      </w:r>
      <w:r w:rsidRPr="000C7CFA">
        <w:rPr>
          <w:rFonts w:ascii="Verdana" w:hAnsi="Verdana" w:cs="Times New Roman"/>
          <w:sz w:val="18"/>
          <w:szCs w:val="18"/>
          <w:vertAlign w:val="superscript"/>
        </w:rPr>
        <w:t>15</w:t>
      </w:r>
      <w:r w:rsidRPr="000C7CFA">
        <w:rPr>
          <w:rFonts w:ascii="Verdana" w:hAnsi="Verdana" w:cs="Times New Roman"/>
          <w:sz w:val="18"/>
          <w:szCs w:val="18"/>
        </w:rPr>
        <w:t>N</w:t>
      </w:r>
      <w:proofErr w:type="gramEnd"/>
      <w:r w:rsidRPr="000C7CFA">
        <w:rPr>
          <w:rFonts w:ascii="Verdana" w:hAnsi="Verdana" w:cs="Times New Roman"/>
          <w:sz w:val="18"/>
          <w:szCs w:val="18"/>
        </w:rPr>
        <w:t xml:space="preserve"> values were not significantly correlated with total Dechlorane Plus levels at any other colony. No significant correlations of δ</w:t>
      </w:r>
      <w:r w:rsidRPr="000C7CFA">
        <w:rPr>
          <w:rFonts w:ascii="Verdana" w:hAnsi="Verdana" w:cs="Times New Roman"/>
          <w:sz w:val="18"/>
          <w:szCs w:val="18"/>
          <w:vertAlign w:val="superscript"/>
        </w:rPr>
        <w:t>15</w:t>
      </w:r>
      <w:r w:rsidRPr="000C7CFA">
        <w:rPr>
          <w:rFonts w:ascii="Verdana" w:hAnsi="Verdana" w:cs="Times New Roman"/>
          <w:sz w:val="18"/>
          <w:szCs w:val="18"/>
        </w:rPr>
        <w:t>N to total PBDE concentration were observed at any colony.</w:t>
      </w:r>
    </w:p>
    <w:p w14:paraId="48DA6381" w14:textId="77777777" w:rsidR="002245B2" w:rsidRPr="000C7CFA" w:rsidRDefault="002245B2" w:rsidP="002245B2">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Inter-colony comparisons of trophic position based on raw δ</w:t>
      </w:r>
      <w:r w:rsidRPr="000C7CFA">
        <w:rPr>
          <w:rFonts w:ascii="Verdana" w:hAnsi="Verdana" w:cs="Times New Roman"/>
          <w:sz w:val="18"/>
          <w:szCs w:val="18"/>
          <w:vertAlign w:val="superscript"/>
        </w:rPr>
        <w:t>15</w:t>
      </w:r>
      <w:r w:rsidRPr="000C7CFA">
        <w:rPr>
          <w:rFonts w:ascii="Verdana" w:hAnsi="Verdana" w:cs="Times New Roman"/>
          <w:sz w:val="18"/>
          <w:szCs w:val="18"/>
        </w:rPr>
        <w:t>N data are inappropriate since the baseline δ</w:t>
      </w:r>
      <w:r w:rsidRPr="000C7CFA">
        <w:rPr>
          <w:rFonts w:ascii="Verdana" w:hAnsi="Verdana" w:cs="Times New Roman"/>
          <w:sz w:val="18"/>
          <w:szCs w:val="18"/>
          <w:vertAlign w:val="superscript"/>
        </w:rPr>
        <w:t>15</w:t>
      </w:r>
      <w:r w:rsidRPr="000C7CFA">
        <w:rPr>
          <w:rFonts w:ascii="Verdana" w:hAnsi="Verdana" w:cs="Times New Roman"/>
          <w:sz w:val="18"/>
          <w:szCs w:val="18"/>
        </w:rPr>
        <w:t>N values for each colony are unknown. Each colony was therefore grouped into one of three ecosystem types depending on location (marine, Great Lakes and ‘other freshwater’). There were also significant differences between colonies of Herring Gull and the other gull species in terms of total Dechlorane Plus concentrations, presumably reflecting differences in diet, migratory habits, trophic status and potentially bioavailability and elimination capacity. For example, Herring Gull and Ring-billed Gull eggs from Ile Deslauriers differed significantly in δ</w:t>
      </w:r>
      <w:r w:rsidRPr="000C7CFA">
        <w:rPr>
          <w:rFonts w:ascii="Verdana" w:hAnsi="Verdana" w:cs="Times New Roman"/>
          <w:sz w:val="18"/>
          <w:szCs w:val="18"/>
          <w:vertAlign w:val="superscript"/>
        </w:rPr>
        <w:t>15</w:t>
      </w:r>
      <w:r w:rsidRPr="000C7CFA">
        <w:rPr>
          <w:rFonts w:ascii="Verdana" w:hAnsi="Verdana" w:cs="Times New Roman"/>
          <w:sz w:val="18"/>
          <w:szCs w:val="18"/>
        </w:rPr>
        <w:t>N and δ</w:t>
      </w:r>
      <w:r w:rsidRPr="000C7CFA">
        <w:rPr>
          <w:rFonts w:ascii="Verdana" w:hAnsi="Verdana" w:cs="Times New Roman"/>
          <w:sz w:val="18"/>
          <w:szCs w:val="18"/>
          <w:vertAlign w:val="superscript"/>
        </w:rPr>
        <w:t>13</w:t>
      </w:r>
      <w:r w:rsidRPr="000C7CFA">
        <w:rPr>
          <w:rFonts w:ascii="Verdana" w:hAnsi="Verdana" w:cs="Times New Roman"/>
          <w:sz w:val="18"/>
          <w:szCs w:val="18"/>
        </w:rPr>
        <w:t>C values. To avoid complications due to inter-species differences in exposure pathways, subsequent analysis was based on the Herring Gull data. Statistically significant differences among ecosystems were found for total Dechlorane Plus levels (</w:t>
      </w:r>
      <w:r w:rsidRPr="000C7CFA">
        <w:rPr>
          <w:rFonts w:ascii="Verdana" w:hAnsi="Verdana" w:cs="Times New Roman"/>
          <w:i/>
          <w:sz w:val="18"/>
          <w:szCs w:val="18"/>
        </w:rPr>
        <w:t>p</w:t>
      </w:r>
      <w:r w:rsidRPr="000C7CFA">
        <w:rPr>
          <w:rFonts w:ascii="Verdana" w:hAnsi="Verdana" w:cs="Times New Roman"/>
          <w:sz w:val="18"/>
          <w:szCs w:val="18"/>
        </w:rPr>
        <w:t xml:space="preserve"> &lt; 0.01) in Herring Gull eggs, with marine colonies having significantly lower Dechlorane Plus concentrations than the freshwater ecosystems (the levels were not significantly different between the two freshwater ecosystems). PBDE patterns in eggs from different colonies indicated that exposure varied greatly, with freshwater colonies subject to elevated exposure to more highly brominated PBDEs. A non-significant positive correlation was observed between egg total Dechlorane Plus level and human population density (r = 0.38, </w:t>
      </w:r>
      <w:r w:rsidRPr="000C7CFA">
        <w:rPr>
          <w:rFonts w:ascii="Verdana" w:hAnsi="Verdana" w:cs="Times New Roman"/>
          <w:i/>
          <w:sz w:val="18"/>
          <w:szCs w:val="18"/>
        </w:rPr>
        <w:t>p</w:t>
      </w:r>
      <w:r w:rsidRPr="000C7CFA">
        <w:rPr>
          <w:rFonts w:ascii="Verdana" w:hAnsi="Verdana" w:cs="Times New Roman"/>
          <w:sz w:val="18"/>
          <w:szCs w:val="18"/>
        </w:rPr>
        <w:t xml:space="preserve"> &lt; 0.079), whereas no correlation was observed for hexabromocyclododecane.</w:t>
      </w:r>
    </w:p>
    <w:p w14:paraId="7D281511" w14:textId="77777777" w:rsidR="002245B2" w:rsidRPr="000C7CFA" w:rsidRDefault="002245B2" w:rsidP="002245B2">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 xml:space="preserve">The results of this study indicate that gulls can clearly accumulate the substance, but do not provide any evidence of trophic magnification. </w:t>
      </w:r>
    </w:p>
    <w:p w14:paraId="05BD18C7" w14:textId="77777777" w:rsidR="000A653E" w:rsidRPr="000C7CFA" w:rsidRDefault="000A653E" w:rsidP="000A653E">
      <w:pPr>
        <w:pStyle w:val="BodyText"/>
        <w:ind w:left="360" w:right="657"/>
        <w:rPr>
          <w:rFonts w:ascii="Verdana" w:hAnsi="Verdana"/>
          <w:sz w:val="18"/>
          <w:szCs w:val="18"/>
        </w:rPr>
      </w:pPr>
      <w:r w:rsidRPr="000C7CFA">
        <w:rPr>
          <w:rFonts w:ascii="Verdana" w:hAnsi="Verdana"/>
          <w:sz w:val="18"/>
          <w:szCs w:val="18"/>
        </w:rPr>
        <w:t>This study is not included in the registration dossier.</w:t>
      </w:r>
    </w:p>
    <w:p w14:paraId="426C377A" w14:textId="77777777" w:rsidR="000A653E" w:rsidRPr="000C7CFA" w:rsidRDefault="000A653E" w:rsidP="002245B2">
      <w:pPr>
        <w:pStyle w:val="NoSpacing"/>
        <w:spacing w:after="180"/>
        <w:ind w:left="360" w:right="657"/>
        <w:jc w:val="both"/>
        <w:rPr>
          <w:rFonts w:ascii="Verdana" w:hAnsi="Verdana" w:cs="Times New Roman"/>
          <w:sz w:val="18"/>
          <w:szCs w:val="18"/>
        </w:rPr>
      </w:pPr>
    </w:p>
    <w:p w14:paraId="4C990B1A" w14:textId="77777777" w:rsidR="00A61E9A" w:rsidRPr="000C7CFA" w:rsidRDefault="00A61E9A" w:rsidP="00DC3658">
      <w:pPr>
        <w:pStyle w:val="NoSpacing"/>
        <w:numPr>
          <w:ilvl w:val="0"/>
          <w:numId w:val="6"/>
        </w:numPr>
        <w:spacing w:after="180"/>
        <w:ind w:right="657"/>
        <w:jc w:val="both"/>
        <w:rPr>
          <w:rFonts w:ascii="Verdana" w:hAnsi="Verdana" w:cs="Times New Roman"/>
          <w:sz w:val="18"/>
          <w:szCs w:val="18"/>
        </w:rPr>
      </w:pPr>
      <w:r w:rsidRPr="000C7CFA">
        <w:rPr>
          <w:rFonts w:ascii="Verdana" w:hAnsi="Verdana" w:cs="Times New Roman"/>
          <w:sz w:val="18"/>
          <w:szCs w:val="18"/>
          <w:u w:val="single"/>
        </w:rPr>
        <w:lastRenderedPageBreak/>
        <w:t xml:space="preserve">Muñoz-Arnanz </w:t>
      </w:r>
      <w:r w:rsidRPr="000C7CFA">
        <w:rPr>
          <w:rFonts w:ascii="Verdana" w:hAnsi="Verdana" w:cs="Times New Roman"/>
          <w:i/>
          <w:sz w:val="18"/>
          <w:szCs w:val="18"/>
          <w:u w:val="single"/>
        </w:rPr>
        <w:t>et al</w:t>
      </w:r>
      <w:r w:rsidRPr="000C7CFA">
        <w:rPr>
          <w:rFonts w:ascii="Verdana" w:hAnsi="Verdana" w:cs="Times New Roman"/>
          <w:sz w:val="18"/>
          <w:szCs w:val="18"/>
          <w:u w:val="single"/>
        </w:rPr>
        <w:t>. (2012)</w:t>
      </w:r>
      <w:r w:rsidRPr="000C7CFA">
        <w:rPr>
          <w:rFonts w:ascii="Verdana" w:hAnsi="Verdana" w:cs="Times New Roman"/>
          <w:sz w:val="18"/>
          <w:szCs w:val="18"/>
        </w:rPr>
        <w:t xml:space="preserve"> collected eggs of Yellow-legged Gull (</w:t>
      </w:r>
      <w:r w:rsidRPr="000C7CFA">
        <w:rPr>
          <w:rFonts w:ascii="Verdana" w:hAnsi="Verdana" w:cs="Times New Roman"/>
          <w:i/>
          <w:sz w:val="18"/>
          <w:szCs w:val="18"/>
        </w:rPr>
        <w:t>Larus michahellis</w:t>
      </w:r>
      <w:r w:rsidRPr="000C7CFA">
        <w:rPr>
          <w:rFonts w:ascii="Verdana" w:hAnsi="Verdana" w:cs="Times New Roman"/>
          <w:sz w:val="18"/>
          <w:szCs w:val="18"/>
        </w:rPr>
        <w:t>) and Audouin’s Gull (</w:t>
      </w:r>
      <w:r w:rsidRPr="000C7CFA">
        <w:rPr>
          <w:rFonts w:ascii="Verdana" w:hAnsi="Verdana" w:cs="Times New Roman"/>
          <w:i/>
          <w:sz w:val="18"/>
          <w:szCs w:val="18"/>
        </w:rPr>
        <w:t>Larus audouinii</w:t>
      </w:r>
      <w:r w:rsidRPr="000C7CFA">
        <w:rPr>
          <w:rFonts w:ascii="Verdana" w:hAnsi="Verdana" w:cs="Times New Roman"/>
          <w:sz w:val="18"/>
          <w:szCs w:val="18"/>
        </w:rPr>
        <w:t>) (n=19 per species) from a breeding colony at the Chafarinas Islands in the south-western Mediterranean Sea during the 2007 breeding season.</w:t>
      </w:r>
    </w:p>
    <w:p w14:paraId="264BBEBC" w14:textId="77777777" w:rsidR="00420A13" w:rsidRPr="000C7CFA" w:rsidRDefault="00420A13" w:rsidP="00420A13">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 xml:space="preserve">The analytical method used was GC-MS-ECNI and the limit of quantification (LoQ) of the analytical method was 0.004 μg/kg for syn-DP, 0.009 μg/kg for anti-DP and ~0.003 μg/kg for the dechlorinated products anti-[DP-1Cl] and anti-[DP-2Cl]. DPMA was also included in the study but the recovery of this substance was very low (&lt;10%) and so the results for DPMA are not considered further. Both stereoisomers were found above the LoQ in all the samples. Low levels were also found in most procedural blank samples and so the concentrations reported were blank-corrected. </w:t>
      </w:r>
    </w:p>
    <w:p w14:paraId="42E1076A" w14:textId="77777777" w:rsidR="00420A13" w:rsidRPr="000C7CFA" w:rsidRDefault="00420A13" w:rsidP="00420A13">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 xml:space="preserve">Yellow-legged Gull eggs showed the highest average total Dechlorane Plus concentration (0.209 µg/kg ww, or 2.7 µg/kg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with an overall range of 0.0395 – 0.433 µg/kg ww (or 0.522 – 6.05 µg/kg lw), after exclusion of an outlier (1.540 μg/kg ww 28.25 μg/kg lw). Concentrations in Audouin’s Gull eggs were statistically significantly different, with an average total Dechlorane Plus concentration of 0.029 µg/kg ww (or 0.398 µg/kg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and an overall range of 0.007 – 0.079 µg/kg ww (or 0.057 – 1.750 µg/kg lw).</w:t>
      </w:r>
    </w:p>
    <w:p w14:paraId="4DE65489" w14:textId="77777777" w:rsidR="00420A13" w:rsidRPr="000C7CFA" w:rsidRDefault="00420A13" w:rsidP="00420A13">
      <w:pPr>
        <w:pStyle w:val="NoSpacing"/>
        <w:spacing w:after="180"/>
        <w:ind w:left="360" w:right="657"/>
        <w:jc w:val="both"/>
        <w:rPr>
          <w:rFonts w:ascii="Verdana" w:hAnsi="Verdana" w:cs="Times New Roman"/>
          <w:sz w:val="18"/>
          <w:szCs w:val="18"/>
        </w:rPr>
      </w:pPr>
      <w:r w:rsidRPr="000C7CFA">
        <w:rPr>
          <w:rFonts w:ascii="Verdana" w:hAnsi="Verdana" w:cs="Times New Roman"/>
          <w:sz w:val="18"/>
          <w:szCs w:val="18"/>
        </w:rPr>
        <w:t>Stable nitrogen (δ</w:t>
      </w:r>
      <w:r w:rsidRPr="000C7CFA">
        <w:rPr>
          <w:rFonts w:ascii="Verdana" w:hAnsi="Verdana" w:cs="Times New Roman"/>
          <w:sz w:val="18"/>
          <w:szCs w:val="18"/>
          <w:vertAlign w:val="superscript"/>
        </w:rPr>
        <w:t>15</w:t>
      </w:r>
      <w:r w:rsidRPr="000C7CFA">
        <w:rPr>
          <w:rFonts w:ascii="Verdana" w:hAnsi="Verdana" w:cs="Times New Roman"/>
          <w:sz w:val="18"/>
          <w:szCs w:val="18"/>
        </w:rPr>
        <w:t>N) and carbon (δ</w:t>
      </w:r>
      <w:r w:rsidRPr="000C7CFA">
        <w:rPr>
          <w:rFonts w:ascii="Verdana" w:hAnsi="Verdana" w:cs="Times New Roman"/>
          <w:sz w:val="18"/>
          <w:szCs w:val="18"/>
          <w:vertAlign w:val="superscript"/>
        </w:rPr>
        <w:t>13</w:t>
      </w:r>
      <w:r w:rsidRPr="000C7CFA">
        <w:rPr>
          <w:rFonts w:ascii="Verdana" w:hAnsi="Verdana" w:cs="Times New Roman"/>
          <w:sz w:val="18"/>
          <w:szCs w:val="18"/>
        </w:rPr>
        <w:t>C) isotope values were also determined in the samples. The relationship between the total concentration of Dechlorane Plus and the stable isotope values was tested simultaneously using a generalized linear model with the total concentration as the response variable and δ</w:t>
      </w:r>
      <w:r w:rsidRPr="000C7CFA">
        <w:rPr>
          <w:rFonts w:ascii="Verdana" w:hAnsi="Verdana" w:cs="Times New Roman"/>
          <w:sz w:val="18"/>
          <w:szCs w:val="18"/>
          <w:vertAlign w:val="superscript"/>
        </w:rPr>
        <w:t>15</w:t>
      </w:r>
      <w:r w:rsidRPr="000C7CFA">
        <w:rPr>
          <w:rFonts w:ascii="Verdana" w:hAnsi="Verdana" w:cs="Times New Roman"/>
          <w:sz w:val="18"/>
          <w:szCs w:val="18"/>
        </w:rPr>
        <w:t>N and δ</w:t>
      </w:r>
      <w:r w:rsidRPr="000C7CFA">
        <w:rPr>
          <w:rFonts w:ascii="Verdana" w:hAnsi="Verdana" w:cs="Times New Roman"/>
          <w:sz w:val="18"/>
          <w:szCs w:val="18"/>
          <w:vertAlign w:val="superscript"/>
        </w:rPr>
        <w:t>13</w:t>
      </w:r>
      <w:r w:rsidRPr="000C7CFA">
        <w:rPr>
          <w:rFonts w:ascii="Verdana" w:hAnsi="Verdana" w:cs="Times New Roman"/>
          <w:sz w:val="18"/>
          <w:szCs w:val="18"/>
        </w:rPr>
        <w:t>C as covariables. Pearson’s correlation analysis was used to evaluate intraspecies relationships.</w:t>
      </w:r>
    </w:p>
    <w:p w14:paraId="1845DC3F" w14:textId="3ABF3988" w:rsidR="00420A13" w:rsidRPr="000C7CFA" w:rsidRDefault="00420A13" w:rsidP="00420A13">
      <w:pPr>
        <w:pStyle w:val="NoSpacing"/>
        <w:ind w:left="360" w:right="657"/>
        <w:jc w:val="both"/>
        <w:rPr>
          <w:rFonts w:ascii="Verdana" w:hAnsi="Verdana" w:cs="Times New Roman"/>
          <w:sz w:val="18"/>
          <w:szCs w:val="18"/>
        </w:rPr>
      </w:pPr>
      <w:r w:rsidRPr="000C7CFA">
        <w:rPr>
          <w:rFonts w:ascii="Verdana" w:hAnsi="Verdana" w:cs="Times New Roman"/>
          <w:sz w:val="18"/>
          <w:szCs w:val="18"/>
        </w:rPr>
        <w:t>Based on the previous dietary studies in the area, both species are considered third-order consumers and no marked differences in their trophic position would be expected as both species feed mainly on fish on the Chafarinas Islands. However, Yellow-legged Gulls are known to be more opportunistic feeders than Audouin’s Gulls, feeding more frequently on alternative food sources such as terrestrial prey (including Audouin’s Gull eggs and chicks) and refuse tips. The stable isotope measurements in the current study confirmed this behaviour, with Yellow-legged Gulls showing significantly lower mean δ</w:t>
      </w:r>
      <w:r w:rsidRPr="000C7CFA">
        <w:rPr>
          <w:rFonts w:ascii="Verdana" w:hAnsi="Verdana" w:cs="Times New Roman"/>
          <w:sz w:val="18"/>
          <w:szCs w:val="18"/>
          <w:vertAlign w:val="superscript"/>
        </w:rPr>
        <w:t>13</w:t>
      </w:r>
      <w:r w:rsidRPr="000C7CFA">
        <w:rPr>
          <w:rFonts w:ascii="Verdana" w:hAnsi="Verdana" w:cs="Times New Roman"/>
          <w:sz w:val="18"/>
          <w:szCs w:val="18"/>
        </w:rPr>
        <w:t>C (terrestrial prey and refuse tips generally show lower δ</w:t>
      </w:r>
      <w:r w:rsidRPr="000C7CFA">
        <w:rPr>
          <w:rFonts w:ascii="Verdana" w:hAnsi="Verdana" w:cs="Times New Roman"/>
          <w:sz w:val="18"/>
          <w:szCs w:val="18"/>
          <w:vertAlign w:val="superscript"/>
        </w:rPr>
        <w:t>13</w:t>
      </w:r>
      <w:r w:rsidRPr="000C7CFA">
        <w:rPr>
          <w:rFonts w:ascii="Verdana" w:hAnsi="Verdana" w:cs="Times New Roman"/>
          <w:sz w:val="18"/>
          <w:szCs w:val="18"/>
        </w:rPr>
        <w:t>C-values than marine prey) and higher mean δ</w:t>
      </w:r>
      <w:r w:rsidRPr="000C7CFA">
        <w:rPr>
          <w:rFonts w:ascii="Verdana" w:hAnsi="Verdana" w:cs="Times New Roman"/>
          <w:sz w:val="18"/>
          <w:szCs w:val="18"/>
          <w:vertAlign w:val="superscript"/>
        </w:rPr>
        <w:t>15</w:t>
      </w:r>
      <w:r w:rsidRPr="000C7CFA">
        <w:rPr>
          <w:rFonts w:ascii="Verdana" w:hAnsi="Verdana" w:cs="Times New Roman"/>
          <w:sz w:val="18"/>
          <w:szCs w:val="18"/>
        </w:rPr>
        <w:t>N-values than Audou</w:t>
      </w:r>
      <w:r w:rsidR="001135EA" w:rsidRPr="000C7CFA">
        <w:rPr>
          <w:rFonts w:ascii="Verdana" w:hAnsi="Verdana" w:cs="Times New Roman"/>
          <w:sz w:val="18"/>
          <w:szCs w:val="18"/>
        </w:rPr>
        <w:t>i</w:t>
      </w:r>
      <w:r w:rsidRPr="000C7CFA">
        <w:rPr>
          <w:rFonts w:ascii="Verdana" w:hAnsi="Verdana" w:cs="Times New Roman"/>
          <w:sz w:val="18"/>
          <w:szCs w:val="18"/>
        </w:rPr>
        <w:t>n’s Gulls. There was however considerable overlap in individual δ</w:t>
      </w:r>
      <w:r w:rsidRPr="000C7CFA">
        <w:rPr>
          <w:rFonts w:ascii="Verdana" w:hAnsi="Verdana" w:cs="Times New Roman"/>
          <w:sz w:val="18"/>
          <w:szCs w:val="18"/>
          <w:vertAlign w:val="superscript"/>
        </w:rPr>
        <w:t>15</w:t>
      </w:r>
      <w:r w:rsidRPr="000C7CFA">
        <w:rPr>
          <w:rFonts w:ascii="Verdana" w:hAnsi="Verdana" w:cs="Times New Roman"/>
          <w:sz w:val="18"/>
          <w:szCs w:val="18"/>
        </w:rPr>
        <w:t>N values between the two species (range was 11.68</w:t>
      </w:r>
      <w:r w:rsidRPr="000C7CFA">
        <w:rPr>
          <w:rFonts w:ascii="Verdana" w:hAnsi="Verdana" w:cs="Times New Roman"/>
          <w:sz w:val="18"/>
          <w:szCs w:val="18"/>
        </w:rPr>
        <w:noBreakHyphen/>
        <w:t>12.73‰ and 9.24–12.06‰ for Audouin</w:t>
      </w:r>
      <w:r w:rsidR="0055705B" w:rsidRPr="000C7CFA">
        <w:rPr>
          <w:rFonts w:ascii="Verdana" w:hAnsi="Verdana" w:cs="Times New Roman"/>
          <w:sz w:val="18"/>
          <w:szCs w:val="18"/>
        </w:rPr>
        <w:t>’</w:t>
      </w:r>
      <w:r w:rsidRPr="000C7CFA">
        <w:rPr>
          <w:rFonts w:ascii="Verdana" w:hAnsi="Verdana" w:cs="Times New Roman"/>
          <w:sz w:val="18"/>
          <w:szCs w:val="18"/>
        </w:rPr>
        <w:t>s and Y</w:t>
      </w:r>
      <w:r w:rsidR="0055705B" w:rsidRPr="000C7CFA">
        <w:rPr>
          <w:rFonts w:ascii="Verdana" w:hAnsi="Verdana" w:cs="Times New Roman"/>
          <w:sz w:val="18"/>
          <w:szCs w:val="18"/>
        </w:rPr>
        <w:t>ellow-legged G</w:t>
      </w:r>
      <w:r w:rsidRPr="000C7CFA">
        <w:rPr>
          <w:rFonts w:ascii="Verdana" w:hAnsi="Verdana" w:cs="Times New Roman"/>
          <w:sz w:val="18"/>
          <w:szCs w:val="18"/>
        </w:rPr>
        <w:t>ulls, respectively) suggesting that the relatively small difference in the mean δ</w:t>
      </w:r>
      <w:r w:rsidRPr="000C7CFA">
        <w:rPr>
          <w:rFonts w:ascii="Verdana" w:hAnsi="Verdana" w:cs="Times New Roman"/>
          <w:sz w:val="18"/>
          <w:szCs w:val="18"/>
          <w:vertAlign w:val="superscript"/>
        </w:rPr>
        <w:t>15</w:t>
      </w:r>
      <w:r w:rsidRPr="000C7CFA">
        <w:rPr>
          <w:rFonts w:ascii="Verdana" w:hAnsi="Verdana" w:cs="Times New Roman"/>
          <w:sz w:val="18"/>
          <w:szCs w:val="18"/>
        </w:rPr>
        <w:t>N value between the two species (difference in the mean value was 1.32‰) was consistent with trophic positions of the two species being broadly similar. The generalised linear model analysis found that there was a significant relationship between δ</w:t>
      </w:r>
      <w:r w:rsidRPr="000C7CFA">
        <w:rPr>
          <w:rFonts w:ascii="Verdana" w:hAnsi="Verdana" w:cs="Times New Roman"/>
          <w:sz w:val="18"/>
          <w:szCs w:val="18"/>
          <w:vertAlign w:val="superscript"/>
        </w:rPr>
        <w:t>13</w:t>
      </w:r>
      <w:r w:rsidRPr="000C7CFA">
        <w:rPr>
          <w:rFonts w:ascii="Verdana" w:hAnsi="Verdana" w:cs="Times New Roman"/>
          <w:sz w:val="18"/>
          <w:szCs w:val="18"/>
        </w:rPr>
        <w:t>C and the total Dechlorane Plus content in the gull eggs, with the total Dechlorane Plus concentrations decreasing similarly with increasing δ</w:t>
      </w:r>
      <w:r w:rsidRPr="000C7CFA">
        <w:rPr>
          <w:rFonts w:ascii="Verdana" w:hAnsi="Verdana" w:cs="Times New Roman"/>
          <w:sz w:val="18"/>
          <w:szCs w:val="18"/>
          <w:vertAlign w:val="superscript"/>
        </w:rPr>
        <w:t>13</w:t>
      </w:r>
      <w:r w:rsidRPr="000C7CFA">
        <w:rPr>
          <w:rFonts w:ascii="Verdana" w:hAnsi="Verdana" w:cs="Times New Roman"/>
          <w:sz w:val="18"/>
          <w:szCs w:val="18"/>
        </w:rPr>
        <w:t>C within both species.</w:t>
      </w:r>
    </w:p>
    <w:p w14:paraId="4B1F1382" w14:textId="77777777" w:rsidR="00420A13" w:rsidRPr="000C7CFA" w:rsidRDefault="00420A13" w:rsidP="00420A13">
      <w:pPr>
        <w:pStyle w:val="NoSpacing"/>
        <w:ind w:left="360" w:right="657"/>
        <w:jc w:val="both"/>
        <w:rPr>
          <w:rFonts w:ascii="Verdana" w:hAnsi="Verdana" w:cs="Times New Roman"/>
          <w:sz w:val="18"/>
          <w:szCs w:val="18"/>
        </w:rPr>
      </w:pPr>
    </w:p>
    <w:p w14:paraId="023C4C08" w14:textId="6AA2D1E7" w:rsidR="00420A13" w:rsidRPr="000C7CFA" w:rsidRDefault="00420A13" w:rsidP="00420A13">
      <w:pPr>
        <w:pStyle w:val="NoSpacing"/>
        <w:ind w:left="360" w:right="657"/>
        <w:jc w:val="both"/>
        <w:rPr>
          <w:rFonts w:ascii="Verdana" w:hAnsi="Verdana" w:cs="Times New Roman"/>
          <w:sz w:val="18"/>
          <w:szCs w:val="18"/>
        </w:rPr>
      </w:pPr>
      <w:r w:rsidRPr="000C7CFA">
        <w:rPr>
          <w:rFonts w:ascii="Verdana" w:hAnsi="Verdana" w:cs="Times New Roman"/>
          <w:sz w:val="18"/>
          <w:szCs w:val="18"/>
        </w:rPr>
        <w:t xml:space="preserve">Overall it was concluded that the variations in concentration within and between the two species could be explained by foraging </w:t>
      </w:r>
      <w:r w:rsidR="001135EA" w:rsidRPr="000C7CFA">
        <w:rPr>
          <w:rFonts w:ascii="Verdana" w:hAnsi="Verdana" w:cs="Times New Roman"/>
          <w:sz w:val="18"/>
          <w:szCs w:val="18"/>
        </w:rPr>
        <w:t>behaviour</w:t>
      </w:r>
      <w:r w:rsidRPr="000C7CFA">
        <w:rPr>
          <w:rFonts w:ascii="Verdana" w:hAnsi="Verdana" w:cs="Times New Roman"/>
          <w:sz w:val="18"/>
          <w:szCs w:val="18"/>
        </w:rPr>
        <w:t xml:space="preserve"> and diet rather than by trophic position.</w:t>
      </w:r>
      <w:r w:rsidRPr="000C7CFA">
        <w:rPr>
          <w:rFonts w:ascii="Verdana" w:hAnsi="Verdana"/>
          <w:sz w:val="18"/>
          <w:szCs w:val="18"/>
        </w:rPr>
        <w:t xml:space="preserve"> </w:t>
      </w:r>
      <w:r w:rsidRPr="000C7CFA">
        <w:rPr>
          <w:rFonts w:ascii="Verdana" w:hAnsi="Verdana" w:cs="Times New Roman"/>
          <w:sz w:val="18"/>
          <w:szCs w:val="18"/>
        </w:rPr>
        <w:t xml:space="preserve">The relative increase in the consumption of terrestrial prey and/or food from refuse tips led to higher concentrations of Dechlorane Plus in the </w:t>
      </w:r>
      <w:r w:rsidR="0055705B" w:rsidRPr="000C7CFA">
        <w:rPr>
          <w:rFonts w:ascii="Verdana" w:hAnsi="Verdana" w:cs="Times New Roman"/>
          <w:sz w:val="18"/>
          <w:szCs w:val="18"/>
        </w:rPr>
        <w:t>Yellow-legged G</w:t>
      </w:r>
      <w:r w:rsidRPr="000C7CFA">
        <w:rPr>
          <w:rFonts w:ascii="Verdana" w:hAnsi="Verdana" w:cs="Times New Roman"/>
          <w:sz w:val="18"/>
          <w:szCs w:val="18"/>
        </w:rPr>
        <w:t>ulls.</w:t>
      </w:r>
    </w:p>
    <w:p w14:paraId="5E3D6E4D" w14:textId="77777777" w:rsidR="00420A13" w:rsidRPr="000C7CFA" w:rsidRDefault="00420A13" w:rsidP="00420A13">
      <w:pPr>
        <w:pStyle w:val="NoSpacing"/>
        <w:ind w:left="360" w:right="657"/>
        <w:jc w:val="both"/>
        <w:rPr>
          <w:rFonts w:ascii="Verdana" w:hAnsi="Verdana" w:cs="Times New Roman"/>
          <w:sz w:val="18"/>
          <w:szCs w:val="18"/>
        </w:rPr>
      </w:pPr>
    </w:p>
    <w:p w14:paraId="75BD5DEF" w14:textId="77777777" w:rsidR="00420A13" w:rsidRPr="000C7CFA" w:rsidRDefault="00420A13" w:rsidP="00420A13">
      <w:pPr>
        <w:pStyle w:val="NoSpacing"/>
        <w:ind w:left="360" w:right="657"/>
        <w:jc w:val="both"/>
        <w:rPr>
          <w:rFonts w:ascii="Verdana" w:hAnsi="Verdana" w:cs="Times New Roman"/>
          <w:sz w:val="18"/>
          <w:szCs w:val="18"/>
        </w:rPr>
      </w:pPr>
      <w:r w:rsidRPr="000C7CFA">
        <w:rPr>
          <w:rFonts w:ascii="Verdana" w:hAnsi="Verdana" w:cs="Times New Roman"/>
          <w:sz w:val="18"/>
          <w:szCs w:val="18"/>
        </w:rPr>
        <w:t xml:space="preserve">The </w:t>
      </w:r>
      <w:proofErr w:type="gramStart"/>
      <w:r w:rsidRPr="000C7CFA">
        <w:rPr>
          <w:rFonts w:ascii="Verdana" w:hAnsi="Verdana" w:cs="Times New Roman"/>
          <w:sz w:val="18"/>
          <w:szCs w:val="18"/>
        </w:rPr>
        <w:t>f</w:t>
      </w:r>
      <w:r w:rsidRPr="000C7CFA">
        <w:rPr>
          <w:rFonts w:ascii="Verdana" w:hAnsi="Verdana" w:cs="Times New Roman"/>
          <w:sz w:val="18"/>
          <w:szCs w:val="18"/>
          <w:vertAlign w:val="subscript"/>
        </w:rPr>
        <w:t>anti</w:t>
      </w:r>
      <w:proofErr w:type="gramEnd"/>
      <w:r w:rsidRPr="000C7CFA">
        <w:rPr>
          <w:rFonts w:ascii="Verdana" w:hAnsi="Verdana" w:cs="Times New Roman"/>
          <w:sz w:val="18"/>
          <w:szCs w:val="18"/>
        </w:rPr>
        <w:t xml:space="preserve"> in the eggs was found to be similar in both species, with mean values of 0.81 for Yellow-legged Gulls and 0.82 for Audouin’s Gulls.   Anti-[DP-1Cl] was quantified in </w:t>
      </w:r>
      <w:r w:rsidRPr="000C7CFA">
        <w:rPr>
          <w:rFonts w:ascii="Cambria Math" w:hAnsi="Cambria Math" w:cs="Cambria Math"/>
          <w:sz w:val="18"/>
          <w:szCs w:val="18"/>
        </w:rPr>
        <w:t>∼</w:t>
      </w:r>
      <w:r w:rsidRPr="000C7CFA">
        <w:rPr>
          <w:rFonts w:ascii="Verdana" w:hAnsi="Verdana" w:cs="Times New Roman"/>
          <w:sz w:val="18"/>
          <w:szCs w:val="18"/>
        </w:rPr>
        <w:t>58 % of Yellow-legged Gull eggs but none of the Audouin’s Gull eggs, suggesting that species-dependent factors influence the bioaccumulation and/or biotransformation of Dechlorane Plus. Anti-[DP-2Cl] was not detectable in any sample.</w:t>
      </w:r>
    </w:p>
    <w:p w14:paraId="7CC9821F" w14:textId="77777777" w:rsidR="0055705B" w:rsidRPr="000C7CFA" w:rsidRDefault="0055705B" w:rsidP="000A653E">
      <w:pPr>
        <w:pStyle w:val="BodyText"/>
        <w:ind w:left="360" w:right="657"/>
        <w:rPr>
          <w:rFonts w:ascii="Verdana" w:hAnsi="Verdana"/>
          <w:sz w:val="18"/>
          <w:szCs w:val="18"/>
        </w:rPr>
      </w:pPr>
    </w:p>
    <w:p w14:paraId="5991D978" w14:textId="77777777" w:rsidR="000A653E" w:rsidRPr="000C7CFA" w:rsidRDefault="000A653E" w:rsidP="000A653E">
      <w:pPr>
        <w:pStyle w:val="BodyText"/>
        <w:ind w:left="360" w:right="657"/>
        <w:rPr>
          <w:rFonts w:ascii="Verdana" w:hAnsi="Verdana"/>
          <w:sz w:val="18"/>
          <w:szCs w:val="18"/>
        </w:rPr>
      </w:pPr>
      <w:r w:rsidRPr="000C7CFA">
        <w:rPr>
          <w:rFonts w:ascii="Verdana" w:hAnsi="Verdana"/>
          <w:sz w:val="18"/>
          <w:szCs w:val="18"/>
        </w:rPr>
        <w:t>This study is not included in the registration dossier.</w:t>
      </w:r>
    </w:p>
    <w:p w14:paraId="4B50B453" w14:textId="77777777" w:rsidR="00F0006B" w:rsidRPr="000C7CFA" w:rsidRDefault="00F0006B" w:rsidP="00F0006B">
      <w:pPr>
        <w:pStyle w:val="NoSpacing"/>
        <w:spacing w:after="180"/>
        <w:ind w:left="360" w:right="657"/>
        <w:jc w:val="both"/>
        <w:rPr>
          <w:rFonts w:ascii="Verdana" w:hAnsi="Verdana" w:cs="Times New Roman"/>
          <w:sz w:val="18"/>
          <w:szCs w:val="18"/>
        </w:rPr>
      </w:pPr>
    </w:p>
    <w:p w14:paraId="7222A4EC" w14:textId="66490039" w:rsidR="00F0006B" w:rsidRPr="000C7CFA" w:rsidRDefault="00F0006B" w:rsidP="00DC3658">
      <w:pPr>
        <w:pStyle w:val="BodyText"/>
        <w:numPr>
          <w:ilvl w:val="0"/>
          <w:numId w:val="6"/>
        </w:numPr>
        <w:ind w:right="657"/>
        <w:rPr>
          <w:rFonts w:ascii="Verdana" w:hAnsi="Verdana"/>
          <w:sz w:val="18"/>
          <w:szCs w:val="18"/>
        </w:rPr>
      </w:pPr>
      <w:r w:rsidRPr="000C7CFA">
        <w:rPr>
          <w:rFonts w:ascii="Verdana" w:hAnsi="Verdana"/>
          <w:sz w:val="18"/>
          <w:szCs w:val="18"/>
          <w:u w:val="single"/>
        </w:rPr>
        <w:t xml:space="preserve">Zhang </w:t>
      </w:r>
      <w:r w:rsidRPr="000C7CFA">
        <w:rPr>
          <w:rFonts w:ascii="Verdana" w:hAnsi="Verdana"/>
          <w:i/>
          <w:sz w:val="18"/>
          <w:szCs w:val="18"/>
          <w:u w:val="single"/>
        </w:rPr>
        <w:t>et al.</w:t>
      </w:r>
      <w:r w:rsidRPr="000C7CFA">
        <w:rPr>
          <w:rFonts w:ascii="Verdana" w:hAnsi="Verdana"/>
          <w:sz w:val="18"/>
          <w:szCs w:val="18"/>
          <w:u w:val="single"/>
        </w:rPr>
        <w:t xml:space="preserve"> (2010b)</w:t>
      </w:r>
      <w:r w:rsidRPr="000C7CFA">
        <w:rPr>
          <w:rFonts w:ascii="Verdana" w:hAnsi="Verdana"/>
          <w:sz w:val="18"/>
          <w:szCs w:val="18"/>
        </w:rPr>
        <w:t xml:space="preserve"> determined the levels of Dechlorane Plus in an aquatic food web consisting of invertebrates and fish from an electronic waste recycling site in Southern China. The samples include Hydrobidae (</w:t>
      </w:r>
      <w:r w:rsidRPr="000C7CFA">
        <w:rPr>
          <w:rFonts w:ascii="Verdana" w:hAnsi="Verdana"/>
          <w:i/>
          <w:sz w:val="18"/>
          <w:szCs w:val="18"/>
        </w:rPr>
        <w:t>Cipanopaludina catheyensis</w:t>
      </w:r>
      <w:r w:rsidRPr="000C7CFA">
        <w:rPr>
          <w:rFonts w:ascii="Verdana" w:hAnsi="Verdana"/>
          <w:sz w:val="18"/>
          <w:szCs w:val="18"/>
        </w:rPr>
        <w:t xml:space="preserve"> and </w:t>
      </w:r>
      <w:r w:rsidRPr="000C7CFA">
        <w:rPr>
          <w:rFonts w:ascii="Verdana" w:hAnsi="Verdana"/>
          <w:i/>
          <w:sz w:val="18"/>
          <w:szCs w:val="18"/>
        </w:rPr>
        <w:t>Oncomelania</w:t>
      </w:r>
      <w:r w:rsidRPr="000C7CFA">
        <w:rPr>
          <w:rFonts w:ascii="Verdana" w:hAnsi="Verdana"/>
          <w:sz w:val="18"/>
          <w:szCs w:val="18"/>
        </w:rPr>
        <w:t xml:space="preserve"> sp., n=5, TL=2.0), Crucian Carp (</w:t>
      </w:r>
      <w:r w:rsidRPr="000C7CFA">
        <w:rPr>
          <w:rFonts w:ascii="Verdana" w:hAnsi="Verdana"/>
          <w:i/>
          <w:sz w:val="18"/>
          <w:szCs w:val="18"/>
        </w:rPr>
        <w:t>Carassius auratus,</w:t>
      </w:r>
      <w:r w:rsidRPr="000C7CFA">
        <w:rPr>
          <w:rFonts w:ascii="Verdana" w:hAnsi="Verdana"/>
          <w:sz w:val="18"/>
          <w:szCs w:val="18"/>
        </w:rPr>
        <w:t xml:space="preserve"> n=7, TL=2.7), Common Carp (</w:t>
      </w:r>
      <w:r w:rsidRPr="000C7CFA">
        <w:rPr>
          <w:rFonts w:ascii="Verdana" w:hAnsi="Verdana"/>
          <w:i/>
          <w:sz w:val="18"/>
          <w:szCs w:val="18"/>
        </w:rPr>
        <w:t>Cyprinus carpio</w:t>
      </w:r>
      <w:r w:rsidRPr="000C7CFA">
        <w:rPr>
          <w:rFonts w:ascii="Verdana" w:hAnsi="Verdana"/>
          <w:sz w:val="18"/>
          <w:szCs w:val="18"/>
        </w:rPr>
        <w:t>, n=6, TL=2.7), Walking Catfish (</w:t>
      </w:r>
      <w:r w:rsidRPr="000C7CFA">
        <w:rPr>
          <w:rFonts w:ascii="Verdana" w:hAnsi="Verdana"/>
          <w:i/>
          <w:sz w:val="18"/>
          <w:szCs w:val="18"/>
        </w:rPr>
        <w:t>Clarias batrachus</w:t>
      </w:r>
      <w:r w:rsidRPr="000C7CFA">
        <w:rPr>
          <w:rFonts w:ascii="Verdana" w:hAnsi="Verdana"/>
          <w:sz w:val="18"/>
          <w:szCs w:val="18"/>
        </w:rPr>
        <w:t>, n=6, TL=2.7) and Nothern Snakehead (</w:t>
      </w:r>
      <w:r w:rsidRPr="000C7CFA">
        <w:rPr>
          <w:rFonts w:ascii="Verdana" w:hAnsi="Verdana"/>
          <w:i/>
          <w:sz w:val="18"/>
          <w:szCs w:val="18"/>
        </w:rPr>
        <w:t xml:space="preserve">Channa </w:t>
      </w:r>
      <w:proofErr w:type="gramStart"/>
      <w:r w:rsidRPr="000C7CFA">
        <w:rPr>
          <w:rFonts w:ascii="Verdana" w:hAnsi="Verdana"/>
          <w:i/>
          <w:sz w:val="18"/>
          <w:szCs w:val="18"/>
        </w:rPr>
        <w:t>argus</w:t>
      </w:r>
      <w:proofErr w:type="gramEnd"/>
      <w:r w:rsidRPr="000C7CFA">
        <w:rPr>
          <w:rFonts w:ascii="Verdana" w:hAnsi="Verdana"/>
          <w:sz w:val="18"/>
          <w:szCs w:val="18"/>
        </w:rPr>
        <w:t>, n=7, TL=3.3). The samples analysed were either muscle samples (fish) or soft body parts (invertebrates). The limit of detection of the analytical method used was</w:t>
      </w:r>
      <w:r w:rsidR="001135EA" w:rsidRPr="000C7CFA">
        <w:rPr>
          <w:rFonts w:ascii="Verdana" w:hAnsi="Verdana"/>
          <w:sz w:val="18"/>
          <w:szCs w:val="18"/>
        </w:rPr>
        <w:t xml:space="preserve"> 0.01-0.05 μg/kg lipid. Dechlora</w:t>
      </w:r>
      <w:r w:rsidRPr="000C7CFA">
        <w:rPr>
          <w:rFonts w:ascii="Verdana" w:hAnsi="Verdana"/>
          <w:sz w:val="18"/>
          <w:szCs w:val="18"/>
        </w:rPr>
        <w:t xml:space="preserve">ne Plus was only detectable in a few samples of Hydrobidae (&lt;LoD-14 μg/kg lipid weight) and Northern Snakehead (&lt;LoD-12.5 μg/kg lipid) and the mean concentration in all species was &lt;LoD. It is not possible to draw any meaningful conclusions from these data owing to the large number of non-detects. </w:t>
      </w:r>
    </w:p>
    <w:p w14:paraId="361DEA98" w14:textId="77777777" w:rsidR="00F0006B" w:rsidRPr="000C7CFA" w:rsidRDefault="00F0006B" w:rsidP="00F0006B">
      <w:pPr>
        <w:pStyle w:val="BodyText"/>
        <w:ind w:left="360" w:right="657"/>
        <w:rPr>
          <w:rFonts w:ascii="Verdana" w:hAnsi="Verdana"/>
          <w:sz w:val="18"/>
          <w:szCs w:val="18"/>
        </w:rPr>
      </w:pPr>
      <w:r w:rsidRPr="000C7CFA">
        <w:rPr>
          <w:rFonts w:ascii="Verdana" w:hAnsi="Verdana"/>
          <w:sz w:val="18"/>
          <w:szCs w:val="18"/>
        </w:rPr>
        <w:t>This study is not included in the registration dossier.</w:t>
      </w:r>
    </w:p>
    <w:p w14:paraId="34BDA29C" w14:textId="77777777" w:rsidR="00F0006B" w:rsidRPr="000C7CFA" w:rsidRDefault="00F0006B" w:rsidP="00F0006B">
      <w:pPr>
        <w:pStyle w:val="BodyText"/>
        <w:ind w:left="360" w:right="657"/>
        <w:rPr>
          <w:rFonts w:ascii="Verdana" w:hAnsi="Verdana"/>
          <w:sz w:val="18"/>
          <w:szCs w:val="18"/>
        </w:rPr>
      </w:pPr>
    </w:p>
    <w:p w14:paraId="6A1408E5" w14:textId="26B90E4D" w:rsidR="00F0006B" w:rsidRPr="000C7CFA" w:rsidRDefault="00F0006B" w:rsidP="00DC3658">
      <w:pPr>
        <w:pStyle w:val="BodyText"/>
        <w:numPr>
          <w:ilvl w:val="0"/>
          <w:numId w:val="6"/>
        </w:numPr>
        <w:ind w:right="657"/>
        <w:rPr>
          <w:rFonts w:ascii="Verdana" w:hAnsi="Verdana"/>
          <w:sz w:val="18"/>
          <w:szCs w:val="18"/>
        </w:rPr>
      </w:pPr>
      <w:r w:rsidRPr="000C7CFA">
        <w:rPr>
          <w:rFonts w:ascii="Verdana" w:hAnsi="Verdana"/>
          <w:sz w:val="18"/>
          <w:szCs w:val="18"/>
          <w:u w:val="single"/>
        </w:rPr>
        <w:t xml:space="preserve">Kim </w:t>
      </w:r>
      <w:r w:rsidRPr="000C7CFA">
        <w:rPr>
          <w:rFonts w:ascii="Verdana" w:hAnsi="Verdana"/>
          <w:i/>
          <w:sz w:val="18"/>
          <w:szCs w:val="18"/>
          <w:u w:val="single"/>
        </w:rPr>
        <w:t>et al.</w:t>
      </w:r>
      <w:r w:rsidRPr="000C7CFA">
        <w:rPr>
          <w:rFonts w:ascii="Verdana" w:hAnsi="Verdana"/>
          <w:sz w:val="18"/>
          <w:szCs w:val="18"/>
          <w:u w:val="single"/>
        </w:rPr>
        <w:t xml:space="preserve"> (2015)</w:t>
      </w:r>
      <w:r w:rsidRPr="000C7CFA">
        <w:rPr>
          <w:rFonts w:ascii="Verdana" w:hAnsi="Verdana"/>
          <w:sz w:val="18"/>
          <w:szCs w:val="18"/>
        </w:rPr>
        <w:t xml:space="preserve"> investigated the potential for biomagnification of Dechlorane Plus in seabirds from King George Island, Antarctica. The pectoral muscle tissue samples were collected between December 2008 and February 2009 from already dead animals. The species included Gentoo Penguin (</w:t>
      </w:r>
      <w:r w:rsidRPr="000C7CFA">
        <w:rPr>
          <w:rFonts w:ascii="Verdana" w:hAnsi="Verdana"/>
          <w:i/>
          <w:sz w:val="18"/>
          <w:szCs w:val="18"/>
        </w:rPr>
        <w:t>Pygoscelis papua</w:t>
      </w:r>
      <w:r w:rsidRPr="000C7CFA">
        <w:rPr>
          <w:rFonts w:ascii="Verdana" w:hAnsi="Verdana"/>
          <w:sz w:val="18"/>
          <w:szCs w:val="18"/>
        </w:rPr>
        <w:t xml:space="preserve">, n=2), </w:t>
      </w:r>
      <w:r w:rsidR="003F6F51" w:rsidRPr="000C7CFA">
        <w:rPr>
          <w:rFonts w:ascii="Verdana" w:hAnsi="Verdana"/>
          <w:sz w:val="18"/>
          <w:szCs w:val="18"/>
        </w:rPr>
        <w:t xml:space="preserve">Adélie </w:t>
      </w:r>
      <w:r w:rsidRPr="000C7CFA">
        <w:rPr>
          <w:rFonts w:ascii="Verdana" w:hAnsi="Verdana"/>
          <w:sz w:val="18"/>
          <w:szCs w:val="18"/>
        </w:rPr>
        <w:t>Penguin (</w:t>
      </w:r>
      <w:r w:rsidRPr="000C7CFA">
        <w:rPr>
          <w:rFonts w:ascii="Verdana" w:hAnsi="Verdana"/>
          <w:i/>
          <w:sz w:val="18"/>
          <w:szCs w:val="18"/>
        </w:rPr>
        <w:t xml:space="preserve">Pygoscelis adeliae, </w:t>
      </w:r>
      <w:r w:rsidRPr="000C7CFA">
        <w:rPr>
          <w:rFonts w:ascii="Verdana" w:hAnsi="Verdana"/>
          <w:sz w:val="18"/>
          <w:szCs w:val="18"/>
        </w:rPr>
        <w:t>n=2), South Polar Skua (</w:t>
      </w:r>
      <w:r w:rsidRPr="000C7CFA">
        <w:rPr>
          <w:rFonts w:ascii="Verdana" w:hAnsi="Verdana"/>
          <w:i/>
          <w:sz w:val="18"/>
          <w:szCs w:val="18"/>
        </w:rPr>
        <w:t>Stercorarius maccormicki</w:t>
      </w:r>
      <w:r w:rsidRPr="000C7CFA">
        <w:rPr>
          <w:rFonts w:ascii="Verdana" w:hAnsi="Verdana"/>
          <w:sz w:val="18"/>
          <w:szCs w:val="18"/>
        </w:rPr>
        <w:t>, n=1) and Brown Skua (</w:t>
      </w:r>
      <w:r w:rsidRPr="000C7CFA">
        <w:rPr>
          <w:rFonts w:ascii="Verdana" w:hAnsi="Verdana"/>
          <w:i/>
          <w:sz w:val="18"/>
          <w:szCs w:val="18"/>
        </w:rPr>
        <w:t>Stercorarius antarcticus</w:t>
      </w:r>
      <w:r w:rsidRPr="000C7CFA">
        <w:rPr>
          <w:rFonts w:ascii="Verdana" w:hAnsi="Verdana"/>
          <w:sz w:val="18"/>
          <w:szCs w:val="18"/>
        </w:rPr>
        <w:t xml:space="preserve">, n=4). Dechlorane Plus was detected in all samples and the total concentrations were in the range 0.250-0.329 μg/kg lipid in the penguins and 2.12-11.1 μg/kg lipid in the skuas. The concentration of the anti-isomer was higher than that of the syn-isomer and the </w:t>
      </w:r>
      <w:proofErr w:type="gramStart"/>
      <w:r w:rsidRPr="000C7CFA">
        <w:rPr>
          <w:rFonts w:ascii="Verdana" w:hAnsi="Verdana"/>
          <w:sz w:val="18"/>
          <w:szCs w:val="18"/>
        </w:rPr>
        <w:t>f</w:t>
      </w:r>
      <w:r w:rsidRPr="000C7CFA">
        <w:rPr>
          <w:rFonts w:ascii="Verdana" w:hAnsi="Verdana"/>
          <w:sz w:val="18"/>
          <w:szCs w:val="18"/>
          <w:vertAlign w:val="subscript"/>
        </w:rPr>
        <w:t>anti</w:t>
      </w:r>
      <w:proofErr w:type="gramEnd"/>
      <w:r w:rsidRPr="000C7CFA">
        <w:rPr>
          <w:rFonts w:ascii="Verdana" w:hAnsi="Verdana"/>
          <w:sz w:val="18"/>
          <w:szCs w:val="18"/>
        </w:rPr>
        <w:t xml:space="preserve"> was </w:t>
      </w:r>
      <w:r w:rsidR="001135EA" w:rsidRPr="000C7CFA">
        <w:rPr>
          <w:rFonts w:ascii="Verdana" w:hAnsi="Verdana"/>
          <w:sz w:val="18"/>
          <w:szCs w:val="18"/>
        </w:rPr>
        <w:t>between</w:t>
      </w:r>
      <w:r w:rsidRPr="000C7CFA">
        <w:rPr>
          <w:rFonts w:ascii="Verdana" w:hAnsi="Verdana"/>
          <w:sz w:val="18"/>
          <w:szCs w:val="18"/>
        </w:rPr>
        <w:t xml:space="preserve"> 0.71 and 0.78 in penguins and 0.69 and 0.89 in the skuas. Kim </w:t>
      </w:r>
      <w:r w:rsidRPr="000C7CFA">
        <w:rPr>
          <w:rFonts w:ascii="Verdana" w:hAnsi="Verdana"/>
          <w:i/>
          <w:sz w:val="18"/>
          <w:szCs w:val="18"/>
        </w:rPr>
        <w:t>et al.</w:t>
      </w:r>
      <w:r w:rsidRPr="000C7CFA">
        <w:rPr>
          <w:rFonts w:ascii="Verdana" w:hAnsi="Verdana"/>
          <w:sz w:val="18"/>
          <w:szCs w:val="18"/>
        </w:rPr>
        <w:t xml:space="preserve"> (2015) estimated BMF values between skuas and penguins on the basis that skuas are predators of penguins, and these were reported to be 18.9 for syn-DP and 21.5 for anti-DP. These values indicate that biomagnification may be occurring from penguins to skuas. However these results should be treated with caution since (as noted by Kim </w:t>
      </w:r>
      <w:r w:rsidRPr="000C7CFA">
        <w:rPr>
          <w:rFonts w:ascii="Verdana" w:hAnsi="Verdana"/>
          <w:i/>
          <w:sz w:val="18"/>
          <w:szCs w:val="18"/>
        </w:rPr>
        <w:t>et al.</w:t>
      </w:r>
      <w:r w:rsidRPr="000C7CFA">
        <w:rPr>
          <w:rFonts w:ascii="Verdana" w:hAnsi="Verdana"/>
          <w:sz w:val="18"/>
          <w:szCs w:val="18"/>
        </w:rPr>
        <w:t xml:space="preserve">, 2015) both South Polar Skua and Brown Skua are migratory species, overwintering in low latitude regions of the Atlantic, South America and North Pacific, whereas penguins are known to spend their entire life in the Southern Ocean and Antarctica. In addition, the prey of skuas includes other birds, eggs and fish. Therefore there are significant uncertainties in these BMF values. </w:t>
      </w:r>
    </w:p>
    <w:p w14:paraId="1DA62B4F" w14:textId="77777777" w:rsidR="00F0006B" w:rsidRPr="000C7CFA" w:rsidRDefault="00F0006B" w:rsidP="00F0006B">
      <w:pPr>
        <w:pStyle w:val="BodyText"/>
        <w:ind w:left="360" w:right="657"/>
        <w:rPr>
          <w:rFonts w:ascii="Verdana" w:hAnsi="Verdana"/>
          <w:sz w:val="18"/>
          <w:szCs w:val="18"/>
        </w:rPr>
      </w:pPr>
      <w:r w:rsidRPr="000C7CFA">
        <w:rPr>
          <w:rFonts w:ascii="Verdana" w:hAnsi="Verdana"/>
          <w:sz w:val="18"/>
          <w:szCs w:val="18"/>
        </w:rPr>
        <w:t>This study is not included in the registration dossier.</w:t>
      </w:r>
    </w:p>
    <w:p w14:paraId="0AD841AE" w14:textId="77777777" w:rsidR="00F0006B" w:rsidRPr="000C7CFA" w:rsidRDefault="00F0006B" w:rsidP="00F0006B">
      <w:pPr>
        <w:pStyle w:val="BodyText"/>
        <w:ind w:left="360" w:right="657"/>
        <w:rPr>
          <w:rFonts w:ascii="Verdana" w:hAnsi="Verdana"/>
          <w:sz w:val="18"/>
          <w:szCs w:val="18"/>
        </w:rPr>
      </w:pPr>
    </w:p>
    <w:p w14:paraId="255C6ABB" w14:textId="05DB4619" w:rsidR="00F0006B" w:rsidRPr="000C7CFA" w:rsidRDefault="00F0006B" w:rsidP="00DC3658">
      <w:pPr>
        <w:pStyle w:val="BodyText"/>
        <w:numPr>
          <w:ilvl w:val="0"/>
          <w:numId w:val="6"/>
        </w:numPr>
        <w:ind w:right="657"/>
        <w:rPr>
          <w:rFonts w:ascii="Verdana" w:hAnsi="Verdana"/>
          <w:sz w:val="18"/>
          <w:szCs w:val="18"/>
        </w:rPr>
      </w:pPr>
      <w:r w:rsidRPr="000C7CFA">
        <w:rPr>
          <w:rFonts w:ascii="Verdana" w:hAnsi="Verdana"/>
          <w:sz w:val="18"/>
          <w:szCs w:val="18"/>
        </w:rPr>
        <w:t>The maternal transfer of syn- and anti-DP in Northern Snakehead (</w:t>
      </w:r>
      <w:r w:rsidRPr="000C7CFA">
        <w:rPr>
          <w:rFonts w:ascii="Verdana" w:hAnsi="Verdana"/>
          <w:i/>
          <w:sz w:val="18"/>
          <w:szCs w:val="18"/>
        </w:rPr>
        <w:t xml:space="preserve">Channa </w:t>
      </w:r>
      <w:proofErr w:type="gramStart"/>
      <w:r w:rsidRPr="000C7CFA">
        <w:rPr>
          <w:rFonts w:ascii="Verdana" w:hAnsi="Verdana"/>
          <w:i/>
          <w:sz w:val="18"/>
          <w:szCs w:val="18"/>
        </w:rPr>
        <w:t>argus</w:t>
      </w:r>
      <w:proofErr w:type="gramEnd"/>
      <w:r w:rsidRPr="000C7CFA">
        <w:rPr>
          <w:rFonts w:ascii="Verdana" w:hAnsi="Verdana"/>
          <w:sz w:val="18"/>
          <w:szCs w:val="18"/>
        </w:rPr>
        <w:t>) and Crucian Carp (</w:t>
      </w:r>
      <w:r w:rsidRPr="000C7CFA">
        <w:rPr>
          <w:rFonts w:ascii="Verdana" w:hAnsi="Verdana"/>
          <w:i/>
          <w:sz w:val="18"/>
          <w:szCs w:val="18"/>
        </w:rPr>
        <w:t>Carassius auratus</w:t>
      </w:r>
      <w:r w:rsidRPr="000C7CFA">
        <w:rPr>
          <w:rFonts w:ascii="Verdana" w:hAnsi="Verdana"/>
          <w:sz w:val="18"/>
          <w:szCs w:val="18"/>
        </w:rPr>
        <w:t xml:space="preserve">) has been studied by </w:t>
      </w:r>
      <w:r w:rsidRPr="000C7CFA">
        <w:rPr>
          <w:rFonts w:ascii="Verdana" w:hAnsi="Verdana"/>
          <w:sz w:val="18"/>
          <w:szCs w:val="18"/>
          <w:u w:val="single"/>
        </w:rPr>
        <w:t xml:space="preserve">Wu </w:t>
      </w:r>
      <w:r w:rsidRPr="000C7CFA">
        <w:rPr>
          <w:rFonts w:ascii="Verdana" w:hAnsi="Verdana"/>
          <w:i/>
          <w:sz w:val="18"/>
          <w:szCs w:val="18"/>
          <w:u w:val="single"/>
        </w:rPr>
        <w:t>et al.</w:t>
      </w:r>
      <w:r w:rsidRPr="000C7CFA">
        <w:rPr>
          <w:rFonts w:ascii="Verdana" w:hAnsi="Verdana"/>
          <w:sz w:val="18"/>
          <w:szCs w:val="18"/>
          <w:u w:val="single"/>
        </w:rPr>
        <w:t xml:space="preserve"> (2013)</w:t>
      </w:r>
      <w:r w:rsidRPr="000C7CFA">
        <w:rPr>
          <w:rFonts w:ascii="Verdana" w:hAnsi="Verdana"/>
          <w:sz w:val="18"/>
          <w:szCs w:val="18"/>
        </w:rPr>
        <w:t>. The two species are bottom-feeding species and were collected from an electronics waste recycling site in China. A total of 9 males, 9 females and 9 egg samples were collected for Nothern Snakehead</w:t>
      </w:r>
      <w:r w:rsidRPr="000C7CFA">
        <w:rPr>
          <w:rFonts w:ascii="Verdana" w:hAnsi="Verdana"/>
          <w:i/>
          <w:sz w:val="18"/>
          <w:szCs w:val="18"/>
        </w:rPr>
        <w:t xml:space="preserve"> </w:t>
      </w:r>
      <w:r w:rsidRPr="000C7CFA">
        <w:rPr>
          <w:rFonts w:ascii="Verdana" w:hAnsi="Verdana"/>
          <w:sz w:val="18"/>
          <w:szCs w:val="18"/>
        </w:rPr>
        <w:t xml:space="preserve">and 5 males, 10 females and 10 egg samples were collected for Crucian Carp. Hepatic total Dechlorane Plus concentrations were between 250 </w:t>
      </w:r>
      <w:r w:rsidR="008610EB" w:rsidRPr="000C7CFA">
        <w:rPr>
          <w:rFonts w:ascii="Verdana" w:hAnsi="Verdana"/>
          <w:sz w:val="18"/>
          <w:szCs w:val="18"/>
        </w:rPr>
        <w:t>and 1 </w:t>
      </w:r>
      <w:r w:rsidRPr="000C7CFA">
        <w:rPr>
          <w:rFonts w:ascii="Verdana" w:hAnsi="Verdana"/>
          <w:sz w:val="18"/>
          <w:szCs w:val="18"/>
        </w:rPr>
        <w:t>920 μg/kg lipid in Nothern Snakehead</w:t>
      </w:r>
      <w:r w:rsidRPr="000C7CFA">
        <w:rPr>
          <w:rFonts w:ascii="Verdana" w:hAnsi="Verdana"/>
          <w:i/>
          <w:sz w:val="18"/>
          <w:szCs w:val="18"/>
        </w:rPr>
        <w:t xml:space="preserve"> </w:t>
      </w:r>
      <w:r w:rsidRPr="000C7CFA">
        <w:rPr>
          <w:rFonts w:ascii="Verdana" w:hAnsi="Verdana"/>
          <w:sz w:val="18"/>
          <w:szCs w:val="18"/>
        </w:rPr>
        <w:t>and between 340 and 1</w:t>
      </w:r>
      <w:r w:rsidR="008610EB" w:rsidRPr="000C7CFA">
        <w:rPr>
          <w:rFonts w:ascii="Verdana" w:hAnsi="Verdana"/>
          <w:sz w:val="18"/>
          <w:szCs w:val="18"/>
        </w:rPr>
        <w:t> </w:t>
      </w:r>
      <w:r w:rsidRPr="000C7CFA">
        <w:rPr>
          <w:rFonts w:ascii="Verdana" w:hAnsi="Verdana"/>
          <w:sz w:val="18"/>
          <w:szCs w:val="18"/>
        </w:rPr>
        <w:t>670 μg/kg lipid in Crucian Carp. In both species the levels in males (median level 720 μg/kg lipid in Nothern Snakehead and 1</w:t>
      </w:r>
      <w:r w:rsidR="008610EB" w:rsidRPr="000C7CFA">
        <w:rPr>
          <w:rFonts w:ascii="Verdana" w:hAnsi="Verdana"/>
          <w:sz w:val="18"/>
          <w:szCs w:val="18"/>
        </w:rPr>
        <w:t> </w:t>
      </w:r>
      <w:r w:rsidRPr="000C7CFA">
        <w:rPr>
          <w:rFonts w:ascii="Verdana" w:hAnsi="Verdana"/>
          <w:sz w:val="18"/>
          <w:szCs w:val="18"/>
        </w:rPr>
        <w:t>250</w:t>
      </w:r>
      <w:r w:rsidR="008610EB" w:rsidRPr="000C7CFA">
        <w:rPr>
          <w:rFonts w:ascii="Verdana" w:hAnsi="Verdana"/>
          <w:sz w:val="18"/>
          <w:szCs w:val="18"/>
        </w:rPr>
        <w:t> </w:t>
      </w:r>
      <w:r w:rsidRPr="000C7CFA">
        <w:rPr>
          <w:rFonts w:ascii="Verdana" w:hAnsi="Verdana"/>
          <w:sz w:val="18"/>
          <w:szCs w:val="18"/>
        </w:rPr>
        <w:t xml:space="preserve">μg/kg lipid in Crucian Carp) were significantly (p&lt;0.05) higher than in females (median level 580 μg/kg lipid in Nothern Snakehead and 540 μg/kg lipid in Crucian Carp). The total Dechlorane Plus concentration in eggs was between 4.6 and 310 μg/kg lipid indicating </w:t>
      </w:r>
      <w:r w:rsidR="001135EA" w:rsidRPr="000C7CFA">
        <w:rPr>
          <w:rFonts w:ascii="Verdana" w:hAnsi="Verdana"/>
          <w:sz w:val="18"/>
          <w:szCs w:val="18"/>
        </w:rPr>
        <w:t>that</w:t>
      </w:r>
      <w:r w:rsidRPr="000C7CFA">
        <w:rPr>
          <w:rFonts w:ascii="Verdana" w:hAnsi="Verdana"/>
          <w:sz w:val="18"/>
          <w:szCs w:val="18"/>
        </w:rPr>
        <w:t xml:space="preserve"> maternal transfer was occurring. The mean egg/liver concentration ratios were 0.03 and 0.03 in Nothern Snakehead and 0.26 and 0.25 in Crucian Carp for syn- and anti-DP, respectively. A significant negative correlation between the egg/liver concentration ratio and the hepatic concentrations suggested that maternal transfer of Dechlorane Plus was occurring. Wu </w:t>
      </w:r>
      <w:r w:rsidRPr="000C7CFA">
        <w:rPr>
          <w:rFonts w:ascii="Verdana" w:hAnsi="Verdana"/>
          <w:i/>
          <w:sz w:val="18"/>
          <w:szCs w:val="18"/>
        </w:rPr>
        <w:t>et al.</w:t>
      </w:r>
      <w:r w:rsidRPr="000C7CFA">
        <w:rPr>
          <w:rFonts w:ascii="Verdana" w:hAnsi="Verdana"/>
          <w:sz w:val="18"/>
          <w:szCs w:val="18"/>
        </w:rPr>
        <w:t xml:space="preserve"> (2013) also detected two dechlorinated analogues, anti-DP-</w:t>
      </w:r>
      <w:r w:rsidRPr="000C7CFA">
        <w:rPr>
          <w:rFonts w:ascii="Verdana" w:hAnsi="Verdana"/>
          <w:sz w:val="18"/>
          <w:szCs w:val="18"/>
        </w:rPr>
        <w:lastRenderedPageBreak/>
        <w:t xml:space="preserve">1Cl and anti-DP-2Cl in liver and eggs, demonstrating maternal transfer of these analogues was occurring. The median </w:t>
      </w:r>
      <w:proofErr w:type="gramStart"/>
      <w:r w:rsidRPr="000C7CFA">
        <w:rPr>
          <w:rFonts w:ascii="Verdana" w:hAnsi="Verdana"/>
          <w:sz w:val="18"/>
          <w:szCs w:val="18"/>
        </w:rPr>
        <w:t>f</w:t>
      </w:r>
      <w:r w:rsidRPr="000C7CFA">
        <w:rPr>
          <w:rFonts w:ascii="Verdana" w:hAnsi="Verdana"/>
          <w:sz w:val="18"/>
          <w:szCs w:val="18"/>
          <w:vertAlign w:val="subscript"/>
        </w:rPr>
        <w:t>anti</w:t>
      </w:r>
      <w:proofErr w:type="gramEnd"/>
      <w:r w:rsidRPr="000C7CFA">
        <w:rPr>
          <w:rFonts w:ascii="Verdana" w:hAnsi="Verdana"/>
          <w:sz w:val="18"/>
          <w:szCs w:val="18"/>
        </w:rPr>
        <w:t xml:space="preserve"> was similar across both species and samples (0.58, 0.58 and 0.55 for Nothern Snakehead male liver, female liver and eggs, respectively; and 0.56, 0.55 and 0.55 for Crucian Carp male liver, female liver and eggs, respectively). A statistically significant correlation between the </w:t>
      </w:r>
      <w:proofErr w:type="gramStart"/>
      <w:r w:rsidRPr="000C7CFA">
        <w:rPr>
          <w:rFonts w:ascii="Verdana" w:hAnsi="Verdana"/>
          <w:sz w:val="18"/>
          <w:szCs w:val="18"/>
        </w:rPr>
        <w:t>f</w:t>
      </w:r>
      <w:r w:rsidRPr="000C7CFA">
        <w:rPr>
          <w:rFonts w:ascii="Verdana" w:hAnsi="Verdana"/>
          <w:sz w:val="18"/>
          <w:szCs w:val="18"/>
          <w:vertAlign w:val="subscript"/>
        </w:rPr>
        <w:t>anti</w:t>
      </w:r>
      <w:proofErr w:type="gramEnd"/>
      <w:r w:rsidRPr="000C7CFA">
        <w:rPr>
          <w:rFonts w:ascii="Verdana" w:hAnsi="Verdana"/>
          <w:sz w:val="18"/>
          <w:szCs w:val="18"/>
        </w:rPr>
        <w:t xml:space="preserve"> and the logarithm of the total Dechlorane Plus concentration in liver was found in the two species, which suggests that the concentration may influence the isomeric composition (i.e. concentration-dependent accumulation).</w:t>
      </w:r>
    </w:p>
    <w:p w14:paraId="65775C73" w14:textId="77777777" w:rsidR="00F0006B" w:rsidRPr="000C7CFA" w:rsidRDefault="00F0006B" w:rsidP="00F0006B">
      <w:pPr>
        <w:pStyle w:val="BodyText"/>
        <w:ind w:firstLine="360"/>
        <w:rPr>
          <w:rFonts w:ascii="Verdana" w:hAnsi="Verdana"/>
          <w:sz w:val="18"/>
          <w:szCs w:val="18"/>
        </w:rPr>
      </w:pPr>
      <w:r w:rsidRPr="000C7CFA">
        <w:rPr>
          <w:rFonts w:ascii="Verdana" w:hAnsi="Verdana"/>
          <w:sz w:val="18"/>
          <w:szCs w:val="18"/>
        </w:rPr>
        <w:t>This study is not included in the registration dossier.</w:t>
      </w:r>
    </w:p>
    <w:p w14:paraId="2F22A3C9" w14:textId="77777777" w:rsidR="00F0006B" w:rsidRPr="000C7CFA" w:rsidRDefault="00F0006B" w:rsidP="00F0006B">
      <w:pPr>
        <w:pStyle w:val="BodyText"/>
        <w:ind w:firstLine="360"/>
        <w:rPr>
          <w:rFonts w:ascii="Verdana" w:hAnsi="Verdana"/>
          <w:sz w:val="18"/>
          <w:szCs w:val="18"/>
        </w:rPr>
      </w:pPr>
    </w:p>
    <w:p w14:paraId="5EF22119" w14:textId="77777777" w:rsidR="00F0006B" w:rsidRPr="000C7CFA" w:rsidRDefault="00F0006B" w:rsidP="00DC3658">
      <w:pPr>
        <w:pStyle w:val="BodyText"/>
        <w:numPr>
          <w:ilvl w:val="0"/>
          <w:numId w:val="6"/>
        </w:numPr>
        <w:ind w:right="657"/>
        <w:rPr>
          <w:rFonts w:ascii="Verdana" w:hAnsi="Verdana"/>
          <w:sz w:val="18"/>
          <w:szCs w:val="18"/>
        </w:rPr>
      </w:pPr>
      <w:r w:rsidRPr="000C7CFA">
        <w:rPr>
          <w:rFonts w:ascii="Verdana" w:hAnsi="Verdana"/>
          <w:sz w:val="18"/>
          <w:szCs w:val="18"/>
          <w:u w:val="single"/>
        </w:rPr>
        <w:t xml:space="preserve">Li </w:t>
      </w:r>
      <w:r w:rsidRPr="000C7CFA">
        <w:rPr>
          <w:rFonts w:ascii="Verdana" w:hAnsi="Verdana"/>
          <w:i/>
          <w:sz w:val="18"/>
          <w:szCs w:val="18"/>
          <w:u w:val="single"/>
        </w:rPr>
        <w:t xml:space="preserve">et al. </w:t>
      </w:r>
      <w:r w:rsidRPr="000C7CFA">
        <w:rPr>
          <w:rFonts w:ascii="Verdana" w:hAnsi="Verdana"/>
          <w:sz w:val="18"/>
          <w:szCs w:val="18"/>
          <w:u w:val="single"/>
        </w:rPr>
        <w:t>(2014b)</w:t>
      </w:r>
      <w:r w:rsidRPr="000C7CFA">
        <w:rPr>
          <w:rFonts w:ascii="Verdana" w:hAnsi="Verdana"/>
          <w:sz w:val="18"/>
          <w:szCs w:val="18"/>
        </w:rPr>
        <w:t xml:space="preserve"> investigated the tissue distribution of syn-DP and anti-DP in wild frogs (</w:t>
      </w:r>
      <w:r w:rsidRPr="000C7CFA">
        <w:rPr>
          <w:rFonts w:ascii="Verdana" w:hAnsi="Verdana"/>
          <w:i/>
          <w:sz w:val="18"/>
          <w:szCs w:val="18"/>
        </w:rPr>
        <w:t>Rana limnocharis</w:t>
      </w:r>
      <w:r w:rsidRPr="000C7CFA">
        <w:rPr>
          <w:rFonts w:ascii="Verdana" w:hAnsi="Verdana"/>
          <w:sz w:val="18"/>
          <w:szCs w:val="18"/>
        </w:rPr>
        <w:t>) collected from an electronic waste recycling site in Southeast China. The frogs were collected from five sampling sites in July 2012 and pooled tissue samples of liver, muscle and brain from 53, 33, 33, 18 and 22 frogs from each site</w:t>
      </w:r>
      <w:r w:rsidR="007D7B08" w:rsidRPr="000C7CFA">
        <w:rPr>
          <w:rFonts w:ascii="Verdana" w:hAnsi="Verdana"/>
          <w:sz w:val="18"/>
          <w:szCs w:val="18"/>
        </w:rPr>
        <w:t>,</w:t>
      </w:r>
      <w:r w:rsidRPr="000C7CFA">
        <w:rPr>
          <w:rFonts w:ascii="Verdana" w:hAnsi="Verdana"/>
          <w:sz w:val="18"/>
          <w:szCs w:val="18"/>
        </w:rPr>
        <w:t xml:space="preserve"> respectively</w:t>
      </w:r>
      <w:r w:rsidR="007D7B08" w:rsidRPr="000C7CFA">
        <w:rPr>
          <w:rFonts w:ascii="Verdana" w:hAnsi="Verdana"/>
          <w:sz w:val="18"/>
          <w:szCs w:val="18"/>
        </w:rPr>
        <w:t>,</w:t>
      </w:r>
      <w:r w:rsidRPr="000C7CFA">
        <w:rPr>
          <w:rFonts w:ascii="Verdana" w:hAnsi="Verdana"/>
          <w:sz w:val="18"/>
          <w:szCs w:val="18"/>
        </w:rPr>
        <w:t xml:space="preserve"> were used for the analysis. In addition to syn-DP and anti-DP the study also considered the presence of two dechlorinated analogues</w:t>
      </w:r>
      <w:r w:rsidR="007D7B08" w:rsidRPr="000C7CFA">
        <w:rPr>
          <w:rFonts w:ascii="Verdana" w:hAnsi="Verdana"/>
          <w:sz w:val="18"/>
          <w:szCs w:val="18"/>
        </w:rPr>
        <w:t xml:space="preserve"> (</w:t>
      </w:r>
      <w:r w:rsidRPr="000C7CFA">
        <w:rPr>
          <w:rFonts w:ascii="Verdana" w:hAnsi="Verdana"/>
          <w:sz w:val="18"/>
          <w:szCs w:val="18"/>
        </w:rPr>
        <w:t>anti-DP</w:t>
      </w:r>
      <w:r w:rsidR="007D7B08" w:rsidRPr="000C7CFA">
        <w:rPr>
          <w:rFonts w:ascii="Verdana" w:hAnsi="Verdana"/>
          <w:sz w:val="18"/>
          <w:szCs w:val="18"/>
        </w:rPr>
        <w:t>-1Cl</w:t>
      </w:r>
      <w:r w:rsidRPr="000C7CFA">
        <w:rPr>
          <w:rFonts w:ascii="Verdana" w:hAnsi="Verdana"/>
          <w:sz w:val="18"/>
          <w:szCs w:val="18"/>
        </w:rPr>
        <w:t xml:space="preserve"> and anti-DP</w:t>
      </w:r>
      <w:r w:rsidR="007D7B08" w:rsidRPr="000C7CFA">
        <w:rPr>
          <w:rFonts w:ascii="Verdana" w:hAnsi="Verdana"/>
          <w:sz w:val="18"/>
          <w:szCs w:val="18"/>
        </w:rPr>
        <w:t>-2Cl)</w:t>
      </w:r>
      <w:r w:rsidRPr="000C7CFA">
        <w:rPr>
          <w:rFonts w:ascii="Verdana" w:hAnsi="Verdana"/>
          <w:sz w:val="18"/>
          <w:szCs w:val="18"/>
        </w:rPr>
        <w:t xml:space="preserve">. </w:t>
      </w:r>
    </w:p>
    <w:p w14:paraId="09EC9613" w14:textId="77777777" w:rsidR="00F0006B" w:rsidRPr="000C7CFA" w:rsidRDefault="00F0006B" w:rsidP="00F0006B">
      <w:pPr>
        <w:pStyle w:val="BodyText"/>
        <w:ind w:left="360" w:right="657"/>
        <w:rPr>
          <w:rFonts w:ascii="Verdana" w:hAnsi="Verdana"/>
          <w:sz w:val="18"/>
          <w:szCs w:val="18"/>
        </w:rPr>
      </w:pPr>
      <w:r w:rsidRPr="000C7CFA">
        <w:rPr>
          <w:rFonts w:ascii="Verdana" w:hAnsi="Verdana"/>
          <w:sz w:val="18"/>
          <w:szCs w:val="18"/>
        </w:rPr>
        <w:t xml:space="preserve">The limit of detection of the analytical method used was 0.096 μg/kg lipid for syn-DP, 0.19 μg/kg lipid for anti-DP and 0.049 μg/kg lipid for </w:t>
      </w:r>
      <w:r w:rsidR="007D7B08" w:rsidRPr="000C7CFA">
        <w:rPr>
          <w:rFonts w:ascii="Verdana" w:hAnsi="Verdana"/>
          <w:sz w:val="18"/>
          <w:szCs w:val="18"/>
        </w:rPr>
        <w:t xml:space="preserve">anti-DP-1Cl </w:t>
      </w:r>
      <w:r w:rsidRPr="000C7CFA">
        <w:rPr>
          <w:rFonts w:ascii="Verdana" w:hAnsi="Verdana"/>
          <w:sz w:val="18"/>
          <w:szCs w:val="18"/>
        </w:rPr>
        <w:t xml:space="preserve">(no value was given for </w:t>
      </w:r>
      <w:r w:rsidR="007D7B08" w:rsidRPr="000C7CFA">
        <w:rPr>
          <w:rFonts w:ascii="Verdana" w:hAnsi="Verdana"/>
          <w:sz w:val="18"/>
          <w:szCs w:val="18"/>
        </w:rPr>
        <w:t>anti-DP-2Cl</w:t>
      </w:r>
      <w:r w:rsidRPr="000C7CFA">
        <w:rPr>
          <w:rFonts w:ascii="Verdana" w:hAnsi="Verdana"/>
          <w:sz w:val="18"/>
          <w:szCs w:val="18"/>
        </w:rPr>
        <w:t>). Total Dechlorane Plus levels in the samples were in the range 2.01-291 μg/kg lipid. Anti-DP</w:t>
      </w:r>
      <w:r w:rsidR="00B019B8" w:rsidRPr="000C7CFA">
        <w:rPr>
          <w:rFonts w:ascii="Verdana" w:hAnsi="Verdana"/>
          <w:sz w:val="18"/>
          <w:szCs w:val="18"/>
        </w:rPr>
        <w:t>-2Cl</w:t>
      </w:r>
      <w:r w:rsidRPr="000C7CFA">
        <w:rPr>
          <w:rFonts w:ascii="Verdana" w:hAnsi="Verdana"/>
          <w:sz w:val="18"/>
          <w:szCs w:val="18"/>
        </w:rPr>
        <w:t xml:space="preserve"> was not detectable in any sample but </w:t>
      </w:r>
      <w:r w:rsidR="00B019B8" w:rsidRPr="000C7CFA">
        <w:rPr>
          <w:rFonts w:ascii="Verdana" w:hAnsi="Verdana"/>
          <w:sz w:val="18"/>
          <w:szCs w:val="18"/>
        </w:rPr>
        <w:t xml:space="preserve">anti-DP-1Cl </w:t>
      </w:r>
      <w:r w:rsidRPr="000C7CFA">
        <w:rPr>
          <w:rFonts w:ascii="Verdana" w:hAnsi="Verdana"/>
          <w:sz w:val="18"/>
          <w:szCs w:val="18"/>
        </w:rPr>
        <w:t>was detectable in all liver and muscle samples and four out of five brain samples at concentrations up to 8.67 μg/kg lipid.</w:t>
      </w:r>
    </w:p>
    <w:p w14:paraId="54461026" w14:textId="77777777" w:rsidR="00F0006B" w:rsidRPr="000C7CFA" w:rsidRDefault="00F0006B" w:rsidP="00F0006B">
      <w:pPr>
        <w:pStyle w:val="BodyText"/>
        <w:ind w:left="360" w:right="657"/>
        <w:rPr>
          <w:rFonts w:ascii="Verdana" w:hAnsi="Verdana"/>
          <w:sz w:val="18"/>
          <w:szCs w:val="18"/>
        </w:rPr>
      </w:pPr>
      <w:r w:rsidRPr="000C7CFA">
        <w:rPr>
          <w:rFonts w:ascii="Verdana" w:hAnsi="Verdana"/>
          <w:sz w:val="18"/>
          <w:szCs w:val="18"/>
        </w:rPr>
        <w:t xml:space="preserve">The </w:t>
      </w:r>
      <w:proofErr w:type="gramStart"/>
      <w:r w:rsidRPr="000C7CFA">
        <w:rPr>
          <w:rFonts w:ascii="Verdana" w:hAnsi="Verdana"/>
          <w:sz w:val="18"/>
          <w:szCs w:val="18"/>
        </w:rPr>
        <w:t>f</w:t>
      </w:r>
      <w:r w:rsidRPr="000C7CFA">
        <w:rPr>
          <w:rFonts w:ascii="Verdana" w:hAnsi="Verdana"/>
          <w:sz w:val="18"/>
          <w:szCs w:val="18"/>
          <w:vertAlign w:val="subscript"/>
        </w:rPr>
        <w:t>anti</w:t>
      </w:r>
      <w:proofErr w:type="gramEnd"/>
      <w:r w:rsidRPr="000C7CFA">
        <w:rPr>
          <w:rFonts w:ascii="Verdana" w:hAnsi="Verdana"/>
          <w:sz w:val="18"/>
          <w:szCs w:val="18"/>
        </w:rPr>
        <w:t xml:space="preserve"> in liver, muscle and brain was 0.62, 0.82 and 0.72</w:t>
      </w:r>
      <w:r w:rsidR="00B019B8" w:rsidRPr="000C7CFA">
        <w:rPr>
          <w:rFonts w:ascii="Verdana" w:hAnsi="Verdana"/>
          <w:sz w:val="18"/>
          <w:szCs w:val="18"/>
        </w:rPr>
        <w:t>,</w:t>
      </w:r>
      <w:r w:rsidRPr="000C7CFA">
        <w:rPr>
          <w:rFonts w:ascii="Verdana" w:hAnsi="Verdana"/>
          <w:sz w:val="18"/>
          <w:szCs w:val="18"/>
        </w:rPr>
        <w:t xml:space="preserve"> respectively. There was no significant difference in the </w:t>
      </w:r>
      <w:proofErr w:type="gramStart"/>
      <w:r w:rsidRPr="000C7CFA">
        <w:rPr>
          <w:rFonts w:ascii="Verdana" w:hAnsi="Verdana"/>
          <w:sz w:val="18"/>
          <w:szCs w:val="18"/>
        </w:rPr>
        <w:t>f</w:t>
      </w:r>
      <w:r w:rsidRPr="000C7CFA">
        <w:rPr>
          <w:rFonts w:ascii="Verdana" w:hAnsi="Verdana"/>
          <w:sz w:val="18"/>
          <w:szCs w:val="18"/>
          <w:vertAlign w:val="subscript"/>
        </w:rPr>
        <w:t>anti</w:t>
      </w:r>
      <w:proofErr w:type="gramEnd"/>
      <w:r w:rsidRPr="000C7CFA">
        <w:rPr>
          <w:rFonts w:ascii="Verdana" w:hAnsi="Verdana"/>
          <w:sz w:val="18"/>
          <w:szCs w:val="18"/>
        </w:rPr>
        <w:t xml:space="preserve"> between muscle and brain but the f</w:t>
      </w:r>
      <w:r w:rsidRPr="000C7CFA">
        <w:rPr>
          <w:rFonts w:ascii="Verdana" w:hAnsi="Verdana"/>
          <w:sz w:val="18"/>
          <w:szCs w:val="18"/>
          <w:vertAlign w:val="subscript"/>
        </w:rPr>
        <w:t>anti</w:t>
      </w:r>
      <w:r w:rsidRPr="000C7CFA">
        <w:rPr>
          <w:rFonts w:ascii="Verdana" w:hAnsi="Verdana"/>
          <w:sz w:val="18"/>
          <w:szCs w:val="18"/>
        </w:rPr>
        <w:t xml:space="preserve"> was significantly (</w:t>
      </w:r>
      <w:r w:rsidRPr="000C7CFA">
        <w:rPr>
          <w:rFonts w:ascii="Verdana" w:hAnsi="Verdana"/>
          <w:i/>
          <w:sz w:val="18"/>
          <w:szCs w:val="18"/>
        </w:rPr>
        <w:t>p</w:t>
      </w:r>
      <w:r w:rsidRPr="000C7CFA">
        <w:rPr>
          <w:rFonts w:ascii="Verdana" w:hAnsi="Verdana"/>
          <w:sz w:val="18"/>
          <w:szCs w:val="18"/>
        </w:rPr>
        <w:t xml:space="preserve">&lt;0.05) different between muscle and liver, indicating a preferential enrichment of the syn-isomer in liver. There was no significant difference in the concentrations in liver and muscle for syn-DP (the liver/muscle concentration ratio was close to 1, </w:t>
      </w:r>
      <w:r w:rsidR="00B019B8" w:rsidRPr="000C7CFA">
        <w:rPr>
          <w:rFonts w:ascii="Verdana" w:hAnsi="Verdana"/>
          <w:i/>
          <w:sz w:val="18"/>
          <w:szCs w:val="18"/>
        </w:rPr>
        <w:t>p</w:t>
      </w:r>
      <w:r w:rsidRPr="000C7CFA">
        <w:rPr>
          <w:rFonts w:ascii="Verdana" w:hAnsi="Verdana"/>
          <w:sz w:val="18"/>
          <w:szCs w:val="18"/>
        </w:rPr>
        <w:t xml:space="preserve">&gt;0.03) but there was a significantly higher concentration in muscle relative to liver for anti-DP (liver/muscle concentration ratio &lt;1, </w:t>
      </w:r>
      <w:r w:rsidR="00B019B8" w:rsidRPr="000C7CFA">
        <w:rPr>
          <w:rFonts w:ascii="Verdana" w:hAnsi="Verdana"/>
          <w:i/>
          <w:sz w:val="18"/>
          <w:szCs w:val="18"/>
        </w:rPr>
        <w:t>p</w:t>
      </w:r>
      <w:r w:rsidRPr="000C7CFA">
        <w:rPr>
          <w:rFonts w:ascii="Verdana" w:hAnsi="Verdana"/>
          <w:sz w:val="18"/>
          <w:szCs w:val="18"/>
        </w:rPr>
        <w:t xml:space="preserve">&lt;0.05). The liver/brain concentration </w:t>
      </w:r>
      <w:r w:rsidR="00B019B8" w:rsidRPr="000C7CFA">
        <w:rPr>
          <w:rFonts w:ascii="Verdana" w:hAnsi="Verdana"/>
          <w:sz w:val="18"/>
          <w:szCs w:val="18"/>
        </w:rPr>
        <w:t>ratio for both isomers was above 1 (</w:t>
      </w:r>
      <w:r w:rsidR="00B019B8" w:rsidRPr="000C7CFA">
        <w:rPr>
          <w:rFonts w:ascii="Verdana" w:hAnsi="Verdana"/>
          <w:i/>
          <w:sz w:val="18"/>
          <w:szCs w:val="18"/>
        </w:rPr>
        <w:t>p</w:t>
      </w:r>
      <w:r w:rsidRPr="000C7CFA">
        <w:rPr>
          <w:rFonts w:ascii="Verdana" w:hAnsi="Verdana"/>
          <w:sz w:val="18"/>
          <w:szCs w:val="18"/>
        </w:rPr>
        <w:t>&lt;0.05), suggesting that the blood-brain barrier suppressed entry of the substances into brain tissue.</w:t>
      </w:r>
    </w:p>
    <w:p w14:paraId="1EE652F4" w14:textId="77777777" w:rsidR="00F0006B" w:rsidRPr="000C7CFA" w:rsidRDefault="00F0006B" w:rsidP="00F0006B">
      <w:pPr>
        <w:pStyle w:val="BodyText"/>
        <w:ind w:left="360"/>
        <w:rPr>
          <w:rFonts w:ascii="Verdana" w:hAnsi="Verdana"/>
          <w:sz w:val="18"/>
          <w:szCs w:val="18"/>
        </w:rPr>
      </w:pPr>
      <w:r w:rsidRPr="000C7CFA">
        <w:rPr>
          <w:rFonts w:ascii="Verdana" w:hAnsi="Verdana"/>
          <w:sz w:val="18"/>
          <w:szCs w:val="18"/>
        </w:rPr>
        <w:t>This study is not included in the registration dossier.</w:t>
      </w:r>
    </w:p>
    <w:p w14:paraId="0509299E" w14:textId="77777777" w:rsidR="00F0006B" w:rsidRPr="000C7CFA" w:rsidRDefault="00F0006B" w:rsidP="00F0006B">
      <w:pPr>
        <w:pStyle w:val="BodyText"/>
        <w:ind w:left="360"/>
        <w:rPr>
          <w:rFonts w:ascii="Verdana" w:hAnsi="Verdana"/>
          <w:sz w:val="18"/>
          <w:szCs w:val="18"/>
        </w:rPr>
      </w:pPr>
    </w:p>
    <w:p w14:paraId="4B8E571B" w14:textId="173E7B5B" w:rsidR="00F0006B" w:rsidRPr="000C7CFA" w:rsidRDefault="00F0006B" w:rsidP="00DC3658">
      <w:pPr>
        <w:pStyle w:val="BodyText"/>
        <w:numPr>
          <w:ilvl w:val="0"/>
          <w:numId w:val="6"/>
        </w:numPr>
        <w:ind w:right="657"/>
        <w:rPr>
          <w:rFonts w:ascii="Verdana" w:hAnsi="Verdana"/>
          <w:sz w:val="18"/>
          <w:szCs w:val="18"/>
        </w:rPr>
      </w:pPr>
      <w:r w:rsidRPr="000C7CFA">
        <w:rPr>
          <w:rFonts w:ascii="Verdana" w:hAnsi="Verdana"/>
          <w:sz w:val="18"/>
          <w:szCs w:val="18"/>
          <w:u w:val="single"/>
        </w:rPr>
        <w:t xml:space="preserve">Sühring </w:t>
      </w:r>
      <w:r w:rsidRPr="000C7CFA">
        <w:rPr>
          <w:rFonts w:ascii="Verdana" w:hAnsi="Verdana"/>
          <w:i/>
          <w:sz w:val="18"/>
          <w:szCs w:val="18"/>
          <w:u w:val="single"/>
        </w:rPr>
        <w:t>et al</w:t>
      </w:r>
      <w:r w:rsidRPr="000C7CFA">
        <w:rPr>
          <w:rFonts w:ascii="Verdana" w:hAnsi="Verdana"/>
          <w:sz w:val="18"/>
          <w:szCs w:val="18"/>
          <w:u w:val="single"/>
        </w:rPr>
        <w:t>. (2015)</w:t>
      </w:r>
      <w:r w:rsidRPr="000C7CFA">
        <w:rPr>
          <w:rFonts w:ascii="Verdana" w:hAnsi="Verdana"/>
          <w:sz w:val="18"/>
          <w:szCs w:val="18"/>
        </w:rPr>
        <w:t xml:space="preserve"> studied the distribution and maternal transfer of Dechlorane Plus in European Eels (</w:t>
      </w:r>
      <w:r w:rsidRPr="000C7CFA">
        <w:rPr>
          <w:rFonts w:ascii="Verdana" w:hAnsi="Verdana"/>
          <w:i/>
          <w:sz w:val="18"/>
          <w:szCs w:val="18"/>
        </w:rPr>
        <w:t xml:space="preserve">Anguilla </w:t>
      </w:r>
      <w:proofErr w:type="gramStart"/>
      <w:r w:rsidRPr="000C7CFA">
        <w:rPr>
          <w:rFonts w:ascii="Verdana" w:hAnsi="Verdana"/>
          <w:i/>
          <w:sz w:val="18"/>
          <w:szCs w:val="18"/>
        </w:rPr>
        <w:t>anguilla</w:t>
      </w:r>
      <w:proofErr w:type="gramEnd"/>
      <w:r w:rsidRPr="000C7CFA">
        <w:rPr>
          <w:rFonts w:ascii="Verdana" w:hAnsi="Verdana"/>
          <w:sz w:val="18"/>
          <w:szCs w:val="18"/>
        </w:rPr>
        <w:t>) during maturation. For the study, the contaminant distribution in artificially matured eels was compared with that in muscle and gonads of yellow and silver eels</w:t>
      </w:r>
      <w:r w:rsidRPr="000C7CFA">
        <w:rPr>
          <w:rStyle w:val="FootnoteReference"/>
          <w:rFonts w:ascii="Verdana" w:hAnsi="Verdana"/>
          <w:sz w:val="18"/>
          <w:szCs w:val="18"/>
        </w:rPr>
        <w:footnoteReference w:id="30"/>
      </w:r>
      <w:r w:rsidRPr="000C7CFA">
        <w:rPr>
          <w:rFonts w:ascii="Verdana" w:hAnsi="Verdana"/>
          <w:sz w:val="18"/>
          <w:szCs w:val="18"/>
        </w:rPr>
        <w:t xml:space="preserve"> collected in a previous study. For the artificial maturation experiments a total of 16 female European Eels at the onset of spawning were collected from two German drainage systems and held in freshwater tanks for 7 days. Eleven individuals were used to determine the contaminant load prior to the onset of artificial maturation and the remaining five individuals were transferred to saltwater for 11 days and were then given weekly doses of salmon </w:t>
      </w:r>
      <w:r w:rsidR="001135EA" w:rsidRPr="000C7CFA">
        <w:rPr>
          <w:rFonts w:ascii="Verdana" w:hAnsi="Verdana"/>
          <w:sz w:val="18"/>
          <w:szCs w:val="18"/>
        </w:rPr>
        <w:t>pituitary</w:t>
      </w:r>
      <w:r w:rsidRPr="000C7CFA">
        <w:rPr>
          <w:rFonts w:ascii="Verdana" w:hAnsi="Verdana"/>
          <w:sz w:val="18"/>
          <w:szCs w:val="18"/>
        </w:rPr>
        <w:t xml:space="preserve"> extract for up to 20 weeks in order to induce gonad maturation and ovulation. From week 16 onwards egg samples were also collected by biopsy in order to investigate oocyte maturation. Final oocyte </w:t>
      </w:r>
      <w:r w:rsidRPr="000C7CFA">
        <w:rPr>
          <w:rFonts w:ascii="Verdana" w:hAnsi="Verdana"/>
          <w:sz w:val="18"/>
          <w:szCs w:val="18"/>
        </w:rPr>
        <w:lastRenderedPageBreak/>
        <w:t>maturation and ovulation was induced 48 hours after a sudden increase in body weight and body girth index had occurred and the eels were then sacrificed for analysis (one eel did not respond to this treatment). Muscle and gonad samples from 10 yellow and 10 silver eels (comparison group) from samples collected in 2012 for a previous study were also analysed.</w:t>
      </w:r>
    </w:p>
    <w:p w14:paraId="2EB0964E" w14:textId="77777777" w:rsidR="00F0006B" w:rsidRPr="000C7CFA" w:rsidRDefault="00F0006B" w:rsidP="00296728">
      <w:pPr>
        <w:pStyle w:val="BodyText"/>
        <w:ind w:left="360" w:right="657"/>
        <w:rPr>
          <w:rFonts w:ascii="Verdana" w:hAnsi="Verdana"/>
          <w:sz w:val="18"/>
          <w:szCs w:val="18"/>
        </w:rPr>
      </w:pPr>
      <w:r w:rsidRPr="000C7CFA">
        <w:rPr>
          <w:rFonts w:ascii="Verdana" w:hAnsi="Verdana"/>
          <w:sz w:val="18"/>
          <w:szCs w:val="18"/>
        </w:rPr>
        <w:t>Syn-DP, anti-DP a</w:t>
      </w:r>
      <w:r w:rsidR="00B019B8" w:rsidRPr="000C7CFA">
        <w:rPr>
          <w:rFonts w:ascii="Verdana" w:hAnsi="Verdana"/>
          <w:sz w:val="18"/>
          <w:szCs w:val="18"/>
        </w:rPr>
        <w:t>nd two dechlorinated products (anti-DP-1Cl and anti-DP-2Cl</w:t>
      </w:r>
      <w:r w:rsidRPr="000C7CFA">
        <w:rPr>
          <w:rFonts w:ascii="Verdana" w:hAnsi="Verdana"/>
          <w:sz w:val="18"/>
          <w:szCs w:val="18"/>
        </w:rPr>
        <w:t>) were not detected in gonads of the yellow eels but showed increased concentrations in gonads and eggs of the hormone-treated eels compared with the comparison group. This suggests that the substances are not distributed to the gonads during the initial uptake processes but are transferred or re-destributed into gonads and eggs during the maturation process. However, it should be noted that there are no real negative controls in this study</w:t>
      </w:r>
      <w:r w:rsidR="00B019B8" w:rsidRPr="000C7CFA">
        <w:rPr>
          <w:rFonts w:ascii="Verdana" w:hAnsi="Verdana"/>
          <w:sz w:val="18"/>
          <w:szCs w:val="18"/>
        </w:rPr>
        <w:t xml:space="preserve"> since</w:t>
      </w:r>
      <w:r w:rsidRPr="000C7CFA">
        <w:rPr>
          <w:rFonts w:ascii="Verdana" w:hAnsi="Verdana"/>
          <w:sz w:val="18"/>
          <w:szCs w:val="18"/>
        </w:rPr>
        <w:t xml:space="preserve"> the findings are based on comparison with other eels that had been exposed to Dechlorane Plus in the environment. The study found no maternal transfer into eggs of the 1</w:t>
      </w:r>
      <w:proofErr w:type="gramStart"/>
      <w:r w:rsidRPr="000C7CFA">
        <w:rPr>
          <w:rFonts w:ascii="Verdana" w:hAnsi="Verdana"/>
          <w:sz w:val="18"/>
          <w:szCs w:val="18"/>
        </w:rPr>
        <w:t>,5</w:t>
      </w:r>
      <w:proofErr w:type="gramEnd"/>
      <w:r w:rsidRPr="000C7CFA">
        <w:rPr>
          <w:rFonts w:ascii="Verdana" w:hAnsi="Verdana"/>
          <w:sz w:val="18"/>
          <w:szCs w:val="18"/>
        </w:rPr>
        <w:t>-Dechlorane Plus mon</w:t>
      </w:r>
      <w:r w:rsidR="007700BD" w:rsidRPr="000C7CFA">
        <w:rPr>
          <w:rFonts w:ascii="Verdana" w:hAnsi="Verdana"/>
          <w:sz w:val="18"/>
          <w:szCs w:val="18"/>
        </w:rPr>
        <w:t>o-</w:t>
      </w:r>
      <w:r w:rsidRPr="000C7CFA">
        <w:rPr>
          <w:rFonts w:ascii="Verdana" w:hAnsi="Verdana"/>
          <w:sz w:val="18"/>
          <w:szCs w:val="18"/>
        </w:rPr>
        <w:t>a</w:t>
      </w:r>
      <w:r w:rsidR="007700BD" w:rsidRPr="000C7CFA">
        <w:rPr>
          <w:rFonts w:ascii="Verdana" w:hAnsi="Verdana"/>
          <w:sz w:val="18"/>
          <w:szCs w:val="18"/>
        </w:rPr>
        <w:t>d</w:t>
      </w:r>
      <w:r w:rsidRPr="000C7CFA">
        <w:rPr>
          <w:rFonts w:ascii="Verdana" w:hAnsi="Verdana"/>
          <w:sz w:val="18"/>
          <w:szCs w:val="18"/>
        </w:rPr>
        <w:t xml:space="preserve">duct DPMA. </w:t>
      </w:r>
    </w:p>
    <w:p w14:paraId="4782EC9A" w14:textId="77777777" w:rsidR="00F0006B" w:rsidRPr="000C7CFA" w:rsidRDefault="00F0006B" w:rsidP="00F0006B">
      <w:pPr>
        <w:pStyle w:val="BodyText"/>
        <w:ind w:left="360"/>
        <w:rPr>
          <w:rFonts w:ascii="Verdana" w:hAnsi="Verdana"/>
          <w:sz w:val="18"/>
          <w:szCs w:val="18"/>
        </w:rPr>
      </w:pPr>
      <w:r w:rsidRPr="000C7CFA">
        <w:rPr>
          <w:rFonts w:ascii="Verdana" w:hAnsi="Verdana"/>
          <w:sz w:val="18"/>
          <w:szCs w:val="18"/>
        </w:rPr>
        <w:t>This study is not included in the registration dossier.</w:t>
      </w:r>
    </w:p>
    <w:p w14:paraId="04BBA79E" w14:textId="77777777" w:rsidR="00F0006B" w:rsidRPr="000C7CFA" w:rsidRDefault="00F0006B" w:rsidP="00F0006B">
      <w:pPr>
        <w:pStyle w:val="BodyText"/>
        <w:ind w:left="360"/>
        <w:rPr>
          <w:rFonts w:ascii="Verdana" w:hAnsi="Verdana"/>
          <w:sz w:val="18"/>
          <w:szCs w:val="18"/>
        </w:rPr>
      </w:pPr>
    </w:p>
    <w:p w14:paraId="2E19F971" w14:textId="7421F2B7" w:rsidR="00F0006B" w:rsidRPr="000C7CFA" w:rsidRDefault="00F0006B" w:rsidP="00DC3658">
      <w:pPr>
        <w:pStyle w:val="BodyText"/>
        <w:numPr>
          <w:ilvl w:val="0"/>
          <w:numId w:val="6"/>
        </w:numPr>
        <w:ind w:right="657"/>
        <w:rPr>
          <w:rFonts w:ascii="Verdana" w:hAnsi="Verdana"/>
          <w:sz w:val="18"/>
          <w:szCs w:val="18"/>
        </w:rPr>
      </w:pPr>
      <w:r w:rsidRPr="000C7CFA">
        <w:rPr>
          <w:rFonts w:ascii="Verdana" w:hAnsi="Verdana"/>
          <w:sz w:val="18"/>
          <w:szCs w:val="18"/>
          <w:u w:val="single"/>
        </w:rPr>
        <w:t xml:space="preserve">Sun </w:t>
      </w:r>
      <w:r w:rsidRPr="000C7CFA">
        <w:rPr>
          <w:rFonts w:ascii="Verdana" w:hAnsi="Verdana"/>
          <w:i/>
          <w:sz w:val="18"/>
          <w:szCs w:val="18"/>
          <w:u w:val="single"/>
        </w:rPr>
        <w:t>et al.</w:t>
      </w:r>
      <w:r w:rsidRPr="000C7CFA">
        <w:rPr>
          <w:rFonts w:ascii="Verdana" w:hAnsi="Verdana"/>
          <w:sz w:val="18"/>
          <w:szCs w:val="18"/>
          <w:u w:val="single"/>
        </w:rPr>
        <w:t xml:space="preserve"> (2015)</w:t>
      </w:r>
      <w:r w:rsidRPr="000C7CFA">
        <w:rPr>
          <w:rFonts w:ascii="Verdana" w:hAnsi="Verdana"/>
          <w:sz w:val="18"/>
          <w:szCs w:val="18"/>
        </w:rPr>
        <w:t xml:space="preserve"> investigated the bioaccumulation of Dechlorane Plus in biota from the Island Mangrove Nature Reserve, Pearl River estuary, South China. A total of 22 samples from four species were collected. The samples were muscle samples from Mud Crab (</w:t>
      </w:r>
      <w:r w:rsidRPr="000C7CFA">
        <w:rPr>
          <w:rFonts w:ascii="Verdana" w:hAnsi="Verdana"/>
          <w:i/>
          <w:sz w:val="18"/>
          <w:szCs w:val="18"/>
        </w:rPr>
        <w:t xml:space="preserve">Scylla serrata, </w:t>
      </w:r>
      <w:r w:rsidRPr="000C7CFA">
        <w:rPr>
          <w:rFonts w:ascii="Verdana" w:hAnsi="Verdana"/>
          <w:sz w:val="18"/>
          <w:szCs w:val="18"/>
        </w:rPr>
        <w:t>n=5), Chinese Black Sleepers (</w:t>
      </w:r>
      <w:r w:rsidRPr="000C7CFA">
        <w:rPr>
          <w:rFonts w:ascii="Verdana" w:hAnsi="Verdana"/>
          <w:i/>
          <w:sz w:val="18"/>
          <w:szCs w:val="18"/>
        </w:rPr>
        <w:t>Bostrichthys sinensis</w:t>
      </w:r>
      <w:r w:rsidRPr="000C7CFA">
        <w:rPr>
          <w:rFonts w:ascii="Verdana" w:hAnsi="Verdana"/>
          <w:sz w:val="18"/>
          <w:szCs w:val="18"/>
        </w:rPr>
        <w:t>, n=6), Red Eelgobys (</w:t>
      </w:r>
      <w:r w:rsidRPr="000C7CFA">
        <w:rPr>
          <w:rFonts w:ascii="Verdana" w:hAnsi="Verdana"/>
          <w:i/>
          <w:sz w:val="18"/>
          <w:szCs w:val="18"/>
        </w:rPr>
        <w:t>Odontamblyopus rubicundus</w:t>
      </w:r>
      <w:r w:rsidRPr="000C7CFA">
        <w:rPr>
          <w:rFonts w:ascii="Verdana" w:hAnsi="Verdana"/>
          <w:sz w:val="18"/>
          <w:szCs w:val="18"/>
        </w:rPr>
        <w:t>, n=6) and Daggertooth Pike Conger (</w:t>
      </w:r>
      <w:r w:rsidRPr="000C7CFA">
        <w:rPr>
          <w:rFonts w:ascii="Verdana" w:hAnsi="Verdana"/>
          <w:i/>
          <w:sz w:val="18"/>
          <w:szCs w:val="18"/>
        </w:rPr>
        <w:t xml:space="preserve">Maraenesox cinereus, </w:t>
      </w:r>
      <w:r w:rsidRPr="000C7CFA">
        <w:rPr>
          <w:rFonts w:ascii="Verdana" w:hAnsi="Verdana"/>
          <w:sz w:val="18"/>
          <w:szCs w:val="18"/>
        </w:rPr>
        <w:t xml:space="preserve">n=5). The concentrations of total Dechlorane Plus ranged </w:t>
      </w:r>
      <w:r w:rsidR="001135EA" w:rsidRPr="000C7CFA">
        <w:rPr>
          <w:rFonts w:ascii="Verdana" w:hAnsi="Verdana"/>
          <w:sz w:val="18"/>
          <w:szCs w:val="18"/>
        </w:rPr>
        <w:t>between</w:t>
      </w:r>
      <w:r w:rsidRPr="000C7CFA">
        <w:rPr>
          <w:rFonts w:ascii="Verdana" w:hAnsi="Verdana"/>
          <w:sz w:val="18"/>
          <w:szCs w:val="18"/>
        </w:rPr>
        <w:t xml:space="preserve"> 0.18 and 6.88 μg/kg lipid and the highest concentrations were found in Daggertooth Pike Conger. Anti-DP was detectable in 100% of the samples and syn-DP was detectable in 5</w:t>
      </w:r>
      <w:r w:rsidR="00AF7606" w:rsidRPr="000C7CFA">
        <w:rPr>
          <w:rFonts w:ascii="Verdana" w:hAnsi="Verdana"/>
          <w:sz w:val="18"/>
          <w:szCs w:val="18"/>
        </w:rPr>
        <w:t>4 %</w:t>
      </w:r>
      <w:r w:rsidRPr="000C7CFA">
        <w:rPr>
          <w:rFonts w:ascii="Verdana" w:hAnsi="Verdana"/>
          <w:sz w:val="18"/>
          <w:szCs w:val="18"/>
        </w:rPr>
        <w:t xml:space="preserve"> of the samples. The dechlorinated product </w:t>
      </w:r>
      <w:r w:rsidR="00B019B8" w:rsidRPr="000C7CFA">
        <w:rPr>
          <w:rFonts w:ascii="Verdana" w:hAnsi="Verdana"/>
          <w:sz w:val="18"/>
          <w:szCs w:val="18"/>
        </w:rPr>
        <w:t>anti</w:t>
      </w:r>
      <w:r w:rsidR="00B019B8" w:rsidRPr="000C7CFA">
        <w:rPr>
          <w:rFonts w:ascii="Verdana" w:hAnsi="Verdana"/>
          <w:sz w:val="18"/>
          <w:szCs w:val="18"/>
        </w:rPr>
        <w:noBreakHyphen/>
        <w:t>DP</w:t>
      </w:r>
      <w:r w:rsidR="00B019B8" w:rsidRPr="000C7CFA">
        <w:rPr>
          <w:rFonts w:ascii="Verdana" w:hAnsi="Verdana"/>
          <w:sz w:val="18"/>
          <w:szCs w:val="18"/>
        </w:rPr>
        <w:noBreakHyphen/>
        <w:t xml:space="preserve">1Cl </w:t>
      </w:r>
      <w:r w:rsidRPr="000C7CFA">
        <w:rPr>
          <w:rFonts w:ascii="Verdana" w:hAnsi="Verdana"/>
          <w:sz w:val="18"/>
          <w:szCs w:val="18"/>
        </w:rPr>
        <w:t>was also detectable in 27.</w:t>
      </w:r>
      <w:r w:rsidR="00AF7606" w:rsidRPr="000C7CFA">
        <w:rPr>
          <w:rFonts w:ascii="Verdana" w:hAnsi="Verdana"/>
          <w:sz w:val="18"/>
          <w:szCs w:val="18"/>
        </w:rPr>
        <w:t>3 %</w:t>
      </w:r>
      <w:r w:rsidRPr="000C7CFA">
        <w:rPr>
          <w:rFonts w:ascii="Verdana" w:hAnsi="Verdana"/>
          <w:sz w:val="18"/>
          <w:szCs w:val="18"/>
        </w:rPr>
        <w:t xml:space="preserve"> sampl</w:t>
      </w:r>
      <w:r w:rsidR="00B019B8" w:rsidRPr="000C7CFA">
        <w:rPr>
          <w:rFonts w:ascii="Verdana" w:hAnsi="Verdana"/>
          <w:sz w:val="18"/>
          <w:szCs w:val="18"/>
        </w:rPr>
        <w:t>es at concentrations up to 2.65 </w:t>
      </w:r>
      <w:r w:rsidRPr="000C7CFA">
        <w:rPr>
          <w:rFonts w:ascii="Verdana" w:hAnsi="Verdana"/>
          <w:sz w:val="18"/>
          <w:szCs w:val="18"/>
        </w:rPr>
        <w:t xml:space="preserve">μg/kg lipid. A significant positive correlation between the concentration of total Dechlorane Plus and the concentration of </w:t>
      </w:r>
      <w:r w:rsidR="00B019B8" w:rsidRPr="000C7CFA">
        <w:rPr>
          <w:rFonts w:ascii="Verdana" w:hAnsi="Verdana"/>
          <w:sz w:val="18"/>
          <w:szCs w:val="18"/>
        </w:rPr>
        <w:t>anti</w:t>
      </w:r>
      <w:r w:rsidR="00B019B8" w:rsidRPr="000C7CFA">
        <w:rPr>
          <w:rFonts w:ascii="Verdana" w:hAnsi="Verdana"/>
          <w:sz w:val="18"/>
          <w:szCs w:val="18"/>
        </w:rPr>
        <w:noBreakHyphen/>
        <w:t>DP</w:t>
      </w:r>
      <w:r w:rsidR="00B019B8" w:rsidRPr="000C7CFA">
        <w:rPr>
          <w:rFonts w:ascii="Verdana" w:hAnsi="Verdana"/>
          <w:sz w:val="18"/>
          <w:szCs w:val="18"/>
        </w:rPr>
        <w:noBreakHyphen/>
        <w:t xml:space="preserve">1Cl </w:t>
      </w:r>
      <w:r w:rsidRPr="000C7CFA">
        <w:rPr>
          <w:rFonts w:ascii="Verdana" w:hAnsi="Verdana"/>
          <w:sz w:val="18"/>
          <w:szCs w:val="18"/>
        </w:rPr>
        <w:t xml:space="preserve">was found in the study. </w:t>
      </w:r>
    </w:p>
    <w:p w14:paraId="358341DD" w14:textId="0920049A" w:rsidR="00F0006B" w:rsidRPr="000C7CFA" w:rsidRDefault="00F0006B" w:rsidP="00296728">
      <w:pPr>
        <w:pStyle w:val="BodyText"/>
        <w:ind w:left="360" w:right="657"/>
        <w:rPr>
          <w:rFonts w:ascii="Verdana" w:hAnsi="Verdana"/>
          <w:sz w:val="18"/>
          <w:szCs w:val="18"/>
        </w:rPr>
      </w:pPr>
      <w:r w:rsidRPr="000C7CFA">
        <w:rPr>
          <w:rFonts w:ascii="Verdana" w:hAnsi="Verdana"/>
          <w:sz w:val="18"/>
          <w:szCs w:val="18"/>
        </w:rPr>
        <w:t>The trophic level of each species was estimated based on δ</w:t>
      </w:r>
      <w:r w:rsidRPr="000C7CFA">
        <w:rPr>
          <w:rFonts w:ascii="Verdana" w:hAnsi="Verdana"/>
          <w:sz w:val="18"/>
          <w:szCs w:val="18"/>
          <w:vertAlign w:val="superscript"/>
        </w:rPr>
        <w:t>15</w:t>
      </w:r>
      <w:r w:rsidR="00B019B8" w:rsidRPr="000C7CFA">
        <w:rPr>
          <w:rFonts w:ascii="Verdana" w:hAnsi="Verdana"/>
          <w:sz w:val="18"/>
          <w:szCs w:val="18"/>
        </w:rPr>
        <w:t xml:space="preserve">N </w:t>
      </w:r>
      <w:r w:rsidRPr="000C7CFA">
        <w:rPr>
          <w:rFonts w:ascii="Verdana" w:hAnsi="Verdana"/>
          <w:sz w:val="18"/>
          <w:szCs w:val="18"/>
        </w:rPr>
        <w:t xml:space="preserve">measurements assuming zooplankton represented trophic level 2 and using an enrichment factor of 3.8‰. This gave the trophic level as 3.95 for Mud Crab, 4.13 for Chinese Black Sleeper, 4.09 for Red Eelgobys and 5.03 for Daggertooth Pike Conger. The mean (and range) of total Dechlorane Plus determined in these species was 0.28 μg/kg lipid (0.18-0.38 μg/kg lipid), 1.13 μg/kg lipid (0.55-6.88 μg/kg lipid), 2.60 μg/kg lipid (1.75-4.31) μg/kg lipid and 2.76 μg/kg lipid (1.07-5.37 μg/kg lipid) respectively. Sun </w:t>
      </w:r>
      <w:r w:rsidRPr="000C7CFA">
        <w:rPr>
          <w:rFonts w:ascii="Verdana" w:hAnsi="Verdana"/>
          <w:i/>
          <w:sz w:val="18"/>
          <w:szCs w:val="18"/>
        </w:rPr>
        <w:t>et al.</w:t>
      </w:r>
      <w:r w:rsidRPr="000C7CFA">
        <w:rPr>
          <w:rFonts w:ascii="Verdana" w:hAnsi="Verdana"/>
          <w:sz w:val="18"/>
          <w:szCs w:val="18"/>
        </w:rPr>
        <w:t xml:space="preserve"> (2015) determined the TMF for total Dechlorane Plus to be 2.31 for this food chain (</w:t>
      </w:r>
      <w:r w:rsidRPr="000C7CFA">
        <w:rPr>
          <w:rFonts w:ascii="Verdana" w:hAnsi="Verdana"/>
          <w:i/>
          <w:sz w:val="18"/>
          <w:szCs w:val="18"/>
        </w:rPr>
        <w:t>p</w:t>
      </w:r>
      <w:r w:rsidRPr="000C7CFA">
        <w:rPr>
          <w:rFonts w:ascii="Verdana" w:hAnsi="Verdana"/>
          <w:sz w:val="18"/>
          <w:szCs w:val="18"/>
        </w:rPr>
        <w:t>=0.07 indicating that the regression was not statistically significant). BMFs for various predator-prey combinations were also estimated. These were 11</w:t>
      </w:r>
      <w:r w:rsidR="00B019B8" w:rsidRPr="000C7CFA">
        <w:rPr>
          <w:rFonts w:ascii="Verdana" w:hAnsi="Verdana"/>
          <w:sz w:val="18"/>
          <w:szCs w:val="18"/>
        </w:rPr>
        <w:t>.8 for Daggertooth Pike Conger-</w:t>
      </w:r>
      <w:r w:rsidRPr="000C7CFA">
        <w:rPr>
          <w:rFonts w:ascii="Verdana" w:hAnsi="Verdana"/>
          <w:sz w:val="18"/>
          <w:szCs w:val="18"/>
        </w:rPr>
        <w:t>Mud Crab, 2.92 for Daggertooth Pike Conger-Chinese Black Sleeper and 1.27 for Daggertooth Pike Conger-Red Eelgobys. These results suggest that biomagnifi</w:t>
      </w:r>
      <w:r w:rsidR="001135EA" w:rsidRPr="000C7CFA">
        <w:rPr>
          <w:rFonts w:ascii="Verdana" w:hAnsi="Verdana"/>
          <w:sz w:val="18"/>
          <w:szCs w:val="18"/>
        </w:rPr>
        <w:t>cation was occurring in this foo</w:t>
      </w:r>
      <w:r w:rsidRPr="000C7CFA">
        <w:rPr>
          <w:rFonts w:ascii="Verdana" w:hAnsi="Verdana"/>
          <w:sz w:val="18"/>
          <w:szCs w:val="18"/>
        </w:rPr>
        <w:t>d</w:t>
      </w:r>
      <w:r w:rsidR="001135EA" w:rsidRPr="000C7CFA">
        <w:rPr>
          <w:rFonts w:ascii="Verdana" w:hAnsi="Verdana"/>
          <w:sz w:val="18"/>
          <w:szCs w:val="18"/>
        </w:rPr>
        <w:t xml:space="preserve"> </w:t>
      </w:r>
      <w:r w:rsidRPr="000C7CFA">
        <w:rPr>
          <w:rFonts w:ascii="Verdana" w:hAnsi="Verdana"/>
          <w:sz w:val="18"/>
          <w:szCs w:val="18"/>
        </w:rPr>
        <w:t>web.</w:t>
      </w:r>
    </w:p>
    <w:p w14:paraId="4BD02BCD" w14:textId="66609038" w:rsidR="00DF46A5" w:rsidRPr="000C7CFA" w:rsidRDefault="00F0006B" w:rsidP="00DF46A5">
      <w:pPr>
        <w:pStyle w:val="BodyText"/>
        <w:ind w:right="-52"/>
        <w:rPr>
          <w:rFonts w:ascii="Verdana" w:hAnsi="Verdana"/>
          <w:sz w:val="18"/>
          <w:szCs w:val="18"/>
        </w:rPr>
      </w:pPr>
      <w:r w:rsidRPr="000C7CFA">
        <w:rPr>
          <w:rFonts w:ascii="Verdana" w:hAnsi="Verdana"/>
          <w:sz w:val="18"/>
          <w:szCs w:val="18"/>
        </w:rPr>
        <w:t>This study is not included in the registration dossier</w:t>
      </w:r>
      <w:r w:rsidR="0026127E" w:rsidRPr="000C7CFA">
        <w:rPr>
          <w:rFonts w:ascii="Verdana" w:hAnsi="Verdana"/>
          <w:sz w:val="18"/>
          <w:szCs w:val="18"/>
        </w:rPr>
        <w:t xml:space="preserve">. </w:t>
      </w:r>
      <w:r w:rsidR="000D69BF" w:rsidRPr="000C7CFA">
        <w:rPr>
          <w:rFonts w:ascii="Verdana" w:hAnsi="Verdana"/>
          <w:sz w:val="18"/>
          <w:szCs w:val="18"/>
        </w:rPr>
        <w:t xml:space="preserve">The studies summarised above specifically consider bioaccumulation behaviour. </w:t>
      </w:r>
      <w:r w:rsidR="00BA0ECA" w:rsidRPr="000C7CFA">
        <w:rPr>
          <w:rFonts w:ascii="Verdana" w:hAnsi="Verdana"/>
          <w:sz w:val="18"/>
          <w:szCs w:val="18"/>
        </w:rPr>
        <w:t xml:space="preserve">Other biota monitoring data are reported in </w:t>
      </w:r>
      <w:r w:rsidR="00C317BB" w:rsidRPr="000C7CFA">
        <w:rPr>
          <w:rFonts w:ascii="Verdana" w:hAnsi="Verdana"/>
          <w:sz w:val="18"/>
          <w:szCs w:val="18"/>
        </w:rPr>
        <w:t>Appendix 3</w:t>
      </w:r>
      <w:r w:rsidR="00E129D4" w:rsidRPr="000C7CFA">
        <w:rPr>
          <w:rFonts w:ascii="Verdana" w:hAnsi="Verdana"/>
          <w:sz w:val="18"/>
          <w:szCs w:val="18"/>
        </w:rPr>
        <w:t>.</w:t>
      </w:r>
      <w:r w:rsidR="00A507E1" w:rsidRPr="000C7CFA">
        <w:rPr>
          <w:rFonts w:ascii="Verdana" w:hAnsi="Verdana"/>
          <w:sz w:val="18"/>
          <w:szCs w:val="18"/>
        </w:rPr>
        <w:t xml:space="preserve"> N.B. This list is not necessarily exhaustive</w:t>
      </w:r>
      <w:r w:rsidR="004D2CE3" w:rsidRPr="000C7CFA">
        <w:rPr>
          <w:rFonts w:ascii="Verdana" w:hAnsi="Verdana"/>
          <w:sz w:val="18"/>
          <w:szCs w:val="18"/>
        </w:rPr>
        <w:t xml:space="preserve"> </w:t>
      </w:r>
      <w:r w:rsidR="00B245C6" w:rsidRPr="000C7CFA">
        <w:rPr>
          <w:rFonts w:ascii="Verdana" w:hAnsi="Verdana"/>
          <w:sz w:val="18"/>
          <w:szCs w:val="18"/>
        </w:rPr>
        <w:t xml:space="preserve">(see also Appendix </w:t>
      </w:r>
      <w:r w:rsidR="00E626D2" w:rsidRPr="000C7CFA">
        <w:rPr>
          <w:rFonts w:ascii="Verdana" w:hAnsi="Verdana"/>
          <w:sz w:val="18"/>
          <w:szCs w:val="18"/>
        </w:rPr>
        <w:t>9</w:t>
      </w:r>
      <w:r w:rsidR="004D2CE3" w:rsidRPr="000C7CFA">
        <w:rPr>
          <w:rFonts w:ascii="Verdana" w:hAnsi="Verdana"/>
          <w:sz w:val="18"/>
          <w:szCs w:val="18"/>
        </w:rPr>
        <w:t>)</w:t>
      </w:r>
      <w:r w:rsidR="00A507E1" w:rsidRPr="000C7CFA">
        <w:rPr>
          <w:rFonts w:ascii="Verdana" w:hAnsi="Verdana"/>
          <w:sz w:val="18"/>
          <w:szCs w:val="18"/>
        </w:rPr>
        <w:t xml:space="preserve">. </w:t>
      </w:r>
    </w:p>
    <w:p w14:paraId="65F2CECC" w14:textId="77777777" w:rsidR="00224945" w:rsidRPr="000C7CFA" w:rsidRDefault="00224945" w:rsidP="00795AF6">
      <w:pPr>
        <w:pStyle w:val="BodyText"/>
        <w:rPr>
          <w:rFonts w:ascii="Verdana" w:hAnsi="Verdana"/>
          <w:sz w:val="18"/>
          <w:szCs w:val="18"/>
        </w:rPr>
      </w:pPr>
    </w:p>
    <w:p w14:paraId="2EF44DDD" w14:textId="5616D61E" w:rsidR="0089163D" w:rsidRPr="000C7CFA" w:rsidRDefault="00765778" w:rsidP="0089163D">
      <w:pPr>
        <w:pStyle w:val="Heading3"/>
        <w:rPr>
          <w:rFonts w:ascii="Verdana" w:hAnsi="Verdana"/>
          <w:sz w:val="18"/>
          <w:szCs w:val="18"/>
        </w:rPr>
      </w:pPr>
      <w:bookmarkStart w:id="77" w:name="_Toc265765489"/>
      <w:bookmarkStart w:id="78" w:name="_Ref393178396"/>
      <w:bookmarkStart w:id="79" w:name="_Toc491862770"/>
      <w:r w:rsidRPr="000C7CFA">
        <w:rPr>
          <w:rFonts w:ascii="Verdana" w:hAnsi="Verdana"/>
          <w:sz w:val="18"/>
          <w:szCs w:val="18"/>
        </w:rPr>
        <w:t>B</w:t>
      </w:r>
      <w:r w:rsidR="0089163D" w:rsidRPr="000C7CFA">
        <w:rPr>
          <w:rFonts w:ascii="Verdana" w:hAnsi="Verdana"/>
          <w:sz w:val="18"/>
          <w:szCs w:val="18"/>
        </w:rPr>
        <w:t>ioaccumulation</w:t>
      </w:r>
      <w:bookmarkEnd w:id="77"/>
      <w:r w:rsidRPr="000C7CFA">
        <w:rPr>
          <w:rFonts w:ascii="Verdana" w:hAnsi="Verdana"/>
          <w:sz w:val="18"/>
          <w:szCs w:val="18"/>
        </w:rPr>
        <w:t xml:space="preserve"> in terrestrial organisms (soil</w:t>
      </w:r>
      <w:r w:rsidR="00AB5243" w:rsidRPr="000C7CFA">
        <w:rPr>
          <w:rFonts w:ascii="Verdana" w:hAnsi="Verdana"/>
          <w:sz w:val="18"/>
          <w:szCs w:val="18"/>
        </w:rPr>
        <w:t>-</w:t>
      </w:r>
      <w:r w:rsidRPr="000C7CFA">
        <w:rPr>
          <w:rFonts w:ascii="Verdana" w:hAnsi="Verdana"/>
          <w:sz w:val="18"/>
          <w:szCs w:val="18"/>
        </w:rPr>
        <w:t>dwelling organisms, vertebrates)</w:t>
      </w:r>
      <w:bookmarkEnd w:id="78"/>
      <w:bookmarkEnd w:id="79"/>
    </w:p>
    <w:p w14:paraId="6D5BE462" w14:textId="77777777" w:rsidR="00132987" w:rsidRPr="000C7CFA" w:rsidRDefault="00700CB8" w:rsidP="00446DC9">
      <w:pPr>
        <w:jc w:val="both"/>
        <w:rPr>
          <w:rFonts w:ascii="Verdana" w:hAnsi="Verdana"/>
          <w:sz w:val="18"/>
          <w:szCs w:val="18"/>
        </w:rPr>
      </w:pPr>
      <w:r w:rsidRPr="000C7CFA">
        <w:rPr>
          <w:rFonts w:ascii="Verdana" w:hAnsi="Verdana"/>
          <w:sz w:val="18"/>
          <w:szCs w:val="18"/>
        </w:rPr>
        <w:t xml:space="preserve">No data on bioaccumulation in terrestrial organisms </w:t>
      </w:r>
      <w:r w:rsidR="00BA0ECA" w:rsidRPr="000C7CFA">
        <w:rPr>
          <w:rFonts w:ascii="Verdana" w:hAnsi="Verdana"/>
          <w:sz w:val="18"/>
          <w:szCs w:val="18"/>
        </w:rPr>
        <w:t xml:space="preserve">was included in the REACH registration dossier. </w:t>
      </w:r>
    </w:p>
    <w:p w14:paraId="79558047" w14:textId="77777777" w:rsidR="009E34F6" w:rsidRPr="000C7CFA" w:rsidRDefault="00446DC9" w:rsidP="00446DC9">
      <w:pPr>
        <w:jc w:val="both"/>
        <w:rPr>
          <w:rFonts w:ascii="Verdana" w:hAnsi="Verdana"/>
          <w:sz w:val="18"/>
          <w:szCs w:val="18"/>
        </w:rPr>
      </w:pPr>
      <w:r w:rsidRPr="000C7CFA">
        <w:rPr>
          <w:rFonts w:ascii="Verdana" w:hAnsi="Verdana"/>
          <w:sz w:val="18"/>
          <w:szCs w:val="18"/>
        </w:rPr>
        <w:lastRenderedPageBreak/>
        <w:t xml:space="preserve">Although there are significant uncertainties in the physico-chemical data set, the combination of </w:t>
      </w:r>
      <w:r w:rsidR="009E34F6" w:rsidRPr="000C7CFA">
        <w:rPr>
          <w:rFonts w:ascii="Verdana" w:hAnsi="Verdana"/>
          <w:sz w:val="18"/>
          <w:szCs w:val="18"/>
        </w:rPr>
        <w:t>a</w:t>
      </w:r>
      <w:r w:rsidRPr="000C7CFA">
        <w:rPr>
          <w:rFonts w:ascii="Verdana" w:hAnsi="Verdana"/>
          <w:sz w:val="18"/>
          <w:szCs w:val="18"/>
        </w:rPr>
        <w:t xml:space="preserve"> predicted log K</w:t>
      </w:r>
      <w:r w:rsidRPr="000C7CFA">
        <w:rPr>
          <w:rFonts w:ascii="Verdana" w:hAnsi="Verdana"/>
          <w:sz w:val="18"/>
          <w:szCs w:val="18"/>
          <w:vertAlign w:val="subscript"/>
        </w:rPr>
        <w:t xml:space="preserve">OW </w:t>
      </w:r>
      <w:r w:rsidRPr="000C7CFA">
        <w:rPr>
          <w:rFonts w:ascii="Verdana" w:hAnsi="Verdana"/>
          <w:sz w:val="18"/>
          <w:szCs w:val="18"/>
        </w:rPr>
        <w:t xml:space="preserve"> </w:t>
      </w:r>
      <w:r w:rsidR="009E34F6" w:rsidRPr="000C7CFA">
        <w:rPr>
          <w:rFonts w:ascii="Verdana" w:hAnsi="Verdana"/>
          <w:sz w:val="18"/>
          <w:szCs w:val="18"/>
        </w:rPr>
        <w:t>&gt;2</w:t>
      </w:r>
      <w:r w:rsidRPr="000C7CFA">
        <w:rPr>
          <w:rFonts w:ascii="Verdana" w:hAnsi="Verdana"/>
          <w:sz w:val="18"/>
          <w:szCs w:val="18"/>
        </w:rPr>
        <w:t xml:space="preserve"> and log K</w:t>
      </w:r>
      <w:r w:rsidRPr="000C7CFA">
        <w:rPr>
          <w:rFonts w:ascii="Verdana" w:hAnsi="Verdana"/>
          <w:sz w:val="18"/>
          <w:szCs w:val="18"/>
          <w:vertAlign w:val="subscript"/>
        </w:rPr>
        <w:t>OA</w:t>
      </w:r>
      <w:r w:rsidRPr="000C7CFA">
        <w:rPr>
          <w:rFonts w:ascii="Verdana" w:hAnsi="Verdana"/>
          <w:sz w:val="18"/>
          <w:szCs w:val="18"/>
        </w:rPr>
        <w:t xml:space="preserve"> &gt;</w:t>
      </w:r>
      <w:r w:rsidR="009E34F6" w:rsidRPr="000C7CFA">
        <w:rPr>
          <w:rFonts w:ascii="Verdana" w:hAnsi="Verdana"/>
          <w:sz w:val="18"/>
          <w:szCs w:val="18"/>
        </w:rPr>
        <w:t>5</w:t>
      </w:r>
      <w:r w:rsidRPr="000C7CFA">
        <w:rPr>
          <w:rFonts w:ascii="Verdana" w:hAnsi="Verdana"/>
          <w:sz w:val="18"/>
          <w:szCs w:val="18"/>
        </w:rPr>
        <w:t xml:space="preserve"> indicate that Dechlorane Plus </w:t>
      </w:r>
      <w:r w:rsidR="009E34F6" w:rsidRPr="000C7CFA">
        <w:rPr>
          <w:rFonts w:ascii="Verdana" w:hAnsi="Verdana"/>
          <w:sz w:val="18"/>
          <w:szCs w:val="18"/>
        </w:rPr>
        <w:t>has</w:t>
      </w:r>
      <w:r w:rsidRPr="000C7CFA">
        <w:rPr>
          <w:rFonts w:ascii="Verdana" w:hAnsi="Verdana"/>
          <w:sz w:val="18"/>
          <w:szCs w:val="18"/>
        </w:rPr>
        <w:t xml:space="preserve"> the potential to biomagnify in terrestrial food webs </w:t>
      </w:r>
      <w:r w:rsidR="009E34F6" w:rsidRPr="000C7CFA">
        <w:rPr>
          <w:rFonts w:ascii="Verdana" w:hAnsi="Verdana"/>
          <w:sz w:val="18"/>
          <w:szCs w:val="18"/>
        </w:rPr>
        <w:t xml:space="preserve">if the rate of chemical transformation or metabolism is low, </w:t>
      </w:r>
      <w:r w:rsidRPr="000C7CFA">
        <w:rPr>
          <w:rFonts w:ascii="Verdana" w:hAnsi="Verdana"/>
          <w:sz w:val="18"/>
          <w:szCs w:val="18"/>
        </w:rPr>
        <w:t xml:space="preserve">as suggested by Gobas </w:t>
      </w:r>
      <w:r w:rsidRPr="000C7CFA">
        <w:rPr>
          <w:rFonts w:ascii="Verdana" w:hAnsi="Verdana"/>
          <w:i/>
          <w:sz w:val="18"/>
          <w:szCs w:val="18"/>
        </w:rPr>
        <w:t>et al</w:t>
      </w:r>
      <w:r w:rsidRPr="000C7CFA">
        <w:rPr>
          <w:rFonts w:ascii="Verdana" w:hAnsi="Verdana"/>
          <w:sz w:val="18"/>
          <w:szCs w:val="18"/>
        </w:rPr>
        <w:t xml:space="preserve">. (2003) and Kelly </w:t>
      </w:r>
      <w:r w:rsidRPr="000C7CFA">
        <w:rPr>
          <w:rFonts w:ascii="Verdana" w:hAnsi="Verdana"/>
          <w:i/>
          <w:sz w:val="18"/>
          <w:szCs w:val="18"/>
        </w:rPr>
        <w:t>et al</w:t>
      </w:r>
      <w:r w:rsidRPr="000C7CFA">
        <w:rPr>
          <w:rFonts w:ascii="Verdana" w:hAnsi="Verdana"/>
          <w:sz w:val="18"/>
          <w:szCs w:val="18"/>
        </w:rPr>
        <w:t xml:space="preserve">. (2007). </w:t>
      </w:r>
      <w:r w:rsidR="009E34F6" w:rsidRPr="000C7CFA">
        <w:rPr>
          <w:rFonts w:ascii="Verdana" w:hAnsi="Verdana"/>
          <w:sz w:val="18"/>
          <w:szCs w:val="18"/>
        </w:rPr>
        <w:t>In particular, biomagnification factors of very hydrophobic substances (log K</w:t>
      </w:r>
      <w:r w:rsidR="009E34F6" w:rsidRPr="000C7CFA">
        <w:rPr>
          <w:rFonts w:ascii="Verdana" w:hAnsi="Verdana"/>
          <w:sz w:val="18"/>
          <w:szCs w:val="18"/>
          <w:vertAlign w:val="subscript"/>
        </w:rPr>
        <w:t>OW</w:t>
      </w:r>
      <w:r w:rsidR="009E34F6" w:rsidRPr="000C7CFA">
        <w:rPr>
          <w:rFonts w:ascii="Verdana" w:hAnsi="Verdana"/>
          <w:sz w:val="18"/>
          <w:szCs w:val="18"/>
        </w:rPr>
        <w:t xml:space="preserve"> &gt;7) in terrestrial biota do not</w:t>
      </w:r>
      <w:r w:rsidR="006B662C" w:rsidRPr="000C7CFA">
        <w:rPr>
          <w:rFonts w:ascii="Verdana" w:hAnsi="Verdana"/>
          <w:sz w:val="18"/>
          <w:szCs w:val="18"/>
        </w:rPr>
        <w:t xml:space="preserve"> necessarily fall</w:t>
      </w:r>
      <w:r w:rsidR="009E34F6" w:rsidRPr="000C7CFA">
        <w:rPr>
          <w:rFonts w:ascii="Verdana" w:hAnsi="Verdana"/>
          <w:sz w:val="18"/>
          <w:szCs w:val="18"/>
        </w:rPr>
        <w:t xml:space="preserve"> with increasing K</w:t>
      </w:r>
      <w:r w:rsidR="009E34F6" w:rsidRPr="000C7CFA">
        <w:rPr>
          <w:rFonts w:ascii="Verdana" w:hAnsi="Verdana"/>
          <w:sz w:val="18"/>
          <w:szCs w:val="18"/>
          <w:vertAlign w:val="subscript"/>
        </w:rPr>
        <w:t>OW</w:t>
      </w:r>
      <w:r w:rsidR="009E34F6" w:rsidRPr="000C7CFA">
        <w:rPr>
          <w:rFonts w:ascii="Verdana" w:hAnsi="Verdana"/>
          <w:sz w:val="18"/>
          <w:szCs w:val="18"/>
        </w:rPr>
        <w:t>.</w:t>
      </w:r>
      <w:r w:rsidRPr="000C7CFA">
        <w:rPr>
          <w:rFonts w:ascii="Verdana" w:hAnsi="Verdana"/>
          <w:sz w:val="18"/>
          <w:szCs w:val="18"/>
        </w:rPr>
        <w:t xml:space="preserve"> </w:t>
      </w:r>
      <w:r w:rsidR="006B662C" w:rsidRPr="000C7CFA">
        <w:rPr>
          <w:rFonts w:ascii="Verdana" w:hAnsi="Verdana"/>
          <w:sz w:val="18"/>
          <w:szCs w:val="18"/>
        </w:rPr>
        <w:t>It is therefore important not to overlook the potential for terrestrial bioaccumulation for Dechlorane Plus.</w:t>
      </w:r>
    </w:p>
    <w:p w14:paraId="60272D96" w14:textId="7E5D8BC0" w:rsidR="00446DC9" w:rsidRPr="000C7CFA" w:rsidRDefault="00446DC9" w:rsidP="00446DC9">
      <w:pPr>
        <w:jc w:val="both"/>
        <w:rPr>
          <w:rFonts w:ascii="Verdana" w:hAnsi="Verdana"/>
          <w:sz w:val="18"/>
          <w:szCs w:val="18"/>
        </w:rPr>
      </w:pPr>
      <w:r w:rsidRPr="000C7CFA">
        <w:rPr>
          <w:rFonts w:ascii="Verdana" w:hAnsi="Verdana"/>
          <w:sz w:val="18"/>
          <w:szCs w:val="18"/>
        </w:rPr>
        <w:t>The findings from the literature search are summarized below.</w:t>
      </w:r>
    </w:p>
    <w:p w14:paraId="5A0CAED4" w14:textId="77777777" w:rsidR="00644F7E" w:rsidRPr="000C7CFA" w:rsidRDefault="00BA0ECA" w:rsidP="00644F7E">
      <w:pPr>
        <w:pStyle w:val="Heading4"/>
        <w:rPr>
          <w:rFonts w:ascii="Verdana" w:hAnsi="Verdana"/>
          <w:i/>
          <w:sz w:val="18"/>
          <w:szCs w:val="18"/>
        </w:rPr>
      </w:pPr>
      <w:r w:rsidRPr="000C7CFA">
        <w:rPr>
          <w:rFonts w:ascii="Verdana" w:hAnsi="Verdana"/>
          <w:i/>
          <w:sz w:val="18"/>
          <w:szCs w:val="18"/>
        </w:rPr>
        <w:t>Laboratory studies</w:t>
      </w:r>
    </w:p>
    <w:p w14:paraId="339BE4F7" w14:textId="419C01B8" w:rsidR="0013010F" w:rsidRPr="000C7CFA" w:rsidRDefault="00BA0ECA" w:rsidP="00DC3658">
      <w:pPr>
        <w:pStyle w:val="NoSpacing"/>
        <w:numPr>
          <w:ilvl w:val="0"/>
          <w:numId w:val="7"/>
        </w:numPr>
        <w:autoSpaceDE w:val="0"/>
        <w:autoSpaceDN w:val="0"/>
        <w:adjustRightInd w:val="0"/>
        <w:spacing w:after="120"/>
        <w:ind w:left="426" w:right="374"/>
        <w:jc w:val="both"/>
        <w:rPr>
          <w:rFonts w:ascii="Verdana" w:hAnsi="Verdana" w:cs="Times New Roman"/>
          <w:sz w:val="18"/>
          <w:szCs w:val="18"/>
        </w:rPr>
      </w:pPr>
      <w:r w:rsidRPr="000C7CFA">
        <w:rPr>
          <w:rFonts w:ascii="Verdana" w:hAnsi="Verdana" w:cs="Times New Roman"/>
          <w:color w:val="000000"/>
          <w:sz w:val="18"/>
          <w:szCs w:val="18"/>
        </w:rPr>
        <w:t xml:space="preserve">In a short-term toxicity study on the earthworm </w:t>
      </w:r>
      <w:r w:rsidRPr="000C7CFA">
        <w:rPr>
          <w:rFonts w:ascii="Verdana" w:hAnsi="Verdana" w:cs="Times New Roman"/>
          <w:i/>
          <w:color w:val="000000"/>
          <w:sz w:val="18"/>
          <w:szCs w:val="18"/>
        </w:rPr>
        <w:t>Eisenia fetida</w:t>
      </w:r>
      <w:r w:rsidRPr="000C7CFA">
        <w:rPr>
          <w:rFonts w:ascii="Verdana" w:hAnsi="Verdana" w:cs="Times New Roman"/>
          <w:color w:val="000000"/>
          <w:sz w:val="18"/>
          <w:szCs w:val="18"/>
        </w:rPr>
        <w:t xml:space="preserve">, </w:t>
      </w:r>
      <w:r w:rsidRPr="000C7CFA">
        <w:rPr>
          <w:rFonts w:ascii="Verdana" w:hAnsi="Verdana" w:cs="Times New Roman"/>
          <w:color w:val="000000"/>
          <w:sz w:val="18"/>
          <w:szCs w:val="18"/>
          <w:u w:val="single"/>
        </w:rPr>
        <w:t xml:space="preserve">Zhang </w:t>
      </w:r>
      <w:r w:rsidRPr="000C7CFA">
        <w:rPr>
          <w:rFonts w:ascii="Verdana" w:hAnsi="Verdana" w:cs="Times New Roman"/>
          <w:i/>
          <w:color w:val="000000"/>
          <w:sz w:val="18"/>
          <w:szCs w:val="18"/>
          <w:u w:val="single"/>
        </w:rPr>
        <w:t>et al</w:t>
      </w:r>
      <w:r w:rsidRPr="000C7CFA">
        <w:rPr>
          <w:rFonts w:ascii="Verdana" w:hAnsi="Verdana" w:cs="Times New Roman"/>
          <w:color w:val="000000"/>
          <w:sz w:val="18"/>
          <w:szCs w:val="18"/>
          <w:u w:val="single"/>
        </w:rPr>
        <w:t>. (2014)</w:t>
      </w:r>
      <w:r w:rsidRPr="000C7CFA">
        <w:rPr>
          <w:rFonts w:ascii="Verdana" w:hAnsi="Verdana" w:cs="Times New Roman"/>
          <w:color w:val="000000"/>
          <w:sz w:val="18"/>
          <w:szCs w:val="18"/>
        </w:rPr>
        <w:t xml:space="preserve"> detected signs of oxidative stress and other damage following exposures up to 14 days</w:t>
      </w:r>
      <w:r w:rsidR="00947F8A" w:rsidRPr="000C7CFA">
        <w:rPr>
          <w:rFonts w:ascii="Verdana" w:hAnsi="Verdana" w:cs="Times New Roman"/>
          <w:color w:val="000000"/>
          <w:sz w:val="18"/>
          <w:szCs w:val="18"/>
        </w:rPr>
        <w:t xml:space="preserve"> (this study is summarised in more detail in Section 5.2)</w:t>
      </w:r>
      <w:r w:rsidRPr="000C7CFA">
        <w:rPr>
          <w:rFonts w:ascii="Verdana" w:hAnsi="Verdana" w:cs="Times New Roman"/>
          <w:color w:val="000000"/>
          <w:sz w:val="18"/>
          <w:szCs w:val="18"/>
        </w:rPr>
        <w:t>. This indicates that the substance (or a more soluble impurity</w:t>
      </w:r>
      <w:r w:rsidR="00A459A9" w:rsidRPr="000C7CFA">
        <w:rPr>
          <w:rFonts w:ascii="Verdana" w:hAnsi="Verdana" w:cs="Times New Roman"/>
          <w:color w:val="000000"/>
          <w:sz w:val="18"/>
          <w:szCs w:val="18"/>
        </w:rPr>
        <w:t>; the stated purity was &gt;9</w:t>
      </w:r>
      <w:r w:rsidR="00AF7606" w:rsidRPr="000C7CFA">
        <w:rPr>
          <w:rFonts w:ascii="Verdana" w:hAnsi="Verdana" w:cs="Times New Roman"/>
          <w:color w:val="000000"/>
          <w:sz w:val="18"/>
          <w:szCs w:val="18"/>
        </w:rPr>
        <w:t>9 %</w:t>
      </w:r>
      <w:r w:rsidR="00A459A9" w:rsidRPr="000C7CFA">
        <w:rPr>
          <w:rFonts w:ascii="Verdana" w:hAnsi="Verdana" w:cs="Times New Roman"/>
          <w:color w:val="000000"/>
          <w:sz w:val="18"/>
          <w:szCs w:val="18"/>
        </w:rPr>
        <w:t xml:space="preserve"> w/w</w:t>
      </w:r>
      <w:r w:rsidRPr="000C7CFA">
        <w:rPr>
          <w:rFonts w:ascii="Verdana" w:hAnsi="Verdana" w:cs="Times New Roman"/>
          <w:color w:val="000000"/>
          <w:sz w:val="18"/>
          <w:szCs w:val="18"/>
        </w:rPr>
        <w:t xml:space="preserve">) can be taken up into earthworm tissues, but does not provide any quantitative information about bioaccumulation. </w:t>
      </w:r>
    </w:p>
    <w:p w14:paraId="7EABAB6C" w14:textId="2FE58282" w:rsidR="00E45147" w:rsidRPr="000C7CFA" w:rsidRDefault="00BA0ECA" w:rsidP="000128E5">
      <w:pPr>
        <w:pStyle w:val="NoSpacing"/>
        <w:spacing w:after="120"/>
        <w:ind w:left="425" w:right="374"/>
        <w:jc w:val="both"/>
        <w:rPr>
          <w:rFonts w:ascii="Verdana" w:hAnsi="Verdana" w:cs="Times New Roman"/>
          <w:sz w:val="18"/>
          <w:szCs w:val="18"/>
        </w:rPr>
      </w:pPr>
      <w:r w:rsidRPr="000C7CFA">
        <w:rPr>
          <w:rFonts w:ascii="Verdana" w:hAnsi="Verdana" w:cs="Times New Roman"/>
          <w:color w:val="000000"/>
          <w:sz w:val="18"/>
          <w:szCs w:val="18"/>
        </w:rPr>
        <w:t>Given</w:t>
      </w:r>
      <w:r w:rsidRPr="000C7CFA">
        <w:rPr>
          <w:rFonts w:ascii="Verdana" w:hAnsi="Verdana" w:cs="Times New Roman"/>
          <w:sz w:val="18"/>
          <w:szCs w:val="18"/>
        </w:rPr>
        <w:t xml:space="preserve"> </w:t>
      </w:r>
      <w:r w:rsidR="00C76BA4" w:rsidRPr="000C7CFA">
        <w:rPr>
          <w:rFonts w:ascii="Verdana" w:hAnsi="Verdana" w:cs="Times New Roman"/>
          <w:sz w:val="18"/>
          <w:szCs w:val="18"/>
        </w:rPr>
        <w:t xml:space="preserve">the short duration of this study, it is of low relevance for this assessment. </w:t>
      </w:r>
      <w:r w:rsidR="0060361F" w:rsidRPr="000C7CFA">
        <w:rPr>
          <w:rFonts w:ascii="Verdana" w:hAnsi="Verdana" w:cs="Times New Roman"/>
          <w:sz w:val="18"/>
          <w:szCs w:val="18"/>
        </w:rPr>
        <w:t>I</w:t>
      </w:r>
      <w:r w:rsidRPr="000C7CFA">
        <w:rPr>
          <w:rFonts w:ascii="Verdana" w:hAnsi="Verdana" w:cs="Times New Roman"/>
          <w:sz w:val="18"/>
          <w:szCs w:val="18"/>
        </w:rPr>
        <w:t>t</w:t>
      </w:r>
      <w:r w:rsidR="0060361F" w:rsidRPr="000C7CFA">
        <w:rPr>
          <w:rFonts w:ascii="Verdana" w:hAnsi="Verdana" w:cs="Times New Roman"/>
          <w:sz w:val="18"/>
          <w:szCs w:val="18"/>
        </w:rPr>
        <w:t xml:space="preserve"> is not</w:t>
      </w:r>
      <w:r w:rsidRPr="000C7CFA">
        <w:rPr>
          <w:rFonts w:ascii="Verdana" w:hAnsi="Verdana" w:cs="Times New Roman"/>
          <w:sz w:val="18"/>
          <w:szCs w:val="18"/>
        </w:rPr>
        <w:t xml:space="preserve"> useful to estimate an earthworm BCF using QSAR approaches</w:t>
      </w:r>
      <w:r w:rsidR="00C76BA4" w:rsidRPr="000C7CFA">
        <w:rPr>
          <w:rFonts w:ascii="Verdana" w:hAnsi="Verdana" w:cs="Times New Roman"/>
          <w:sz w:val="18"/>
          <w:szCs w:val="18"/>
        </w:rPr>
        <w:t xml:space="preserve"> given the uncertainty in the log K</w:t>
      </w:r>
      <w:r w:rsidR="00C76BA4" w:rsidRPr="000C7CFA">
        <w:rPr>
          <w:rFonts w:ascii="Verdana" w:hAnsi="Verdana" w:cs="Times New Roman"/>
          <w:sz w:val="18"/>
          <w:szCs w:val="18"/>
          <w:vertAlign w:val="subscript"/>
        </w:rPr>
        <w:t>OW</w:t>
      </w:r>
      <w:r w:rsidR="00C76BA4" w:rsidRPr="000C7CFA">
        <w:rPr>
          <w:rFonts w:ascii="Verdana" w:hAnsi="Verdana" w:cs="Times New Roman"/>
          <w:sz w:val="18"/>
          <w:szCs w:val="18"/>
        </w:rPr>
        <w:t xml:space="preserve"> value and limitations of the QSAR equations themselves</w:t>
      </w:r>
      <w:r w:rsidRPr="000C7CFA">
        <w:rPr>
          <w:rFonts w:ascii="Verdana" w:hAnsi="Verdana" w:cs="Times New Roman"/>
          <w:sz w:val="18"/>
          <w:szCs w:val="18"/>
        </w:rPr>
        <w:t>.</w:t>
      </w:r>
    </w:p>
    <w:p w14:paraId="1ADC4A51" w14:textId="77777777" w:rsidR="000128E5" w:rsidRPr="000C7CFA" w:rsidRDefault="000128E5" w:rsidP="0013010F">
      <w:pPr>
        <w:pStyle w:val="NoSpacing"/>
        <w:ind w:left="426" w:right="374"/>
        <w:jc w:val="both"/>
        <w:rPr>
          <w:rFonts w:ascii="Verdana" w:hAnsi="Verdana" w:cs="Times New Roman"/>
          <w:sz w:val="18"/>
          <w:szCs w:val="18"/>
        </w:rPr>
      </w:pPr>
    </w:p>
    <w:p w14:paraId="101BD77A" w14:textId="77777777" w:rsidR="005730A4" w:rsidRPr="000C7CFA" w:rsidRDefault="005730A4" w:rsidP="0013010F">
      <w:pPr>
        <w:pStyle w:val="NoSpacing"/>
        <w:ind w:left="426" w:right="374"/>
        <w:jc w:val="both"/>
        <w:rPr>
          <w:rFonts w:ascii="Verdana" w:hAnsi="Verdana" w:cs="Times New Roman"/>
          <w:sz w:val="18"/>
          <w:szCs w:val="18"/>
        </w:rPr>
      </w:pPr>
    </w:p>
    <w:p w14:paraId="172612D4" w14:textId="77777777" w:rsidR="005730A4" w:rsidRPr="000C7CFA" w:rsidRDefault="005730A4" w:rsidP="00DC3658">
      <w:pPr>
        <w:pStyle w:val="NoSpacing"/>
        <w:numPr>
          <w:ilvl w:val="0"/>
          <w:numId w:val="7"/>
        </w:numPr>
        <w:autoSpaceDE w:val="0"/>
        <w:autoSpaceDN w:val="0"/>
        <w:adjustRightInd w:val="0"/>
        <w:spacing w:after="120"/>
        <w:ind w:left="425" w:right="374" w:hanging="357"/>
        <w:jc w:val="both"/>
        <w:rPr>
          <w:rFonts w:ascii="Verdana" w:hAnsi="Verdana" w:cs="Times New Roman"/>
          <w:sz w:val="18"/>
          <w:szCs w:val="18"/>
        </w:rPr>
      </w:pPr>
      <w:r w:rsidRPr="000C7CFA">
        <w:rPr>
          <w:rFonts w:ascii="Verdana" w:hAnsi="Verdana" w:cs="Times New Roman"/>
          <w:sz w:val="18"/>
          <w:szCs w:val="18"/>
          <w:u w:val="single"/>
        </w:rPr>
        <w:t xml:space="preserve">Chabot-Giguère </w:t>
      </w:r>
      <w:r w:rsidRPr="000C7CFA">
        <w:rPr>
          <w:rFonts w:ascii="Verdana" w:hAnsi="Verdana" w:cs="Times New Roman"/>
          <w:i/>
          <w:sz w:val="18"/>
          <w:szCs w:val="18"/>
          <w:u w:val="single"/>
        </w:rPr>
        <w:t>et al</w:t>
      </w:r>
      <w:r w:rsidRPr="000C7CFA">
        <w:rPr>
          <w:rFonts w:ascii="Verdana" w:hAnsi="Verdana" w:cs="Times New Roman"/>
          <w:sz w:val="18"/>
          <w:szCs w:val="18"/>
          <w:u w:val="single"/>
        </w:rPr>
        <w:t>. (2013)</w:t>
      </w:r>
      <w:r w:rsidRPr="000C7CFA">
        <w:rPr>
          <w:rFonts w:ascii="Verdana" w:hAnsi="Verdana" w:cs="Times New Roman"/>
          <w:sz w:val="18"/>
          <w:szCs w:val="18"/>
        </w:rPr>
        <w:t xml:space="preserve"> studied </w:t>
      </w:r>
      <w:r w:rsidRPr="000C7CFA">
        <w:rPr>
          <w:rFonts w:ascii="Verdana" w:hAnsi="Verdana" w:cs="Times New Roman"/>
          <w:i/>
          <w:sz w:val="18"/>
          <w:szCs w:val="18"/>
        </w:rPr>
        <w:t>in vitro</w:t>
      </w:r>
      <w:r w:rsidRPr="000C7CFA">
        <w:rPr>
          <w:rFonts w:ascii="Verdana" w:hAnsi="Verdana" w:cs="Times New Roman"/>
          <w:sz w:val="18"/>
          <w:szCs w:val="18"/>
        </w:rPr>
        <w:t xml:space="preserve"> biotransformation of Dechlorane Plus using liver microsomes of breeding Ring-billed Gulls (</w:t>
      </w:r>
      <w:r w:rsidRPr="000C7CFA">
        <w:rPr>
          <w:rFonts w:ascii="Verdana" w:hAnsi="Verdana" w:cs="Times New Roman"/>
          <w:i/>
          <w:sz w:val="18"/>
          <w:szCs w:val="18"/>
        </w:rPr>
        <w:t>Larus delawarensis</w:t>
      </w:r>
      <w:r w:rsidRPr="000C7CFA">
        <w:rPr>
          <w:rFonts w:ascii="Verdana" w:hAnsi="Verdana" w:cs="Times New Roman"/>
          <w:sz w:val="18"/>
          <w:szCs w:val="18"/>
        </w:rPr>
        <w:t xml:space="preserve">) from Montreal, Canada. Adult male (n=19) and female (n=6) birds were randomly selected and live-captured during the incubation period. Shortly after capture, birds were euthanized and the left lobe of the liver was collected within 5 minutes. Liver microsomes were prepared by differential ultracentrifugation. Ethoxyresorufin-O-deethylase (EROD) activity measurement was used to verify the general hepatic microsomal CYP1A-like enzyme viability and to select individuals for the </w:t>
      </w:r>
      <w:r w:rsidRPr="000C7CFA">
        <w:rPr>
          <w:rFonts w:ascii="Verdana" w:hAnsi="Verdana" w:cs="Times New Roman"/>
          <w:i/>
          <w:sz w:val="18"/>
          <w:szCs w:val="18"/>
        </w:rPr>
        <w:t>in vitro</w:t>
      </w:r>
      <w:r w:rsidRPr="000C7CFA">
        <w:rPr>
          <w:rFonts w:ascii="Verdana" w:hAnsi="Verdana" w:cs="Times New Roman"/>
          <w:sz w:val="18"/>
          <w:szCs w:val="18"/>
        </w:rPr>
        <w:t xml:space="preserve"> assays covering a gradient of EROD activities (i.e. low, medium and high activity). </w:t>
      </w:r>
    </w:p>
    <w:p w14:paraId="2AAD08A3" w14:textId="77777777" w:rsidR="005730A4" w:rsidRPr="000C7CFA" w:rsidRDefault="005730A4" w:rsidP="005730A4">
      <w:pPr>
        <w:pStyle w:val="NoSpacing"/>
        <w:spacing w:after="120"/>
        <w:ind w:left="425" w:right="374"/>
        <w:jc w:val="both"/>
        <w:rPr>
          <w:rFonts w:ascii="Verdana" w:hAnsi="Verdana" w:cs="Times New Roman"/>
          <w:sz w:val="18"/>
          <w:szCs w:val="18"/>
        </w:rPr>
      </w:pPr>
      <w:r w:rsidRPr="000C7CFA">
        <w:rPr>
          <w:rFonts w:ascii="Verdana" w:hAnsi="Verdana" w:cs="Times New Roman"/>
          <w:sz w:val="18"/>
          <w:szCs w:val="18"/>
        </w:rPr>
        <w:t xml:space="preserve">A stock solution of Dechlorane Plus was prepared together with BDE-15 using isooctane, evaporated to dryness under nitrogen and reconstituted acetone to give a final concentration of 10 μg/mL for each isomer (and BDE-15). The </w:t>
      </w:r>
      <w:r w:rsidRPr="000C7CFA">
        <w:rPr>
          <w:rFonts w:ascii="Verdana" w:hAnsi="Verdana" w:cs="Times New Roman"/>
          <w:i/>
          <w:sz w:val="18"/>
          <w:szCs w:val="18"/>
        </w:rPr>
        <w:t>in vitro</w:t>
      </w:r>
      <w:r w:rsidRPr="000C7CFA">
        <w:rPr>
          <w:rFonts w:ascii="Verdana" w:hAnsi="Verdana" w:cs="Times New Roman"/>
          <w:sz w:val="18"/>
          <w:szCs w:val="18"/>
        </w:rPr>
        <w:t xml:space="preserve"> assay was performed in triplicate using one adult male randomly selected from each of the three EROD activity groups to give a total of three individuals. Following addition of a phosphate buffer and 1 mg of the microsomal suspension to 3 µL of test solution made up to a final volume of 1 mL, test tubes were wrapped in aluminium foil and incubated at 41 °C (the physiological temperature of medium-size gulls) for 5 minutes before the sequential addition of a NADPH regenerating solution. The assay was allowed to proceed for 90 minutes in a 41 °C shaking (90 rpm) dry bath. </w:t>
      </w:r>
    </w:p>
    <w:p w14:paraId="4B3122D7" w14:textId="2881BD9B" w:rsidR="005730A4" w:rsidRPr="000C7CFA" w:rsidRDefault="005730A4" w:rsidP="000128E5">
      <w:pPr>
        <w:pStyle w:val="NoSpacing"/>
        <w:spacing w:after="120"/>
        <w:ind w:left="425" w:right="374"/>
        <w:jc w:val="both"/>
        <w:rPr>
          <w:rFonts w:ascii="Verdana" w:hAnsi="Verdana" w:cs="Times New Roman"/>
          <w:sz w:val="18"/>
          <w:szCs w:val="18"/>
        </w:rPr>
      </w:pPr>
      <w:r w:rsidRPr="000C7CFA">
        <w:rPr>
          <w:rFonts w:ascii="Verdana" w:hAnsi="Verdana" w:cs="Times New Roman"/>
          <w:sz w:val="18"/>
          <w:szCs w:val="18"/>
        </w:rPr>
        <w:t xml:space="preserve">The syn- and anti- isomers were quantifiable in all nine liver samples, although the contribution of each isomer varied (this study used part of a larger data set reported by Gentes </w:t>
      </w:r>
      <w:r w:rsidRPr="000C7CFA">
        <w:rPr>
          <w:rFonts w:ascii="Verdana" w:hAnsi="Verdana" w:cs="Times New Roman"/>
          <w:i/>
          <w:sz w:val="18"/>
          <w:szCs w:val="18"/>
        </w:rPr>
        <w:t>et al</w:t>
      </w:r>
      <w:r w:rsidRPr="000C7CFA">
        <w:rPr>
          <w:rFonts w:ascii="Verdana" w:hAnsi="Verdana" w:cs="Times New Roman"/>
          <w:sz w:val="18"/>
          <w:szCs w:val="18"/>
        </w:rPr>
        <w:t xml:space="preserve">., 2012). None of the assays showed any depletion for either isomer over the 90-minute time frame of the assay (nor decabromodiphenyl ether in the same study). Degradation products were not screened for. In contrast, BDE-15 (included as a positive control) was significantly depleted (13, 31 and </w:t>
      </w:r>
      <w:r w:rsidR="00AF7606" w:rsidRPr="000C7CFA">
        <w:rPr>
          <w:rFonts w:ascii="Verdana" w:hAnsi="Verdana" w:cs="Times New Roman"/>
          <w:sz w:val="18"/>
          <w:szCs w:val="18"/>
        </w:rPr>
        <w:t>6 %</w:t>
      </w:r>
      <w:r w:rsidRPr="000C7CFA">
        <w:rPr>
          <w:rFonts w:ascii="Verdana" w:hAnsi="Verdana" w:cs="Times New Roman"/>
          <w:sz w:val="18"/>
          <w:szCs w:val="18"/>
        </w:rPr>
        <w:t xml:space="preserve"> depletion in the low, medium and high EROD activity groups, respectively). Since NADPH was used as the sole cofactor in the assays, the results suggested that CYP isoenzyme-mediated reductive dehalogenation is unlikely to be a substantial metabolic pathway for Dechlorane Plus in this species, although the study authors pointed out that the time frame may have been insufficient to capture any depletion. In addition, the test concentration (3</w:t>
      </w:r>
      <w:r w:rsidR="0082708E" w:rsidRPr="000C7CFA">
        <w:rPr>
          <w:rFonts w:ascii="Verdana" w:hAnsi="Verdana" w:cs="Times New Roman"/>
          <w:sz w:val="18"/>
          <w:szCs w:val="18"/>
        </w:rPr>
        <w:t>0</w:t>
      </w:r>
      <w:r w:rsidRPr="000C7CFA">
        <w:rPr>
          <w:rFonts w:ascii="Verdana" w:hAnsi="Verdana" w:cs="Times New Roman"/>
          <w:sz w:val="18"/>
          <w:szCs w:val="18"/>
        </w:rPr>
        <w:t xml:space="preserve"> μg/L)</w:t>
      </w:r>
      <w:r w:rsidR="0082708E" w:rsidRPr="000C7CFA">
        <w:rPr>
          <w:rFonts w:ascii="Verdana" w:hAnsi="Verdana" w:cs="Times New Roman"/>
          <w:sz w:val="18"/>
          <w:szCs w:val="18"/>
        </w:rPr>
        <w:t xml:space="preserve"> for each isomer</w:t>
      </w:r>
      <w:r w:rsidRPr="000C7CFA">
        <w:rPr>
          <w:rFonts w:ascii="Verdana" w:hAnsi="Verdana" w:cs="Times New Roman"/>
          <w:sz w:val="18"/>
          <w:szCs w:val="18"/>
        </w:rPr>
        <w:t xml:space="preserve"> significantly exceeds the solubility of the</w:t>
      </w:r>
      <w:r w:rsidR="0082708E" w:rsidRPr="000C7CFA">
        <w:rPr>
          <w:rFonts w:ascii="Verdana" w:hAnsi="Verdana" w:cs="Times New Roman"/>
          <w:sz w:val="18"/>
          <w:szCs w:val="18"/>
        </w:rPr>
        <w:t xml:space="preserve"> whole substance in pure water (ca. 2 </w:t>
      </w:r>
      <w:r w:rsidRPr="000C7CFA">
        <w:rPr>
          <w:rFonts w:ascii="Verdana" w:hAnsi="Verdana" w:cs="Times New Roman"/>
          <w:sz w:val="18"/>
          <w:szCs w:val="18"/>
        </w:rPr>
        <w:t xml:space="preserve">ng/L). It is therefore </w:t>
      </w:r>
      <w:r w:rsidR="0082708E" w:rsidRPr="000C7CFA">
        <w:rPr>
          <w:rFonts w:ascii="Verdana" w:hAnsi="Verdana" w:cs="Times New Roman"/>
          <w:sz w:val="18"/>
          <w:szCs w:val="18"/>
        </w:rPr>
        <w:t>possible</w:t>
      </w:r>
      <w:r w:rsidRPr="000C7CFA">
        <w:rPr>
          <w:rFonts w:ascii="Verdana" w:hAnsi="Verdana" w:cs="Times New Roman"/>
          <w:sz w:val="18"/>
          <w:szCs w:val="18"/>
        </w:rPr>
        <w:t xml:space="preserve"> that </w:t>
      </w:r>
      <w:r w:rsidRPr="000C7CFA">
        <w:rPr>
          <w:rFonts w:ascii="Verdana" w:hAnsi="Verdana" w:cs="Times New Roman"/>
          <w:color w:val="000000"/>
          <w:sz w:val="18"/>
          <w:szCs w:val="18"/>
        </w:rPr>
        <w:t>depletion</w:t>
      </w:r>
      <w:r w:rsidRPr="000C7CFA">
        <w:rPr>
          <w:rFonts w:ascii="Verdana" w:hAnsi="Verdana" w:cs="Times New Roman"/>
          <w:sz w:val="18"/>
          <w:szCs w:val="18"/>
        </w:rPr>
        <w:t xml:space="preserve"> could also have been impeded by the rate of dissolution, with any degradation masked by the high levels that were </w:t>
      </w:r>
      <w:r w:rsidRPr="000C7CFA">
        <w:rPr>
          <w:rFonts w:ascii="Verdana" w:hAnsi="Verdana" w:cs="Times New Roman"/>
          <w:color w:val="000000"/>
          <w:sz w:val="18"/>
          <w:szCs w:val="18"/>
        </w:rPr>
        <w:t>used</w:t>
      </w:r>
      <w:r w:rsidRPr="000C7CFA">
        <w:rPr>
          <w:rFonts w:ascii="Verdana" w:hAnsi="Verdana" w:cs="Times New Roman"/>
          <w:sz w:val="18"/>
          <w:szCs w:val="18"/>
        </w:rPr>
        <w:t>.</w:t>
      </w:r>
    </w:p>
    <w:p w14:paraId="371272D7" w14:textId="77777777" w:rsidR="000128E5" w:rsidRPr="000C7CFA" w:rsidRDefault="000128E5" w:rsidP="000128E5">
      <w:pPr>
        <w:pStyle w:val="NoSpacing"/>
        <w:spacing w:after="120"/>
        <w:ind w:left="425" w:right="374"/>
        <w:jc w:val="both"/>
        <w:rPr>
          <w:rFonts w:ascii="Verdana" w:hAnsi="Verdana"/>
          <w:color w:val="000000"/>
          <w:sz w:val="18"/>
          <w:szCs w:val="18"/>
        </w:rPr>
      </w:pPr>
      <w:r w:rsidRPr="000C7CFA">
        <w:rPr>
          <w:rFonts w:ascii="Verdana" w:hAnsi="Verdana" w:cs="Times New Roman"/>
          <w:color w:val="000000"/>
          <w:sz w:val="18"/>
          <w:szCs w:val="18"/>
        </w:rPr>
        <w:t>This study is not included in the registration dossier.</w:t>
      </w:r>
    </w:p>
    <w:p w14:paraId="59CC68B0" w14:textId="77777777" w:rsidR="000128E5" w:rsidRPr="000C7CFA" w:rsidRDefault="000128E5" w:rsidP="005730A4">
      <w:pPr>
        <w:pStyle w:val="NoSpacing"/>
        <w:ind w:left="426" w:right="374"/>
        <w:jc w:val="both"/>
        <w:rPr>
          <w:rFonts w:ascii="Verdana" w:hAnsi="Verdana" w:cs="Times New Roman"/>
          <w:sz w:val="18"/>
          <w:szCs w:val="18"/>
        </w:rPr>
      </w:pPr>
    </w:p>
    <w:p w14:paraId="11D905D3" w14:textId="77777777" w:rsidR="00054C0B" w:rsidRPr="000C7CFA" w:rsidRDefault="00054C0B" w:rsidP="0013010F">
      <w:pPr>
        <w:pStyle w:val="NoSpacing"/>
        <w:ind w:left="426" w:right="374"/>
        <w:jc w:val="both"/>
        <w:rPr>
          <w:rFonts w:ascii="Verdana" w:hAnsi="Verdana" w:cs="Times New Roman"/>
          <w:sz w:val="18"/>
          <w:szCs w:val="18"/>
        </w:rPr>
      </w:pPr>
    </w:p>
    <w:p w14:paraId="4DC139FB" w14:textId="77777777" w:rsidR="00054C0B" w:rsidRPr="000C7CFA" w:rsidRDefault="00054C0B" w:rsidP="00DC3658">
      <w:pPr>
        <w:pStyle w:val="NoSpacing"/>
        <w:numPr>
          <w:ilvl w:val="0"/>
          <w:numId w:val="7"/>
        </w:numPr>
        <w:autoSpaceDE w:val="0"/>
        <w:autoSpaceDN w:val="0"/>
        <w:adjustRightInd w:val="0"/>
        <w:ind w:left="426" w:right="374"/>
        <w:jc w:val="both"/>
        <w:rPr>
          <w:rFonts w:ascii="Verdana" w:hAnsi="Verdana" w:cs="Times New Roman"/>
          <w:sz w:val="18"/>
          <w:szCs w:val="18"/>
        </w:rPr>
      </w:pPr>
      <w:r w:rsidRPr="000C7CFA">
        <w:rPr>
          <w:rFonts w:ascii="Verdana" w:hAnsi="Verdana" w:cs="Times New Roman"/>
          <w:sz w:val="18"/>
          <w:szCs w:val="18"/>
          <w:u w:val="single"/>
        </w:rPr>
        <w:t xml:space="preserve">Peng </w:t>
      </w:r>
      <w:r w:rsidRPr="000C7CFA">
        <w:rPr>
          <w:rFonts w:ascii="Verdana" w:hAnsi="Verdana" w:cs="Times New Roman"/>
          <w:i/>
          <w:sz w:val="18"/>
          <w:szCs w:val="18"/>
          <w:u w:val="single"/>
        </w:rPr>
        <w:t>et al</w:t>
      </w:r>
      <w:r w:rsidRPr="000C7CFA">
        <w:rPr>
          <w:rFonts w:ascii="Verdana" w:hAnsi="Verdana" w:cs="Times New Roman"/>
          <w:sz w:val="18"/>
          <w:szCs w:val="18"/>
          <w:u w:val="single"/>
        </w:rPr>
        <w:t>. (2014)</w:t>
      </w:r>
      <w:r w:rsidRPr="000C7CFA">
        <w:rPr>
          <w:rFonts w:ascii="Verdana" w:hAnsi="Verdana" w:cs="Times New Roman"/>
          <w:sz w:val="18"/>
          <w:szCs w:val="18"/>
        </w:rPr>
        <w:t xml:space="preserve"> performed an </w:t>
      </w:r>
      <w:r w:rsidRPr="000C7CFA">
        <w:rPr>
          <w:rFonts w:ascii="Verdana" w:hAnsi="Verdana" w:cs="Times New Roman"/>
          <w:i/>
          <w:sz w:val="18"/>
          <w:szCs w:val="18"/>
        </w:rPr>
        <w:t>in vitro</w:t>
      </w:r>
      <w:r w:rsidRPr="000C7CFA">
        <w:rPr>
          <w:rFonts w:ascii="Verdana" w:hAnsi="Verdana" w:cs="Times New Roman"/>
          <w:sz w:val="18"/>
          <w:szCs w:val="18"/>
        </w:rPr>
        <w:t xml:space="preserve"> experiment on metabolic transformation using liver microsomes isolated from </w:t>
      </w:r>
      <w:r w:rsidRPr="000C7CFA">
        <w:rPr>
          <w:rFonts w:ascii="Verdana" w:hAnsi="Verdana" w:cs="Times New Roman"/>
          <w:sz w:val="18"/>
          <w:szCs w:val="18"/>
          <w:lang w:eastAsia="en-GB"/>
        </w:rPr>
        <w:t>Black-tailed Gull (</w:t>
      </w:r>
      <w:r w:rsidRPr="000C7CFA">
        <w:rPr>
          <w:rFonts w:ascii="Verdana" w:hAnsi="Verdana" w:cs="Times New Roman"/>
          <w:i/>
          <w:sz w:val="18"/>
          <w:szCs w:val="18"/>
          <w:lang w:eastAsia="en-GB"/>
        </w:rPr>
        <w:t>Larus crassirostris</w:t>
      </w:r>
      <w:r w:rsidRPr="000C7CFA">
        <w:rPr>
          <w:rFonts w:ascii="Verdana" w:hAnsi="Verdana" w:cs="Times New Roman"/>
          <w:sz w:val="18"/>
          <w:szCs w:val="18"/>
          <w:lang w:eastAsia="en-GB"/>
        </w:rPr>
        <w:t>)</w:t>
      </w:r>
      <w:r w:rsidRPr="000C7CFA">
        <w:rPr>
          <w:rFonts w:ascii="Verdana" w:hAnsi="Verdana" w:cs="Times New Roman"/>
          <w:sz w:val="18"/>
          <w:szCs w:val="18"/>
        </w:rPr>
        <w:t xml:space="preserve">. Dithiothreitol was included in the homogenization, wash, and resuspension buffers to preserve the catalytic activity of reductases. The final reaction volume contained either syn- or anti-Dechlorane Plus at a concentration of </w:t>
      </w:r>
      <w:r w:rsidR="00C3426A" w:rsidRPr="000C7CFA">
        <w:rPr>
          <w:rFonts w:ascii="Verdana" w:hAnsi="Verdana" w:cs="Times New Roman"/>
          <w:sz w:val="18"/>
          <w:szCs w:val="18"/>
        </w:rPr>
        <w:t>50 ng/mL</w:t>
      </w:r>
      <w:r w:rsidR="0082708E" w:rsidRPr="000C7CFA">
        <w:rPr>
          <w:rFonts w:ascii="Verdana" w:hAnsi="Verdana" w:cs="Times New Roman"/>
          <w:sz w:val="18"/>
          <w:szCs w:val="18"/>
        </w:rPr>
        <w:t xml:space="preserve"> [µg/L]</w:t>
      </w:r>
      <w:r w:rsidR="00C3426A" w:rsidRPr="000C7CFA">
        <w:rPr>
          <w:rFonts w:ascii="Verdana" w:hAnsi="Verdana" w:cs="Times New Roman"/>
          <w:sz w:val="18"/>
          <w:szCs w:val="18"/>
        </w:rPr>
        <w:t>. The protein concentration in the reaction vial was 7.5 mg/mL and the CYP1A1-catalyzed EROD activity was 12 pmol/mg/min. Reactions were performed at 37 °C for 24 hours with constant agitation. Incubations without chemicals and without microsomes were used as negative controls to assess background contaminants and the possibility of non-enzyme mediated changes in chemical structure.</w:t>
      </w:r>
    </w:p>
    <w:p w14:paraId="08DA3338" w14:textId="77777777" w:rsidR="00054C0B" w:rsidRPr="000C7CFA" w:rsidRDefault="00054C0B" w:rsidP="00054C0B">
      <w:pPr>
        <w:pStyle w:val="NoSpacing"/>
        <w:autoSpaceDE w:val="0"/>
        <w:autoSpaceDN w:val="0"/>
        <w:adjustRightInd w:val="0"/>
        <w:ind w:left="426" w:right="374"/>
        <w:jc w:val="both"/>
        <w:rPr>
          <w:rFonts w:ascii="Verdana" w:hAnsi="Verdana" w:cs="Times New Roman"/>
          <w:sz w:val="18"/>
          <w:szCs w:val="18"/>
        </w:rPr>
      </w:pPr>
    </w:p>
    <w:p w14:paraId="35EBA770" w14:textId="77777777" w:rsidR="0082708E" w:rsidRPr="000C7CFA" w:rsidRDefault="00054C0B" w:rsidP="000128E5">
      <w:pPr>
        <w:pStyle w:val="NoSpacing"/>
        <w:spacing w:after="120"/>
        <w:ind w:left="425" w:right="374"/>
        <w:jc w:val="both"/>
        <w:rPr>
          <w:rFonts w:ascii="Verdana" w:hAnsi="Verdana" w:cs="Times New Roman"/>
          <w:sz w:val="18"/>
          <w:szCs w:val="18"/>
        </w:rPr>
      </w:pPr>
      <w:r w:rsidRPr="000C7CFA">
        <w:rPr>
          <w:rFonts w:ascii="Verdana" w:hAnsi="Verdana" w:cs="Times New Roman"/>
          <w:sz w:val="18"/>
          <w:szCs w:val="18"/>
        </w:rPr>
        <w:t>No dechlorination of Dechlorane Plus was observed (no further details are provided).</w:t>
      </w:r>
      <w:r w:rsidR="0082708E" w:rsidRPr="000C7CFA">
        <w:rPr>
          <w:rFonts w:ascii="Verdana" w:hAnsi="Verdana" w:cs="Times New Roman"/>
          <w:sz w:val="18"/>
          <w:szCs w:val="18"/>
        </w:rPr>
        <w:t xml:space="preserve"> As for the study of Chabot-Giguère </w:t>
      </w:r>
      <w:r w:rsidR="0082708E" w:rsidRPr="000C7CFA">
        <w:rPr>
          <w:rFonts w:ascii="Verdana" w:hAnsi="Verdana" w:cs="Times New Roman"/>
          <w:i/>
          <w:sz w:val="18"/>
          <w:szCs w:val="18"/>
        </w:rPr>
        <w:t>et al</w:t>
      </w:r>
      <w:r w:rsidR="0082708E" w:rsidRPr="000C7CFA">
        <w:rPr>
          <w:rFonts w:ascii="Verdana" w:hAnsi="Verdana" w:cs="Times New Roman"/>
          <w:sz w:val="18"/>
          <w:szCs w:val="18"/>
        </w:rPr>
        <w:t>. (2013), the test concentration for each isomer significantly exceeds the solubility of the whole substance in pure water (</w:t>
      </w:r>
      <w:r w:rsidR="006A039A" w:rsidRPr="000C7CFA">
        <w:rPr>
          <w:rFonts w:ascii="Verdana" w:hAnsi="Verdana" w:cs="Times New Roman"/>
          <w:sz w:val="18"/>
          <w:szCs w:val="18"/>
        </w:rPr>
        <w:t>around</w:t>
      </w:r>
      <w:r w:rsidR="0082708E" w:rsidRPr="000C7CFA">
        <w:rPr>
          <w:rFonts w:ascii="Verdana" w:hAnsi="Verdana" w:cs="Times New Roman"/>
          <w:sz w:val="18"/>
          <w:szCs w:val="18"/>
        </w:rPr>
        <w:t xml:space="preserve"> 2 ng/L) so it is possible that </w:t>
      </w:r>
      <w:r w:rsidR="0082708E" w:rsidRPr="000C7CFA">
        <w:rPr>
          <w:rFonts w:ascii="Verdana" w:hAnsi="Verdana" w:cs="Times New Roman"/>
          <w:color w:val="000000"/>
          <w:sz w:val="18"/>
          <w:szCs w:val="18"/>
        </w:rPr>
        <w:t>depletion</w:t>
      </w:r>
      <w:r w:rsidR="0082708E" w:rsidRPr="000C7CFA">
        <w:rPr>
          <w:rFonts w:ascii="Verdana" w:hAnsi="Verdana" w:cs="Times New Roman"/>
          <w:sz w:val="18"/>
          <w:szCs w:val="18"/>
        </w:rPr>
        <w:t xml:space="preserve"> could have been impeded by the rate of dissolution, with any degradation masked by the high levels that were used.</w:t>
      </w:r>
    </w:p>
    <w:p w14:paraId="2C834117" w14:textId="77777777" w:rsidR="000128E5" w:rsidRPr="000C7CFA" w:rsidRDefault="000128E5" w:rsidP="000128E5">
      <w:pPr>
        <w:pStyle w:val="NoSpacing"/>
        <w:spacing w:after="120"/>
        <w:ind w:left="425" w:right="374"/>
        <w:jc w:val="both"/>
        <w:rPr>
          <w:rFonts w:ascii="Verdana" w:hAnsi="Verdana"/>
          <w:color w:val="000000"/>
          <w:sz w:val="18"/>
          <w:szCs w:val="18"/>
        </w:rPr>
      </w:pPr>
      <w:r w:rsidRPr="000C7CFA">
        <w:rPr>
          <w:rFonts w:ascii="Verdana" w:hAnsi="Verdana" w:cs="Times New Roman"/>
          <w:color w:val="000000"/>
          <w:sz w:val="18"/>
          <w:szCs w:val="18"/>
        </w:rPr>
        <w:t>This study is not included in the registration dossier.</w:t>
      </w:r>
    </w:p>
    <w:p w14:paraId="4264DB2F" w14:textId="77777777" w:rsidR="000128E5" w:rsidRPr="000C7CFA" w:rsidRDefault="000128E5" w:rsidP="0082708E">
      <w:pPr>
        <w:pStyle w:val="NoSpacing"/>
        <w:autoSpaceDE w:val="0"/>
        <w:autoSpaceDN w:val="0"/>
        <w:adjustRightInd w:val="0"/>
        <w:ind w:left="426" w:right="374"/>
        <w:jc w:val="both"/>
        <w:rPr>
          <w:rFonts w:ascii="Verdana" w:hAnsi="Verdana" w:cs="Times New Roman"/>
          <w:sz w:val="18"/>
          <w:szCs w:val="18"/>
        </w:rPr>
      </w:pPr>
    </w:p>
    <w:p w14:paraId="0D53C570" w14:textId="77777777" w:rsidR="004A58DA" w:rsidRPr="000C7CFA" w:rsidRDefault="004A58DA" w:rsidP="008B1321">
      <w:pPr>
        <w:pStyle w:val="NoSpacing"/>
        <w:autoSpaceDE w:val="0"/>
        <w:autoSpaceDN w:val="0"/>
        <w:adjustRightInd w:val="0"/>
        <w:spacing w:after="120"/>
        <w:ind w:left="426" w:right="374"/>
        <w:jc w:val="both"/>
        <w:rPr>
          <w:rFonts w:ascii="Verdana" w:hAnsi="Verdana"/>
          <w:sz w:val="18"/>
          <w:szCs w:val="18"/>
          <w:lang w:eastAsia="en-GB"/>
        </w:rPr>
      </w:pPr>
    </w:p>
    <w:p w14:paraId="7E1B203D" w14:textId="11473E31" w:rsidR="00DE73B5" w:rsidRPr="000C7CFA" w:rsidRDefault="00DE73B5" w:rsidP="00DC3658">
      <w:pPr>
        <w:pStyle w:val="NoSpacing"/>
        <w:numPr>
          <w:ilvl w:val="0"/>
          <w:numId w:val="7"/>
        </w:numPr>
        <w:autoSpaceDE w:val="0"/>
        <w:autoSpaceDN w:val="0"/>
        <w:adjustRightInd w:val="0"/>
        <w:spacing w:after="120"/>
        <w:ind w:left="426" w:right="374"/>
        <w:jc w:val="both"/>
        <w:rPr>
          <w:rFonts w:ascii="Verdana" w:hAnsi="Verdana" w:cs="Times New Roman"/>
          <w:color w:val="000000"/>
          <w:sz w:val="18"/>
          <w:szCs w:val="18"/>
        </w:rPr>
      </w:pPr>
      <w:r w:rsidRPr="000C7CFA">
        <w:rPr>
          <w:rFonts w:ascii="Verdana" w:hAnsi="Verdana" w:cs="Times New Roman"/>
          <w:sz w:val="18"/>
          <w:szCs w:val="18"/>
          <w:u w:val="single"/>
        </w:rPr>
        <w:t xml:space="preserve">Zhang </w:t>
      </w:r>
      <w:r w:rsidRPr="000C7CFA">
        <w:rPr>
          <w:rFonts w:ascii="Verdana" w:hAnsi="Verdana" w:cs="Times New Roman"/>
          <w:i/>
          <w:sz w:val="18"/>
          <w:szCs w:val="18"/>
          <w:u w:val="single"/>
        </w:rPr>
        <w:t>et al</w:t>
      </w:r>
      <w:r w:rsidRPr="000C7CFA">
        <w:rPr>
          <w:rFonts w:ascii="Verdana" w:hAnsi="Verdana" w:cs="Times New Roman"/>
          <w:sz w:val="18"/>
          <w:szCs w:val="18"/>
          <w:u w:val="single"/>
        </w:rPr>
        <w:t>. (2015)</w:t>
      </w:r>
      <w:r w:rsidRPr="000C7CFA">
        <w:rPr>
          <w:rFonts w:ascii="Verdana" w:hAnsi="Verdana" w:cs="Times New Roman"/>
          <w:sz w:val="18"/>
          <w:szCs w:val="18"/>
        </w:rPr>
        <w:t xml:space="preserve"> investigated the </w:t>
      </w:r>
      <w:r w:rsidR="001135EA" w:rsidRPr="000C7CFA">
        <w:rPr>
          <w:rFonts w:ascii="Verdana" w:hAnsi="Verdana" w:cs="Times New Roman"/>
          <w:sz w:val="18"/>
          <w:szCs w:val="18"/>
        </w:rPr>
        <w:t>bioaccumulation</w:t>
      </w:r>
      <w:r w:rsidRPr="000C7CFA">
        <w:rPr>
          <w:rFonts w:ascii="Verdana" w:hAnsi="Verdana" w:cs="Times New Roman"/>
          <w:sz w:val="18"/>
          <w:szCs w:val="18"/>
        </w:rPr>
        <w:t xml:space="preserve"> and translocation of Dechlorane Plus in rice (</w:t>
      </w:r>
      <w:r w:rsidRPr="000C7CFA">
        <w:rPr>
          <w:rFonts w:ascii="Verdana" w:hAnsi="Verdana" w:cs="Times New Roman"/>
          <w:i/>
          <w:sz w:val="18"/>
          <w:szCs w:val="18"/>
        </w:rPr>
        <w:t xml:space="preserve">Oryza sativa </w:t>
      </w:r>
      <w:r w:rsidRPr="000C7CFA">
        <w:rPr>
          <w:rFonts w:ascii="Verdana" w:hAnsi="Verdana" w:cs="Times New Roman"/>
          <w:sz w:val="18"/>
          <w:szCs w:val="18"/>
        </w:rPr>
        <w:t>L.). Three soils were used in the study</w:t>
      </w:r>
      <w:r w:rsidR="005A5173" w:rsidRPr="000C7CFA">
        <w:rPr>
          <w:rFonts w:ascii="Verdana" w:hAnsi="Verdana" w:cs="Times New Roman"/>
          <w:sz w:val="18"/>
          <w:szCs w:val="18"/>
        </w:rPr>
        <w:t>:</w:t>
      </w:r>
      <w:r w:rsidRPr="000C7CFA">
        <w:rPr>
          <w:rFonts w:ascii="Verdana" w:hAnsi="Verdana" w:cs="Times New Roman"/>
          <w:sz w:val="18"/>
          <w:szCs w:val="18"/>
        </w:rPr>
        <w:t xml:space="preserve"> a control soil obtained from a rice production area in Hengli Town, Guangdong Province, a </w:t>
      </w:r>
      <w:r w:rsidR="005A5173" w:rsidRPr="000C7CFA">
        <w:rPr>
          <w:rFonts w:ascii="Verdana" w:hAnsi="Verdana" w:cs="Times New Roman"/>
          <w:sz w:val="18"/>
          <w:szCs w:val="18"/>
        </w:rPr>
        <w:t>‘</w:t>
      </w:r>
      <w:r w:rsidRPr="000C7CFA">
        <w:rPr>
          <w:rFonts w:ascii="Verdana" w:hAnsi="Verdana" w:cs="Times New Roman"/>
          <w:sz w:val="18"/>
          <w:szCs w:val="18"/>
        </w:rPr>
        <w:t>low exposure</w:t>
      </w:r>
      <w:r w:rsidR="005A5173" w:rsidRPr="000C7CFA">
        <w:rPr>
          <w:rFonts w:ascii="Verdana" w:hAnsi="Verdana" w:cs="Times New Roman"/>
          <w:sz w:val="18"/>
          <w:szCs w:val="18"/>
        </w:rPr>
        <w:t>’</w:t>
      </w:r>
      <w:r w:rsidRPr="000C7CFA">
        <w:rPr>
          <w:rFonts w:ascii="Verdana" w:hAnsi="Verdana" w:cs="Times New Roman"/>
          <w:sz w:val="18"/>
          <w:szCs w:val="18"/>
        </w:rPr>
        <w:t xml:space="preserve"> soil consisting of paddy soils obtained from close to e-waste recycling workshops and a </w:t>
      </w:r>
      <w:r w:rsidR="005A5173" w:rsidRPr="000C7CFA">
        <w:rPr>
          <w:rFonts w:ascii="Verdana" w:hAnsi="Verdana" w:cs="Times New Roman"/>
          <w:sz w:val="18"/>
          <w:szCs w:val="18"/>
        </w:rPr>
        <w:t>‘</w:t>
      </w:r>
      <w:r w:rsidRPr="000C7CFA">
        <w:rPr>
          <w:rFonts w:ascii="Verdana" w:hAnsi="Verdana" w:cs="Times New Roman"/>
          <w:sz w:val="18"/>
          <w:szCs w:val="18"/>
        </w:rPr>
        <w:t>high exposure</w:t>
      </w:r>
      <w:r w:rsidR="005A5173" w:rsidRPr="000C7CFA">
        <w:rPr>
          <w:rFonts w:ascii="Verdana" w:hAnsi="Verdana" w:cs="Times New Roman"/>
          <w:sz w:val="18"/>
          <w:szCs w:val="18"/>
        </w:rPr>
        <w:t>’</w:t>
      </w:r>
      <w:r w:rsidRPr="000C7CFA">
        <w:rPr>
          <w:rFonts w:ascii="Verdana" w:hAnsi="Verdana" w:cs="Times New Roman"/>
          <w:sz w:val="18"/>
          <w:szCs w:val="18"/>
        </w:rPr>
        <w:t xml:space="preserve"> soil consisting of a mixture of e-waste contaminated soil (20%) and the control area soil (80%). Fertilizer was added to each soil in order to ensure that the </w:t>
      </w:r>
      <w:r w:rsidR="005A5173" w:rsidRPr="000C7CFA">
        <w:rPr>
          <w:rFonts w:ascii="Verdana" w:hAnsi="Verdana" w:cs="Times New Roman"/>
          <w:sz w:val="18"/>
          <w:szCs w:val="18"/>
        </w:rPr>
        <w:t>nitrogen</w:t>
      </w:r>
      <w:r w:rsidRPr="000C7CFA">
        <w:rPr>
          <w:rFonts w:ascii="Verdana" w:hAnsi="Verdana" w:cs="Times New Roman"/>
          <w:sz w:val="18"/>
          <w:szCs w:val="18"/>
        </w:rPr>
        <w:t xml:space="preserve">, </w:t>
      </w:r>
      <w:r w:rsidR="005A5173" w:rsidRPr="000C7CFA">
        <w:rPr>
          <w:rFonts w:ascii="Verdana" w:hAnsi="Verdana" w:cs="Times New Roman"/>
          <w:sz w:val="18"/>
          <w:szCs w:val="18"/>
        </w:rPr>
        <w:t>phosphorus</w:t>
      </w:r>
      <w:r w:rsidRPr="000C7CFA">
        <w:rPr>
          <w:rFonts w:ascii="Verdana" w:hAnsi="Verdana" w:cs="Times New Roman"/>
          <w:sz w:val="18"/>
          <w:szCs w:val="18"/>
        </w:rPr>
        <w:t xml:space="preserve"> and </w:t>
      </w:r>
      <w:r w:rsidR="005A5173" w:rsidRPr="000C7CFA">
        <w:rPr>
          <w:rFonts w:ascii="Verdana" w:hAnsi="Verdana" w:cs="Times New Roman"/>
          <w:sz w:val="18"/>
          <w:szCs w:val="18"/>
        </w:rPr>
        <w:t>potassium</w:t>
      </w:r>
      <w:r w:rsidRPr="000C7CFA">
        <w:rPr>
          <w:rFonts w:ascii="Verdana" w:hAnsi="Verdana" w:cs="Times New Roman"/>
          <w:sz w:val="18"/>
          <w:szCs w:val="18"/>
        </w:rPr>
        <w:t xml:space="preserve"> levels were consistent across all soils. The pH of the soils was between 6.2 and 6.9.</w:t>
      </w:r>
    </w:p>
    <w:p w14:paraId="71B0CDA7" w14:textId="77777777" w:rsidR="00DE73B5" w:rsidRPr="000C7CFA" w:rsidRDefault="00DE73B5" w:rsidP="00DE73B5">
      <w:pPr>
        <w:pStyle w:val="NoSpacing"/>
        <w:autoSpaceDE w:val="0"/>
        <w:autoSpaceDN w:val="0"/>
        <w:adjustRightInd w:val="0"/>
        <w:spacing w:after="120"/>
        <w:ind w:left="426" w:right="374"/>
        <w:jc w:val="both"/>
        <w:rPr>
          <w:rFonts w:ascii="Verdana" w:hAnsi="Verdana" w:cs="Times New Roman"/>
          <w:sz w:val="18"/>
          <w:szCs w:val="18"/>
        </w:rPr>
      </w:pPr>
      <w:r w:rsidRPr="000C7CFA">
        <w:rPr>
          <w:rFonts w:ascii="Verdana" w:hAnsi="Verdana" w:cs="Times New Roman"/>
          <w:sz w:val="18"/>
          <w:szCs w:val="18"/>
        </w:rPr>
        <w:t>Rice seeds were sown on 10 July using the control soil and the seedlings were then transplanted into the two exposure group and control soils on 30 July. The plants were grown in a greenhouse for 40 days with daily watering. The pots did not contain drainage holes</w:t>
      </w:r>
      <w:r w:rsidR="005A5173" w:rsidRPr="000C7CFA">
        <w:rPr>
          <w:rFonts w:ascii="Verdana" w:hAnsi="Verdana" w:cs="Times New Roman"/>
          <w:sz w:val="18"/>
          <w:szCs w:val="18"/>
        </w:rPr>
        <w:t>,</w:t>
      </w:r>
      <w:r w:rsidRPr="000C7CFA">
        <w:rPr>
          <w:rFonts w:ascii="Verdana" w:hAnsi="Verdana" w:cs="Times New Roman"/>
          <w:sz w:val="18"/>
          <w:szCs w:val="18"/>
        </w:rPr>
        <w:t xml:space="preserve"> in order to prevent loss. Each treatment group consisted of 30 pots</w:t>
      </w:r>
      <w:r w:rsidR="005A5173" w:rsidRPr="000C7CFA">
        <w:rPr>
          <w:rFonts w:ascii="Verdana" w:hAnsi="Verdana" w:cs="Times New Roman"/>
          <w:sz w:val="18"/>
          <w:szCs w:val="18"/>
        </w:rPr>
        <w:t>,</w:t>
      </w:r>
      <w:r w:rsidRPr="000C7CFA">
        <w:rPr>
          <w:rFonts w:ascii="Verdana" w:hAnsi="Verdana" w:cs="Times New Roman"/>
          <w:sz w:val="18"/>
          <w:szCs w:val="18"/>
        </w:rPr>
        <w:t xml:space="preserve"> each containing 5 seedlings and 3 pots were pooled for analysis at the end of the experiment. The leaves, stems and roots were analysed separately. In addition</w:t>
      </w:r>
      <w:r w:rsidR="005A5173" w:rsidRPr="000C7CFA">
        <w:rPr>
          <w:rFonts w:ascii="Verdana" w:hAnsi="Verdana" w:cs="Times New Roman"/>
          <w:sz w:val="18"/>
          <w:szCs w:val="18"/>
        </w:rPr>
        <w:t>,</w:t>
      </w:r>
      <w:r w:rsidRPr="000C7CFA">
        <w:rPr>
          <w:rFonts w:ascii="Verdana" w:hAnsi="Verdana" w:cs="Times New Roman"/>
          <w:sz w:val="18"/>
          <w:szCs w:val="18"/>
        </w:rPr>
        <w:t xml:space="preserve"> sections of some samples were used to assess plant growth and physiology.</w:t>
      </w:r>
    </w:p>
    <w:p w14:paraId="26CE657F" w14:textId="2AED8780" w:rsidR="00DE73B5" w:rsidRPr="000C7CFA" w:rsidRDefault="00DE73B5" w:rsidP="00DE73B5">
      <w:pPr>
        <w:pStyle w:val="NoSpacing"/>
        <w:autoSpaceDE w:val="0"/>
        <w:autoSpaceDN w:val="0"/>
        <w:adjustRightInd w:val="0"/>
        <w:spacing w:after="120"/>
        <w:ind w:left="426" w:right="374"/>
        <w:jc w:val="both"/>
        <w:rPr>
          <w:rFonts w:ascii="Verdana" w:hAnsi="Verdana" w:cs="Times New Roman"/>
          <w:sz w:val="18"/>
          <w:szCs w:val="18"/>
        </w:rPr>
      </w:pPr>
      <w:r w:rsidRPr="000C7CFA">
        <w:rPr>
          <w:rFonts w:ascii="Verdana" w:hAnsi="Verdana" w:cs="Times New Roman"/>
          <w:sz w:val="18"/>
          <w:szCs w:val="18"/>
        </w:rPr>
        <w:t xml:space="preserve">The concentrations of Dechlorane Plus in the soils were determined both before and </w:t>
      </w:r>
      <w:r w:rsidR="001135EA" w:rsidRPr="000C7CFA">
        <w:rPr>
          <w:rFonts w:ascii="Verdana" w:hAnsi="Verdana" w:cs="Times New Roman"/>
          <w:sz w:val="18"/>
          <w:szCs w:val="18"/>
        </w:rPr>
        <w:t>after</w:t>
      </w:r>
      <w:r w:rsidRPr="000C7CFA">
        <w:rPr>
          <w:rFonts w:ascii="Verdana" w:hAnsi="Verdana" w:cs="Times New Roman"/>
          <w:sz w:val="18"/>
          <w:szCs w:val="18"/>
        </w:rPr>
        <w:t xml:space="preserve"> planting and the mean concentration before planting was 0.24</w:t>
      </w:r>
      <w:r w:rsidR="005A5173" w:rsidRPr="000C7CFA">
        <w:rPr>
          <w:rFonts w:ascii="Verdana" w:hAnsi="Verdana" w:cs="Times New Roman"/>
          <w:sz w:val="18"/>
          <w:szCs w:val="18"/>
        </w:rPr>
        <w:t> </w:t>
      </w:r>
      <w:r w:rsidRPr="000C7CFA">
        <w:rPr>
          <w:rFonts w:ascii="Verdana" w:hAnsi="Verdana" w:cs="Times New Roman"/>
          <w:sz w:val="18"/>
          <w:szCs w:val="18"/>
        </w:rPr>
        <w:t xml:space="preserve">μg/kg dw in the control soil, 36 μg/kg dw in the </w:t>
      </w:r>
      <w:r w:rsidR="005A5173" w:rsidRPr="000C7CFA">
        <w:rPr>
          <w:rFonts w:ascii="Verdana" w:hAnsi="Verdana" w:cs="Times New Roman"/>
          <w:sz w:val="18"/>
          <w:szCs w:val="18"/>
        </w:rPr>
        <w:t>‘</w:t>
      </w:r>
      <w:r w:rsidRPr="000C7CFA">
        <w:rPr>
          <w:rFonts w:ascii="Verdana" w:hAnsi="Verdana" w:cs="Times New Roman"/>
          <w:sz w:val="18"/>
          <w:szCs w:val="18"/>
        </w:rPr>
        <w:t>low exposure</w:t>
      </w:r>
      <w:r w:rsidR="005A5173" w:rsidRPr="000C7CFA">
        <w:rPr>
          <w:rFonts w:ascii="Verdana" w:hAnsi="Verdana" w:cs="Times New Roman"/>
          <w:sz w:val="18"/>
          <w:szCs w:val="18"/>
        </w:rPr>
        <w:t>’</w:t>
      </w:r>
      <w:r w:rsidRPr="000C7CFA">
        <w:rPr>
          <w:rFonts w:ascii="Verdana" w:hAnsi="Verdana" w:cs="Times New Roman"/>
          <w:sz w:val="18"/>
          <w:szCs w:val="18"/>
        </w:rPr>
        <w:t xml:space="preserve"> soil and 220 μg/kg dw in the </w:t>
      </w:r>
      <w:r w:rsidR="005A5173" w:rsidRPr="000C7CFA">
        <w:rPr>
          <w:rFonts w:ascii="Verdana" w:hAnsi="Verdana" w:cs="Times New Roman"/>
          <w:sz w:val="18"/>
          <w:szCs w:val="18"/>
        </w:rPr>
        <w:t>‘</w:t>
      </w:r>
      <w:r w:rsidRPr="000C7CFA">
        <w:rPr>
          <w:rFonts w:ascii="Verdana" w:hAnsi="Verdana" w:cs="Times New Roman"/>
          <w:sz w:val="18"/>
          <w:szCs w:val="18"/>
        </w:rPr>
        <w:t>high exposure</w:t>
      </w:r>
      <w:r w:rsidR="005A5173" w:rsidRPr="000C7CFA">
        <w:rPr>
          <w:rFonts w:ascii="Verdana" w:hAnsi="Verdana" w:cs="Times New Roman"/>
          <w:sz w:val="18"/>
          <w:szCs w:val="18"/>
        </w:rPr>
        <w:t>’</w:t>
      </w:r>
      <w:r w:rsidRPr="000C7CFA">
        <w:rPr>
          <w:rFonts w:ascii="Verdana" w:hAnsi="Verdana" w:cs="Times New Roman"/>
          <w:sz w:val="18"/>
          <w:szCs w:val="18"/>
        </w:rPr>
        <w:t xml:space="preserve"> soil. The mean concentration after planting was 0.16 μg/kg dw in the control soil, 28 μg/kg dw in the </w:t>
      </w:r>
      <w:r w:rsidR="005A5173" w:rsidRPr="000C7CFA">
        <w:rPr>
          <w:rFonts w:ascii="Verdana" w:hAnsi="Verdana" w:cs="Times New Roman"/>
          <w:sz w:val="18"/>
          <w:szCs w:val="18"/>
        </w:rPr>
        <w:t>‘</w:t>
      </w:r>
      <w:r w:rsidRPr="000C7CFA">
        <w:rPr>
          <w:rFonts w:ascii="Verdana" w:hAnsi="Verdana" w:cs="Times New Roman"/>
          <w:sz w:val="18"/>
          <w:szCs w:val="18"/>
        </w:rPr>
        <w:t>low exposure</w:t>
      </w:r>
      <w:r w:rsidR="005A5173" w:rsidRPr="000C7CFA">
        <w:rPr>
          <w:rFonts w:ascii="Verdana" w:hAnsi="Verdana" w:cs="Times New Roman"/>
          <w:sz w:val="18"/>
          <w:szCs w:val="18"/>
        </w:rPr>
        <w:t>’</w:t>
      </w:r>
      <w:r w:rsidRPr="000C7CFA">
        <w:rPr>
          <w:rFonts w:ascii="Verdana" w:hAnsi="Verdana" w:cs="Times New Roman"/>
          <w:sz w:val="18"/>
          <w:szCs w:val="18"/>
        </w:rPr>
        <w:t xml:space="preserve"> soil and 160 μg/kg dw in the </w:t>
      </w:r>
      <w:r w:rsidR="005A5173" w:rsidRPr="000C7CFA">
        <w:rPr>
          <w:rFonts w:ascii="Verdana" w:hAnsi="Verdana" w:cs="Times New Roman"/>
          <w:sz w:val="18"/>
          <w:szCs w:val="18"/>
        </w:rPr>
        <w:t>‘</w:t>
      </w:r>
      <w:r w:rsidRPr="000C7CFA">
        <w:rPr>
          <w:rFonts w:ascii="Verdana" w:hAnsi="Verdana" w:cs="Times New Roman"/>
          <w:sz w:val="18"/>
          <w:szCs w:val="18"/>
        </w:rPr>
        <w:t>high exposure</w:t>
      </w:r>
      <w:r w:rsidR="005A5173" w:rsidRPr="000C7CFA">
        <w:rPr>
          <w:rFonts w:ascii="Verdana" w:hAnsi="Verdana" w:cs="Times New Roman"/>
          <w:sz w:val="18"/>
          <w:szCs w:val="18"/>
        </w:rPr>
        <w:t>’</w:t>
      </w:r>
      <w:r w:rsidRPr="000C7CFA">
        <w:rPr>
          <w:rFonts w:ascii="Verdana" w:hAnsi="Verdana" w:cs="Times New Roman"/>
          <w:sz w:val="18"/>
          <w:szCs w:val="18"/>
        </w:rPr>
        <w:t xml:space="preserve"> soil.</w:t>
      </w:r>
    </w:p>
    <w:p w14:paraId="57188D48" w14:textId="7CB2D4D7" w:rsidR="00DE73B5" w:rsidRPr="000C7CFA" w:rsidRDefault="00DE73B5" w:rsidP="00DE73B5">
      <w:pPr>
        <w:pStyle w:val="NoSpacing"/>
        <w:autoSpaceDE w:val="0"/>
        <w:autoSpaceDN w:val="0"/>
        <w:adjustRightInd w:val="0"/>
        <w:spacing w:after="120"/>
        <w:ind w:left="426" w:right="374"/>
        <w:jc w:val="both"/>
        <w:rPr>
          <w:rFonts w:ascii="Verdana" w:hAnsi="Verdana" w:cs="Times New Roman"/>
          <w:sz w:val="18"/>
          <w:szCs w:val="18"/>
        </w:rPr>
      </w:pPr>
      <w:r w:rsidRPr="000C7CFA">
        <w:rPr>
          <w:rFonts w:ascii="Verdana" w:hAnsi="Verdana" w:cs="Times New Roman"/>
          <w:sz w:val="18"/>
          <w:szCs w:val="18"/>
        </w:rPr>
        <w:t>Growth of the plants was assessed based on number of tillers and root morphogenesis after 40 days</w:t>
      </w:r>
      <w:r w:rsidR="005A5173" w:rsidRPr="000C7CFA">
        <w:rPr>
          <w:rFonts w:ascii="Verdana" w:hAnsi="Verdana" w:cs="Times New Roman"/>
          <w:sz w:val="18"/>
          <w:szCs w:val="18"/>
        </w:rPr>
        <w:t>’</w:t>
      </w:r>
      <w:r w:rsidRPr="000C7CFA">
        <w:rPr>
          <w:rFonts w:ascii="Verdana" w:hAnsi="Verdana" w:cs="Times New Roman"/>
          <w:sz w:val="18"/>
          <w:szCs w:val="18"/>
        </w:rPr>
        <w:t xml:space="preserve"> exposure. Significant changes in plant morphology and physiology were observed in the plants in the two exposure groups compared with the control group. Most plants in the higher exposure group were </w:t>
      </w:r>
      <w:r w:rsidR="001135EA" w:rsidRPr="000C7CFA">
        <w:rPr>
          <w:rFonts w:ascii="Verdana" w:hAnsi="Verdana" w:cs="Times New Roman"/>
          <w:sz w:val="18"/>
          <w:szCs w:val="18"/>
        </w:rPr>
        <w:t>withered</w:t>
      </w:r>
      <w:r w:rsidRPr="000C7CFA">
        <w:rPr>
          <w:rFonts w:ascii="Verdana" w:hAnsi="Verdana" w:cs="Times New Roman"/>
          <w:sz w:val="18"/>
          <w:szCs w:val="18"/>
        </w:rPr>
        <w:t xml:space="preserve"> and yellow and tillers in the two treatment groups were significantly lower than the control group. However, the soils used all contained a number of other substances as well as Dechlorane Plus (e.g. PCBs, PBDEs and other flame retardants) and so any effects seen cannot be ascribed solely to Dechlorane Plus.</w:t>
      </w:r>
    </w:p>
    <w:p w14:paraId="63F0DC52" w14:textId="77777777" w:rsidR="00DE73B5" w:rsidRPr="000C7CFA" w:rsidRDefault="00DE73B5" w:rsidP="00DE73B5">
      <w:pPr>
        <w:pStyle w:val="NoSpacing"/>
        <w:autoSpaceDE w:val="0"/>
        <w:autoSpaceDN w:val="0"/>
        <w:adjustRightInd w:val="0"/>
        <w:spacing w:after="120"/>
        <w:ind w:left="426" w:right="374"/>
        <w:jc w:val="both"/>
        <w:rPr>
          <w:rFonts w:ascii="Verdana" w:hAnsi="Verdana" w:cs="Times New Roman"/>
          <w:sz w:val="18"/>
          <w:szCs w:val="18"/>
        </w:rPr>
      </w:pPr>
      <w:r w:rsidRPr="000C7CFA">
        <w:rPr>
          <w:rFonts w:ascii="Verdana" w:hAnsi="Verdana" w:cs="Times New Roman"/>
          <w:sz w:val="18"/>
          <w:szCs w:val="18"/>
        </w:rPr>
        <w:t xml:space="preserve">Dechlorane Plus was detectable in the root, stem and leaves of all plants, including those in the control soil. The concentrations followed the general order root&gt;leaf&gt;stem. Zhang </w:t>
      </w:r>
      <w:r w:rsidRPr="000C7CFA">
        <w:rPr>
          <w:rFonts w:ascii="Verdana" w:hAnsi="Verdana" w:cs="Times New Roman"/>
          <w:i/>
          <w:sz w:val="18"/>
          <w:szCs w:val="18"/>
        </w:rPr>
        <w:t>et al.</w:t>
      </w:r>
      <w:r w:rsidRPr="000C7CFA">
        <w:rPr>
          <w:rFonts w:ascii="Verdana" w:hAnsi="Verdana" w:cs="Times New Roman"/>
          <w:sz w:val="18"/>
          <w:szCs w:val="18"/>
        </w:rPr>
        <w:t xml:space="preserve"> (2015) considered that the fact that the concentration was generally higher in leaves than stem suggests that atmospheric uptake of Dechlorane Plus may occur as well as translocation, although the difference in concentration between leaf and stem was small in some cases (e.g. for the </w:t>
      </w:r>
      <w:r w:rsidR="005A5173" w:rsidRPr="000C7CFA">
        <w:rPr>
          <w:rFonts w:ascii="Verdana" w:hAnsi="Verdana" w:cs="Times New Roman"/>
          <w:sz w:val="18"/>
          <w:szCs w:val="18"/>
        </w:rPr>
        <w:t>‘</w:t>
      </w:r>
      <w:r w:rsidRPr="000C7CFA">
        <w:rPr>
          <w:rFonts w:ascii="Verdana" w:hAnsi="Verdana" w:cs="Times New Roman"/>
          <w:sz w:val="18"/>
          <w:szCs w:val="18"/>
        </w:rPr>
        <w:t xml:space="preserve">high </w:t>
      </w:r>
      <w:r w:rsidRPr="000C7CFA">
        <w:rPr>
          <w:rFonts w:ascii="Verdana" w:hAnsi="Verdana" w:cs="Times New Roman"/>
          <w:sz w:val="18"/>
          <w:szCs w:val="18"/>
        </w:rPr>
        <w:lastRenderedPageBreak/>
        <w:t>exposure</w:t>
      </w:r>
      <w:r w:rsidR="005A5173" w:rsidRPr="000C7CFA">
        <w:rPr>
          <w:rFonts w:ascii="Verdana" w:hAnsi="Verdana" w:cs="Times New Roman"/>
          <w:sz w:val="18"/>
          <w:szCs w:val="18"/>
        </w:rPr>
        <w:t>’</w:t>
      </w:r>
      <w:r w:rsidRPr="000C7CFA">
        <w:rPr>
          <w:rFonts w:ascii="Verdana" w:hAnsi="Verdana" w:cs="Times New Roman"/>
          <w:sz w:val="18"/>
          <w:szCs w:val="18"/>
        </w:rPr>
        <w:t xml:space="preserve"> group the mean (and range) concentration in leaves was 4.3 (3.2-6.7</w:t>
      </w:r>
      <w:r w:rsidR="005A5173" w:rsidRPr="000C7CFA">
        <w:rPr>
          <w:rFonts w:ascii="Verdana" w:hAnsi="Verdana" w:cs="Times New Roman"/>
          <w:sz w:val="18"/>
          <w:szCs w:val="18"/>
        </w:rPr>
        <w:t>)</w:t>
      </w:r>
      <w:r w:rsidRPr="000C7CFA">
        <w:rPr>
          <w:rFonts w:ascii="Verdana" w:hAnsi="Verdana" w:cs="Times New Roman"/>
          <w:sz w:val="18"/>
          <w:szCs w:val="18"/>
        </w:rPr>
        <w:t xml:space="preserve"> μg/kg dw compared with 4.2 (3.6-7.0</w:t>
      </w:r>
      <w:r w:rsidR="005A5173" w:rsidRPr="000C7CFA">
        <w:rPr>
          <w:rFonts w:ascii="Verdana" w:hAnsi="Verdana" w:cs="Times New Roman"/>
          <w:sz w:val="18"/>
          <w:szCs w:val="18"/>
        </w:rPr>
        <w:t>)</w:t>
      </w:r>
      <w:r w:rsidRPr="000C7CFA">
        <w:rPr>
          <w:rFonts w:ascii="Verdana" w:hAnsi="Verdana" w:cs="Times New Roman"/>
          <w:sz w:val="18"/>
          <w:szCs w:val="18"/>
        </w:rPr>
        <w:t xml:space="preserve"> μg/kg dw) so this conclusion </w:t>
      </w:r>
      <w:r w:rsidR="005A5173" w:rsidRPr="000C7CFA">
        <w:rPr>
          <w:rFonts w:ascii="Verdana" w:hAnsi="Verdana" w:cs="Times New Roman"/>
          <w:sz w:val="18"/>
          <w:szCs w:val="18"/>
        </w:rPr>
        <w:t>could be misleading</w:t>
      </w:r>
      <w:r w:rsidRPr="000C7CFA">
        <w:rPr>
          <w:rFonts w:ascii="Verdana" w:hAnsi="Verdana" w:cs="Times New Roman"/>
          <w:sz w:val="18"/>
          <w:szCs w:val="18"/>
        </w:rPr>
        <w:t xml:space="preserve">. </w:t>
      </w:r>
    </w:p>
    <w:p w14:paraId="2A411579" w14:textId="77777777" w:rsidR="00DE73B5" w:rsidRPr="000C7CFA" w:rsidRDefault="00DE73B5" w:rsidP="00DE73B5">
      <w:pPr>
        <w:pStyle w:val="NoSpacing"/>
        <w:autoSpaceDE w:val="0"/>
        <w:autoSpaceDN w:val="0"/>
        <w:adjustRightInd w:val="0"/>
        <w:spacing w:after="120"/>
        <w:ind w:left="426" w:right="374"/>
        <w:jc w:val="both"/>
        <w:rPr>
          <w:rFonts w:ascii="Verdana" w:hAnsi="Verdana" w:cs="Times New Roman"/>
          <w:sz w:val="18"/>
          <w:szCs w:val="18"/>
        </w:rPr>
      </w:pPr>
      <w:r w:rsidRPr="000C7CFA">
        <w:rPr>
          <w:rFonts w:ascii="Verdana" w:hAnsi="Verdana" w:cs="Times New Roman"/>
          <w:sz w:val="18"/>
          <w:szCs w:val="18"/>
        </w:rPr>
        <w:t xml:space="preserve">The </w:t>
      </w:r>
      <w:proofErr w:type="gramStart"/>
      <w:r w:rsidRPr="000C7CFA">
        <w:rPr>
          <w:rFonts w:ascii="Verdana" w:hAnsi="Verdana" w:cs="Times New Roman"/>
          <w:sz w:val="18"/>
          <w:szCs w:val="18"/>
        </w:rPr>
        <w:t>f</w:t>
      </w:r>
      <w:r w:rsidRPr="000C7CFA">
        <w:rPr>
          <w:rFonts w:ascii="Verdana" w:hAnsi="Verdana" w:cs="Times New Roman"/>
          <w:sz w:val="18"/>
          <w:szCs w:val="18"/>
          <w:vertAlign w:val="subscript"/>
        </w:rPr>
        <w:t>anti</w:t>
      </w:r>
      <w:proofErr w:type="gramEnd"/>
      <w:r w:rsidRPr="000C7CFA">
        <w:rPr>
          <w:rFonts w:ascii="Verdana" w:hAnsi="Verdana" w:cs="Times New Roman"/>
          <w:sz w:val="18"/>
          <w:szCs w:val="18"/>
        </w:rPr>
        <w:t xml:space="preserve"> in the soils was 0.75 for the </w:t>
      </w:r>
      <w:r w:rsidR="005A5173" w:rsidRPr="000C7CFA">
        <w:rPr>
          <w:rFonts w:ascii="Verdana" w:hAnsi="Verdana" w:cs="Times New Roman"/>
          <w:sz w:val="18"/>
          <w:szCs w:val="18"/>
        </w:rPr>
        <w:t>‘</w:t>
      </w:r>
      <w:r w:rsidRPr="000C7CFA">
        <w:rPr>
          <w:rFonts w:ascii="Verdana" w:hAnsi="Verdana" w:cs="Times New Roman"/>
          <w:sz w:val="18"/>
          <w:szCs w:val="18"/>
        </w:rPr>
        <w:t>high exposure</w:t>
      </w:r>
      <w:r w:rsidR="005A5173" w:rsidRPr="000C7CFA">
        <w:rPr>
          <w:rFonts w:ascii="Verdana" w:hAnsi="Verdana" w:cs="Times New Roman"/>
          <w:sz w:val="18"/>
          <w:szCs w:val="18"/>
        </w:rPr>
        <w:t>’</w:t>
      </w:r>
      <w:r w:rsidRPr="000C7CFA">
        <w:rPr>
          <w:rFonts w:ascii="Verdana" w:hAnsi="Verdana" w:cs="Times New Roman"/>
          <w:sz w:val="18"/>
          <w:szCs w:val="18"/>
        </w:rPr>
        <w:t xml:space="preserve"> group, 0.67 for the </w:t>
      </w:r>
      <w:r w:rsidR="005A5173" w:rsidRPr="000C7CFA">
        <w:rPr>
          <w:rFonts w:ascii="Verdana" w:hAnsi="Verdana" w:cs="Times New Roman"/>
          <w:sz w:val="18"/>
          <w:szCs w:val="18"/>
        </w:rPr>
        <w:t>‘</w:t>
      </w:r>
      <w:r w:rsidRPr="000C7CFA">
        <w:rPr>
          <w:rFonts w:ascii="Verdana" w:hAnsi="Verdana" w:cs="Times New Roman"/>
          <w:sz w:val="18"/>
          <w:szCs w:val="18"/>
        </w:rPr>
        <w:t>low exposure</w:t>
      </w:r>
      <w:r w:rsidR="005A5173" w:rsidRPr="000C7CFA">
        <w:rPr>
          <w:rFonts w:ascii="Verdana" w:hAnsi="Verdana" w:cs="Times New Roman"/>
          <w:sz w:val="18"/>
          <w:szCs w:val="18"/>
        </w:rPr>
        <w:t>’</w:t>
      </w:r>
      <w:r w:rsidRPr="000C7CFA">
        <w:rPr>
          <w:rFonts w:ascii="Verdana" w:hAnsi="Verdana" w:cs="Times New Roman"/>
          <w:sz w:val="18"/>
          <w:szCs w:val="18"/>
        </w:rPr>
        <w:t xml:space="preserve"> group and 0.68 for the control group. The </w:t>
      </w:r>
      <w:proofErr w:type="gramStart"/>
      <w:r w:rsidRPr="000C7CFA">
        <w:rPr>
          <w:rFonts w:ascii="Verdana" w:hAnsi="Verdana" w:cs="Times New Roman"/>
          <w:sz w:val="18"/>
          <w:szCs w:val="18"/>
        </w:rPr>
        <w:t>f</w:t>
      </w:r>
      <w:r w:rsidRPr="000C7CFA">
        <w:rPr>
          <w:rFonts w:ascii="Verdana" w:hAnsi="Verdana" w:cs="Times New Roman"/>
          <w:sz w:val="18"/>
          <w:szCs w:val="18"/>
          <w:vertAlign w:val="subscript"/>
        </w:rPr>
        <w:t>anti</w:t>
      </w:r>
      <w:proofErr w:type="gramEnd"/>
      <w:r w:rsidRPr="000C7CFA">
        <w:rPr>
          <w:rFonts w:ascii="Verdana" w:hAnsi="Verdana" w:cs="Times New Roman"/>
          <w:sz w:val="18"/>
          <w:szCs w:val="18"/>
        </w:rPr>
        <w:t xml:space="preserve"> in plant roots was significantly lower (</w:t>
      </w:r>
      <w:r w:rsidRPr="000C7CFA">
        <w:rPr>
          <w:rFonts w:ascii="Verdana" w:hAnsi="Verdana" w:cs="Times New Roman"/>
          <w:i/>
          <w:sz w:val="18"/>
          <w:szCs w:val="18"/>
        </w:rPr>
        <w:t>p</w:t>
      </w:r>
      <w:r w:rsidRPr="000C7CFA">
        <w:rPr>
          <w:rFonts w:ascii="Verdana" w:hAnsi="Verdana" w:cs="Times New Roman"/>
          <w:sz w:val="18"/>
          <w:szCs w:val="18"/>
        </w:rPr>
        <w:t xml:space="preserve">&lt;0.05) than found in the corresponding soil and was found to decrease with translocation to the stem and the leaves (the values are only shown graphically in the paper but were around 0.55-0.67 in plant leaves). This implies that syn-DP is more bioaccumulative and/or is translocated more readily than the anti-DP isomer. Zhang </w:t>
      </w:r>
      <w:r w:rsidRPr="000C7CFA">
        <w:rPr>
          <w:rFonts w:ascii="Verdana" w:hAnsi="Verdana" w:cs="Times New Roman"/>
          <w:i/>
          <w:sz w:val="18"/>
          <w:szCs w:val="18"/>
        </w:rPr>
        <w:t>et al.</w:t>
      </w:r>
      <w:r w:rsidRPr="000C7CFA">
        <w:rPr>
          <w:rFonts w:ascii="Verdana" w:hAnsi="Verdana" w:cs="Times New Roman"/>
          <w:sz w:val="18"/>
          <w:szCs w:val="18"/>
        </w:rPr>
        <w:t xml:space="preserve"> (2015) indicated that the root bioaccumulation factor</w:t>
      </w:r>
      <w:r w:rsidR="005A5173" w:rsidRPr="000C7CFA">
        <w:rPr>
          <w:rFonts w:ascii="Verdana" w:hAnsi="Verdana" w:cs="Times New Roman"/>
          <w:sz w:val="18"/>
          <w:szCs w:val="18"/>
        </w:rPr>
        <w:t xml:space="preserve"> (</w:t>
      </w:r>
      <w:r w:rsidRPr="000C7CFA">
        <w:rPr>
          <w:rFonts w:ascii="Verdana" w:hAnsi="Verdana" w:cs="Times New Roman"/>
          <w:sz w:val="18"/>
          <w:szCs w:val="18"/>
        </w:rPr>
        <w:t>estimated as the concentration in root</w:t>
      </w:r>
      <w:r w:rsidR="005A5173" w:rsidRPr="000C7CFA">
        <w:rPr>
          <w:rFonts w:ascii="Verdana" w:hAnsi="Verdana" w:cs="Times New Roman"/>
          <w:sz w:val="18"/>
          <w:szCs w:val="18"/>
        </w:rPr>
        <w:t xml:space="preserve"> divided by the </w:t>
      </w:r>
      <w:r w:rsidRPr="000C7CFA">
        <w:rPr>
          <w:rFonts w:ascii="Verdana" w:hAnsi="Verdana" w:cs="Times New Roman"/>
          <w:sz w:val="18"/>
          <w:szCs w:val="18"/>
        </w:rPr>
        <w:t>concentration in sediment</w:t>
      </w:r>
      <w:r w:rsidR="005A5173" w:rsidRPr="000C7CFA">
        <w:rPr>
          <w:rFonts w:ascii="Verdana" w:hAnsi="Verdana" w:cs="Times New Roman"/>
          <w:sz w:val="18"/>
          <w:szCs w:val="18"/>
        </w:rPr>
        <w:t>)</w:t>
      </w:r>
      <w:r w:rsidRPr="000C7CFA">
        <w:rPr>
          <w:rFonts w:ascii="Verdana" w:hAnsi="Verdana" w:cs="Times New Roman"/>
          <w:sz w:val="18"/>
          <w:szCs w:val="18"/>
        </w:rPr>
        <w:t xml:space="preserve"> was higher for syn-DP than anti-DP but the values are not given in the paper. The root-stem translocation factor was determined to be in the range 0.14-0.22 and was slightly higher for syn-DP than anti-DP. The stem-leaf translocation factor ranged from 0.96-1.58 (no information is given as to whether the factor was larger for syn-DP or anti-DP).</w:t>
      </w:r>
    </w:p>
    <w:p w14:paraId="1DE19B13" w14:textId="12CC79CA" w:rsidR="00DE73B5" w:rsidRPr="000C7CFA" w:rsidRDefault="00DE73B5" w:rsidP="00DE73B5">
      <w:pPr>
        <w:pStyle w:val="NoSpacing"/>
        <w:autoSpaceDE w:val="0"/>
        <w:autoSpaceDN w:val="0"/>
        <w:adjustRightInd w:val="0"/>
        <w:spacing w:after="120"/>
        <w:ind w:left="426" w:right="374"/>
        <w:jc w:val="both"/>
        <w:rPr>
          <w:rFonts w:ascii="Verdana" w:hAnsi="Verdana" w:cs="Times New Roman"/>
          <w:sz w:val="18"/>
          <w:szCs w:val="18"/>
        </w:rPr>
      </w:pPr>
      <w:r w:rsidRPr="000C7CFA">
        <w:rPr>
          <w:rFonts w:ascii="Verdana" w:hAnsi="Verdana" w:cs="Times New Roman"/>
          <w:sz w:val="18"/>
          <w:szCs w:val="18"/>
        </w:rPr>
        <w:t xml:space="preserve">The significance of the findings of this study </w:t>
      </w:r>
      <w:r w:rsidR="005A5173" w:rsidRPr="000C7CFA">
        <w:rPr>
          <w:rFonts w:ascii="Verdana" w:hAnsi="Verdana" w:cs="Times New Roman"/>
          <w:sz w:val="18"/>
          <w:szCs w:val="18"/>
        </w:rPr>
        <w:t>is</w:t>
      </w:r>
      <w:r w:rsidRPr="000C7CFA">
        <w:rPr>
          <w:rFonts w:ascii="Verdana" w:hAnsi="Verdana" w:cs="Times New Roman"/>
          <w:sz w:val="18"/>
          <w:szCs w:val="18"/>
        </w:rPr>
        <w:t xml:space="preserve"> unclear</w:t>
      </w:r>
      <w:r w:rsidR="005A5173" w:rsidRPr="000C7CFA">
        <w:rPr>
          <w:rFonts w:ascii="Verdana" w:hAnsi="Verdana" w:cs="Times New Roman"/>
          <w:sz w:val="18"/>
          <w:szCs w:val="18"/>
        </w:rPr>
        <w:t>. T</w:t>
      </w:r>
      <w:r w:rsidRPr="000C7CFA">
        <w:rPr>
          <w:rFonts w:ascii="Verdana" w:hAnsi="Verdana" w:cs="Times New Roman"/>
          <w:sz w:val="18"/>
          <w:szCs w:val="18"/>
        </w:rPr>
        <w:t>he growth of the plants in the two treatment groups was clearly affected by the contaminants present in the soil. Such toxic effects may have significantly altered the uptake and distribution of the contaminants compared with healthy plants.</w:t>
      </w:r>
    </w:p>
    <w:p w14:paraId="7306F2C1" w14:textId="77777777" w:rsidR="00DE73B5" w:rsidRPr="000C7CFA" w:rsidRDefault="00DE73B5" w:rsidP="00DE73B5">
      <w:pPr>
        <w:pStyle w:val="NoSpacing"/>
        <w:autoSpaceDE w:val="0"/>
        <w:autoSpaceDN w:val="0"/>
        <w:adjustRightInd w:val="0"/>
        <w:spacing w:after="120"/>
        <w:ind w:left="426" w:right="374"/>
        <w:jc w:val="both"/>
        <w:rPr>
          <w:rFonts w:ascii="Verdana" w:hAnsi="Verdana" w:cs="Times New Roman"/>
          <w:color w:val="000000"/>
          <w:sz w:val="18"/>
          <w:szCs w:val="18"/>
        </w:rPr>
      </w:pPr>
      <w:r w:rsidRPr="000C7CFA">
        <w:rPr>
          <w:rFonts w:ascii="Verdana" w:hAnsi="Verdana" w:cs="Times New Roman"/>
          <w:sz w:val="18"/>
          <w:szCs w:val="18"/>
        </w:rPr>
        <w:t>This study is not included in the registration dossier.</w:t>
      </w:r>
    </w:p>
    <w:p w14:paraId="703BD274" w14:textId="77777777" w:rsidR="00CA2C80" w:rsidRPr="000C7CFA" w:rsidRDefault="00CA2C80" w:rsidP="003D063E">
      <w:pPr>
        <w:pStyle w:val="BodyText"/>
        <w:rPr>
          <w:rFonts w:ascii="Verdana" w:hAnsi="Verdana"/>
          <w:color w:val="000000"/>
          <w:sz w:val="18"/>
          <w:szCs w:val="18"/>
        </w:rPr>
      </w:pPr>
    </w:p>
    <w:p w14:paraId="4205A992" w14:textId="6B15EDD7" w:rsidR="00644F7E" w:rsidRPr="000C7CFA" w:rsidRDefault="00644F7E" w:rsidP="00644F7E">
      <w:pPr>
        <w:pStyle w:val="Heading4"/>
        <w:rPr>
          <w:rFonts w:ascii="Verdana" w:hAnsi="Verdana"/>
          <w:i/>
          <w:sz w:val="18"/>
          <w:szCs w:val="18"/>
        </w:rPr>
      </w:pPr>
      <w:bookmarkStart w:id="80" w:name="_Ref422989907"/>
      <w:r w:rsidRPr="000C7CFA">
        <w:rPr>
          <w:rFonts w:ascii="Verdana" w:hAnsi="Verdana"/>
          <w:i/>
          <w:sz w:val="18"/>
          <w:szCs w:val="18"/>
        </w:rPr>
        <w:t>Field studies</w:t>
      </w:r>
      <w:bookmarkEnd w:id="80"/>
    </w:p>
    <w:p w14:paraId="6E472293" w14:textId="4101F96E" w:rsidR="00857674" w:rsidRPr="000C7CFA" w:rsidRDefault="00857674" w:rsidP="00DC3658">
      <w:pPr>
        <w:pStyle w:val="ListParagraph"/>
        <w:numPr>
          <w:ilvl w:val="0"/>
          <w:numId w:val="7"/>
        </w:numPr>
        <w:autoSpaceDE w:val="0"/>
        <w:autoSpaceDN w:val="0"/>
        <w:adjustRightInd w:val="0"/>
        <w:spacing w:after="120" w:line="240" w:lineRule="auto"/>
        <w:ind w:left="425" w:hanging="425"/>
        <w:jc w:val="both"/>
        <w:rPr>
          <w:rFonts w:ascii="Verdana" w:hAnsi="Verdana"/>
          <w:sz w:val="18"/>
          <w:szCs w:val="18"/>
          <w:lang w:eastAsia="en-GB"/>
        </w:rPr>
      </w:pPr>
      <w:bookmarkStart w:id="81" w:name="_Ref392857336"/>
      <w:r w:rsidRPr="000C7CFA">
        <w:rPr>
          <w:rFonts w:ascii="Verdana" w:hAnsi="Verdana"/>
          <w:sz w:val="18"/>
          <w:szCs w:val="18"/>
          <w:u w:val="single"/>
        </w:rPr>
        <w:t xml:space="preserve">Yu </w:t>
      </w:r>
      <w:r w:rsidRPr="000C7CFA">
        <w:rPr>
          <w:rFonts w:ascii="Verdana" w:hAnsi="Verdana"/>
          <w:i/>
          <w:sz w:val="18"/>
          <w:szCs w:val="18"/>
          <w:u w:val="single"/>
        </w:rPr>
        <w:t>et al</w:t>
      </w:r>
      <w:r w:rsidRPr="000C7CFA">
        <w:rPr>
          <w:rFonts w:ascii="Verdana" w:hAnsi="Verdana"/>
          <w:sz w:val="18"/>
          <w:szCs w:val="18"/>
          <w:u w:val="single"/>
        </w:rPr>
        <w:t>. (2013)</w:t>
      </w:r>
      <w:r w:rsidRPr="000C7CFA">
        <w:rPr>
          <w:rFonts w:ascii="Verdana" w:hAnsi="Verdana"/>
          <w:sz w:val="18"/>
          <w:szCs w:val="18"/>
        </w:rPr>
        <w:t xml:space="preserve"> investigated the biomagnification of Dechlorane Plus in two terrestrial food chains.</w:t>
      </w:r>
      <w:r w:rsidRPr="000C7CFA">
        <w:rPr>
          <w:rFonts w:ascii="Verdana" w:hAnsi="Verdana"/>
          <w:sz w:val="18"/>
          <w:szCs w:val="18"/>
          <w:lang w:eastAsia="en-GB"/>
        </w:rPr>
        <w:t xml:space="preserve"> Common Kestrel (</w:t>
      </w:r>
      <w:r w:rsidRPr="000C7CFA">
        <w:rPr>
          <w:rFonts w:ascii="Verdana" w:hAnsi="Verdana"/>
          <w:i/>
          <w:sz w:val="18"/>
          <w:szCs w:val="18"/>
          <w:lang w:eastAsia="en-GB"/>
        </w:rPr>
        <w:t>Falco tinnunculus</w:t>
      </w:r>
      <w:r w:rsidRPr="000C7CFA">
        <w:rPr>
          <w:rFonts w:ascii="Verdana" w:hAnsi="Verdana"/>
          <w:sz w:val="18"/>
          <w:szCs w:val="18"/>
          <w:lang w:eastAsia="en-GB"/>
        </w:rPr>
        <w:t>) (n=23), Little Owl (</w:t>
      </w:r>
      <w:r w:rsidRPr="000C7CFA">
        <w:rPr>
          <w:rFonts w:ascii="Verdana" w:hAnsi="Verdana"/>
          <w:i/>
          <w:sz w:val="18"/>
          <w:szCs w:val="18"/>
          <w:lang w:eastAsia="en-GB"/>
        </w:rPr>
        <w:t>Athene noctua</w:t>
      </w:r>
      <w:r w:rsidRPr="000C7CFA">
        <w:rPr>
          <w:rFonts w:ascii="Verdana" w:hAnsi="Verdana"/>
          <w:sz w:val="18"/>
          <w:szCs w:val="18"/>
          <w:lang w:eastAsia="en-GB"/>
        </w:rPr>
        <w:t>) (n=14) and Eagle Owl (</w:t>
      </w:r>
      <w:r w:rsidRPr="000C7CFA">
        <w:rPr>
          <w:rFonts w:ascii="Verdana" w:hAnsi="Verdana"/>
          <w:i/>
          <w:sz w:val="18"/>
          <w:szCs w:val="18"/>
          <w:lang w:eastAsia="en-GB"/>
        </w:rPr>
        <w:t>Bubo bubo</w:t>
      </w:r>
      <w:r w:rsidRPr="000C7CFA">
        <w:rPr>
          <w:rFonts w:ascii="Verdana" w:hAnsi="Verdana"/>
          <w:sz w:val="18"/>
          <w:szCs w:val="18"/>
          <w:lang w:eastAsia="en-GB"/>
        </w:rPr>
        <w:t xml:space="preserve">) (n=10) </w:t>
      </w:r>
      <w:r w:rsidR="0086527A" w:rsidRPr="000C7CFA">
        <w:rPr>
          <w:rFonts w:ascii="Verdana" w:hAnsi="Verdana"/>
          <w:sz w:val="18"/>
          <w:szCs w:val="18"/>
          <w:lang w:eastAsia="en-GB"/>
        </w:rPr>
        <w:t xml:space="preserve">specimens </w:t>
      </w:r>
      <w:r w:rsidRPr="000C7CFA">
        <w:rPr>
          <w:rFonts w:ascii="Verdana" w:hAnsi="Verdana"/>
          <w:sz w:val="18"/>
          <w:szCs w:val="18"/>
          <w:lang w:eastAsia="en-GB"/>
        </w:rPr>
        <w:t>were obtained from the Beijing Raptor Rescue Centre, China, between January 2005 and July 2007. The specimens were either picked up dead, died during rehabilitation, or euthanized because of serious injuries. Eurasian Tree Sparrow (</w:t>
      </w:r>
      <w:r w:rsidRPr="000C7CFA">
        <w:rPr>
          <w:rFonts w:ascii="Verdana" w:hAnsi="Verdana"/>
          <w:i/>
          <w:sz w:val="18"/>
          <w:szCs w:val="18"/>
          <w:lang w:eastAsia="en-GB"/>
        </w:rPr>
        <w:t>Passer montanus</w:t>
      </w:r>
      <w:r w:rsidRPr="000C7CFA">
        <w:rPr>
          <w:rFonts w:ascii="Verdana" w:hAnsi="Verdana"/>
          <w:sz w:val="18"/>
          <w:szCs w:val="18"/>
          <w:lang w:eastAsia="en-GB"/>
        </w:rPr>
        <w:t xml:space="preserve">) (n=40, from nine locations according to Yu </w:t>
      </w:r>
      <w:r w:rsidRPr="000C7CFA">
        <w:rPr>
          <w:rFonts w:ascii="Verdana" w:hAnsi="Verdana"/>
          <w:i/>
          <w:sz w:val="18"/>
          <w:szCs w:val="18"/>
          <w:lang w:eastAsia="en-GB"/>
        </w:rPr>
        <w:t>et al</w:t>
      </w:r>
      <w:r w:rsidRPr="000C7CFA">
        <w:rPr>
          <w:rFonts w:ascii="Verdana" w:hAnsi="Verdana"/>
          <w:sz w:val="18"/>
          <w:szCs w:val="18"/>
          <w:lang w:eastAsia="en-GB"/>
        </w:rPr>
        <w:t>., 2011) and Brown Rat (</w:t>
      </w:r>
      <w:r w:rsidRPr="000C7CFA">
        <w:rPr>
          <w:rFonts w:ascii="Verdana" w:hAnsi="Verdana"/>
          <w:i/>
          <w:sz w:val="18"/>
          <w:szCs w:val="18"/>
          <w:lang w:eastAsia="en-GB"/>
        </w:rPr>
        <w:t>Rattus norvegicus</w:t>
      </w:r>
      <w:r w:rsidRPr="000C7CFA">
        <w:rPr>
          <w:rFonts w:ascii="Verdana" w:hAnsi="Verdana"/>
          <w:sz w:val="18"/>
          <w:szCs w:val="18"/>
          <w:lang w:eastAsia="en-GB"/>
        </w:rPr>
        <w:t xml:space="preserve">) (n=8, from three locations according to Yu </w:t>
      </w:r>
      <w:r w:rsidRPr="000C7CFA">
        <w:rPr>
          <w:rFonts w:ascii="Verdana" w:hAnsi="Verdana"/>
          <w:i/>
          <w:sz w:val="18"/>
          <w:szCs w:val="18"/>
          <w:lang w:eastAsia="en-GB"/>
        </w:rPr>
        <w:t>et al</w:t>
      </w:r>
      <w:r w:rsidRPr="000C7CFA">
        <w:rPr>
          <w:rFonts w:ascii="Verdana" w:hAnsi="Verdana"/>
          <w:sz w:val="18"/>
          <w:szCs w:val="18"/>
          <w:lang w:eastAsia="en-GB"/>
        </w:rPr>
        <w:t>., 2011) were captured in the locations where the birds had been collected (the timing is not stated). A field prey delivery study indicated that sparrows were the primary prey items of the kestrels (accounting for 50-8</w:t>
      </w:r>
      <w:r w:rsidR="00AF7606" w:rsidRPr="000C7CFA">
        <w:rPr>
          <w:rFonts w:ascii="Verdana" w:hAnsi="Verdana"/>
          <w:sz w:val="18"/>
          <w:szCs w:val="18"/>
          <w:lang w:eastAsia="en-GB"/>
        </w:rPr>
        <w:t>3 %</w:t>
      </w:r>
      <w:r w:rsidRPr="000C7CFA">
        <w:rPr>
          <w:rFonts w:ascii="Verdana" w:hAnsi="Verdana"/>
          <w:sz w:val="18"/>
          <w:szCs w:val="18"/>
          <w:lang w:eastAsia="en-GB"/>
        </w:rPr>
        <w:t xml:space="preserve"> of their diet). Rodents form the vast majority (&gt;90%) of the Eagle Owl’s diet. Although not mentioned in the paper, Little Owls include a significant proportion of invertebrates in their diet.</w:t>
      </w:r>
      <w:r w:rsidR="006A6B66" w:rsidRPr="000C7CFA">
        <w:rPr>
          <w:rFonts w:ascii="Verdana" w:hAnsi="Verdana"/>
          <w:sz w:val="18"/>
          <w:szCs w:val="18"/>
          <w:lang w:eastAsia="en-GB"/>
        </w:rPr>
        <w:t xml:space="preserve"> Pectoral muscle (approximately 1.5 g in dry weight each)</w:t>
      </w:r>
      <w:r w:rsidR="00BD12E3" w:rsidRPr="000C7CFA">
        <w:rPr>
          <w:rFonts w:ascii="Verdana" w:hAnsi="Verdana"/>
          <w:sz w:val="18"/>
          <w:szCs w:val="18"/>
          <w:lang w:eastAsia="en-GB"/>
        </w:rPr>
        <w:t xml:space="preserve"> </w:t>
      </w:r>
      <w:r w:rsidR="006A6B66" w:rsidRPr="000C7CFA">
        <w:rPr>
          <w:rFonts w:ascii="Verdana" w:hAnsi="Verdana"/>
          <w:sz w:val="18"/>
          <w:szCs w:val="18"/>
          <w:lang w:eastAsia="en-GB"/>
        </w:rPr>
        <w:t xml:space="preserve">was excised for analysis from the birds according to Yu </w:t>
      </w:r>
      <w:r w:rsidR="006A6B66" w:rsidRPr="000C7CFA">
        <w:rPr>
          <w:rFonts w:ascii="Verdana" w:hAnsi="Verdana"/>
          <w:i/>
          <w:sz w:val="18"/>
          <w:szCs w:val="18"/>
          <w:lang w:eastAsia="en-GB"/>
        </w:rPr>
        <w:t>et al</w:t>
      </w:r>
      <w:r w:rsidR="006A6B66" w:rsidRPr="000C7CFA">
        <w:rPr>
          <w:rFonts w:ascii="Verdana" w:hAnsi="Verdana"/>
          <w:sz w:val="18"/>
          <w:szCs w:val="18"/>
          <w:lang w:eastAsia="en-GB"/>
        </w:rPr>
        <w:t xml:space="preserve">. (2011), but no information is given about the tissue used for rats. </w:t>
      </w:r>
      <w:r w:rsidR="00336DE5" w:rsidRPr="000C7CFA">
        <w:rPr>
          <w:rFonts w:ascii="Verdana" w:hAnsi="Verdana"/>
          <w:sz w:val="18"/>
          <w:szCs w:val="18"/>
        </w:rPr>
        <w:t>Analysis was by gas chromatography-electron capture negative ionization mass spectrometry (GC/ECNI-MS) in selected ion monitoring (SIM) mode. The method detection limit was 0.2</w:t>
      </w:r>
      <w:r w:rsidR="001135EA" w:rsidRPr="000C7CFA">
        <w:rPr>
          <w:rFonts w:ascii="Verdana" w:hAnsi="Verdana"/>
          <w:sz w:val="18"/>
          <w:szCs w:val="18"/>
        </w:rPr>
        <w:t>±</w:t>
      </w:r>
      <w:r w:rsidR="00336DE5" w:rsidRPr="000C7CFA">
        <w:rPr>
          <w:rFonts w:ascii="Verdana" w:hAnsi="Verdana"/>
          <w:sz w:val="18"/>
          <w:szCs w:val="18"/>
        </w:rPr>
        <w:t xml:space="preserve">1.4 µg/kg </w:t>
      </w:r>
      <w:proofErr w:type="gramStart"/>
      <w:r w:rsidR="00336DE5" w:rsidRPr="000C7CFA">
        <w:rPr>
          <w:rFonts w:ascii="Verdana" w:hAnsi="Verdana"/>
          <w:sz w:val="18"/>
          <w:szCs w:val="18"/>
        </w:rPr>
        <w:t>lw</w:t>
      </w:r>
      <w:proofErr w:type="gramEnd"/>
      <w:r w:rsidR="00336DE5" w:rsidRPr="000C7CFA">
        <w:rPr>
          <w:rFonts w:ascii="Verdana" w:hAnsi="Verdana"/>
          <w:sz w:val="18"/>
          <w:szCs w:val="18"/>
        </w:rPr>
        <w:t>.</w:t>
      </w:r>
    </w:p>
    <w:p w14:paraId="3A0647C1" w14:textId="77777777" w:rsidR="00857674" w:rsidRPr="000C7CFA" w:rsidRDefault="00857674" w:rsidP="00BD12E3">
      <w:pPr>
        <w:autoSpaceDE w:val="0"/>
        <w:autoSpaceDN w:val="0"/>
        <w:adjustRightInd w:val="0"/>
        <w:spacing w:after="0"/>
        <w:ind w:left="426"/>
        <w:jc w:val="both"/>
        <w:rPr>
          <w:rFonts w:ascii="Verdana" w:hAnsi="Verdana"/>
          <w:sz w:val="18"/>
          <w:szCs w:val="18"/>
          <w:lang w:val="en-GB" w:eastAsia="en-GB"/>
        </w:rPr>
      </w:pPr>
      <w:r w:rsidRPr="000C7CFA">
        <w:rPr>
          <w:rFonts w:ascii="Verdana" w:hAnsi="Verdana"/>
          <w:sz w:val="18"/>
          <w:szCs w:val="18"/>
          <w:lang w:val="en-GB" w:eastAsia="en-GB"/>
        </w:rPr>
        <w:t>Median concentrations (and ranges) of Dechlorane Plus (both isomers) were as follows:</w:t>
      </w:r>
    </w:p>
    <w:p w14:paraId="1DFB95C0" w14:textId="77777777" w:rsidR="00857674" w:rsidRPr="000C7CFA" w:rsidRDefault="00857674" w:rsidP="00857674">
      <w:pPr>
        <w:autoSpaceDE w:val="0"/>
        <w:autoSpaceDN w:val="0"/>
        <w:adjustRightInd w:val="0"/>
        <w:spacing w:after="0"/>
        <w:jc w:val="both"/>
        <w:rPr>
          <w:rFonts w:ascii="Verdana" w:hAnsi="Verdana"/>
          <w:sz w:val="18"/>
          <w:szCs w:val="18"/>
          <w:lang w:val="en-GB" w:eastAsia="en-GB"/>
        </w:rPr>
      </w:pPr>
    </w:p>
    <w:p w14:paraId="57ACAA09" w14:textId="77777777" w:rsidR="00857674" w:rsidRPr="000C7CFA" w:rsidRDefault="00857674" w:rsidP="00857674">
      <w:pPr>
        <w:tabs>
          <w:tab w:val="left" w:pos="3402"/>
        </w:tabs>
        <w:autoSpaceDE w:val="0"/>
        <w:autoSpaceDN w:val="0"/>
        <w:adjustRightInd w:val="0"/>
        <w:spacing w:after="0"/>
        <w:ind w:left="851"/>
        <w:jc w:val="both"/>
        <w:rPr>
          <w:rFonts w:ascii="Verdana" w:hAnsi="Verdana"/>
          <w:sz w:val="18"/>
          <w:szCs w:val="18"/>
          <w:lang w:val="en-GB" w:eastAsia="en-GB"/>
        </w:rPr>
      </w:pPr>
      <w:r w:rsidRPr="000C7CFA">
        <w:rPr>
          <w:rFonts w:ascii="Verdana" w:hAnsi="Verdana"/>
          <w:sz w:val="18"/>
          <w:szCs w:val="18"/>
          <w:lang w:val="en-GB" w:eastAsia="en-GB"/>
        </w:rPr>
        <w:t xml:space="preserve">Common Kestrel: </w:t>
      </w:r>
      <w:r w:rsidRPr="000C7CFA">
        <w:rPr>
          <w:rFonts w:ascii="Verdana" w:hAnsi="Verdana"/>
          <w:sz w:val="18"/>
          <w:szCs w:val="18"/>
          <w:lang w:val="en-GB" w:eastAsia="en-GB"/>
        </w:rPr>
        <w:tab/>
        <w:t xml:space="preserve">1.5 (&lt;LoD – 60) µg/kg </w:t>
      </w:r>
      <w:proofErr w:type="gramStart"/>
      <w:r w:rsidRPr="000C7CFA">
        <w:rPr>
          <w:rFonts w:ascii="Verdana" w:hAnsi="Verdana"/>
          <w:sz w:val="18"/>
          <w:szCs w:val="18"/>
          <w:lang w:val="en-GB" w:eastAsia="en-GB"/>
        </w:rPr>
        <w:t>lw</w:t>
      </w:r>
      <w:proofErr w:type="gramEnd"/>
    </w:p>
    <w:p w14:paraId="1603F975" w14:textId="77777777" w:rsidR="00857674" w:rsidRPr="000C7CFA" w:rsidRDefault="00857674" w:rsidP="00857674">
      <w:pPr>
        <w:tabs>
          <w:tab w:val="left" w:pos="3402"/>
        </w:tabs>
        <w:autoSpaceDE w:val="0"/>
        <w:autoSpaceDN w:val="0"/>
        <w:adjustRightInd w:val="0"/>
        <w:spacing w:after="0"/>
        <w:ind w:left="851"/>
        <w:jc w:val="both"/>
        <w:rPr>
          <w:rFonts w:ascii="Verdana" w:hAnsi="Verdana"/>
          <w:sz w:val="18"/>
          <w:szCs w:val="18"/>
          <w:lang w:val="en-GB" w:eastAsia="en-GB"/>
        </w:rPr>
      </w:pPr>
      <w:r w:rsidRPr="000C7CFA">
        <w:rPr>
          <w:rFonts w:ascii="Verdana" w:hAnsi="Verdana"/>
          <w:sz w:val="18"/>
          <w:szCs w:val="18"/>
          <w:lang w:val="en-GB" w:eastAsia="en-GB"/>
        </w:rPr>
        <w:t>“Owl”</w:t>
      </w:r>
      <w:r w:rsidRPr="000C7CFA">
        <w:rPr>
          <w:rStyle w:val="FootnoteReference"/>
          <w:rFonts w:ascii="Verdana" w:hAnsi="Verdana"/>
          <w:sz w:val="18"/>
          <w:szCs w:val="18"/>
          <w:lang w:val="en-GB" w:eastAsia="en-GB"/>
        </w:rPr>
        <w:footnoteReference w:id="31"/>
      </w:r>
      <w:r w:rsidRPr="000C7CFA">
        <w:rPr>
          <w:rFonts w:ascii="Verdana" w:hAnsi="Verdana"/>
          <w:sz w:val="18"/>
          <w:szCs w:val="18"/>
          <w:lang w:val="en-GB" w:eastAsia="en-GB"/>
        </w:rPr>
        <w:t>:</w:t>
      </w:r>
      <w:r w:rsidRPr="000C7CFA">
        <w:rPr>
          <w:rFonts w:ascii="Verdana" w:hAnsi="Verdana"/>
          <w:sz w:val="18"/>
          <w:szCs w:val="18"/>
          <w:lang w:val="en-GB" w:eastAsia="en-GB"/>
        </w:rPr>
        <w:tab/>
        <w:t xml:space="preserve">49 (7.0 – 500) µg/kg </w:t>
      </w:r>
      <w:proofErr w:type="gramStart"/>
      <w:r w:rsidRPr="000C7CFA">
        <w:rPr>
          <w:rFonts w:ascii="Verdana" w:hAnsi="Verdana"/>
          <w:sz w:val="18"/>
          <w:szCs w:val="18"/>
          <w:lang w:val="en-GB" w:eastAsia="en-GB"/>
        </w:rPr>
        <w:t>lw</w:t>
      </w:r>
      <w:proofErr w:type="gramEnd"/>
    </w:p>
    <w:p w14:paraId="3185BD58" w14:textId="77777777" w:rsidR="00857674" w:rsidRPr="000C7CFA" w:rsidRDefault="00857674" w:rsidP="00857674">
      <w:pPr>
        <w:tabs>
          <w:tab w:val="left" w:pos="3402"/>
        </w:tabs>
        <w:autoSpaceDE w:val="0"/>
        <w:autoSpaceDN w:val="0"/>
        <w:adjustRightInd w:val="0"/>
        <w:spacing w:after="0"/>
        <w:ind w:left="851"/>
        <w:jc w:val="both"/>
        <w:rPr>
          <w:rFonts w:ascii="Verdana" w:hAnsi="Verdana"/>
          <w:sz w:val="18"/>
          <w:szCs w:val="18"/>
          <w:lang w:val="en-GB" w:eastAsia="en-GB"/>
        </w:rPr>
      </w:pPr>
      <w:r w:rsidRPr="000C7CFA">
        <w:rPr>
          <w:rFonts w:ascii="Verdana" w:hAnsi="Verdana"/>
          <w:sz w:val="18"/>
          <w:szCs w:val="18"/>
          <w:lang w:val="en-GB" w:eastAsia="en-GB"/>
        </w:rPr>
        <w:t>Eurasian Tree Sparrow:</w:t>
      </w:r>
      <w:r w:rsidRPr="000C7CFA">
        <w:rPr>
          <w:rFonts w:ascii="Verdana" w:hAnsi="Verdana"/>
          <w:sz w:val="18"/>
          <w:szCs w:val="18"/>
          <w:lang w:val="en-GB" w:eastAsia="en-GB"/>
        </w:rPr>
        <w:tab/>
        <w:t xml:space="preserve">4.9 (&lt;LoD – 31) µg/kg </w:t>
      </w:r>
      <w:proofErr w:type="gramStart"/>
      <w:r w:rsidRPr="000C7CFA">
        <w:rPr>
          <w:rFonts w:ascii="Verdana" w:hAnsi="Verdana"/>
          <w:sz w:val="18"/>
          <w:szCs w:val="18"/>
          <w:lang w:val="en-GB" w:eastAsia="en-GB"/>
        </w:rPr>
        <w:t>lw</w:t>
      </w:r>
      <w:proofErr w:type="gramEnd"/>
    </w:p>
    <w:p w14:paraId="72BDA984" w14:textId="77777777" w:rsidR="00857674" w:rsidRPr="000C7CFA" w:rsidRDefault="00857674" w:rsidP="00857674">
      <w:pPr>
        <w:tabs>
          <w:tab w:val="left" w:pos="3402"/>
        </w:tabs>
        <w:autoSpaceDE w:val="0"/>
        <w:autoSpaceDN w:val="0"/>
        <w:adjustRightInd w:val="0"/>
        <w:spacing w:after="0"/>
        <w:ind w:left="851"/>
        <w:jc w:val="both"/>
        <w:rPr>
          <w:rFonts w:ascii="Verdana" w:hAnsi="Verdana"/>
          <w:sz w:val="18"/>
          <w:szCs w:val="18"/>
          <w:lang w:val="en-GB" w:eastAsia="en-GB"/>
        </w:rPr>
      </w:pPr>
      <w:r w:rsidRPr="000C7CFA">
        <w:rPr>
          <w:rFonts w:ascii="Verdana" w:hAnsi="Verdana"/>
          <w:sz w:val="18"/>
          <w:szCs w:val="18"/>
          <w:lang w:val="en-GB" w:eastAsia="en-GB"/>
        </w:rPr>
        <w:t>Brown Rat:</w:t>
      </w:r>
      <w:r w:rsidRPr="000C7CFA">
        <w:rPr>
          <w:rFonts w:ascii="Verdana" w:hAnsi="Verdana"/>
          <w:sz w:val="18"/>
          <w:szCs w:val="18"/>
          <w:lang w:val="en-GB" w:eastAsia="en-GB"/>
        </w:rPr>
        <w:tab/>
        <w:t xml:space="preserve">24 (&lt;LoD – 160) µg/kg </w:t>
      </w:r>
      <w:proofErr w:type="gramStart"/>
      <w:r w:rsidRPr="000C7CFA">
        <w:rPr>
          <w:rFonts w:ascii="Verdana" w:hAnsi="Verdana"/>
          <w:sz w:val="18"/>
          <w:szCs w:val="18"/>
          <w:lang w:val="en-GB" w:eastAsia="en-GB"/>
        </w:rPr>
        <w:t>lw</w:t>
      </w:r>
      <w:proofErr w:type="gramEnd"/>
    </w:p>
    <w:p w14:paraId="711D10E8" w14:textId="77777777" w:rsidR="00857674" w:rsidRPr="000C7CFA" w:rsidRDefault="00857674" w:rsidP="00857674">
      <w:pPr>
        <w:autoSpaceDE w:val="0"/>
        <w:autoSpaceDN w:val="0"/>
        <w:adjustRightInd w:val="0"/>
        <w:spacing w:after="0"/>
        <w:jc w:val="both"/>
        <w:rPr>
          <w:rFonts w:ascii="Verdana" w:hAnsi="Verdana"/>
          <w:sz w:val="18"/>
          <w:szCs w:val="18"/>
          <w:lang w:val="en-GB" w:eastAsia="en-GB"/>
        </w:rPr>
      </w:pPr>
    </w:p>
    <w:p w14:paraId="031E7A1D" w14:textId="6A9353AA" w:rsidR="00857674" w:rsidRPr="000C7CFA" w:rsidRDefault="00857674" w:rsidP="00BD12E3">
      <w:pPr>
        <w:autoSpaceDE w:val="0"/>
        <w:autoSpaceDN w:val="0"/>
        <w:adjustRightInd w:val="0"/>
        <w:spacing w:after="120"/>
        <w:ind w:left="425"/>
        <w:jc w:val="both"/>
        <w:rPr>
          <w:rFonts w:ascii="Verdana" w:hAnsi="Verdana"/>
          <w:sz w:val="18"/>
          <w:szCs w:val="18"/>
          <w:lang w:val="en-GB" w:eastAsia="en-GB"/>
        </w:rPr>
      </w:pPr>
      <w:r w:rsidRPr="000C7CFA">
        <w:rPr>
          <w:rFonts w:ascii="Verdana" w:hAnsi="Verdana"/>
          <w:sz w:val="18"/>
          <w:szCs w:val="18"/>
          <w:lang w:val="en-GB" w:eastAsia="en-GB"/>
        </w:rPr>
        <w:t>Based on mean lipid weights of 12.</w:t>
      </w:r>
      <w:r w:rsidR="00AF7606" w:rsidRPr="000C7CFA">
        <w:rPr>
          <w:rFonts w:ascii="Verdana" w:hAnsi="Verdana"/>
          <w:sz w:val="18"/>
          <w:szCs w:val="18"/>
          <w:lang w:val="en-GB" w:eastAsia="en-GB"/>
        </w:rPr>
        <w:t>2 %</w:t>
      </w:r>
      <w:r w:rsidRPr="000C7CFA">
        <w:rPr>
          <w:rFonts w:ascii="Verdana" w:hAnsi="Verdana"/>
          <w:sz w:val="18"/>
          <w:szCs w:val="18"/>
          <w:lang w:val="en-GB" w:eastAsia="en-GB"/>
        </w:rPr>
        <w:t>, 8.</w:t>
      </w:r>
      <w:r w:rsidR="00AF7606" w:rsidRPr="000C7CFA">
        <w:rPr>
          <w:rFonts w:ascii="Verdana" w:hAnsi="Verdana"/>
          <w:sz w:val="18"/>
          <w:szCs w:val="18"/>
          <w:lang w:val="en-GB" w:eastAsia="en-GB"/>
        </w:rPr>
        <w:t>9 %</w:t>
      </w:r>
      <w:r w:rsidRPr="000C7CFA">
        <w:rPr>
          <w:rFonts w:ascii="Verdana" w:hAnsi="Verdana"/>
          <w:sz w:val="18"/>
          <w:szCs w:val="18"/>
          <w:lang w:val="en-GB" w:eastAsia="en-GB"/>
        </w:rPr>
        <w:t>, 10.</w:t>
      </w:r>
      <w:r w:rsidR="00AF7606" w:rsidRPr="000C7CFA">
        <w:rPr>
          <w:rFonts w:ascii="Verdana" w:hAnsi="Verdana"/>
          <w:sz w:val="18"/>
          <w:szCs w:val="18"/>
          <w:lang w:val="en-GB" w:eastAsia="en-GB"/>
        </w:rPr>
        <w:t>4 %</w:t>
      </w:r>
      <w:r w:rsidRPr="000C7CFA">
        <w:rPr>
          <w:rFonts w:ascii="Verdana" w:hAnsi="Verdana"/>
          <w:sz w:val="18"/>
          <w:szCs w:val="18"/>
          <w:lang w:val="en-GB" w:eastAsia="en-GB"/>
        </w:rPr>
        <w:t xml:space="preserve"> and 20.</w:t>
      </w:r>
      <w:r w:rsidR="00AF7606" w:rsidRPr="000C7CFA">
        <w:rPr>
          <w:rFonts w:ascii="Verdana" w:hAnsi="Verdana"/>
          <w:sz w:val="18"/>
          <w:szCs w:val="18"/>
          <w:lang w:val="en-GB" w:eastAsia="en-GB"/>
        </w:rPr>
        <w:t>6 %</w:t>
      </w:r>
      <w:r w:rsidRPr="000C7CFA">
        <w:rPr>
          <w:rFonts w:ascii="Verdana" w:hAnsi="Verdana"/>
          <w:sz w:val="18"/>
          <w:szCs w:val="18"/>
          <w:lang w:val="en-GB" w:eastAsia="en-GB"/>
        </w:rPr>
        <w:t xml:space="preserve"> for each of these species, the median concentrations would be approximately 0.18, 4.36, 0.51 and 4.94 µg/kg ww for Common Kestrel, “Owl”, Eurasian Tree Sparrow and Brown Rat, </w:t>
      </w:r>
      <w:r w:rsidRPr="000C7CFA">
        <w:rPr>
          <w:rFonts w:ascii="Verdana" w:hAnsi="Verdana"/>
          <w:sz w:val="18"/>
          <w:szCs w:val="18"/>
          <w:lang w:val="en-GB" w:eastAsia="en-GB"/>
        </w:rPr>
        <w:lastRenderedPageBreak/>
        <w:t xml:space="preserve">respectively. No stereoselection was apparent in the pattern of bioaccumulation in any species. </w:t>
      </w:r>
    </w:p>
    <w:p w14:paraId="433F5851" w14:textId="77777777" w:rsidR="00857674" w:rsidRPr="000C7CFA" w:rsidRDefault="00857674" w:rsidP="00BD12E3">
      <w:pPr>
        <w:autoSpaceDE w:val="0"/>
        <w:autoSpaceDN w:val="0"/>
        <w:adjustRightInd w:val="0"/>
        <w:spacing w:after="120"/>
        <w:ind w:left="425"/>
        <w:jc w:val="both"/>
        <w:rPr>
          <w:rFonts w:ascii="Verdana" w:hAnsi="Verdana"/>
          <w:sz w:val="18"/>
          <w:szCs w:val="18"/>
          <w:lang w:val="en-GB" w:eastAsia="en-GB"/>
        </w:rPr>
      </w:pPr>
      <w:r w:rsidRPr="000C7CFA">
        <w:rPr>
          <w:rFonts w:ascii="Verdana" w:hAnsi="Verdana"/>
          <w:sz w:val="18"/>
          <w:szCs w:val="18"/>
          <w:lang w:val="en-GB" w:eastAsia="en-GB"/>
        </w:rPr>
        <w:t>Anti-DP-1Cl was detected in approximately 30% of the samples, with a strong positive correlation (Pearson’s correlation, r</w:t>
      </w:r>
      <w:r w:rsidRPr="000C7CFA">
        <w:rPr>
          <w:rFonts w:ascii="Verdana" w:hAnsi="Verdana"/>
          <w:sz w:val="18"/>
          <w:szCs w:val="18"/>
          <w:vertAlign w:val="superscript"/>
          <w:lang w:val="en-GB" w:eastAsia="en-GB"/>
        </w:rPr>
        <w:t>2</w:t>
      </w:r>
      <w:r w:rsidRPr="000C7CFA">
        <w:rPr>
          <w:rFonts w:ascii="Verdana" w:hAnsi="Verdana"/>
          <w:sz w:val="18"/>
          <w:szCs w:val="18"/>
          <w:lang w:val="en-GB" w:eastAsia="en-GB"/>
        </w:rPr>
        <w:t xml:space="preserve"> = 0.68, p &lt; 0.01) between this substance and anti-Dechlorane Plus. Average ratios of anti-DP-1Cl to anti-Dechlorane Plus were 0.038 ± 0.024, 0.048 ± 0.035, and 0.011 ± 0.012 for the kestrels, owls and sparrows, respectively.</w:t>
      </w:r>
      <w:r w:rsidR="00B74706" w:rsidRPr="000C7CFA">
        <w:rPr>
          <w:rStyle w:val="FootnoteReference"/>
          <w:rFonts w:ascii="Verdana" w:hAnsi="Verdana"/>
          <w:sz w:val="18"/>
          <w:szCs w:val="18"/>
          <w:lang w:val="en-GB" w:eastAsia="en-GB"/>
        </w:rPr>
        <w:footnoteReference w:id="32"/>
      </w:r>
      <w:r w:rsidRPr="000C7CFA">
        <w:rPr>
          <w:rFonts w:ascii="Verdana" w:hAnsi="Verdana"/>
          <w:sz w:val="18"/>
          <w:szCs w:val="18"/>
          <w:lang w:val="en-GB" w:eastAsia="en-GB"/>
        </w:rPr>
        <w:t xml:space="preserve"> </w:t>
      </w:r>
    </w:p>
    <w:p w14:paraId="702BF497" w14:textId="77777777" w:rsidR="00857674" w:rsidRPr="000C7CFA" w:rsidRDefault="00857674" w:rsidP="00BD12E3">
      <w:pPr>
        <w:autoSpaceDE w:val="0"/>
        <w:autoSpaceDN w:val="0"/>
        <w:adjustRightInd w:val="0"/>
        <w:spacing w:after="120"/>
        <w:ind w:left="425"/>
        <w:jc w:val="both"/>
        <w:rPr>
          <w:rFonts w:ascii="Verdana" w:hAnsi="Verdana"/>
          <w:sz w:val="18"/>
          <w:szCs w:val="18"/>
          <w:lang w:val="en-GB" w:eastAsia="en-GB"/>
        </w:rPr>
      </w:pPr>
      <w:r w:rsidRPr="000C7CFA">
        <w:rPr>
          <w:rFonts w:ascii="Verdana" w:hAnsi="Verdana"/>
          <w:sz w:val="18"/>
          <w:szCs w:val="18"/>
          <w:lang w:val="en-GB" w:eastAsia="en-GB"/>
        </w:rPr>
        <w:t xml:space="preserve">BMFs were calculated as the ratio between the median </w:t>
      </w:r>
      <w:proofErr w:type="gramStart"/>
      <w:r w:rsidRPr="000C7CFA">
        <w:rPr>
          <w:rFonts w:ascii="Verdana" w:hAnsi="Verdana"/>
          <w:sz w:val="18"/>
          <w:szCs w:val="18"/>
          <w:lang w:val="en-GB" w:eastAsia="en-GB"/>
        </w:rPr>
        <w:t>lipid</w:t>
      </w:r>
      <w:proofErr w:type="gramEnd"/>
      <w:r w:rsidRPr="000C7CFA">
        <w:rPr>
          <w:rFonts w:ascii="Verdana" w:hAnsi="Verdana"/>
          <w:sz w:val="18"/>
          <w:szCs w:val="18"/>
          <w:lang w:val="en-GB" w:eastAsia="en-GB"/>
        </w:rPr>
        <w:t xml:space="preserve"> normalized concentrations in the predator and prey. The calculated BMF was 2 in the rat–owl food chain, indicating biomagnification, and 0.3 for the sparrow–kestrel food chain, indicating biodilution</w:t>
      </w:r>
      <w:r w:rsidRPr="000C7CFA">
        <w:rPr>
          <w:rStyle w:val="FootnoteReference"/>
          <w:rFonts w:ascii="Verdana" w:hAnsi="Verdana"/>
          <w:sz w:val="18"/>
          <w:szCs w:val="18"/>
          <w:lang w:val="en-GB" w:eastAsia="en-GB"/>
        </w:rPr>
        <w:footnoteReference w:id="33"/>
      </w:r>
      <w:r w:rsidRPr="000C7CFA">
        <w:rPr>
          <w:rFonts w:ascii="Verdana" w:hAnsi="Verdana"/>
          <w:sz w:val="18"/>
          <w:szCs w:val="18"/>
          <w:lang w:val="en-GB" w:eastAsia="en-GB"/>
        </w:rPr>
        <w:t>. (When wet weight is considered, the BMFs become 0.9 and 0.4, respectively.) No significant differences were found for the BMF values of the two isomers in either feeding relationship.</w:t>
      </w:r>
    </w:p>
    <w:p w14:paraId="61533B8A" w14:textId="51571ABC" w:rsidR="00857674" w:rsidRPr="000C7CFA" w:rsidRDefault="00CE3979" w:rsidP="00BD12E3">
      <w:pPr>
        <w:autoSpaceDE w:val="0"/>
        <w:autoSpaceDN w:val="0"/>
        <w:adjustRightInd w:val="0"/>
        <w:spacing w:after="120"/>
        <w:ind w:left="425"/>
        <w:jc w:val="both"/>
        <w:rPr>
          <w:rFonts w:ascii="Verdana" w:hAnsi="Verdana"/>
          <w:sz w:val="18"/>
          <w:szCs w:val="18"/>
          <w:lang w:eastAsia="en-GB"/>
        </w:rPr>
      </w:pPr>
      <w:r w:rsidRPr="000C7CFA">
        <w:rPr>
          <w:rFonts w:ascii="Verdana" w:hAnsi="Verdana"/>
          <w:sz w:val="18"/>
          <w:szCs w:val="18"/>
          <w:lang w:val="en-GB" w:eastAsia="en-GB"/>
        </w:rPr>
        <w:t>The use of muscle tissue for the birds might mis-represent the total whole body concentrations</w:t>
      </w:r>
      <w:r w:rsidRPr="000C7CFA">
        <w:rPr>
          <w:rFonts w:ascii="Verdana" w:hAnsi="Verdana"/>
          <w:sz w:val="18"/>
          <w:szCs w:val="18"/>
        </w:rPr>
        <w:t xml:space="preserve">, which could affect the conclusions (especially if lipid weight concentrations were different between tissues). It is not clear how the calculations would be </w:t>
      </w:r>
      <w:r w:rsidRPr="000C7CFA">
        <w:rPr>
          <w:rFonts w:ascii="Verdana" w:hAnsi="Verdana"/>
          <w:sz w:val="18"/>
          <w:szCs w:val="18"/>
          <w:lang w:val="en-GB" w:eastAsia="en-GB"/>
        </w:rPr>
        <w:t>affected</w:t>
      </w:r>
      <w:r w:rsidRPr="000C7CFA">
        <w:rPr>
          <w:rFonts w:ascii="Verdana" w:hAnsi="Verdana"/>
          <w:sz w:val="18"/>
          <w:szCs w:val="18"/>
        </w:rPr>
        <w:t xml:space="preserve"> if the concentrations were expressed as a geometric mean rather than median concentration. </w:t>
      </w:r>
      <w:r w:rsidR="00857674" w:rsidRPr="000C7CFA">
        <w:rPr>
          <w:rFonts w:ascii="Verdana" w:hAnsi="Verdana"/>
          <w:sz w:val="18"/>
          <w:szCs w:val="18"/>
          <w:lang w:eastAsia="en-GB"/>
        </w:rPr>
        <w:t>The representivity of the samples is</w:t>
      </w:r>
      <w:r w:rsidRPr="000C7CFA">
        <w:rPr>
          <w:rFonts w:ascii="Verdana" w:hAnsi="Verdana"/>
          <w:sz w:val="18"/>
          <w:szCs w:val="18"/>
          <w:lang w:eastAsia="en-GB"/>
        </w:rPr>
        <w:t xml:space="preserve"> also</w:t>
      </w:r>
      <w:r w:rsidR="00857674" w:rsidRPr="000C7CFA">
        <w:rPr>
          <w:rFonts w:ascii="Verdana" w:hAnsi="Verdana"/>
          <w:sz w:val="18"/>
          <w:szCs w:val="18"/>
          <w:lang w:eastAsia="en-GB"/>
        </w:rPr>
        <w:t xml:space="preserve"> unknown. For example, median total concentrations in six Common Kestrels collected in Beijing in 2004 to 2006 by Chen </w:t>
      </w:r>
      <w:r w:rsidR="00857674" w:rsidRPr="000C7CFA">
        <w:rPr>
          <w:rFonts w:ascii="Verdana" w:hAnsi="Verdana"/>
          <w:i/>
          <w:sz w:val="18"/>
          <w:szCs w:val="18"/>
          <w:lang w:eastAsia="en-GB"/>
        </w:rPr>
        <w:t>et al</w:t>
      </w:r>
      <w:r w:rsidR="00EB4F95" w:rsidRPr="000C7CFA">
        <w:rPr>
          <w:rFonts w:ascii="Verdana" w:hAnsi="Verdana"/>
          <w:sz w:val="18"/>
          <w:szCs w:val="18"/>
          <w:lang w:eastAsia="en-GB"/>
        </w:rPr>
        <w:t>. (2013</w:t>
      </w:r>
      <w:r w:rsidR="00617DE6" w:rsidRPr="000C7CFA">
        <w:rPr>
          <w:rFonts w:ascii="Verdana" w:hAnsi="Verdana"/>
          <w:sz w:val="18"/>
          <w:szCs w:val="18"/>
          <w:lang w:eastAsia="en-GB"/>
        </w:rPr>
        <w:t>b</w:t>
      </w:r>
      <w:r w:rsidR="00EB4F95" w:rsidRPr="000C7CFA">
        <w:rPr>
          <w:rFonts w:ascii="Verdana" w:hAnsi="Verdana"/>
          <w:sz w:val="18"/>
          <w:szCs w:val="18"/>
          <w:lang w:eastAsia="en-GB"/>
        </w:rPr>
        <w:t>) were reported as 550 </w:t>
      </w:r>
      <w:r w:rsidR="00857674" w:rsidRPr="000C7CFA">
        <w:rPr>
          <w:rFonts w:ascii="Verdana" w:hAnsi="Verdana"/>
          <w:sz w:val="18"/>
          <w:szCs w:val="18"/>
          <w:lang w:eastAsia="en-GB"/>
        </w:rPr>
        <w:t xml:space="preserve">µg/kg lw (liver) and 810 µg/kg lw (muscle) (see </w:t>
      </w:r>
      <w:r w:rsidR="00C16F04" w:rsidRPr="000C7CFA">
        <w:rPr>
          <w:rFonts w:ascii="Verdana" w:hAnsi="Verdana"/>
          <w:sz w:val="18"/>
          <w:szCs w:val="18"/>
          <w:lang w:eastAsia="en-GB"/>
        </w:rPr>
        <w:t xml:space="preserve">Appendix </w:t>
      </w:r>
      <w:r w:rsidR="00FB3AD7" w:rsidRPr="000C7CFA">
        <w:rPr>
          <w:rFonts w:ascii="Verdana" w:hAnsi="Verdana"/>
          <w:sz w:val="18"/>
          <w:szCs w:val="18"/>
          <w:lang w:eastAsia="en-GB"/>
        </w:rPr>
        <w:t>4</w:t>
      </w:r>
      <w:r w:rsidR="008C3195" w:rsidRPr="000C7CFA">
        <w:rPr>
          <w:rFonts w:ascii="Verdana" w:hAnsi="Verdana"/>
          <w:bCs/>
          <w:sz w:val="18"/>
          <w:szCs w:val="18"/>
          <w:lang w:eastAsia="en-GB"/>
        </w:rPr>
        <w:fldChar w:fldCharType="begin"/>
      </w:r>
      <w:r w:rsidR="00160FED" w:rsidRPr="000C7CFA">
        <w:rPr>
          <w:rFonts w:ascii="Verdana" w:hAnsi="Verdana"/>
          <w:sz w:val="18"/>
          <w:szCs w:val="18"/>
          <w:lang w:eastAsia="en-GB"/>
        </w:rPr>
        <w:instrText xml:space="preserve"> REF _Ref427767228 \h </w:instrText>
      </w:r>
      <w:r w:rsidR="008640CB" w:rsidRPr="000C7CFA">
        <w:rPr>
          <w:rFonts w:ascii="Verdana" w:hAnsi="Verdana"/>
          <w:bCs/>
          <w:sz w:val="18"/>
          <w:szCs w:val="18"/>
          <w:lang w:eastAsia="en-GB"/>
        </w:rPr>
        <w:instrText xml:space="preserve"> \* MERGEFORMAT </w:instrText>
      </w:r>
      <w:r w:rsidR="008C3195" w:rsidRPr="000C7CFA">
        <w:rPr>
          <w:rFonts w:ascii="Verdana" w:hAnsi="Verdana"/>
          <w:bCs/>
          <w:sz w:val="18"/>
          <w:szCs w:val="18"/>
          <w:lang w:eastAsia="en-GB"/>
        </w:rPr>
      </w:r>
      <w:r w:rsidR="008C3195" w:rsidRPr="000C7CFA">
        <w:rPr>
          <w:rFonts w:ascii="Verdana" w:hAnsi="Verdana"/>
          <w:bCs/>
          <w:sz w:val="18"/>
          <w:szCs w:val="18"/>
          <w:lang w:eastAsia="en-GB"/>
        </w:rPr>
        <w:fldChar w:fldCharType="separate"/>
      </w:r>
      <w:r w:rsidR="00BA2885" w:rsidRPr="000C7CFA">
        <w:rPr>
          <w:rFonts w:ascii="Verdana" w:hAnsi="Verdana"/>
          <w:b/>
          <w:sz w:val="18"/>
          <w:szCs w:val="18"/>
          <w:lang w:eastAsia="en-GB"/>
        </w:rPr>
        <w:t>Error! Reference source not found.</w:t>
      </w:r>
      <w:r w:rsidR="008C3195" w:rsidRPr="000C7CFA">
        <w:rPr>
          <w:rFonts w:ascii="Verdana" w:hAnsi="Verdana"/>
          <w:bCs/>
          <w:sz w:val="18"/>
          <w:szCs w:val="18"/>
          <w:lang w:eastAsia="en-GB"/>
        </w:rPr>
        <w:fldChar w:fldCharType="end"/>
      </w:r>
      <w:r w:rsidR="00857674" w:rsidRPr="000C7CFA">
        <w:rPr>
          <w:rFonts w:ascii="Verdana" w:hAnsi="Verdana"/>
          <w:sz w:val="18"/>
          <w:szCs w:val="18"/>
          <w:lang w:eastAsia="en-GB"/>
        </w:rPr>
        <w:t xml:space="preserve">). These are two orders of magnitude higher than reported in the study of </w:t>
      </w:r>
      <w:r w:rsidR="00857674" w:rsidRPr="000C7CFA">
        <w:rPr>
          <w:rFonts w:ascii="Verdana" w:hAnsi="Verdana"/>
          <w:sz w:val="18"/>
          <w:szCs w:val="18"/>
        </w:rPr>
        <w:t xml:space="preserve">Yu </w:t>
      </w:r>
      <w:r w:rsidR="00857674" w:rsidRPr="000C7CFA">
        <w:rPr>
          <w:rFonts w:ascii="Verdana" w:hAnsi="Verdana"/>
          <w:i/>
          <w:sz w:val="18"/>
          <w:szCs w:val="18"/>
        </w:rPr>
        <w:t>et al</w:t>
      </w:r>
      <w:r w:rsidR="00857674" w:rsidRPr="000C7CFA">
        <w:rPr>
          <w:rFonts w:ascii="Verdana" w:hAnsi="Verdana"/>
          <w:sz w:val="18"/>
          <w:szCs w:val="18"/>
        </w:rPr>
        <w:t>. (2013), and so the corresponding BMF would be above unity for the sparrow-kestrel food chain if these data were used</w:t>
      </w:r>
      <w:r w:rsidR="00857674" w:rsidRPr="000C7CFA">
        <w:rPr>
          <w:rFonts w:ascii="Verdana" w:hAnsi="Verdana"/>
          <w:sz w:val="18"/>
          <w:szCs w:val="18"/>
          <w:lang w:eastAsia="en-GB"/>
        </w:rPr>
        <w:t>. (Conversely, if the concentration in sparrows is usually lower than reported in this study, the BMF would reduce.)</w:t>
      </w:r>
    </w:p>
    <w:p w14:paraId="5120128B" w14:textId="77777777" w:rsidR="000128E5" w:rsidRPr="000C7CFA" w:rsidRDefault="000128E5" w:rsidP="000128E5">
      <w:pPr>
        <w:pStyle w:val="NoSpacing"/>
        <w:spacing w:after="120"/>
        <w:ind w:left="425" w:right="374"/>
        <w:jc w:val="both"/>
        <w:rPr>
          <w:rFonts w:ascii="Verdana" w:hAnsi="Verdana"/>
          <w:color w:val="000000"/>
          <w:sz w:val="18"/>
          <w:szCs w:val="18"/>
        </w:rPr>
      </w:pPr>
      <w:r w:rsidRPr="000C7CFA">
        <w:rPr>
          <w:rFonts w:ascii="Verdana" w:hAnsi="Verdana" w:cs="Times New Roman"/>
          <w:color w:val="000000"/>
          <w:sz w:val="18"/>
          <w:szCs w:val="18"/>
        </w:rPr>
        <w:t>This study is not included in the registration dossier.</w:t>
      </w:r>
    </w:p>
    <w:p w14:paraId="56745089" w14:textId="77777777" w:rsidR="00857674" w:rsidRPr="000C7CFA" w:rsidRDefault="00857674" w:rsidP="00857674">
      <w:pPr>
        <w:pStyle w:val="BodyText"/>
        <w:ind w:right="-52"/>
        <w:rPr>
          <w:rFonts w:ascii="Verdana" w:hAnsi="Verdana"/>
          <w:sz w:val="18"/>
          <w:szCs w:val="18"/>
        </w:rPr>
      </w:pPr>
    </w:p>
    <w:p w14:paraId="47428324" w14:textId="47719029" w:rsidR="00CA4FB4" w:rsidRPr="000C7CFA" w:rsidRDefault="00CA4FB4" w:rsidP="00DC3658">
      <w:pPr>
        <w:pStyle w:val="ListParagraph"/>
        <w:numPr>
          <w:ilvl w:val="0"/>
          <w:numId w:val="7"/>
        </w:numPr>
        <w:autoSpaceDE w:val="0"/>
        <w:autoSpaceDN w:val="0"/>
        <w:adjustRightInd w:val="0"/>
        <w:spacing w:after="120" w:line="240" w:lineRule="auto"/>
        <w:ind w:left="425" w:hanging="425"/>
        <w:jc w:val="both"/>
        <w:rPr>
          <w:rFonts w:ascii="Verdana" w:hAnsi="Verdana"/>
          <w:color w:val="000000"/>
          <w:sz w:val="18"/>
          <w:szCs w:val="18"/>
        </w:rPr>
      </w:pPr>
      <w:r w:rsidRPr="000C7CFA">
        <w:rPr>
          <w:rFonts w:ascii="Verdana" w:hAnsi="Verdana"/>
          <w:color w:val="000000"/>
          <w:sz w:val="18"/>
          <w:szCs w:val="18"/>
          <w:u w:val="single"/>
        </w:rPr>
        <w:t xml:space="preserve">Barón </w:t>
      </w:r>
      <w:r w:rsidRPr="000C7CFA">
        <w:rPr>
          <w:rFonts w:ascii="Verdana" w:hAnsi="Verdana"/>
          <w:i/>
          <w:color w:val="000000"/>
          <w:sz w:val="18"/>
          <w:szCs w:val="18"/>
          <w:u w:val="single"/>
        </w:rPr>
        <w:t>et al</w:t>
      </w:r>
      <w:r w:rsidRPr="000C7CFA">
        <w:rPr>
          <w:rFonts w:ascii="Verdana" w:hAnsi="Verdana"/>
          <w:color w:val="000000"/>
          <w:sz w:val="18"/>
          <w:szCs w:val="18"/>
          <w:u w:val="single"/>
        </w:rPr>
        <w:t>. (2014</w:t>
      </w:r>
      <w:r w:rsidR="00A45278" w:rsidRPr="000C7CFA">
        <w:rPr>
          <w:rFonts w:ascii="Verdana" w:hAnsi="Verdana"/>
          <w:color w:val="000000"/>
          <w:sz w:val="18"/>
          <w:szCs w:val="18"/>
          <w:u w:val="single"/>
        </w:rPr>
        <w:t>a</w:t>
      </w:r>
      <w:r w:rsidRPr="000C7CFA">
        <w:rPr>
          <w:rFonts w:ascii="Verdana" w:hAnsi="Verdana"/>
          <w:color w:val="000000"/>
          <w:sz w:val="18"/>
          <w:szCs w:val="18"/>
          <w:u w:val="single"/>
        </w:rPr>
        <w:t>)</w:t>
      </w:r>
      <w:r w:rsidRPr="000C7CFA">
        <w:rPr>
          <w:rFonts w:ascii="Verdana" w:hAnsi="Verdana"/>
          <w:color w:val="000000"/>
          <w:sz w:val="18"/>
          <w:szCs w:val="18"/>
        </w:rPr>
        <w:t xml:space="preserve"> analysed sterile eggs (n=115) of fourteen different bird species from Doñana Natural Park and surrounding areas, in south-west Spain. The samples were collected opportunistically during three campaigns in 2010, 2011 and 2012.</w:t>
      </w:r>
      <w:r w:rsidRPr="000C7CFA">
        <w:rPr>
          <w:rFonts w:ascii="Verdana" w:hAnsi="Verdana"/>
          <w:sz w:val="18"/>
          <w:szCs w:val="18"/>
        </w:rPr>
        <w:t xml:space="preserve"> </w:t>
      </w:r>
      <w:r w:rsidRPr="000C7CFA">
        <w:rPr>
          <w:rFonts w:ascii="Verdana" w:hAnsi="Verdana"/>
          <w:color w:val="000000"/>
          <w:sz w:val="18"/>
          <w:szCs w:val="18"/>
        </w:rPr>
        <w:t>All the eggs were frozen and sent to the laboratory in individual protected containers, where they were measured, broken and the contents weighed, homogenized and freeze dried and stored at −20 °C until analysis.</w:t>
      </w:r>
    </w:p>
    <w:p w14:paraId="5DADE114" w14:textId="77777777" w:rsidR="00CA4FB4" w:rsidRPr="000C7CFA" w:rsidRDefault="00CA4FB4" w:rsidP="00BD12E3">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 xml:space="preserve">Samples were spiked with </w:t>
      </w:r>
      <w:r w:rsidRPr="000C7CFA">
        <w:rPr>
          <w:rFonts w:ascii="Verdana" w:hAnsi="Verdana"/>
          <w:color w:val="000000"/>
          <w:sz w:val="18"/>
          <w:szCs w:val="18"/>
          <w:vertAlign w:val="superscript"/>
        </w:rPr>
        <w:t>13</w:t>
      </w:r>
      <w:r w:rsidRPr="000C7CFA">
        <w:rPr>
          <w:rFonts w:ascii="Verdana" w:hAnsi="Verdana"/>
          <w:color w:val="000000"/>
          <w:sz w:val="18"/>
          <w:szCs w:val="18"/>
        </w:rPr>
        <w:t xml:space="preserve">C-syn-DP and then extracted before analysis using a GC system coupled to a GC/MS triple quadrupole, working in negative chemical ionization mode using methane as reagent gas. To enhance the sensitivity and selectivity, selective reaction monitoring mode was applied. The most intense transition was used for the quantification and the second transition was used for confirmation. Transitions monitored were 654 &gt; 35 and 654 &gt; 37 for syn- and anti-DP, and 664 &gt; 35 and 664 &gt; 37 for </w:t>
      </w:r>
      <w:r w:rsidRPr="000C7CFA">
        <w:rPr>
          <w:rFonts w:ascii="Verdana" w:hAnsi="Verdana"/>
          <w:color w:val="000000"/>
          <w:sz w:val="18"/>
          <w:szCs w:val="18"/>
          <w:vertAlign w:val="superscript"/>
        </w:rPr>
        <w:t>13</w:t>
      </w:r>
      <w:r w:rsidRPr="000C7CFA">
        <w:rPr>
          <w:rFonts w:ascii="Verdana" w:hAnsi="Verdana"/>
          <w:color w:val="000000"/>
          <w:sz w:val="18"/>
          <w:szCs w:val="18"/>
        </w:rPr>
        <w:t>C-syn-DP.</w:t>
      </w:r>
    </w:p>
    <w:p w14:paraId="72A0B6C5" w14:textId="08C220D5" w:rsidR="0096784A" w:rsidRPr="000C7CFA" w:rsidRDefault="00CA4FB4" w:rsidP="00BD12E3">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 xml:space="preserve">Recoveries were evaluated by spiking </w:t>
      </w:r>
      <w:r w:rsidR="001A17FF" w:rsidRPr="000C7CFA">
        <w:rPr>
          <w:rFonts w:ascii="Verdana" w:hAnsi="Verdana"/>
          <w:color w:val="000000"/>
          <w:sz w:val="18"/>
          <w:szCs w:val="18"/>
        </w:rPr>
        <w:t>purchased eggs with</w:t>
      </w:r>
      <w:r w:rsidRPr="000C7CFA">
        <w:rPr>
          <w:rFonts w:ascii="Verdana" w:hAnsi="Verdana"/>
          <w:color w:val="000000"/>
          <w:sz w:val="18"/>
          <w:szCs w:val="18"/>
        </w:rPr>
        <w:t xml:space="preserve"> </w:t>
      </w:r>
      <w:r w:rsidR="001A17FF" w:rsidRPr="000C7CFA">
        <w:rPr>
          <w:rFonts w:ascii="Verdana" w:hAnsi="Verdana"/>
          <w:color w:val="000000"/>
          <w:sz w:val="18"/>
          <w:szCs w:val="18"/>
        </w:rPr>
        <w:t xml:space="preserve">5 ng of </w:t>
      </w:r>
      <w:r w:rsidRPr="000C7CFA">
        <w:rPr>
          <w:rFonts w:ascii="Verdana" w:hAnsi="Verdana"/>
          <w:color w:val="000000"/>
          <w:sz w:val="18"/>
          <w:szCs w:val="18"/>
        </w:rPr>
        <w:t xml:space="preserve">each compound. </w:t>
      </w:r>
      <w:r w:rsidR="001A17FF" w:rsidRPr="000C7CFA">
        <w:rPr>
          <w:rFonts w:ascii="Verdana" w:hAnsi="Verdana"/>
          <w:color w:val="000000"/>
          <w:sz w:val="18"/>
          <w:szCs w:val="18"/>
        </w:rPr>
        <w:t>Four</w:t>
      </w:r>
      <w:r w:rsidRPr="000C7CFA">
        <w:rPr>
          <w:rFonts w:ascii="Verdana" w:hAnsi="Verdana"/>
          <w:color w:val="000000"/>
          <w:sz w:val="18"/>
          <w:szCs w:val="18"/>
        </w:rPr>
        <w:t xml:space="preserve"> replicates were made and the compounds found in the blank samples did not exceed </w:t>
      </w:r>
      <w:r w:rsidR="00AF7606" w:rsidRPr="000C7CFA">
        <w:rPr>
          <w:rFonts w:ascii="Verdana" w:hAnsi="Verdana"/>
          <w:color w:val="000000"/>
          <w:sz w:val="18"/>
          <w:szCs w:val="18"/>
        </w:rPr>
        <w:t>5 %</w:t>
      </w:r>
      <w:r w:rsidRPr="000C7CFA">
        <w:rPr>
          <w:rFonts w:ascii="Verdana" w:hAnsi="Verdana"/>
          <w:color w:val="000000"/>
          <w:sz w:val="18"/>
          <w:szCs w:val="18"/>
        </w:rPr>
        <w:t xml:space="preserve"> of the amount spiked in any case. The method showed good recoveries for halogenated norbornenes (73 to 8</w:t>
      </w:r>
      <w:r w:rsidR="00AF7606" w:rsidRPr="000C7CFA">
        <w:rPr>
          <w:rFonts w:ascii="Verdana" w:hAnsi="Verdana"/>
          <w:color w:val="000000"/>
          <w:sz w:val="18"/>
          <w:szCs w:val="18"/>
        </w:rPr>
        <w:t>9 %</w:t>
      </w:r>
      <w:r w:rsidRPr="000C7CFA">
        <w:rPr>
          <w:rFonts w:ascii="Verdana" w:hAnsi="Verdana"/>
          <w:color w:val="000000"/>
          <w:sz w:val="18"/>
          <w:szCs w:val="18"/>
        </w:rPr>
        <w:t xml:space="preserve">). The identification and confirmation of halogenated norbornenes were based on the following criteria: (i) simultaneous responses to the two selected ions or transitions were needed, (ii) the area of signal must be at least </w:t>
      </w:r>
      <w:r w:rsidR="001A17FF" w:rsidRPr="000C7CFA">
        <w:rPr>
          <w:rFonts w:ascii="Verdana" w:hAnsi="Verdana"/>
          <w:color w:val="000000"/>
          <w:sz w:val="18"/>
          <w:szCs w:val="18"/>
        </w:rPr>
        <w:t>three</w:t>
      </w:r>
      <w:r w:rsidRPr="000C7CFA">
        <w:rPr>
          <w:rFonts w:ascii="Verdana" w:hAnsi="Verdana"/>
          <w:color w:val="000000"/>
          <w:sz w:val="18"/>
          <w:szCs w:val="18"/>
        </w:rPr>
        <w:t xml:space="preserve"> times higher than the signal noise, and (iii) the difference in the </w:t>
      </w:r>
      <w:r w:rsidRPr="000C7CFA">
        <w:rPr>
          <w:rFonts w:ascii="Verdana" w:hAnsi="Verdana"/>
          <w:color w:val="000000"/>
          <w:sz w:val="18"/>
          <w:szCs w:val="18"/>
        </w:rPr>
        <w:lastRenderedPageBreak/>
        <w:t>relative intensity of a peak respect to theoretical values obtained with standard solutions cannot exceed ±1</w:t>
      </w:r>
      <w:r w:rsidR="00AF7606" w:rsidRPr="000C7CFA">
        <w:rPr>
          <w:rFonts w:ascii="Verdana" w:hAnsi="Verdana"/>
          <w:color w:val="000000"/>
          <w:sz w:val="18"/>
          <w:szCs w:val="18"/>
        </w:rPr>
        <w:t>5 %</w:t>
      </w:r>
      <w:r w:rsidRPr="000C7CFA">
        <w:rPr>
          <w:rFonts w:ascii="Verdana" w:hAnsi="Verdana"/>
          <w:color w:val="000000"/>
          <w:sz w:val="18"/>
          <w:szCs w:val="18"/>
        </w:rPr>
        <w:t xml:space="preserve">. </w:t>
      </w:r>
      <w:r w:rsidR="001A17FF" w:rsidRPr="000C7CFA">
        <w:rPr>
          <w:rFonts w:ascii="Verdana" w:hAnsi="Verdana"/>
          <w:color w:val="000000"/>
          <w:sz w:val="18"/>
          <w:szCs w:val="18"/>
        </w:rPr>
        <w:t>T</w:t>
      </w:r>
      <w:r w:rsidRPr="000C7CFA">
        <w:rPr>
          <w:rFonts w:ascii="Verdana" w:hAnsi="Verdana"/>
          <w:color w:val="000000"/>
          <w:sz w:val="18"/>
          <w:szCs w:val="18"/>
        </w:rPr>
        <w:t xml:space="preserve">o prevent interferences and contamination several procedural blanks were made. The contribution of the blank to the signal never exceeded </w:t>
      </w:r>
      <w:r w:rsidR="00AF7606" w:rsidRPr="000C7CFA">
        <w:rPr>
          <w:rFonts w:ascii="Verdana" w:hAnsi="Verdana"/>
          <w:color w:val="000000"/>
          <w:sz w:val="18"/>
          <w:szCs w:val="18"/>
        </w:rPr>
        <w:t>5 %</w:t>
      </w:r>
      <w:r w:rsidRPr="000C7CFA">
        <w:rPr>
          <w:rFonts w:ascii="Verdana" w:hAnsi="Verdana"/>
          <w:color w:val="000000"/>
          <w:sz w:val="18"/>
          <w:szCs w:val="18"/>
        </w:rPr>
        <w:t>. Method detection limits (MDLs) were determined as the minimum amount of analyte produc</w:t>
      </w:r>
      <w:r w:rsidR="007D3514" w:rsidRPr="000C7CFA">
        <w:rPr>
          <w:rFonts w:ascii="Verdana" w:hAnsi="Verdana"/>
          <w:color w:val="000000"/>
          <w:sz w:val="18"/>
          <w:szCs w:val="18"/>
        </w:rPr>
        <w:t>ing</w:t>
      </w:r>
      <w:r w:rsidRPr="000C7CFA">
        <w:rPr>
          <w:rFonts w:ascii="Verdana" w:hAnsi="Verdana"/>
          <w:color w:val="000000"/>
          <w:sz w:val="18"/>
          <w:szCs w:val="18"/>
        </w:rPr>
        <w:t xml:space="preserve"> a peak with a signal-to-noise ratio of 3, and the method quantification limit (MQL) w</w:t>
      </w:r>
      <w:r w:rsidR="007D3514" w:rsidRPr="000C7CFA">
        <w:rPr>
          <w:rFonts w:ascii="Verdana" w:hAnsi="Verdana"/>
          <w:color w:val="000000"/>
          <w:sz w:val="18"/>
          <w:szCs w:val="18"/>
        </w:rPr>
        <w:t>as</w:t>
      </w:r>
      <w:r w:rsidRPr="000C7CFA">
        <w:rPr>
          <w:rFonts w:ascii="Verdana" w:hAnsi="Verdana"/>
          <w:color w:val="000000"/>
          <w:sz w:val="18"/>
          <w:szCs w:val="18"/>
        </w:rPr>
        <w:t xml:space="preserve"> determined as the minimum amount of analyte which produces a peak with a signal-to-noise ratio of 10. MDLs for dechloranes ranged from 0.01 to 0.9 ng/g </w:t>
      </w:r>
      <w:proofErr w:type="gramStart"/>
      <w:r w:rsidRPr="000C7CFA">
        <w:rPr>
          <w:rFonts w:ascii="Verdana" w:hAnsi="Verdana"/>
          <w:color w:val="000000"/>
          <w:sz w:val="18"/>
          <w:szCs w:val="18"/>
        </w:rPr>
        <w:t>lw</w:t>
      </w:r>
      <w:proofErr w:type="gramEnd"/>
      <w:r w:rsidRPr="000C7CFA">
        <w:rPr>
          <w:rFonts w:ascii="Verdana" w:hAnsi="Verdana"/>
          <w:color w:val="000000"/>
          <w:sz w:val="18"/>
          <w:szCs w:val="18"/>
        </w:rPr>
        <w:t xml:space="preserve"> and MQLs ranged from 0.03 to 3.0 ng/g lw. </w:t>
      </w:r>
      <w:r w:rsidR="007D3514" w:rsidRPr="000C7CFA">
        <w:rPr>
          <w:rFonts w:ascii="Verdana" w:hAnsi="Verdana"/>
          <w:color w:val="000000"/>
          <w:sz w:val="18"/>
          <w:szCs w:val="18"/>
        </w:rPr>
        <w:t xml:space="preserve">Dechlorane Plus was detected in all fourteen species’ eggs (see </w:t>
      </w:r>
      <w:r w:rsidR="008C3195" w:rsidRPr="000C7CFA">
        <w:rPr>
          <w:rFonts w:ascii="Verdana" w:hAnsi="Verdana"/>
          <w:color w:val="000000"/>
          <w:sz w:val="18"/>
          <w:szCs w:val="18"/>
        </w:rPr>
        <w:fldChar w:fldCharType="begin"/>
      </w:r>
      <w:r w:rsidR="00160FED" w:rsidRPr="000C7CFA">
        <w:rPr>
          <w:rFonts w:ascii="Verdana" w:hAnsi="Verdana"/>
          <w:color w:val="000000"/>
          <w:sz w:val="18"/>
          <w:szCs w:val="18"/>
        </w:rPr>
        <w:instrText xml:space="preserve"> REF _Ref427767134 \h </w:instrText>
      </w:r>
      <w:r w:rsidR="008640CB" w:rsidRPr="000C7CFA">
        <w:rPr>
          <w:rFonts w:ascii="Verdana" w:hAnsi="Verdana"/>
          <w:color w:val="000000"/>
          <w:sz w:val="18"/>
          <w:szCs w:val="18"/>
        </w:rPr>
        <w:instrText xml:space="preserve"> \* MERGEFORMAT </w:instrText>
      </w:r>
      <w:r w:rsidR="008C3195" w:rsidRPr="000C7CFA">
        <w:rPr>
          <w:rFonts w:ascii="Verdana" w:hAnsi="Verdana"/>
          <w:color w:val="000000"/>
          <w:sz w:val="18"/>
          <w:szCs w:val="18"/>
        </w:rPr>
      </w:r>
      <w:r w:rsidR="008C3195" w:rsidRPr="000C7CFA">
        <w:rPr>
          <w:rFonts w:ascii="Verdana" w:hAnsi="Verdana"/>
          <w:color w:val="000000"/>
          <w:sz w:val="18"/>
          <w:szCs w:val="18"/>
        </w:rPr>
        <w:fldChar w:fldCharType="separate"/>
      </w:r>
      <w:r w:rsidR="00BA2885" w:rsidRPr="000C7CFA">
        <w:rPr>
          <w:rFonts w:ascii="Verdana" w:hAnsi="Verdana"/>
          <w:sz w:val="18"/>
          <w:szCs w:val="18"/>
        </w:rPr>
        <w:t xml:space="preserve">Table </w:t>
      </w:r>
      <w:r w:rsidR="00BA2885" w:rsidRPr="000C7CFA">
        <w:rPr>
          <w:rFonts w:ascii="Verdana" w:hAnsi="Verdana"/>
          <w:noProof/>
          <w:sz w:val="18"/>
          <w:szCs w:val="18"/>
        </w:rPr>
        <w:t>5</w:t>
      </w:r>
      <w:r w:rsidR="008C3195" w:rsidRPr="000C7CFA">
        <w:rPr>
          <w:rFonts w:ascii="Verdana" w:hAnsi="Verdana"/>
          <w:color w:val="000000"/>
          <w:sz w:val="18"/>
          <w:szCs w:val="18"/>
        </w:rPr>
        <w:fldChar w:fldCharType="end"/>
      </w:r>
      <w:r w:rsidR="007D3514" w:rsidRPr="000C7CFA">
        <w:rPr>
          <w:rFonts w:ascii="Verdana" w:hAnsi="Verdana"/>
          <w:color w:val="000000"/>
          <w:sz w:val="18"/>
          <w:szCs w:val="18"/>
        </w:rPr>
        <w:t xml:space="preserve">). </w:t>
      </w:r>
    </w:p>
    <w:p w14:paraId="1A90A319" w14:textId="77777777" w:rsidR="000128E5" w:rsidRPr="000C7CFA" w:rsidRDefault="000128E5" w:rsidP="000128E5">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The highest levels of total isomers were found in White Stork, with a mean value of 24.1 µg/kg lw, and one individual egg containing 102 µg/kg lw (0.1 mg/kg lw). The paper does not discuss this specifically, but this species is known to eat a wide variety of aquatic and terrestrial organisms, and may scavenge at rubbish dumps on migration and at the wintering quarters. Species with more aquatic diets (i.e. Glossy Ibis, Purple Heron, Slender-billed Gull, Gull-billed Tern and Gadwall) tend to have lower egg concentrations than those with more terrestrial diets (e.g. kites and eagle), although this was not always the case (e.g. Common Kestrel eggs had slightly lower levels than those of the ibis and heron).The mean f</w:t>
      </w:r>
      <w:r w:rsidRPr="000C7CFA">
        <w:rPr>
          <w:rFonts w:ascii="Verdana" w:hAnsi="Verdana"/>
          <w:color w:val="000000"/>
          <w:sz w:val="18"/>
          <w:szCs w:val="18"/>
          <w:vertAlign w:val="subscript"/>
        </w:rPr>
        <w:t>anti</w:t>
      </w:r>
      <w:r w:rsidRPr="000C7CFA">
        <w:rPr>
          <w:rFonts w:ascii="Verdana" w:hAnsi="Verdana"/>
          <w:color w:val="000000"/>
          <w:sz w:val="18"/>
          <w:szCs w:val="18"/>
        </w:rPr>
        <w:t xml:space="preserve"> values (0.57 – 0.76) were similar to those found in commercial mixtures, suggesting that isomer specific accumulation of the syn- isomer does not occur in birds. </w:t>
      </w:r>
    </w:p>
    <w:p w14:paraId="39CDAF8E" w14:textId="77777777" w:rsidR="00160FED" w:rsidRPr="000C7CFA" w:rsidRDefault="00160FED" w:rsidP="00160FED">
      <w:pPr>
        <w:pStyle w:val="TableHeading"/>
        <w:ind w:left="1418" w:hanging="1418"/>
        <w:rPr>
          <w:rStyle w:val="CommentReference"/>
          <w:rFonts w:ascii="Verdana" w:hAnsi="Verdana"/>
          <w:sz w:val="18"/>
          <w:szCs w:val="18"/>
          <w:lang w:val="en-GB"/>
        </w:rPr>
      </w:pPr>
      <w:bookmarkStart w:id="82" w:name="_Ref427767134"/>
      <w:bookmarkStart w:id="83" w:name="_Toc489434273"/>
      <w:r w:rsidRPr="000C7CFA">
        <w:rPr>
          <w:rFonts w:ascii="Verdana" w:hAnsi="Verdana"/>
          <w:sz w:val="18"/>
          <w:szCs w:val="18"/>
        </w:rPr>
        <w:t xml:space="preserve">Table </w:t>
      </w:r>
      <w:r w:rsidR="00300CDC" w:rsidRPr="000C7CFA">
        <w:rPr>
          <w:rFonts w:ascii="Verdana" w:hAnsi="Verdana"/>
          <w:sz w:val="18"/>
          <w:szCs w:val="18"/>
        </w:rPr>
        <w:fldChar w:fldCharType="begin"/>
      </w:r>
      <w:r w:rsidR="00300CDC" w:rsidRPr="000C7CFA">
        <w:rPr>
          <w:rFonts w:ascii="Verdana" w:hAnsi="Verdana"/>
          <w:sz w:val="18"/>
          <w:szCs w:val="18"/>
        </w:rPr>
        <w:instrText xml:space="preserve"> SEQ Table \* ARABIC </w:instrText>
      </w:r>
      <w:r w:rsidR="00300CDC" w:rsidRPr="000C7CFA">
        <w:rPr>
          <w:rFonts w:ascii="Verdana" w:hAnsi="Verdana"/>
          <w:sz w:val="18"/>
          <w:szCs w:val="18"/>
        </w:rPr>
        <w:fldChar w:fldCharType="separate"/>
      </w:r>
      <w:r w:rsidR="00BA2885" w:rsidRPr="000C7CFA">
        <w:rPr>
          <w:rFonts w:ascii="Verdana" w:hAnsi="Verdana"/>
          <w:noProof/>
          <w:sz w:val="18"/>
          <w:szCs w:val="18"/>
        </w:rPr>
        <w:t>5</w:t>
      </w:r>
      <w:r w:rsidR="00300CDC" w:rsidRPr="000C7CFA">
        <w:rPr>
          <w:rFonts w:ascii="Verdana" w:hAnsi="Verdana"/>
          <w:noProof/>
          <w:sz w:val="18"/>
          <w:szCs w:val="18"/>
        </w:rPr>
        <w:fldChar w:fldCharType="end"/>
      </w:r>
      <w:bookmarkEnd w:id="82"/>
      <w:r w:rsidRPr="000C7CFA">
        <w:rPr>
          <w:rFonts w:ascii="Verdana" w:hAnsi="Verdana"/>
          <w:sz w:val="18"/>
          <w:szCs w:val="18"/>
        </w:rPr>
        <w:t>:</w:t>
      </w:r>
      <w:r w:rsidRPr="000C7CFA">
        <w:rPr>
          <w:rFonts w:ascii="Verdana" w:hAnsi="Verdana"/>
          <w:sz w:val="18"/>
          <w:szCs w:val="18"/>
        </w:rPr>
        <w:tab/>
        <w:t xml:space="preserve">Dechlorane Plus concentrations in bird egg samples from Spain (from Barón </w:t>
      </w:r>
      <w:r w:rsidRPr="000C7CFA">
        <w:rPr>
          <w:rFonts w:ascii="Verdana" w:hAnsi="Verdana"/>
          <w:i/>
          <w:sz w:val="18"/>
          <w:szCs w:val="18"/>
        </w:rPr>
        <w:t>et al</w:t>
      </w:r>
      <w:r w:rsidRPr="000C7CFA">
        <w:rPr>
          <w:rFonts w:ascii="Verdana" w:hAnsi="Verdana"/>
          <w:sz w:val="18"/>
          <w:szCs w:val="18"/>
        </w:rPr>
        <w:t>., 2014</w:t>
      </w:r>
      <w:r w:rsidR="00A45278" w:rsidRPr="000C7CFA">
        <w:rPr>
          <w:rFonts w:ascii="Verdana" w:hAnsi="Verdana"/>
          <w:sz w:val="18"/>
          <w:szCs w:val="18"/>
        </w:rPr>
        <w:t>a</w:t>
      </w:r>
      <w:r w:rsidRPr="000C7CFA">
        <w:rPr>
          <w:rFonts w:ascii="Verdana" w:hAnsi="Verdana"/>
          <w:sz w:val="18"/>
          <w:szCs w:val="18"/>
        </w:rPr>
        <w:t>)</w:t>
      </w:r>
      <w:bookmarkEnd w:id="83"/>
    </w:p>
    <w:tbl>
      <w:tblPr>
        <w:tblW w:w="7938"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551"/>
        <w:gridCol w:w="709"/>
        <w:gridCol w:w="1559"/>
        <w:gridCol w:w="1559"/>
        <w:gridCol w:w="1560"/>
      </w:tblGrid>
      <w:tr w:rsidR="007D3514" w:rsidRPr="000C7CFA" w14:paraId="176DDAE9" w14:textId="77777777" w:rsidTr="0000000F">
        <w:trPr>
          <w:tblHeader/>
        </w:trPr>
        <w:tc>
          <w:tcPr>
            <w:tcW w:w="2551" w:type="dxa"/>
            <w:vMerge w:val="restart"/>
            <w:shd w:val="clear" w:color="auto" w:fill="FFFFFF" w:themeFill="background1"/>
            <w:tcMar>
              <w:top w:w="24" w:type="dxa"/>
              <w:left w:w="120" w:type="dxa"/>
              <w:bottom w:w="24" w:type="dxa"/>
              <w:right w:w="120" w:type="dxa"/>
            </w:tcMar>
            <w:vAlign w:val="bottom"/>
            <w:hideMark/>
          </w:tcPr>
          <w:p w14:paraId="22D49A47" w14:textId="77777777" w:rsidR="007D3514" w:rsidRPr="000C7CFA" w:rsidRDefault="007D3514" w:rsidP="007D3514">
            <w:pPr>
              <w:spacing w:after="0"/>
              <w:rPr>
                <w:rFonts w:ascii="Verdana" w:eastAsia="Arial Unicode MS" w:hAnsi="Verdana"/>
                <w:b/>
                <w:sz w:val="18"/>
                <w:szCs w:val="18"/>
                <w:lang w:eastAsia="en-GB"/>
              </w:rPr>
            </w:pPr>
            <w:r w:rsidRPr="000C7CFA">
              <w:rPr>
                <w:rFonts w:ascii="Verdana" w:eastAsia="Arial Unicode MS" w:hAnsi="Verdana"/>
                <w:b/>
                <w:sz w:val="18"/>
                <w:szCs w:val="18"/>
                <w:lang w:eastAsia="en-GB"/>
              </w:rPr>
              <w:t>Species</w:t>
            </w:r>
          </w:p>
        </w:tc>
        <w:tc>
          <w:tcPr>
            <w:tcW w:w="709" w:type="dxa"/>
            <w:vMerge w:val="restart"/>
            <w:shd w:val="clear" w:color="auto" w:fill="FFFFFF" w:themeFill="background1"/>
            <w:tcMar>
              <w:top w:w="24" w:type="dxa"/>
              <w:left w:w="120" w:type="dxa"/>
              <w:bottom w:w="24" w:type="dxa"/>
              <w:right w:w="120" w:type="dxa"/>
            </w:tcMar>
            <w:vAlign w:val="bottom"/>
            <w:hideMark/>
          </w:tcPr>
          <w:p w14:paraId="512F5867" w14:textId="77777777" w:rsidR="007D3514" w:rsidRPr="000C7CFA" w:rsidRDefault="007D3514" w:rsidP="0000000F">
            <w:pPr>
              <w:spacing w:after="0"/>
              <w:jc w:val="center"/>
              <w:rPr>
                <w:rFonts w:ascii="Verdana" w:eastAsia="Arial Unicode MS" w:hAnsi="Verdana"/>
                <w:b/>
                <w:sz w:val="18"/>
                <w:szCs w:val="18"/>
                <w:lang w:eastAsia="en-GB"/>
              </w:rPr>
            </w:pPr>
            <w:r w:rsidRPr="000C7CFA">
              <w:rPr>
                <w:rFonts w:ascii="Verdana" w:eastAsia="Arial Unicode MS" w:hAnsi="Verdana"/>
                <w:b/>
                <w:sz w:val="18"/>
                <w:szCs w:val="18"/>
                <w:lang w:eastAsia="en-GB"/>
              </w:rPr>
              <w:t>n</w:t>
            </w:r>
          </w:p>
        </w:tc>
        <w:tc>
          <w:tcPr>
            <w:tcW w:w="4678" w:type="dxa"/>
            <w:gridSpan w:val="3"/>
            <w:shd w:val="clear" w:color="auto" w:fill="FFFFFF" w:themeFill="background1"/>
          </w:tcPr>
          <w:p w14:paraId="205F539E" w14:textId="77777777" w:rsidR="007D3514" w:rsidRPr="000C7CFA" w:rsidRDefault="007D3514" w:rsidP="007D3514">
            <w:pPr>
              <w:spacing w:after="0"/>
              <w:jc w:val="center"/>
              <w:rPr>
                <w:rFonts w:ascii="Verdana" w:eastAsia="Arial Unicode MS" w:hAnsi="Verdana"/>
                <w:b/>
                <w:sz w:val="18"/>
                <w:szCs w:val="18"/>
                <w:lang w:eastAsia="en-GB"/>
              </w:rPr>
            </w:pPr>
            <w:r w:rsidRPr="000C7CFA">
              <w:rPr>
                <w:rFonts w:ascii="Verdana" w:eastAsia="Arial Unicode MS" w:hAnsi="Verdana"/>
                <w:b/>
                <w:sz w:val="18"/>
                <w:szCs w:val="18"/>
                <w:lang w:eastAsia="en-GB"/>
              </w:rPr>
              <w:t>Mean Dechlorane Plus concentration, µg/kg lw</w:t>
            </w:r>
          </w:p>
          <w:p w14:paraId="041792F8" w14:textId="77777777" w:rsidR="007D3514" w:rsidRPr="000C7CFA" w:rsidRDefault="007D3514" w:rsidP="007D3514">
            <w:pPr>
              <w:spacing w:after="0"/>
              <w:jc w:val="center"/>
              <w:rPr>
                <w:rFonts w:ascii="Verdana" w:eastAsia="Arial Unicode MS" w:hAnsi="Verdana"/>
                <w:b/>
                <w:sz w:val="18"/>
                <w:szCs w:val="18"/>
                <w:lang w:eastAsia="en-GB"/>
              </w:rPr>
            </w:pPr>
            <w:r w:rsidRPr="000C7CFA">
              <w:rPr>
                <w:rFonts w:ascii="Verdana" w:eastAsia="Arial Unicode MS" w:hAnsi="Verdana"/>
                <w:b/>
                <w:sz w:val="18"/>
                <w:szCs w:val="18"/>
                <w:lang w:eastAsia="en-GB"/>
              </w:rPr>
              <w:t>(with associated standard deviation; and range)</w:t>
            </w:r>
          </w:p>
        </w:tc>
      </w:tr>
      <w:tr w:rsidR="007D3514" w:rsidRPr="000C7CFA" w14:paraId="27DC6B67" w14:textId="77777777" w:rsidTr="0000000F">
        <w:trPr>
          <w:trHeight w:val="231"/>
        </w:trPr>
        <w:tc>
          <w:tcPr>
            <w:tcW w:w="2551" w:type="dxa"/>
            <w:vMerge/>
            <w:shd w:val="clear" w:color="auto" w:fill="FFFFFF"/>
            <w:tcMar>
              <w:top w:w="24" w:type="dxa"/>
              <w:left w:w="120" w:type="dxa"/>
              <w:bottom w:w="24" w:type="dxa"/>
              <w:right w:w="120" w:type="dxa"/>
            </w:tcMar>
            <w:hideMark/>
          </w:tcPr>
          <w:p w14:paraId="6C73D391" w14:textId="77777777" w:rsidR="007D3514" w:rsidRPr="000C7CFA" w:rsidRDefault="007D3514" w:rsidP="007D3514">
            <w:pPr>
              <w:spacing w:after="0"/>
              <w:rPr>
                <w:rFonts w:ascii="Verdana" w:eastAsia="Arial Unicode MS" w:hAnsi="Verdana"/>
                <w:sz w:val="18"/>
                <w:szCs w:val="18"/>
                <w:lang w:eastAsia="en-GB"/>
              </w:rPr>
            </w:pPr>
          </w:p>
        </w:tc>
        <w:tc>
          <w:tcPr>
            <w:tcW w:w="709" w:type="dxa"/>
            <w:vMerge/>
            <w:shd w:val="clear" w:color="auto" w:fill="FFFFFF"/>
            <w:tcMar>
              <w:top w:w="24" w:type="dxa"/>
              <w:left w:w="120" w:type="dxa"/>
              <w:bottom w:w="24" w:type="dxa"/>
              <w:right w:w="120" w:type="dxa"/>
            </w:tcMar>
            <w:hideMark/>
          </w:tcPr>
          <w:p w14:paraId="328840FC" w14:textId="77777777" w:rsidR="007D3514" w:rsidRPr="000C7CFA" w:rsidRDefault="007D3514" w:rsidP="007D3514">
            <w:pPr>
              <w:spacing w:after="0"/>
              <w:jc w:val="center"/>
              <w:rPr>
                <w:rFonts w:ascii="Verdana" w:eastAsia="Arial Unicode MS" w:hAnsi="Verdana"/>
                <w:sz w:val="18"/>
                <w:szCs w:val="18"/>
                <w:lang w:eastAsia="en-GB"/>
              </w:rPr>
            </w:pPr>
          </w:p>
        </w:tc>
        <w:tc>
          <w:tcPr>
            <w:tcW w:w="1559" w:type="dxa"/>
            <w:shd w:val="clear" w:color="auto" w:fill="FFFFFF"/>
            <w:vAlign w:val="bottom"/>
          </w:tcPr>
          <w:p w14:paraId="3031DF2F" w14:textId="77777777" w:rsidR="007D3514" w:rsidRPr="000C7CFA" w:rsidRDefault="007D3514" w:rsidP="007D3514">
            <w:pPr>
              <w:spacing w:after="0"/>
              <w:jc w:val="center"/>
              <w:rPr>
                <w:rFonts w:ascii="Verdana" w:eastAsia="Arial Unicode MS" w:hAnsi="Verdana"/>
                <w:b/>
                <w:sz w:val="18"/>
                <w:szCs w:val="18"/>
                <w:lang w:eastAsia="en-GB"/>
              </w:rPr>
            </w:pPr>
            <w:r w:rsidRPr="000C7CFA">
              <w:rPr>
                <w:rFonts w:ascii="Verdana" w:eastAsia="Arial Unicode MS" w:hAnsi="Verdana"/>
                <w:b/>
                <w:iCs/>
                <w:sz w:val="18"/>
                <w:szCs w:val="18"/>
                <w:lang w:eastAsia="en-GB"/>
              </w:rPr>
              <w:t>syn</w:t>
            </w:r>
            <w:r w:rsidRPr="000C7CFA">
              <w:rPr>
                <w:rFonts w:ascii="Verdana" w:eastAsia="Arial Unicode MS" w:hAnsi="Verdana"/>
                <w:b/>
                <w:sz w:val="18"/>
                <w:szCs w:val="18"/>
                <w:lang w:eastAsia="en-GB"/>
              </w:rPr>
              <w:t>-</w:t>
            </w:r>
          </w:p>
        </w:tc>
        <w:tc>
          <w:tcPr>
            <w:tcW w:w="1559" w:type="dxa"/>
            <w:shd w:val="clear" w:color="auto" w:fill="FFFFFF"/>
            <w:vAlign w:val="bottom"/>
          </w:tcPr>
          <w:p w14:paraId="044BED89" w14:textId="77777777" w:rsidR="007D3514" w:rsidRPr="000C7CFA" w:rsidRDefault="007D3514" w:rsidP="007D3514">
            <w:pPr>
              <w:spacing w:after="0"/>
              <w:jc w:val="center"/>
              <w:rPr>
                <w:rFonts w:ascii="Verdana" w:eastAsia="Arial Unicode MS" w:hAnsi="Verdana"/>
                <w:b/>
                <w:sz w:val="18"/>
                <w:szCs w:val="18"/>
                <w:lang w:eastAsia="en-GB"/>
              </w:rPr>
            </w:pPr>
            <w:r w:rsidRPr="000C7CFA">
              <w:rPr>
                <w:rFonts w:ascii="Verdana" w:eastAsia="Arial Unicode MS" w:hAnsi="Verdana"/>
                <w:b/>
                <w:iCs/>
                <w:sz w:val="18"/>
                <w:szCs w:val="18"/>
                <w:lang w:eastAsia="en-GB"/>
              </w:rPr>
              <w:t>anti</w:t>
            </w:r>
            <w:r w:rsidRPr="000C7CFA">
              <w:rPr>
                <w:rFonts w:ascii="Verdana" w:eastAsia="Arial Unicode MS" w:hAnsi="Verdana"/>
                <w:b/>
                <w:sz w:val="18"/>
                <w:szCs w:val="18"/>
                <w:lang w:eastAsia="en-GB"/>
              </w:rPr>
              <w:t>-</w:t>
            </w:r>
          </w:p>
        </w:tc>
        <w:tc>
          <w:tcPr>
            <w:tcW w:w="1560" w:type="dxa"/>
            <w:shd w:val="clear" w:color="auto" w:fill="FFFFFF"/>
            <w:vAlign w:val="bottom"/>
          </w:tcPr>
          <w:p w14:paraId="6FE463FA" w14:textId="77777777" w:rsidR="007D3514" w:rsidRPr="000C7CFA" w:rsidRDefault="007D3514" w:rsidP="007D3514">
            <w:pPr>
              <w:spacing w:after="0"/>
              <w:jc w:val="center"/>
              <w:rPr>
                <w:rFonts w:ascii="Verdana" w:eastAsia="Arial Unicode MS" w:hAnsi="Verdana"/>
                <w:b/>
                <w:sz w:val="18"/>
                <w:szCs w:val="18"/>
                <w:lang w:eastAsia="en-GB"/>
              </w:rPr>
            </w:pPr>
            <w:r w:rsidRPr="000C7CFA">
              <w:rPr>
                <w:rFonts w:ascii="Verdana" w:eastAsia="Arial Unicode MS" w:hAnsi="Verdana"/>
                <w:b/>
                <w:sz w:val="18"/>
                <w:szCs w:val="18"/>
                <w:lang w:eastAsia="en-GB"/>
              </w:rPr>
              <w:t>Total</w:t>
            </w:r>
          </w:p>
        </w:tc>
      </w:tr>
      <w:tr w:rsidR="007D3514" w:rsidRPr="000C7CFA" w14:paraId="7FFAE368" w14:textId="77777777" w:rsidTr="00E917EB">
        <w:trPr>
          <w:trHeight w:val="231"/>
        </w:trPr>
        <w:tc>
          <w:tcPr>
            <w:tcW w:w="7938" w:type="dxa"/>
            <w:gridSpan w:val="5"/>
            <w:shd w:val="clear" w:color="auto" w:fill="FFFFFF"/>
            <w:tcMar>
              <w:top w:w="24" w:type="dxa"/>
              <w:left w:w="120" w:type="dxa"/>
              <w:bottom w:w="24" w:type="dxa"/>
              <w:right w:w="120" w:type="dxa"/>
            </w:tcMar>
            <w:hideMark/>
          </w:tcPr>
          <w:p w14:paraId="4E111261" w14:textId="77777777" w:rsidR="007D3514" w:rsidRPr="000C7CFA" w:rsidRDefault="007D3514" w:rsidP="00E84FC4">
            <w:pPr>
              <w:tabs>
                <w:tab w:val="left" w:pos="873"/>
              </w:tabs>
              <w:spacing w:after="0"/>
              <w:rPr>
                <w:rFonts w:ascii="Verdana" w:eastAsia="Arial Unicode MS" w:hAnsi="Verdana"/>
                <w:i/>
                <w:sz w:val="18"/>
                <w:szCs w:val="18"/>
                <w:lang w:eastAsia="en-GB"/>
              </w:rPr>
            </w:pPr>
            <w:r w:rsidRPr="000C7CFA">
              <w:rPr>
                <w:rFonts w:ascii="Verdana" w:eastAsia="Arial Unicode MS" w:hAnsi="Verdana"/>
                <w:i/>
                <w:sz w:val="18"/>
                <w:szCs w:val="18"/>
                <w:lang w:eastAsia="en-GB"/>
              </w:rPr>
              <w:t>Falconiformes</w:t>
            </w:r>
          </w:p>
        </w:tc>
      </w:tr>
      <w:tr w:rsidR="007D3514" w:rsidRPr="000C7CFA" w14:paraId="70F86FEA" w14:textId="77777777" w:rsidTr="0000000F">
        <w:tc>
          <w:tcPr>
            <w:tcW w:w="2551" w:type="dxa"/>
            <w:shd w:val="clear" w:color="auto" w:fill="FFFFFF"/>
            <w:tcMar>
              <w:top w:w="24" w:type="dxa"/>
              <w:left w:w="120" w:type="dxa"/>
              <w:bottom w:w="24" w:type="dxa"/>
              <w:right w:w="120" w:type="dxa"/>
            </w:tcMar>
            <w:hideMark/>
          </w:tcPr>
          <w:p w14:paraId="56F31A9F" w14:textId="77777777" w:rsidR="00A81939" w:rsidRPr="000C7CFA" w:rsidRDefault="007D3514" w:rsidP="007D3514">
            <w:pPr>
              <w:spacing w:after="0"/>
              <w:rPr>
                <w:rFonts w:ascii="Verdana" w:eastAsia="Arial Unicode MS" w:hAnsi="Verdana"/>
                <w:i/>
                <w:iCs/>
                <w:sz w:val="18"/>
                <w:szCs w:val="18"/>
                <w:lang w:eastAsia="en-GB"/>
              </w:rPr>
            </w:pPr>
            <w:r w:rsidRPr="000C7CFA">
              <w:rPr>
                <w:rFonts w:ascii="Verdana" w:eastAsia="Arial Unicode MS" w:hAnsi="Verdana"/>
                <w:sz w:val="18"/>
                <w:szCs w:val="18"/>
                <w:lang w:eastAsia="en-GB"/>
              </w:rPr>
              <w:t>Black Kite</w:t>
            </w:r>
            <w:r w:rsidRPr="000C7CFA">
              <w:rPr>
                <w:rFonts w:ascii="Verdana" w:eastAsia="Arial Unicode MS" w:hAnsi="Verdana"/>
                <w:i/>
                <w:iCs/>
                <w:sz w:val="18"/>
                <w:szCs w:val="18"/>
                <w:lang w:eastAsia="en-GB"/>
              </w:rPr>
              <w:t xml:space="preserve"> </w:t>
            </w:r>
          </w:p>
          <w:p w14:paraId="475119C2"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i/>
                <w:iCs/>
                <w:sz w:val="18"/>
                <w:szCs w:val="18"/>
                <w:lang w:eastAsia="en-GB"/>
              </w:rPr>
              <w:t>Milvus migrans</w:t>
            </w:r>
          </w:p>
        </w:tc>
        <w:tc>
          <w:tcPr>
            <w:tcW w:w="709" w:type="dxa"/>
            <w:shd w:val="clear" w:color="auto" w:fill="FFFFFF"/>
            <w:tcMar>
              <w:top w:w="24" w:type="dxa"/>
              <w:left w:w="120" w:type="dxa"/>
              <w:bottom w:w="24" w:type="dxa"/>
              <w:right w:w="120" w:type="dxa"/>
            </w:tcMar>
            <w:hideMark/>
          </w:tcPr>
          <w:p w14:paraId="0D55F2B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22</w:t>
            </w:r>
          </w:p>
        </w:tc>
        <w:tc>
          <w:tcPr>
            <w:tcW w:w="1559" w:type="dxa"/>
            <w:shd w:val="clear" w:color="auto" w:fill="FFFFFF"/>
          </w:tcPr>
          <w:p w14:paraId="354CCB51"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5.19 </w:t>
            </w:r>
          </w:p>
          <w:p w14:paraId="5E20B9CA"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(3.42; NQ–10.6)</w:t>
            </w:r>
          </w:p>
        </w:tc>
        <w:tc>
          <w:tcPr>
            <w:tcW w:w="1559" w:type="dxa"/>
            <w:shd w:val="clear" w:color="auto" w:fill="FFFFFF"/>
          </w:tcPr>
          <w:p w14:paraId="288472A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10.9 </w:t>
            </w:r>
          </w:p>
          <w:p w14:paraId="7C2EEBDF"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(7.24; NQ–24.3)</w:t>
            </w:r>
          </w:p>
        </w:tc>
        <w:tc>
          <w:tcPr>
            <w:tcW w:w="1560" w:type="dxa"/>
            <w:shd w:val="clear" w:color="auto" w:fill="FFFFFF"/>
          </w:tcPr>
          <w:p w14:paraId="2F1BB23D"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16.1 </w:t>
            </w:r>
          </w:p>
          <w:p w14:paraId="54919B1C"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(10.4; NQ–34.4)</w:t>
            </w:r>
          </w:p>
        </w:tc>
      </w:tr>
      <w:tr w:rsidR="007D3514" w:rsidRPr="000C7CFA" w14:paraId="70FF5E93" w14:textId="77777777" w:rsidTr="0000000F">
        <w:tc>
          <w:tcPr>
            <w:tcW w:w="2551" w:type="dxa"/>
            <w:shd w:val="clear" w:color="auto" w:fill="FFFFFF"/>
            <w:tcMar>
              <w:top w:w="24" w:type="dxa"/>
              <w:left w:w="120" w:type="dxa"/>
              <w:bottom w:w="24" w:type="dxa"/>
              <w:right w:w="120" w:type="dxa"/>
            </w:tcMar>
            <w:hideMark/>
          </w:tcPr>
          <w:p w14:paraId="05EA4FAF" w14:textId="77777777" w:rsidR="00A81939" w:rsidRPr="000C7CFA" w:rsidRDefault="007D3514" w:rsidP="007D3514">
            <w:pPr>
              <w:spacing w:after="0"/>
              <w:rPr>
                <w:rFonts w:ascii="Verdana" w:eastAsia="Arial Unicode MS" w:hAnsi="Verdana"/>
                <w:i/>
                <w:iCs/>
                <w:sz w:val="18"/>
                <w:szCs w:val="18"/>
                <w:lang w:eastAsia="en-GB"/>
              </w:rPr>
            </w:pPr>
            <w:r w:rsidRPr="000C7CFA">
              <w:rPr>
                <w:rFonts w:ascii="Verdana" w:eastAsia="Arial Unicode MS" w:hAnsi="Verdana"/>
                <w:sz w:val="18"/>
                <w:szCs w:val="18"/>
                <w:lang w:eastAsia="en-GB"/>
              </w:rPr>
              <w:t>Red Kite</w:t>
            </w:r>
            <w:r w:rsidRPr="000C7CFA">
              <w:rPr>
                <w:rFonts w:ascii="Verdana" w:eastAsia="Arial Unicode MS" w:hAnsi="Verdana"/>
                <w:i/>
                <w:iCs/>
                <w:sz w:val="18"/>
                <w:szCs w:val="18"/>
                <w:lang w:eastAsia="en-GB"/>
              </w:rPr>
              <w:t xml:space="preserve"> </w:t>
            </w:r>
          </w:p>
          <w:p w14:paraId="08FFA0CE" w14:textId="6AB45AA5"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i/>
                <w:iCs/>
                <w:sz w:val="18"/>
                <w:szCs w:val="18"/>
                <w:lang w:eastAsia="en-GB"/>
              </w:rPr>
              <w:t>Milvus</w:t>
            </w:r>
          </w:p>
        </w:tc>
        <w:tc>
          <w:tcPr>
            <w:tcW w:w="709" w:type="dxa"/>
            <w:shd w:val="clear" w:color="auto" w:fill="FFFFFF"/>
            <w:tcMar>
              <w:top w:w="24" w:type="dxa"/>
              <w:left w:w="120" w:type="dxa"/>
              <w:bottom w:w="24" w:type="dxa"/>
              <w:right w:w="120" w:type="dxa"/>
            </w:tcMar>
            <w:hideMark/>
          </w:tcPr>
          <w:p w14:paraId="51C8A31A"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2</w:t>
            </w:r>
          </w:p>
        </w:tc>
        <w:tc>
          <w:tcPr>
            <w:tcW w:w="1559" w:type="dxa"/>
            <w:shd w:val="clear" w:color="auto" w:fill="FFFFFF"/>
          </w:tcPr>
          <w:p w14:paraId="1925F2FD"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4.50 </w:t>
            </w:r>
          </w:p>
          <w:p w14:paraId="5FE7A5E1"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(1.48; 3.46–5.55</w:t>
            </w:r>
          </w:p>
        </w:tc>
        <w:tc>
          <w:tcPr>
            <w:tcW w:w="1559" w:type="dxa"/>
            <w:shd w:val="clear" w:color="auto" w:fill="FFFFFF"/>
          </w:tcPr>
          <w:p w14:paraId="54D39E00"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14.0 </w:t>
            </w:r>
          </w:p>
          <w:p w14:paraId="55614A1A"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(3.49; 11.5–16.5)</w:t>
            </w:r>
          </w:p>
        </w:tc>
        <w:tc>
          <w:tcPr>
            <w:tcW w:w="1560" w:type="dxa"/>
            <w:shd w:val="clear" w:color="auto" w:fill="FFFFFF"/>
          </w:tcPr>
          <w:p w14:paraId="1064BB10"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18.5 </w:t>
            </w:r>
          </w:p>
          <w:p w14:paraId="036912B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(4.97; 15.0–22.0)</w:t>
            </w:r>
          </w:p>
        </w:tc>
      </w:tr>
      <w:tr w:rsidR="007D3514" w:rsidRPr="000C7CFA" w14:paraId="67D01B59" w14:textId="77777777" w:rsidTr="0000000F">
        <w:tc>
          <w:tcPr>
            <w:tcW w:w="2551" w:type="dxa"/>
            <w:shd w:val="clear" w:color="auto" w:fill="FFFFFF"/>
            <w:tcMar>
              <w:top w:w="24" w:type="dxa"/>
              <w:left w:w="120" w:type="dxa"/>
              <w:bottom w:w="24" w:type="dxa"/>
              <w:right w:w="120" w:type="dxa"/>
            </w:tcMar>
            <w:hideMark/>
          </w:tcPr>
          <w:p w14:paraId="0FDC2FC8" w14:textId="77777777" w:rsidR="00A81939" w:rsidRPr="000C7CFA" w:rsidRDefault="007D3514" w:rsidP="007D3514">
            <w:pPr>
              <w:spacing w:after="0"/>
              <w:rPr>
                <w:rFonts w:ascii="Verdana" w:eastAsia="Arial Unicode MS" w:hAnsi="Verdana"/>
                <w:i/>
                <w:iCs/>
                <w:sz w:val="18"/>
                <w:szCs w:val="18"/>
                <w:lang w:eastAsia="en-GB"/>
              </w:rPr>
            </w:pPr>
            <w:r w:rsidRPr="000C7CFA">
              <w:rPr>
                <w:rFonts w:ascii="Verdana" w:eastAsia="Arial Unicode MS" w:hAnsi="Verdana"/>
                <w:sz w:val="18"/>
                <w:szCs w:val="18"/>
                <w:lang w:eastAsia="en-GB"/>
              </w:rPr>
              <w:t>Western Marsh Harrier</w:t>
            </w:r>
            <w:r w:rsidRPr="000C7CFA">
              <w:rPr>
                <w:rFonts w:ascii="Verdana" w:eastAsia="Arial Unicode MS" w:hAnsi="Verdana"/>
                <w:i/>
                <w:iCs/>
                <w:sz w:val="18"/>
                <w:szCs w:val="18"/>
                <w:lang w:eastAsia="en-GB"/>
              </w:rPr>
              <w:t xml:space="preserve"> </w:t>
            </w:r>
          </w:p>
          <w:p w14:paraId="0D21C13C"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i/>
                <w:iCs/>
                <w:sz w:val="18"/>
                <w:szCs w:val="18"/>
                <w:lang w:eastAsia="en-GB"/>
              </w:rPr>
              <w:t>Circus aeruginosus</w:t>
            </w:r>
          </w:p>
        </w:tc>
        <w:tc>
          <w:tcPr>
            <w:tcW w:w="709" w:type="dxa"/>
            <w:shd w:val="clear" w:color="auto" w:fill="FFFFFF"/>
            <w:tcMar>
              <w:top w:w="24" w:type="dxa"/>
              <w:left w:w="120" w:type="dxa"/>
              <w:bottom w:w="24" w:type="dxa"/>
              <w:right w:w="120" w:type="dxa"/>
            </w:tcMar>
            <w:hideMark/>
          </w:tcPr>
          <w:p w14:paraId="62FEC967"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w:t>
            </w:r>
          </w:p>
        </w:tc>
        <w:tc>
          <w:tcPr>
            <w:tcW w:w="1559" w:type="dxa"/>
            <w:shd w:val="clear" w:color="auto" w:fill="FFFFFF"/>
          </w:tcPr>
          <w:p w14:paraId="63814D82"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0.85</w:t>
            </w:r>
          </w:p>
          <w:p w14:paraId="72874CF0"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w:t>
            </w:r>
          </w:p>
        </w:tc>
        <w:tc>
          <w:tcPr>
            <w:tcW w:w="1559" w:type="dxa"/>
            <w:shd w:val="clear" w:color="auto" w:fill="FFFFFF"/>
          </w:tcPr>
          <w:p w14:paraId="4B9F95CA"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1.91</w:t>
            </w:r>
          </w:p>
          <w:p w14:paraId="444230F0"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w:t>
            </w:r>
          </w:p>
        </w:tc>
        <w:tc>
          <w:tcPr>
            <w:tcW w:w="1560" w:type="dxa"/>
            <w:shd w:val="clear" w:color="auto" w:fill="FFFFFF"/>
          </w:tcPr>
          <w:p w14:paraId="3A5C36C3"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2.76</w:t>
            </w:r>
          </w:p>
          <w:p w14:paraId="7EADACEE"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w:t>
            </w:r>
          </w:p>
        </w:tc>
      </w:tr>
      <w:tr w:rsidR="007D3514" w:rsidRPr="000C7CFA" w14:paraId="615D04A3" w14:textId="77777777" w:rsidTr="0000000F">
        <w:tc>
          <w:tcPr>
            <w:tcW w:w="2551" w:type="dxa"/>
            <w:shd w:val="clear" w:color="auto" w:fill="FFFFFF"/>
            <w:tcMar>
              <w:top w:w="24" w:type="dxa"/>
              <w:left w:w="120" w:type="dxa"/>
              <w:bottom w:w="24" w:type="dxa"/>
              <w:right w:w="120" w:type="dxa"/>
            </w:tcMar>
            <w:hideMark/>
          </w:tcPr>
          <w:p w14:paraId="35B60CF5" w14:textId="77777777" w:rsidR="00A81939" w:rsidRPr="000C7CFA" w:rsidRDefault="007D3514" w:rsidP="007D3514">
            <w:pPr>
              <w:spacing w:after="0"/>
              <w:rPr>
                <w:rFonts w:ascii="Verdana" w:eastAsia="Arial Unicode MS" w:hAnsi="Verdana"/>
                <w:i/>
                <w:iCs/>
                <w:sz w:val="18"/>
                <w:szCs w:val="18"/>
                <w:lang w:eastAsia="en-GB"/>
              </w:rPr>
            </w:pPr>
            <w:r w:rsidRPr="000C7CFA">
              <w:rPr>
                <w:rFonts w:ascii="Verdana" w:eastAsia="Arial Unicode MS" w:hAnsi="Verdana"/>
                <w:sz w:val="18"/>
                <w:szCs w:val="18"/>
                <w:lang w:eastAsia="en-GB"/>
              </w:rPr>
              <w:t>Booted Eagle</w:t>
            </w:r>
            <w:r w:rsidRPr="000C7CFA">
              <w:rPr>
                <w:rFonts w:ascii="Verdana" w:eastAsia="Arial Unicode MS" w:hAnsi="Verdana"/>
                <w:i/>
                <w:iCs/>
                <w:sz w:val="18"/>
                <w:szCs w:val="18"/>
                <w:lang w:eastAsia="en-GB"/>
              </w:rPr>
              <w:t xml:space="preserve"> </w:t>
            </w:r>
          </w:p>
          <w:p w14:paraId="241BF4DD"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i/>
                <w:iCs/>
                <w:sz w:val="18"/>
                <w:szCs w:val="18"/>
                <w:lang w:eastAsia="en-GB"/>
              </w:rPr>
              <w:t>Aquila pennata</w:t>
            </w:r>
          </w:p>
        </w:tc>
        <w:tc>
          <w:tcPr>
            <w:tcW w:w="709" w:type="dxa"/>
            <w:shd w:val="clear" w:color="auto" w:fill="FFFFFF"/>
            <w:tcMar>
              <w:top w:w="24" w:type="dxa"/>
              <w:left w:w="120" w:type="dxa"/>
              <w:bottom w:w="24" w:type="dxa"/>
              <w:right w:w="120" w:type="dxa"/>
            </w:tcMar>
            <w:hideMark/>
          </w:tcPr>
          <w:p w14:paraId="5F8D7E4D"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6</w:t>
            </w:r>
          </w:p>
        </w:tc>
        <w:tc>
          <w:tcPr>
            <w:tcW w:w="1559" w:type="dxa"/>
            <w:shd w:val="clear" w:color="auto" w:fill="FFFFFF"/>
          </w:tcPr>
          <w:p w14:paraId="52333CC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4.43 </w:t>
            </w:r>
          </w:p>
          <w:p w14:paraId="12AF218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(2.99; 0.83–8.05)</w:t>
            </w:r>
          </w:p>
        </w:tc>
        <w:tc>
          <w:tcPr>
            <w:tcW w:w="1559" w:type="dxa"/>
            <w:shd w:val="clear" w:color="auto" w:fill="FFFFFF"/>
          </w:tcPr>
          <w:p w14:paraId="63A59786"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8.89 </w:t>
            </w:r>
          </w:p>
          <w:p w14:paraId="62B2CFF6"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(5.12; 2.82–14.5)</w:t>
            </w:r>
          </w:p>
        </w:tc>
        <w:tc>
          <w:tcPr>
            <w:tcW w:w="1560" w:type="dxa"/>
            <w:shd w:val="clear" w:color="auto" w:fill="FFFFFF"/>
          </w:tcPr>
          <w:p w14:paraId="00E0F9DF"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13.3 </w:t>
            </w:r>
          </w:p>
          <w:p w14:paraId="51DE89E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(7.73; 3.65–22.0)</w:t>
            </w:r>
          </w:p>
        </w:tc>
      </w:tr>
      <w:tr w:rsidR="007D3514" w:rsidRPr="000C7CFA" w14:paraId="3DC16DD4" w14:textId="77777777" w:rsidTr="0000000F">
        <w:tc>
          <w:tcPr>
            <w:tcW w:w="2551" w:type="dxa"/>
            <w:shd w:val="clear" w:color="auto" w:fill="FFFFFF"/>
            <w:tcMar>
              <w:top w:w="24" w:type="dxa"/>
              <w:left w:w="120" w:type="dxa"/>
              <w:bottom w:w="24" w:type="dxa"/>
              <w:right w:w="120" w:type="dxa"/>
            </w:tcMar>
            <w:hideMark/>
          </w:tcPr>
          <w:p w14:paraId="4887BC7A" w14:textId="77777777" w:rsidR="00A81939" w:rsidRPr="000C7CFA" w:rsidRDefault="007D3514" w:rsidP="007D3514">
            <w:pPr>
              <w:spacing w:after="0"/>
              <w:rPr>
                <w:rFonts w:ascii="Verdana" w:eastAsia="Arial Unicode MS" w:hAnsi="Verdana"/>
                <w:i/>
                <w:iCs/>
                <w:sz w:val="18"/>
                <w:szCs w:val="18"/>
                <w:lang w:eastAsia="en-GB"/>
              </w:rPr>
            </w:pPr>
            <w:r w:rsidRPr="000C7CFA">
              <w:rPr>
                <w:rFonts w:ascii="Verdana" w:eastAsia="Arial Unicode MS" w:hAnsi="Verdana"/>
                <w:sz w:val="18"/>
                <w:szCs w:val="18"/>
                <w:lang w:eastAsia="en-GB"/>
              </w:rPr>
              <w:t>Common Kestrel</w:t>
            </w:r>
            <w:r w:rsidRPr="000C7CFA">
              <w:rPr>
                <w:rFonts w:ascii="Verdana" w:eastAsia="Arial Unicode MS" w:hAnsi="Verdana"/>
                <w:i/>
                <w:iCs/>
                <w:sz w:val="18"/>
                <w:szCs w:val="18"/>
                <w:lang w:eastAsia="en-GB"/>
              </w:rPr>
              <w:t xml:space="preserve"> </w:t>
            </w:r>
          </w:p>
          <w:p w14:paraId="1A56774E"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i/>
                <w:iCs/>
                <w:sz w:val="18"/>
                <w:szCs w:val="18"/>
                <w:lang w:eastAsia="en-GB"/>
              </w:rPr>
              <w:t>Falco tinnunculus</w:t>
            </w:r>
          </w:p>
        </w:tc>
        <w:tc>
          <w:tcPr>
            <w:tcW w:w="709" w:type="dxa"/>
            <w:shd w:val="clear" w:color="auto" w:fill="FFFFFF"/>
            <w:tcMar>
              <w:top w:w="24" w:type="dxa"/>
              <w:left w:w="120" w:type="dxa"/>
              <w:bottom w:w="24" w:type="dxa"/>
              <w:right w:w="120" w:type="dxa"/>
            </w:tcMar>
            <w:hideMark/>
          </w:tcPr>
          <w:p w14:paraId="022B9CCB"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13</w:t>
            </w:r>
          </w:p>
        </w:tc>
        <w:tc>
          <w:tcPr>
            <w:tcW w:w="1559" w:type="dxa"/>
            <w:shd w:val="clear" w:color="auto" w:fill="FFFFFF"/>
          </w:tcPr>
          <w:p w14:paraId="5E2AC6BA"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2.45 </w:t>
            </w:r>
          </w:p>
          <w:p w14:paraId="2A16A324"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(4.02; ND–12.3)</w:t>
            </w:r>
          </w:p>
        </w:tc>
        <w:tc>
          <w:tcPr>
            <w:tcW w:w="1559" w:type="dxa"/>
            <w:shd w:val="clear" w:color="auto" w:fill="FFFFFF"/>
          </w:tcPr>
          <w:p w14:paraId="417D7731"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2.15</w:t>
            </w:r>
          </w:p>
          <w:p w14:paraId="055267D9"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(1.78; ND–4.72)</w:t>
            </w:r>
          </w:p>
        </w:tc>
        <w:tc>
          <w:tcPr>
            <w:tcW w:w="1560" w:type="dxa"/>
            <w:shd w:val="clear" w:color="auto" w:fill="FFFFFF"/>
          </w:tcPr>
          <w:p w14:paraId="4566A987"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4.33</w:t>
            </w:r>
          </w:p>
          <w:p w14:paraId="0E8274A4"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(5.21; ND–17.0)</w:t>
            </w:r>
          </w:p>
        </w:tc>
      </w:tr>
      <w:tr w:rsidR="007D3514" w:rsidRPr="000C7CFA" w14:paraId="7498C4B2" w14:textId="77777777" w:rsidTr="0000000F">
        <w:tc>
          <w:tcPr>
            <w:tcW w:w="2551" w:type="dxa"/>
            <w:shd w:val="clear" w:color="auto" w:fill="FFFFFF"/>
            <w:tcMar>
              <w:top w:w="24" w:type="dxa"/>
              <w:left w:w="120" w:type="dxa"/>
              <w:bottom w:w="24" w:type="dxa"/>
              <w:right w:w="120" w:type="dxa"/>
            </w:tcMar>
            <w:hideMark/>
          </w:tcPr>
          <w:p w14:paraId="409F24F9" w14:textId="77777777" w:rsidR="00A81939" w:rsidRPr="000C7CFA" w:rsidRDefault="007D3514" w:rsidP="007D3514">
            <w:pPr>
              <w:spacing w:after="0"/>
              <w:rPr>
                <w:rFonts w:ascii="Verdana" w:eastAsia="Arial Unicode MS" w:hAnsi="Verdana"/>
                <w:i/>
                <w:iCs/>
                <w:sz w:val="18"/>
                <w:szCs w:val="18"/>
                <w:lang w:eastAsia="en-GB"/>
              </w:rPr>
            </w:pPr>
            <w:r w:rsidRPr="000C7CFA">
              <w:rPr>
                <w:rFonts w:ascii="Verdana" w:eastAsia="Arial Unicode MS" w:hAnsi="Verdana"/>
                <w:sz w:val="18"/>
                <w:szCs w:val="18"/>
                <w:lang w:eastAsia="en-GB"/>
              </w:rPr>
              <w:t>Black-winged Kite</w:t>
            </w:r>
            <w:r w:rsidRPr="000C7CFA">
              <w:rPr>
                <w:rFonts w:ascii="Verdana" w:eastAsia="Arial Unicode MS" w:hAnsi="Verdana"/>
                <w:i/>
                <w:iCs/>
                <w:sz w:val="18"/>
                <w:szCs w:val="18"/>
                <w:lang w:eastAsia="en-GB"/>
              </w:rPr>
              <w:t xml:space="preserve"> </w:t>
            </w:r>
          </w:p>
          <w:p w14:paraId="345A3ED2"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i/>
                <w:iCs/>
                <w:sz w:val="18"/>
                <w:szCs w:val="18"/>
                <w:lang w:eastAsia="en-GB"/>
              </w:rPr>
              <w:t>Elanus caeruleus</w:t>
            </w:r>
          </w:p>
        </w:tc>
        <w:tc>
          <w:tcPr>
            <w:tcW w:w="709" w:type="dxa"/>
            <w:shd w:val="clear" w:color="auto" w:fill="FFFFFF"/>
            <w:tcMar>
              <w:top w:w="24" w:type="dxa"/>
              <w:left w:w="120" w:type="dxa"/>
              <w:bottom w:w="24" w:type="dxa"/>
              <w:right w:w="120" w:type="dxa"/>
            </w:tcMar>
            <w:hideMark/>
          </w:tcPr>
          <w:p w14:paraId="0528DA61"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w:t>
            </w:r>
          </w:p>
        </w:tc>
        <w:tc>
          <w:tcPr>
            <w:tcW w:w="1559" w:type="dxa"/>
            <w:shd w:val="clear" w:color="auto" w:fill="FFFFFF"/>
          </w:tcPr>
          <w:p w14:paraId="0B4E77C9"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0.63 </w:t>
            </w:r>
          </w:p>
          <w:p w14:paraId="5C560481"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w:t>
            </w:r>
          </w:p>
        </w:tc>
        <w:tc>
          <w:tcPr>
            <w:tcW w:w="1559" w:type="dxa"/>
            <w:shd w:val="clear" w:color="auto" w:fill="FFFFFF"/>
          </w:tcPr>
          <w:p w14:paraId="6AF7A253"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1.08 </w:t>
            </w:r>
          </w:p>
          <w:p w14:paraId="391B45B6"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w:t>
            </w:r>
          </w:p>
        </w:tc>
        <w:tc>
          <w:tcPr>
            <w:tcW w:w="1560" w:type="dxa"/>
            <w:shd w:val="clear" w:color="auto" w:fill="FFFFFF"/>
          </w:tcPr>
          <w:p w14:paraId="664E1ED2"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1.72 </w:t>
            </w:r>
          </w:p>
          <w:p w14:paraId="5E0157F9"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w:t>
            </w:r>
          </w:p>
        </w:tc>
      </w:tr>
      <w:tr w:rsidR="007D3514" w:rsidRPr="000C7CFA" w14:paraId="68F14291" w14:textId="77777777" w:rsidTr="00E917EB">
        <w:tc>
          <w:tcPr>
            <w:tcW w:w="7938" w:type="dxa"/>
            <w:gridSpan w:val="5"/>
            <w:shd w:val="clear" w:color="auto" w:fill="FFFFFF"/>
            <w:tcMar>
              <w:top w:w="24" w:type="dxa"/>
              <w:left w:w="120" w:type="dxa"/>
              <w:bottom w:w="24" w:type="dxa"/>
              <w:right w:w="120" w:type="dxa"/>
            </w:tcMar>
            <w:hideMark/>
          </w:tcPr>
          <w:p w14:paraId="23BEC751" w14:textId="77777777" w:rsidR="007D3514" w:rsidRPr="000C7CFA" w:rsidRDefault="007D3514" w:rsidP="007D3514">
            <w:pPr>
              <w:spacing w:after="0"/>
              <w:rPr>
                <w:rFonts w:ascii="Verdana" w:eastAsia="Arial Unicode MS" w:hAnsi="Verdana"/>
                <w:i/>
                <w:sz w:val="18"/>
                <w:szCs w:val="18"/>
                <w:lang w:eastAsia="en-GB"/>
              </w:rPr>
            </w:pPr>
            <w:r w:rsidRPr="000C7CFA">
              <w:rPr>
                <w:rFonts w:ascii="Verdana" w:eastAsia="Arial Unicode MS" w:hAnsi="Verdana"/>
                <w:i/>
                <w:sz w:val="18"/>
                <w:szCs w:val="18"/>
                <w:lang w:eastAsia="en-GB"/>
              </w:rPr>
              <w:t>Ciconiiformes</w:t>
            </w:r>
          </w:p>
        </w:tc>
      </w:tr>
      <w:tr w:rsidR="007D3514" w:rsidRPr="000C7CFA" w14:paraId="5D95BCFF" w14:textId="77777777" w:rsidTr="0000000F">
        <w:trPr>
          <w:trHeight w:val="276"/>
        </w:trPr>
        <w:tc>
          <w:tcPr>
            <w:tcW w:w="2551" w:type="dxa"/>
            <w:shd w:val="clear" w:color="auto" w:fill="FFFFFF"/>
            <w:tcMar>
              <w:top w:w="24" w:type="dxa"/>
              <w:left w:w="120" w:type="dxa"/>
              <w:bottom w:w="24" w:type="dxa"/>
              <w:right w:w="120" w:type="dxa"/>
            </w:tcMar>
            <w:hideMark/>
          </w:tcPr>
          <w:p w14:paraId="0A93B435" w14:textId="77777777" w:rsidR="00A81939" w:rsidRPr="000C7CFA" w:rsidRDefault="007D3514" w:rsidP="007D3514">
            <w:pPr>
              <w:spacing w:after="0"/>
              <w:rPr>
                <w:rFonts w:ascii="Verdana" w:eastAsia="Arial Unicode MS" w:hAnsi="Verdana"/>
                <w:i/>
                <w:iCs/>
                <w:sz w:val="18"/>
                <w:szCs w:val="18"/>
                <w:lang w:eastAsia="en-GB"/>
              </w:rPr>
            </w:pPr>
            <w:r w:rsidRPr="000C7CFA">
              <w:rPr>
                <w:rFonts w:ascii="Verdana" w:eastAsia="Arial Unicode MS" w:hAnsi="Verdana"/>
                <w:sz w:val="18"/>
                <w:szCs w:val="18"/>
                <w:lang w:eastAsia="en-GB"/>
              </w:rPr>
              <w:t>Glossy Ibis</w:t>
            </w:r>
            <w:r w:rsidRPr="000C7CFA">
              <w:rPr>
                <w:rFonts w:ascii="Verdana" w:eastAsia="Arial Unicode MS" w:hAnsi="Verdana"/>
                <w:i/>
                <w:iCs/>
                <w:sz w:val="18"/>
                <w:szCs w:val="18"/>
                <w:lang w:eastAsia="en-GB"/>
              </w:rPr>
              <w:t xml:space="preserve"> </w:t>
            </w:r>
          </w:p>
          <w:p w14:paraId="5F750E93"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i/>
                <w:iCs/>
                <w:sz w:val="18"/>
                <w:szCs w:val="18"/>
                <w:lang w:eastAsia="en-GB"/>
              </w:rPr>
              <w:t>Plegadis falcinellus</w:t>
            </w:r>
          </w:p>
        </w:tc>
        <w:tc>
          <w:tcPr>
            <w:tcW w:w="709" w:type="dxa"/>
            <w:shd w:val="clear" w:color="auto" w:fill="FFFFFF"/>
            <w:tcMar>
              <w:top w:w="24" w:type="dxa"/>
              <w:left w:w="120" w:type="dxa"/>
              <w:bottom w:w="24" w:type="dxa"/>
              <w:right w:w="120" w:type="dxa"/>
            </w:tcMar>
            <w:hideMark/>
          </w:tcPr>
          <w:p w14:paraId="28BCF58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4</w:t>
            </w:r>
          </w:p>
        </w:tc>
        <w:tc>
          <w:tcPr>
            <w:tcW w:w="1559" w:type="dxa"/>
            <w:shd w:val="clear" w:color="auto" w:fill="FFFFFF"/>
          </w:tcPr>
          <w:p w14:paraId="7423BA2B"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2.51 </w:t>
            </w:r>
          </w:p>
          <w:p w14:paraId="19A9EF12"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(1.30; 1.00–3.99)</w:t>
            </w:r>
          </w:p>
        </w:tc>
        <w:tc>
          <w:tcPr>
            <w:tcW w:w="1559" w:type="dxa"/>
            <w:shd w:val="clear" w:color="auto" w:fill="FFFFFF"/>
          </w:tcPr>
          <w:p w14:paraId="27454B4D"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3.96 </w:t>
            </w:r>
          </w:p>
          <w:p w14:paraId="28668092"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(1.80; 1.99–4.81)</w:t>
            </w:r>
          </w:p>
        </w:tc>
        <w:tc>
          <w:tcPr>
            <w:tcW w:w="1560" w:type="dxa"/>
            <w:shd w:val="clear" w:color="auto" w:fill="FFFFFF"/>
          </w:tcPr>
          <w:p w14:paraId="7F5F325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6.48 </w:t>
            </w:r>
          </w:p>
          <w:p w14:paraId="021AEA28"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(3.10; 2.99–10.0)</w:t>
            </w:r>
          </w:p>
        </w:tc>
      </w:tr>
      <w:tr w:rsidR="007D3514" w:rsidRPr="000C7CFA" w14:paraId="3F915267" w14:textId="77777777" w:rsidTr="0000000F">
        <w:tc>
          <w:tcPr>
            <w:tcW w:w="2551" w:type="dxa"/>
            <w:shd w:val="clear" w:color="auto" w:fill="FFFFFF"/>
            <w:tcMar>
              <w:top w:w="24" w:type="dxa"/>
              <w:left w:w="120" w:type="dxa"/>
              <w:bottom w:w="24" w:type="dxa"/>
              <w:right w:w="120" w:type="dxa"/>
            </w:tcMar>
            <w:hideMark/>
          </w:tcPr>
          <w:p w14:paraId="548072E1" w14:textId="77777777" w:rsidR="00A81939" w:rsidRPr="000C7CFA" w:rsidRDefault="007D3514" w:rsidP="007D3514">
            <w:pPr>
              <w:spacing w:after="0"/>
              <w:rPr>
                <w:rFonts w:ascii="Verdana" w:eastAsia="Arial Unicode MS" w:hAnsi="Verdana"/>
                <w:i/>
                <w:iCs/>
                <w:sz w:val="18"/>
                <w:szCs w:val="18"/>
                <w:lang w:eastAsia="en-GB"/>
              </w:rPr>
            </w:pPr>
            <w:r w:rsidRPr="000C7CFA">
              <w:rPr>
                <w:rFonts w:ascii="Verdana" w:eastAsia="Arial Unicode MS" w:hAnsi="Verdana"/>
                <w:sz w:val="18"/>
                <w:szCs w:val="18"/>
                <w:lang w:eastAsia="en-GB"/>
              </w:rPr>
              <w:t>Purple Heron</w:t>
            </w:r>
            <w:r w:rsidRPr="000C7CFA">
              <w:rPr>
                <w:rFonts w:ascii="Verdana" w:eastAsia="Arial Unicode MS" w:hAnsi="Verdana"/>
                <w:i/>
                <w:iCs/>
                <w:sz w:val="18"/>
                <w:szCs w:val="18"/>
                <w:lang w:eastAsia="en-GB"/>
              </w:rPr>
              <w:t xml:space="preserve"> </w:t>
            </w:r>
          </w:p>
          <w:p w14:paraId="5EC41653"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i/>
                <w:iCs/>
                <w:sz w:val="18"/>
                <w:szCs w:val="18"/>
                <w:lang w:eastAsia="en-GB"/>
              </w:rPr>
              <w:t>Ardea purpurea</w:t>
            </w:r>
          </w:p>
        </w:tc>
        <w:tc>
          <w:tcPr>
            <w:tcW w:w="709" w:type="dxa"/>
            <w:shd w:val="clear" w:color="auto" w:fill="FFFFFF"/>
            <w:tcMar>
              <w:top w:w="24" w:type="dxa"/>
              <w:left w:w="120" w:type="dxa"/>
              <w:bottom w:w="24" w:type="dxa"/>
              <w:right w:w="120" w:type="dxa"/>
            </w:tcMar>
            <w:hideMark/>
          </w:tcPr>
          <w:p w14:paraId="2399604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3</w:t>
            </w:r>
          </w:p>
        </w:tc>
        <w:tc>
          <w:tcPr>
            <w:tcW w:w="1559" w:type="dxa"/>
            <w:shd w:val="clear" w:color="auto" w:fill="FFFFFF"/>
          </w:tcPr>
          <w:p w14:paraId="4E0F030B"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2.84 </w:t>
            </w:r>
          </w:p>
          <w:p w14:paraId="30F49DE1"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(2.40; 0.23–4.95)</w:t>
            </w:r>
          </w:p>
        </w:tc>
        <w:tc>
          <w:tcPr>
            <w:tcW w:w="1559" w:type="dxa"/>
            <w:shd w:val="clear" w:color="auto" w:fill="FFFFFF"/>
          </w:tcPr>
          <w:p w14:paraId="33599542"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3.86</w:t>
            </w:r>
          </w:p>
          <w:p w14:paraId="0EBFDA9F"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(2.98; 0.54–6.31)</w:t>
            </w:r>
          </w:p>
        </w:tc>
        <w:tc>
          <w:tcPr>
            <w:tcW w:w="1560" w:type="dxa"/>
            <w:shd w:val="clear" w:color="auto" w:fill="FFFFFF"/>
          </w:tcPr>
          <w:p w14:paraId="7132D0D6"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6.71 </w:t>
            </w:r>
          </w:p>
          <w:p w14:paraId="4582A218"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(5.38; 0.77–11.3)</w:t>
            </w:r>
          </w:p>
        </w:tc>
      </w:tr>
      <w:tr w:rsidR="007D3514" w:rsidRPr="000C7CFA" w14:paraId="7A776CD6" w14:textId="77777777" w:rsidTr="0000000F">
        <w:tc>
          <w:tcPr>
            <w:tcW w:w="2551" w:type="dxa"/>
            <w:shd w:val="clear" w:color="auto" w:fill="FFFFFF"/>
            <w:tcMar>
              <w:top w:w="24" w:type="dxa"/>
              <w:left w:w="120" w:type="dxa"/>
              <w:bottom w:w="24" w:type="dxa"/>
              <w:right w:w="120" w:type="dxa"/>
            </w:tcMar>
            <w:hideMark/>
          </w:tcPr>
          <w:p w14:paraId="45131189" w14:textId="77777777" w:rsidR="00A81939" w:rsidRPr="000C7CFA" w:rsidRDefault="007D3514" w:rsidP="007D3514">
            <w:pPr>
              <w:spacing w:after="0"/>
              <w:rPr>
                <w:rFonts w:ascii="Verdana" w:eastAsia="Arial Unicode MS" w:hAnsi="Verdana"/>
                <w:i/>
                <w:iCs/>
                <w:sz w:val="18"/>
                <w:szCs w:val="18"/>
                <w:lang w:eastAsia="en-GB"/>
              </w:rPr>
            </w:pPr>
            <w:r w:rsidRPr="000C7CFA">
              <w:rPr>
                <w:rFonts w:ascii="Verdana" w:eastAsia="Arial Unicode MS" w:hAnsi="Verdana"/>
                <w:sz w:val="18"/>
                <w:szCs w:val="18"/>
                <w:lang w:eastAsia="en-GB"/>
              </w:rPr>
              <w:t>White Stork</w:t>
            </w:r>
            <w:r w:rsidRPr="000C7CFA">
              <w:rPr>
                <w:rFonts w:ascii="Verdana" w:eastAsia="Arial Unicode MS" w:hAnsi="Verdana"/>
                <w:i/>
                <w:iCs/>
                <w:sz w:val="18"/>
                <w:szCs w:val="18"/>
                <w:lang w:eastAsia="en-GB"/>
              </w:rPr>
              <w:t xml:space="preserve"> </w:t>
            </w:r>
          </w:p>
          <w:p w14:paraId="07947FA0"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i/>
                <w:iCs/>
                <w:sz w:val="18"/>
                <w:szCs w:val="18"/>
                <w:lang w:eastAsia="en-GB"/>
              </w:rPr>
              <w:t>Ciconia ciconia</w:t>
            </w:r>
          </w:p>
        </w:tc>
        <w:tc>
          <w:tcPr>
            <w:tcW w:w="709" w:type="dxa"/>
            <w:shd w:val="clear" w:color="auto" w:fill="FFFFFF"/>
            <w:tcMar>
              <w:top w:w="24" w:type="dxa"/>
              <w:left w:w="120" w:type="dxa"/>
              <w:bottom w:w="24" w:type="dxa"/>
              <w:right w:w="120" w:type="dxa"/>
            </w:tcMar>
            <w:hideMark/>
          </w:tcPr>
          <w:p w14:paraId="66F0E23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34</w:t>
            </w:r>
          </w:p>
        </w:tc>
        <w:tc>
          <w:tcPr>
            <w:tcW w:w="1559" w:type="dxa"/>
            <w:shd w:val="clear" w:color="auto" w:fill="FFFFFF"/>
          </w:tcPr>
          <w:p w14:paraId="4222F73A"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8.76</w:t>
            </w:r>
          </w:p>
          <w:p w14:paraId="52733C18"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(9.14; ND–45.3)</w:t>
            </w:r>
          </w:p>
        </w:tc>
        <w:tc>
          <w:tcPr>
            <w:tcW w:w="1559" w:type="dxa"/>
            <w:shd w:val="clear" w:color="auto" w:fill="FFFFFF"/>
          </w:tcPr>
          <w:p w14:paraId="29D53E42"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15.8 </w:t>
            </w:r>
          </w:p>
          <w:p w14:paraId="74C24623"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(14.6; ND–73.4)</w:t>
            </w:r>
          </w:p>
        </w:tc>
        <w:tc>
          <w:tcPr>
            <w:tcW w:w="1560" w:type="dxa"/>
            <w:shd w:val="clear" w:color="auto" w:fill="FFFFFF"/>
          </w:tcPr>
          <w:p w14:paraId="5C099696"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24.1</w:t>
            </w:r>
          </w:p>
          <w:p w14:paraId="76E2EBA7"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(22.0; ND–102)</w:t>
            </w:r>
          </w:p>
        </w:tc>
      </w:tr>
      <w:tr w:rsidR="007D3514" w:rsidRPr="000C7CFA" w14:paraId="0FBEA3E0" w14:textId="77777777" w:rsidTr="00E917EB">
        <w:trPr>
          <w:trHeight w:val="224"/>
        </w:trPr>
        <w:tc>
          <w:tcPr>
            <w:tcW w:w="7938" w:type="dxa"/>
            <w:gridSpan w:val="5"/>
            <w:shd w:val="clear" w:color="auto" w:fill="FFFFFF"/>
            <w:tcMar>
              <w:top w:w="24" w:type="dxa"/>
              <w:left w:w="120" w:type="dxa"/>
              <w:bottom w:w="24" w:type="dxa"/>
              <w:right w:w="120" w:type="dxa"/>
            </w:tcMar>
            <w:hideMark/>
          </w:tcPr>
          <w:p w14:paraId="529741A8" w14:textId="77777777" w:rsidR="007D3514" w:rsidRPr="000C7CFA" w:rsidRDefault="007D3514" w:rsidP="007D3514">
            <w:pPr>
              <w:spacing w:after="0"/>
              <w:rPr>
                <w:rFonts w:ascii="Verdana" w:eastAsia="Arial Unicode MS" w:hAnsi="Verdana"/>
                <w:i/>
                <w:sz w:val="18"/>
                <w:szCs w:val="18"/>
                <w:lang w:eastAsia="en-GB"/>
              </w:rPr>
            </w:pPr>
            <w:r w:rsidRPr="000C7CFA">
              <w:rPr>
                <w:rFonts w:ascii="Verdana" w:eastAsia="Arial Unicode MS" w:hAnsi="Verdana"/>
                <w:i/>
                <w:sz w:val="18"/>
                <w:szCs w:val="18"/>
                <w:lang w:eastAsia="en-GB"/>
              </w:rPr>
              <w:t>Strigiformes</w:t>
            </w:r>
          </w:p>
        </w:tc>
      </w:tr>
      <w:tr w:rsidR="007D3514" w:rsidRPr="000C7CFA" w14:paraId="71713906" w14:textId="77777777" w:rsidTr="0000000F">
        <w:tc>
          <w:tcPr>
            <w:tcW w:w="2551" w:type="dxa"/>
            <w:shd w:val="clear" w:color="auto" w:fill="FFFFFF"/>
            <w:tcMar>
              <w:top w:w="24" w:type="dxa"/>
              <w:left w:w="120" w:type="dxa"/>
              <w:bottom w:w="24" w:type="dxa"/>
              <w:right w:w="120" w:type="dxa"/>
            </w:tcMar>
            <w:hideMark/>
          </w:tcPr>
          <w:p w14:paraId="1FA173B0" w14:textId="77777777" w:rsidR="007D3514" w:rsidRPr="000C7CFA" w:rsidRDefault="007D3514" w:rsidP="0000000F">
            <w:pPr>
              <w:spacing w:after="0"/>
              <w:rPr>
                <w:rFonts w:ascii="Verdana" w:eastAsia="Arial Unicode MS" w:hAnsi="Verdana"/>
                <w:sz w:val="18"/>
                <w:szCs w:val="18"/>
                <w:lang w:eastAsia="en-GB"/>
              </w:rPr>
            </w:pPr>
            <w:r w:rsidRPr="000C7CFA">
              <w:rPr>
                <w:rFonts w:ascii="Verdana" w:eastAsia="Arial Unicode MS" w:hAnsi="Verdana"/>
                <w:sz w:val="18"/>
                <w:szCs w:val="18"/>
                <w:lang w:eastAsia="en-GB"/>
              </w:rPr>
              <w:t>Barn Owl</w:t>
            </w:r>
            <w:r w:rsidRPr="000C7CFA">
              <w:rPr>
                <w:rFonts w:ascii="Verdana" w:eastAsia="Arial Unicode MS" w:hAnsi="Verdana"/>
                <w:i/>
                <w:iCs/>
                <w:sz w:val="18"/>
                <w:szCs w:val="18"/>
                <w:lang w:eastAsia="en-GB"/>
              </w:rPr>
              <w:t xml:space="preserve"> Tyto alba</w:t>
            </w:r>
          </w:p>
        </w:tc>
        <w:tc>
          <w:tcPr>
            <w:tcW w:w="709" w:type="dxa"/>
            <w:shd w:val="clear" w:color="auto" w:fill="FFFFFF"/>
            <w:tcMar>
              <w:top w:w="24" w:type="dxa"/>
              <w:left w:w="120" w:type="dxa"/>
              <w:bottom w:w="24" w:type="dxa"/>
              <w:right w:w="120" w:type="dxa"/>
            </w:tcMar>
            <w:hideMark/>
          </w:tcPr>
          <w:p w14:paraId="0FDFD9F8"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w:t>
            </w:r>
          </w:p>
        </w:tc>
        <w:tc>
          <w:tcPr>
            <w:tcW w:w="1559" w:type="dxa"/>
            <w:shd w:val="clear" w:color="auto" w:fill="FFFFFF"/>
          </w:tcPr>
          <w:p w14:paraId="19B9A6F5" w14:textId="77777777" w:rsidR="007D3514" w:rsidRPr="000C7CFA" w:rsidRDefault="007D3514" w:rsidP="0000000F">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3.07 (−)</w:t>
            </w:r>
          </w:p>
        </w:tc>
        <w:tc>
          <w:tcPr>
            <w:tcW w:w="1559" w:type="dxa"/>
            <w:shd w:val="clear" w:color="auto" w:fill="FFFFFF"/>
          </w:tcPr>
          <w:p w14:paraId="0246D0C3" w14:textId="77777777" w:rsidR="007D3514" w:rsidRPr="000C7CFA" w:rsidRDefault="007D3514" w:rsidP="0000000F">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2.38</w:t>
            </w:r>
            <w:r w:rsidR="0000000F" w:rsidRPr="000C7CFA">
              <w:rPr>
                <w:rFonts w:ascii="Verdana" w:eastAsia="Arial Unicode MS" w:hAnsi="Verdana"/>
                <w:sz w:val="18"/>
                <w:szCs w:val="18"/>
                <w:lang w:eastAsia="en-GB"/>
              </w:rPr>
              <w:t xml:space="preserve"> </w:t>
            </w:r>
            <w:r w:rsidRPr="000C7CFA">
              <w:rPr>
                <w:rFonts w:ascii="Verdana" w:eastAsia="Arial Unicode MS" w:hAnsi="Verdana"/>
                <w:sz w:val="18"/>
                <w:szCs w:val="18"/>
                <w:lang w:eastAsia="en-GB"/>
              </w:rPr>
              <w:t>(−)</w:t>
            </w:r>
          </w:p>
        </w:tc>
        <w:tc>
          <w:tcPr>
            <w:tcW w:w="1560" w:type="dxa"/>
            <w:shd w:val="clear" w:color="auto" w:fill="FFFFFF"/>
          </w:tcPr>
          <w:p w14:paraId="71C36E73" w14:textId="77777777" w:rsidR="007D3514" w:rsidRPr="000C7CFA" w:rsidRDefault="007D3514" w:rsidP="0000000F">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5.44 (−)</w:t>
            </w:r>
          </w:p>
        </w:tc>
      </w:tr>
      <w:tr w:rsidR="007D3514" w:rsidRPr="000C7CFA" w14:paraId="2C2D740B" w14:textId="77777777" w:rsidTr="00E917EB">
        <w:tc>
          <w:tcPr>
            <w:tcW w:w="7938" w:type="dxa"/>
            <w:gridSpan w:val="5"/>
            <w:shd w:val="clear" w:color="auto" w:fill="FFFFFF"/>
            <w:tcMar>
              <w:top w:w="24" w:type="dxa"/>
              <w:left w:w="120" w:type="dxa"/>
              <w:bottom w:w="24" w:type="dxa"/>
              <w:right w:w="120" w:type="dxa"/>
            </w:tcMar>
            <w:hideMark/>
          </w:tcPr>
          <w:p w14:paraId="1FA586B4" w14:textId="77777777" w:rsidR="007D3514" w:rsidRPr="000C7CFA" w:rsidRDefault="007D3514" w:rsidP="007D3514">
            <w:pPr>
              <w:spacing w:after="0"/>
              <w:rPr>
                <w:rFonts w:ascii="Verdana" w:eastAsia="Arial Unicode MS" w:hAnsi="Verdana"/>
                <w:i/>
                <w:sz w:val="18"/>
                <w:szCs w:val="18"/>
                <w:lang w:eastAsia="en-GB"/>
              </w:rPr>
            </w:pPr>
            <w:r w:rsidRPr="000C7CFA">
              <w:rPr>
                <w:rFonts w:ascii="Verdana" w:eastAsia="Arial Unicode MS" w:hAnsi="Verdana"/>
                <w:i/>
                <w:sz w:val="18"/>
                <w:szCs w:val="18"/>
                <w:lang w:eastAsia="en-GB"/>
              </w:rPr>
              <w:t>Charadriiformes</w:t>
            </w:r>
          </w:p>
        </w:tc>
      </w:tr>
      <w:tr w:rsidR="007D3514" w:rsidRPr="000C7CFA" w14:paraId="3ABDE2E3" w14:textId="77777777" w:rsidTr="0000000F">
        <w:tc>
          <w:tcPr>
            <w:tcW w:w="2551" w:type="dxa"/>
            <w:shd w:val="clear" w:color="auto" w:fill="FFFFFF"/>
            <w:tcMar>
              <w:top w:w="24" w:type="dxa"/>
              <w:left w:w="120" w:type="dxa"/>
              <w:bottom w:w="24" w:type="dxa"/>
              <w:right w:w="120" w:type="dxa"/>
            </w:tcMar>
            <w:hideMark/>
          </w:tcPr>
          <w:p w14:paraId="66C99CDD"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sz w:val="18"/>
                <w:szCs w:val="18"/>
                <w:lang w:eastAsia="en-GB"/>
              </w:rPr>
              <w:t>Slender-billed Gull</w:t>
            </w:r>
            <w:r w:rsidRPr="000C7CFA">
              <w:rPr>
                <w:rFonts w:ascii="Verdana" w:eastAsia="Arial Unicode MS" w:hAnsi="Verdana"/>
                <w:i/>
                <w:iCs/>
                <w:sz w:val="18"/>
                <w:szCs w:val="18"/>
                <w:lang w:eastAsia="en-GB"/>
              </w:rPr>
              <w:t xml:space="preserve"> Chroicocephalus genei</w:t>
            </w:r>
          </w:p>
        </w:tc>
        <w:tc>
          <w:tcPr>
            <w:tcW w:w="709" w:type="dxa"/>
            <w:shd w:val="clear" w:color="auto" w:fill="FFFFFF"/>
            <w:tcMar>
              <w:top w:w="24" w:type="dxa"/>
              <w:left w:w="120" w:type="dxa"/>
              <w:bottom w:w="24" w:type="dxa"/>
              <w:right w:w="120" w:type="dxa"/>
            </w:tcMar>
            <w:hideMark/>
          </w:tcPr>
          <w:p w14:paraId="5F93C671"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3</w:t>
            </w:r>
          </w:p>
        </w:tc>
        <w:tc>
          <w:tcPr>
            <w:tcW w:w="1559" w:type="dxa"/>
            <w:shd w:val="clear" w:color="auto" w:fill="FFFFFF"/>
          </w:tcPr>
          <w:p w14:paraId="4330B611"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0.41 </w:t>
            </w:r>
          </w:p>
          <w:p w14:paraId="3EC57BEC"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lastRenderedPageBreak/>
              <w:t>(0.37; 0.12–0.83)</w:t>
            </w:r>
          </w:p>
        </w:tc>
        <w:tc>
          <w:tcPr>
            <w:tcW w:w="1559" w:type="dxa"/>
            <w:shd w:val="clear" w:color="auto" w:fill="FFFFFF"/>
          </w:tcPr>
          <w:p w14:paraId="392FED18"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lastRenderedPageBreak/>
              <w:t>0.47</w:t>
            </w:r>
          </w:p>
          <w:p w14:paraId="7EA77BD2"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lastRenderedPageBreak/>
              <w:t>(0.27; 0.17–0.71)</w:t>
            </w:r>
          </w:p>
        </w:tc>
        <w:tc>
          <w:tcPr>
            <w:tcW w:w="1560" w:type="dxa"/>
            <w:shd w:val="clear" w:color="auto" w:fill="FFFFFF"/>
          </w:tcPr>
          <w:p w14:paraId="7A4619C7"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lastRenderedPageBreak/>
              <w:t>0.87</w:t>
            </w:r>
          </w:p>
          <w:p w14:paraId="6E57D61C"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lastRenderedPageBreak/>
              <w:t>(0.63; 0.28–1.53)</w:t>
            </w:r>
          </w:p>
        </w:tc>
      </w:tr>
      <w:tr w:rsidR="007D3514" w:rsidRPr="000C7CFA" w14:paraId="0186D3C7" w14:textId="77777777" w:rsidTr="0000000F">
        <w:tc>
          <w:tcPr>
            <w:tcW w:w="2551" w:type="dxa"/>
            <w:shd w:val="clear" w:color="auto" w:fill="FFFFFF"/>
            <w:tcMar>
              <w:top w:w="24" w:type="dxa"/>
              <w:left w:w="120" w:type="dxa"/>
              <w:bottom w:w="24" w:type="dxa"/>
              <w:right w:w="120" w:type="dxa"/>
            </w:tcMar>
            <w:hideMark/>
          </w:tcPr>
          <w:p w14:paraId="21B5FBE7"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sz w:val="18"/>
                <w:szCs w:val="18"/>
                <w:lang w:eastAsia="en-GB"/>
              </w:rPr>
              <w:lastRenderedPageBreak/>
              <w:t>Black-headed Gull</w:t>
            </w:r>
            <w:r w:rsidRPr="000C7CFA">
              <w:rPr>
                <w:rFonts w:ascii="Verdana" w:eastAsia="Arial Unicode MS" w:hAnsi="Verdana"/>
                <w:i/>
                <w:iCs/>
                <w:sz w:val="18"/>
                <w:szCs w:val="18"/>
                <w:lang w:eastAsia="en-GB"/>
              </w:rPr>
              <w:t xml:space="preserve"> Chroicocephalus ridibundus</w:t>
            </w:r>
          </w:p>
        </w:tc>
        <w:tc>
          <w:tcPr>
            <w:tcW w:w="709" w:type="dxa"/>
            <w:shd w:val="clear" w:color="auto" w:fill="FFFFFF"/>
            <w:tcMar>
              <w:top w:w="24" w:type="dxa"/>
              <w:left w:w="120" w:type="dxa"/>
              <w:bottom w:w="24" w:type="dxa"/>
              <w:right w:w="120" w:type="dxa"/>
            </w:tcMar>
            <w:hideMark/>
          </w:tcPr>
          <w:p w14:paraId="5D8D93CC"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7</w:t>
            </w:r>
          </w:p>
        </w:tc>
        <w:tc>
          <w:tcPr>
            <w:tcW w:w="1559" w:type="dxa"/>
            <w:shd w:val="clear" w:color="auto" w:fill="FFFFFF"/>
          </w:tcPr>
          <w:p w14:paraId="1B6BF2DF"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1.30 </w:t>
            </w:r>
          </w:p>
          <w:p w14:paraId="17510EDC"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(1.26; 0.24–3.93)</w:t>
            </w:r>
          </w:p>
        </w:tc>
        <w:tc>
          <w:tcPr>
            <w:tcW w:w="1559" w:type="dxa"/>
            <w:shd w:val="clear" w:color="auto" w:fill="FFFFFF"/>
          </w:tcPr>
          <w:p w14:paraId="1BB3CA18"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3.10 </w:t>
            </w:r>
          </w:p>
          <w:p w14:paraId="5B5CA8B9"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(3.74; 0.55–11.3)</w:t>
            </w:r>
          </w:p>
        </w:tc>
        <w:tc>
          <w:tcPr>
            <w:tcW w:w="1560" w:type="dxa"/>
            <w:shd w:val="clear" w:color="auto" w:fill="FFFFFF"/>
          </w:tcPr>
          <w:p w14:paraId="0CC1AF48"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4.40 </w:t>
            </w:r>
          </w:p>
          <w:p w14:paraId="7D6E0A1C"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(4.99; 0.79–15.2)</w:t>
            </w:r>
          </w:p>
        </w:tc>
      </w:tr>
      <w:tr w:rsidR="007D3514" w:rsidRPr="000C7CFA" w14:paraId="164DDA92" w14:textId="77777777" w:rsidTr="0000000F">
        <w:tc>
          <w:tcPr>
            <w:tcW w:w="2551" w:type="dxa"/>
            <w:shd w:val="clear" w:color="auto" w:fill="FFFFFF"/>
            <w:tcMar>
              <w:top w:w="24" w:type="dxa"/>
              <w:left w:w="120" w:type="dxa"/>
              <w:bottom w:w="24" w:type="dxa"/>
              <w:right w:w="120" w:type="dxa"/>
            </w:tcMar>
            <w:hideMark/>
          </w:tcPr>
          <w:p w14:paraId="2C7739A8" w14:textId="77777777" w:rsidR="00A81939" w:rsidRPr="000C7CFA" w:rsidRDefault="007D3514" w:rsidP="007D3514">
            <w:pPr>
              <w:spacing w:after="0"/>
              <w:rPr>
                <w:rFonts w:ascii="Verdana" w:eastAsia="Arial Unicode MS" w:hAnsi="Verdana"/>
                <w:i/>
                <w:iCs/>
                <w:sz w:val="18"/>
                <w:szCs w:val="18"/>
                <w:lang w:eastAsia="en-GB"/>
              </w:rPr>
            </w:pPr>
            <w:r w:rsidRPr="000C7CFA">
              <w:rPr>
                <w:rFonts w:ascii="Verdana" w:eastAsia="Arial Unicode MS" w:hAnsi="Verdana"/>
                <w:sz w:val="18"/>
                <w:szCs w:val="18"/>
                <w:lang w:eastAsia="en-GB"/>
              </w:rPr>
              <w:t>Gull-billed Tern</w:t>
            </w:r>
            <w:r w:rsidRPr="000C7CFA">
              <w:rPr>
                <w:rFonts w:ascii="Verdana" w:eastAsia="Arial Unicode MS" w:hAnsi="Verdana"/>
                <w:i/>
                <w:iCs/>
                <w:sz w:val="18"/>
                <w:szCs w:val="18"/>
                <w:lang w:eastAsia="en-GB"/>
              </w:rPr>
              <w:t xml:space="preserve"> </w:t>
            </w:r>
          </w:p>
          <w:p w14:paraId="74EBBCFE"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i/>
                <w:iCs/>
                <w:sz w:val="18"/>
                <w:szCs w:val="18"/>
                <w:lang w:eastAsia="en-GB"/>
              </w:rPr>
              <w:t>Gelochelidon nilotica</w:t>
            </w:r>
          </w:p>
        </w:tc>
        <w:tc>
          <w:tcPr>
            <w:tcW w:w="709" w:type="dxa"/>
            <w:shd w:val="clear" w:color="auto" w:fill="FFFFFF"/>
            <w:tcMar>
              <w:top w:w="24" w:type="dxa"/>
              <w:left w:w="120" w:type="dxa"/>
              <w:bottom w:w="24" w:type="dxa"/>
              <w:right w:w="120" w:type="dxa"/>
            </w:tcMar>
            <w:hideMark/>
          </w:tcPr>
          <w:p w14:paraId="12BE5540"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8</w:t>
            </w:r>
          </w:p>
        </w:tc>
        <w:tc>
          <w:tcPr>
            <w:tcW w:w="1559" w:type="dxa"/>
            <w:shd w:val="clear" w:color="auto" w:fill="FFFFFF"/>
          </w:tcPr>
          <w:p w14:paraId="2AD92296"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1.17 </w:t>
            </w:r>
          </w:p>
          <w:p w14:paraId="6710A00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(1.07; 0.16–3.38)</w:t>
            </w:r>
          </w:p>
        </w:tc>
        <w:tc>
          <w:tcPr>
            <w:tcW w:w="1559" w:type="dxa"/>
            <w:shd w:val="clear" w:color="auto" w:fill="FFFFFF"/>
          </w:tcPr>
          <w:p w14:paraId="03D7BD42"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1.64 </w:t>
            </w:r>
          </w:p>
          <w:p w14:paraId="06842D80"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(0.61; 0.96–2.56)</w:t>
            </w:r>
          </w:p>
        </w:tc>
        <w:tc>
          <w:tcPr>
            <w:tcW w:w="1560" w:type="dxa"/>
            <w:shd w:val="clear" w:color="auto" w:fill="FFFFFF"/>
          </w:tcPr>
          <w:p w14:paraId="17D23489"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2.81 </w:t>
            </w:r>
          </w:p>
          <w:p w14:paraId="7636259C"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(1.51; 1.25–5.70)</w:t>
            </w:r>
          </w:p>
        </w:tc>
      </w:tr>
      <w:tr w:rsidR="007D3514" w:rsidRPr="000C7CFA" w14:paraId="3AEB90F0" w14:textId="77777777" w:rsidTr="00E917EB">
        <w:tc>
          <w:tcPr>
            <w:tcW w:w="7938" w:type="dxa"/>
            <w:gridSpan w:val="5"/>
            <w:shd w:val="clear" w:color="auto" w:fill="FFFFFF"/>
            <w:tcMar>
              <w:top w:w="24" w:type="dxa"/>
              <w:left w:w="120" w:type="dxa"/>
              <w:bottom w:w="24" w:type="dxa"/>
              <w:right w:w="120" w:type="dxa"/>
            </w:tcMar>
            <w:hideMark/>
          </w:tcPr>
          <w:p w14:paraId="43C6C11F" w14:textId="77777777" w:rsidR="007D3514" w:rsidRPr="000C7CFA" w:rsidRDefault="007D3514" w:rsidP="007D3514">
            <w:pPr>
              <w:spacing w:after="0"/>
              <w:rPr>
                <w:rFonts w:ascii="Verdana" w:eastAsia="Arial Unicode MS" w:hAnsi="Verdana"/>
                <w:i/>
                <w:sz w:val="18"/>
                <w:szCs w:val="18"/>
                <w:lang w:eastAsia="en-GB"/>
              </w:rPr>
            </w:pPr>
            <w:r w:rsidRPr="000C7CFA">
              <w:rPr>
                <w:rFonts w:ascii="Verdana" w:eastAsia="Arial Unicode MS" w:hAnsi="Verdana"/>
                <w:i/>
                <w:sz w:val="18"/>
                <w:szCs w:val="18"/>
                <w:lang w:eastAsia="en-GB"/>
              </w:rPr>
              <w:t>Anseriformes</w:t>
            </w:r>
          </w:p>
        </w:tc>
      </w:tr>
      <w:tr w:rsidR="007D3514" w:rsidRPr="000C7CFA" w14:paraId="480B7B25" w14:textId="77777777" w:rsidTr="0000000F">
        <w:tc>
          <w:tcPr>
            <w:tcW w:w="2551" w:type="dxa"/>
            <w:shd w:val="clear" w:color="auto" w:fill="FFFFFF"/>
            <w:tcMar>
              <w:top w:w="24" w:type="dxa"/>
              <w:left w:w="120" w:type="dxa"/>
              <w:bottom w:w="24" w:type="dxa"/>
              <w:right w:w="120" w:type="dxa"/>
            </w:tcMar>
            <w:hideMark/>
          </w:tcPr>
          <w:p w14:paraId="7A241662" w14:textId="77777777" w:rsidR="00A81939" w:rsidRPr="000C7CFA" w:rsidRDefault="007D3514" w:rsidP="007D3514">
            <w:pPr>
              <w:spacing w:after="0"/>
              <w:rPr>
                <w:rFonts w:ascii="Verdana" w:eastAsia="Arial Unicode MS" w:hAnsi="Verdana"/>
                <w:i/>
                <w:iCs/>
                <w:sz w:val="18"/>
                <w:szCs w:val="18"/>
                <w:lang w:eastAsia="en-GB"/>
              </w:rPr>
            </w:pPr>
            <w:r w:rsidRPr="000C7CFA">
              <w:rPr>
                <w:rFonts w:ascii="Verdana" w:eastAsia="Arial Unicode MS" w:hAnsi="Verdana"/>
                <w:sz w:val="18"/>
                <w:szCs w:val="18"/>
                <w:lang w:eastAsia="en-GB"/>
              </w:rPr>
              <w:t>Gadwall</w:t>
            </w:r>
            <w:r w:rsidRPr="000C7CFA">
              <w:rPr>
                <w:rFonts w:ascii="Verdana" w:eastAsia="Arial Unicode MS" w:hAnsi="Verdana"/>
                <w:i/>
                <w:iCs/>
                <w:sz w:val="18"/>
                <w:szCs w:val="18"/>
                <w:lang w:eastAsia="en-GB"/>
              </w:rPr>
              <w:t xml:space="preserve"> </w:t>
            </w:r>
          </w:p>
          <w:p w14:paraId="557BAD94" w14:textId="77777777" w:rsidR="007D3514" w:rsidRPr="000C7CFA" w:rsidRDefault="007D3514" w:rsidP="007D3514">
            <w:pPr>
              <w:spacing w:after="0"/>
              <w:rPr>
                <w:rFonts w:ascii="Verdana" w:eastAsia="Arial Unicode MS" w:hAnsi="Verdana"/>
                <w:sz w:val="18"/>
                <w:szCs w:val="18"/>
                <w:lang w:eastAsia="en-GB"/>
              </w:rPr>
            </w:pPr>
            <w:r w:rsidRPr="000C7CFA">
              <w:rPr>
                <w:rFonts w:ascii="Verdana" w:eastAsia="Arial Unicode MS" w:hAnsi="Verdana"/>
                <w:i/>
                <w:iCs/>
                <w:sz w:val="18"/>
                <w:szCs w:val="18"/>
                <w:lang w:eastAsia="en-GB"/>
              </w:rPr>
              <w:t>Anas strepera</w:t>
            </w:r>
          </w:p>
        </w:tc>
        <w:tc>
          <w:tcPr>
            <w:tcW w:w="709" w:type="dxa"/>
            <w:shd w:val="clear" w:color="auto" w:fill="FFFFFF"/>
            <w:tcMar>
              <w:top w:w="24" w:type="dxa"/>
              <w:left w:w="120" w:type="dxa"/>
              <w:bottom w:w="24" w:type="dxa"/>
              <w:right w:w="120" w:type="dxa"/>
            </w:tcMar>
            <w:hideMark/>
          </w:tcPr>
          <w:p w14:paraId="04BEE9E6"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10</w:t>
            </w:r>
          </w:p>
        </w:tc>
        <w:tc>
          <w:tcPr>
            <w:tcW w:w="1559" w:type="dxa"/>
            <w:shd w:val="clear" w:color="auto" w:fill="FFFFFF"/>
          </w:tcPr>
          <w:p w14:paraId="2B1FDBF2"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0.94 </w:t>
            </w:r>
          </w:p>
          <w:p w14:paraId="0045A005"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(0.20; 0.61–1.20)</w:t>
            </w:r>
          </w:p>
        </w:tc>
        <w:tc>
          <w:tcPr>
            <w:tcW w:w="1559" w:type="dxa"/>
            <w:shd w:val="clear" w:color="auto" w:fill="FFFFFF"/>
          </w:tcPr>
          <w:p w14:paraId="0A188FC6"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 xml:space="preserve">1.99 </w:t>
            </w:r>
          </w:p>
          <w:p w14:paraId="6B505BFF"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(0.92; 1.20–3.75)</w:t>
            </w:r>
          </w:p>
        </w:tc>
        <w:tc>
          <w:tcPr>
            <w:tcW w:w="1560" w:type="dxa"/>
            <w:shd w:val="clear" w:color="auto" w:fill="FFFFFF"/>
          </w:tcPr>
          <w:p w14:paraId="04E62F48"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2.93</w:t>
            </w:r>
          </w:p>
          <w:p w14:paraId="0DB085D9" w14:textId="77777777" w:rsidR="007D3514" w:rsidRPr="000C7CFA" w:rsidRDefault="007D3514" w:rsidP="007D3514">
            <w:pPr>
              <w:spacing w:after="0"/>
              <w:jc w:val="center"/>
              <w:rPr>
                <w:rFonts w:ascii="Verdana" w:eastAsia="Arial Unicode MS" w:hAnsi="Verdana"/>
                <w:sz w:val="18"/>
                <w:szCs w:val="18"/>
                <w:lang w:eastAsia="en-GB"/>
              </w:rPr>
            </w:pPr>
            <w:r w:rsidRPr="000C7CFA">
              <w:rPr>
                <w:rFonts w:ascii="Verdana" w:eastAsia="Arial Unicode MS" w:hAnsi="Verdana"/>
                <w:sz w:val="18"/>
                <w:szCs w:val="18"/>
                <w:lang w:eastAsia="en-GB"/>
              </w:rPr>
              <w:t>(0.94; 2.00–4.93)</w:t>
            </w:r>
          </w:p>
        </w:tc>
      </w:tr>
    </w:tbl>
    <w:p w14:paraId="7B8025CF" w14:textId="77777777" w:rsidR="007D3514" w:rsidRPr="000C7CFA" w:rsidRDefault="007D3514" w:rsidP="00D66B6B">
      <w:pPr>
        <w:ind w:left="426"/>
        <w:rPr>
          <w:rFonts w:ascii="Verdana" w:eastAsia="Arial Unicode MS" w:hAnsi="Verdana"/>
          <w:sz w:val="18"/>
          <w:szCs w:val="18"/>
          <w:lang w:eastAsia="en-GB"/>
        </w:rPr>
      </w:pPr>
      <w:r w:rsidRPr="000C7CFA">
        <w:rPr>
          <w:rFonts w:ascii="Verdana" w:eastAsia="Arial Unicode MS" w:hAnsi="Verdana"/>
          <w:sz w:val="18"/>
          <w:szCs w:val="18"/>
          <w:lang w:eastAsia="en-GB"/>
        </w:rPr>
        <w:t xml:space="preserve">Note: </w:t>
      </w:r>
      <w:r w:rsidR="0000000F" w:rsidRPr="000C7CFA">
        <w:rPr>
          <w:rFonts w:ascii="Verdana" w:eastAsia="Arial Unicode MS" w:hAnsi="Verdana"/>
          <w:sz w:val="18"/>
          <w:szCs w:val="18"/>
          <w:lang w:eastAsia="en-GB"/>
        </w:rPr>
        <w:t xml:space="preserve">n: Sample number, </w:t>
      </w:r>
      <w:r w:rsidRPr="000C7CFA">
        <w:rPr>
          <w:rFonts w:ascii="Verdana" w:eastAsia="Arial Unicode MS" w:hAnsi="Verdana"/>
          <w:sz w:val="18"/>
          <w:szCs w:val="18"/>
          <w:lang w:eastAsia="en-GB"/>
        </w:rPr>
        <w:t>ND: Not detected, NQ: Not quantified</w:t>
      </w:r>
    </w:p>
    <w:p w14:paraId="7E378190" w14:textId="38F40FFB" w:rsidR="00EB4F95" w:rsidRPr="000C7CFA" w:rsidRDefault="00EB4F95" w:rsidP="00EB4F95">
      <w:pPr>
        <w:autoSpaceDE w:val="0"/>
        <w:autoSpaceDN w:val="0"/>
        <w:adjustRightInd w:val="0"/>
        <w:spacing w:after="120"/>
        <w:ind w:left="425"/>
        <w:jc w:val="both"/>
        <w:rPr>
          <w:rFonts w:ascii="Verdana" w:hAnsi="Verdana"/>
          <w:b/>
          <w:sz w:val="18"/>
          <w:szCs w:val="18"/>
        </w:rPr>
      </w:pPr>
      <w:r w:rsidRPr="000C7CFA">
        <w:rPr>
          <w:rFonts w:ascii="Verdana" w:hAnsi="Verdana"/>
          <w:color w:val="000000"/>
          <w:sz w:val="18"/>
          <w:szCs w:val="18"/>
        </w:rPr>
        <w:t>Stable isotope analysis was used to investigate biomagnification potential. High δ</w:t>
      </w:r>
      <w:r w:rsidRPr="000C7CFA">
        <w:rPr>
          <w:rFonts w:ascii="Verdana" w:hAnsi="Verdana"/>
          <w:color w:val="000000"/>
          <w:sz w:val="18"/>
          <w:szCs w:val="18"/>
          <w:vertAlign w:val="superscript"/>
        </w:rPr>
        <w:t>15</w:t>
      </w:r>
      <w:r w:rsidRPr="000C7CFA">
        <w:rPr>
          <w:rFonts w:ascii="Verdana" w:hAnsi="Verdana"/>
          <w:color w:val="000000"/>
          <w:sz w:val="18"/>
          <w:szCs w:val="18"/>
        </w:rPr>
        <w:t>N values were observed for Gadwall, possibly due to the high levels of anthropogenic nitrogen in the aquatic ecosystem (water flowing into the Doñana National Park is susceptible of nitrate contamination from surrounding urban areas and strawberry/rice farming). The δ</w:t>
      </w:r>
      <w:r w:rsidRPr="000C7CFA">
        <w:rPr>
          <w:rFonts w:ascii="Verdana" w:hAnsi="Verdana"/>
          <w:color w:val="000000"/>
          <w:sz w:val="18"/>
          <w:szCs w:val="18"/>
          <w:vertAlign w:val="superscript"/>
        </w:rPr>
        <w:t>13</w:t>
      </w:r>
      <w:r w:rsidRPr="000C7CFA">
        <w:rPr>
          <w:rFonts w:ascii="Verdana" w:hAnsi="Verdana"/>
          <w:color w:val="000000"/>
          <w:sz w:val="18"/>
          <w:szCs w:val="18"/>
        </w:rPr>
        <w:t>C values indicated significant differences in dietary carbon sources between species, but similar values were determined for the Falconiformes (between</w:t>
      </w:r>
      <w:r w:rsidR="00E917EB" w:rsidRPr="000C7CFA">
        <w:rPr>
          <w:rFonts w:ascii="Verdana" w:hAnsi="Verdana"/>
          <w:color w:val="000000"/>
          <w:sz w:val="18"/>
          <w:szCs w:val="18"/>
        </w:rPr>
        <w:t xml:space="preserve"> </w:t>
      </w:r>
      <w:r w:rsidRPr="000C7CFA">
        <w:rPr>
          <w:rFonts w:ascii="Verdana" w:hAnsi="Verdana"/>
          <w:color w:val="000000"/>
          <w:sz w:val="18"/>
          <w:szCs w:val="18"/>
        </w:rPr>
        <w:t>−21.40 and</w:t>
      </w:r>
      <w:r w:rsidR="00E917EB" w:rsidRPr="000C7CFA">
        <w:rPr>
          <w:rFonts w:ascii="Verdana" w:hAnsi="Verdana"/>
          <w:color w:val="000000"/>
          <w:sz w:val="18"/>
          <w:szCs w:val="18"/>
        </w:rPr>
        <w:t xml:space="preserve"> </w:t>
      </w:r>
      <w:r w:rsidRPr="000C7CFA">
        <w:rPr>
          <w:rFonts w:ascii="Verdana" w:hAnsi="Verdana"/>
          <w:color w:val="000000"/>
          <w:sz w:val="18"/>
          <w:szCs w:val="18"/>
        </w:rPr>
        <w:t>−26.32). This last group was used to assess biomagnification processes along the trophic chain, as they had dissimilar δ</w:t>
      </w:r>
      <w:r w:rsidRPr="000C7CFA">
        <w:rPr>
          <w:rFonts w:ascii="Verdana" w:hAnsi="Verdana"/>
          <w:color w:val="000000"/>
          <w:sz w:val="18"/>
          <w:szCs w:val="18"/>
          <w:vertAlign w:val="superscript"/>
        </w:rPr>
        <w:t>15</w:t>
      </w:r>
      <w:r w:rsidRPr="000C7CFA">
        <w:rPr>
          <w:rFonts w:ascii="Verdana" w:hAnsi="Verdana"/>
          <w:color w:val="000000"/>
          <w:sz w:val="18"/>
          <w:szCs w:val="18"/>
        </w:rPr>
        <w:t xml:space="preserve">N values (between 8.95 and 14.98) (see Figure </w:t>
      </w:r>
      <w:r w:rsidR="00504011" w:rsidRPr="000C7CFA">
        <w:rPr>
          <w:rFonts w:ascii="Verdana" w:hAnsi="Verdana"/>
          <w:color w:val="000000"/>
          <w:sz w:val="18"/>
          <w:szCs w:val="18"/>
        </w:rPr>
        <w:t>6</w:t>
      </w:r>
      <w:r w:rsidRPr="000C7CFA">
        <w:rPr>
          <w:rFonts w:ascii="Verdana" w:hAnsi="Verdana"/>
          <w:color w:val="000000"/>
          <w:sz w:val="18"/>
          <w:szCs w:val="18"/>
        </w:rPr>
        <w:t>, the dotted line represents the linear regression).</w:t>
      </w:r>
      <w:r w:rsidRPr="000C7CFA">
        <w:rPr>
          <w:rFonts w:ascii="Verdana" w:hAnsi="Verdana" w:cs="AdvTT5235d5a9"/>
          <w:color w:val="000000"/>
          <w:sz w:val="18"/>
          <w:szCs w:val="18"/>
          <w:lang w:val="en-GB"/>
        </w:rPr>
        <w:t xml:space="preserve"> </w:t>
      </w:r>
    </w:p>
    <w:p w14:paraId="32726BD2" w14:textId="77777777" w:rsidR="000128E5" w:rsidRPr="000C7CFA" w:rsidRDefault="000128E5">
      <w:pPr>
        <w:spacing w:after="0"/>
        <w:rPr>
          <w:rFonts w:ascii="Verdana" w:hAnsi="Verdana"/>
          <w:b/>
          <w:sz w:val="18"/>
          <w:szCs w:val="18"/>
          <w:lang w:val="en-GB"/>
        </w:rPr>
      </w:pPr>
    </w:p>
    <w:p w14:paraId="6A9F3087" w14:textId="77777777" w:rsidR="008C25C7" w:rsidRPr="000C7CFA" w:rsidRDefault="00410A2A" w:rsidP="00FA2BE0">
      <w:pPr>
        <w:pStyle w:val="Caption"/>
        <w:ind w:left="1418" w:hanging="1361"/>
        <w:rPr>
          <w:rFonts w:ascii="Verdana" w:hAnsi="Verdana"/>
          <w:b/>
          <w:sz w:val="18"/>
          <w:szCs w:val="18"/>
        </w:rPr>
      </w:pPr>
      <w:bookmarkStart w:id="84" w:name="_Toc489434280"/>
      <w:r w:rsidRPr="000C7CFA">
        <w:rPr>
          <w:rFonts w:ascii="Verdana" w:hAnsi="Verdana"/>
          <w:b/>
          <w:sz w:val="18"/>
          <w:szCs w:val="18"/>
        </w:rPr>
        <w:t xml:space="preserve">Figure </w:t>
      </w:r>
      <w:r w:rsidR="0005445F" w:rsidRPr="000C7CFA">
        <w:rPr>
          <w:rFonts w:ascii="Verdana" w:hAnsi="Verdana"/>
          <w:b/>
          <w:sz w:val="18"/>
          <w:szCs w:val="18"/>
        </w:rPr>
        <w:fldChar w:fldCharType="begin"/>
      </w:r>
      <w:r w:rsidR="0005445F" w:rsidRPr="000C7CFA">
        <w:rPr>
          <w:rFonts w:ascii="Verdana" w:hAnsi="Verdana"/>
          <w:b/>
          <w:sz w:val="18"/>
          <w:szCs w:val="18"/>
        </w:rPr>
        <w:instrText xml:space="preserve"> SEQ Figure \* ARABIC </w:instrText>
      </w:r>
      <w:r w:rsidR="0005445F" w:rsidRPr="000C7CFA">
        <w:rPr>
          <w:rFonts w:ascii="Verdana" w:hAnsi="Verdana"/>
          <w:b/>
          <w:sz w:val="18"/>
          <w:szCs w:val="18"/>
        </w:rPr>
        <w:fldChar w:fldCharType="separate"/>
      </w:r>
      <w:r w:rsidR="00BA2885" w:rsidRPr="000C7CFA">
        <w:rPr>
          <w:rFonts w:ascii="Verdana" w:hAnsi="Verdana"/>
          <w:b/>
          <w:noProof/>
          <w:sz w:val="18"/>
          <w:szCs w:val="18"/>
        </w:rPr>
        <w:t>6</w:t>
      </w:r>
      <w:r w:rsidR="0005445F" w:rsidRPr="000C7CFA">
        <w:rPr>
          <w:rFonts w:ascii="Verdana" w:hAnsi="Verdana"/>
          <w:b/>
          <w:noProof/>
          <w:sz w:val="18"/>
          <w:szCs w:val="18"/>
        </w:rPr>
        <w:fldChar w:fldCharType="end"/>
      </w:r>
      <w:r w:rsidR="008C25C7" w:rsidRPr="000C7CFA">
        <w:rPr>
          <w:rFonts w:ascii="Verdana" w:hAnsi="Verdana"/>
          <w:b/>
          <w:sz w:val="18"/>
          <w:szCs w:val="18"/>
        </w:rPr>
        <w:t xml:space="preserve">: </w:t>
      </w:r>
      <w:r w:rsidR="008C25C7" w:rsidRPr="000C7CFA">
        <w:rPr>
          <w:rFonts w:ascii="Verdana" w:hAnsi="Verdana"/>
          <w:b/>
          <w:sz w:val="18"/>
          <w:szCs w:val="18"/>
        </w:rPr>
        <w:tab/>
        <w:t>Plot of mean total Dechlorane Plus concentrations in falconiform eggs versus δ</w:t>
      </w:r>
      <w:r w:rsidR="008C25C7" w:rsidRPr="000C7CFA">
        <w:rPr>
          <w:rFonts w:ascii="Verdana" w:hAnsi="Verdana"/>
          <w:b/>
          <w:sz w:val="18"/>
          <w:szCs w:val="18"/>
          <w:vertAlign w:val="superscript"/>
        </w:rPr>
        <w:t>15</w:t>
      </w:r>
      <w:r w:rsidR="008C25C7" w:rsidRPr="000C7CFA">
        <w:rPr>
          <w:rFonts w:ascii="Verdana" w:hAnsi="Verdana"/>
          <w:b/>
          <w:sz w:val="18"/>
          <w:szCs w:val="18"/>
        </w:rPr>
        <w:t>N</w:t>
      </w:r>
      <w:bookmarkEnd w:id="84"/>
    </w:p>
    <w:p w14:paraId="781591B1" w14:textId="77777777" w:rsidR="0096784A" w:rsidRPr="000C7CFA" w:rsidRDefault="00EA4221" w:rsidP="0096784A">
      <w:pPr>
        <w:autoSpaceDE w:val="0"/>
        <w:autoSpaceDN w:val="0"/>
        <w:adjustRightInd w:val="0"/>
        <w:spacing w:after="120"/>
        <w:jc w:val="center"/>
        <w:rPr>
          <w:rFonts w:ascii="Verdana" w:hAnsi="Verdana"/>
          <w:color w:val="000000"/>
          <w:sz w:val="18"/>
          <w:szCs w:val="18"/>
        </w:rPr>
      </w:pPr>
      <w:r w:rsidRPr="000C7CFA">
        <w:rPr>
          <w:rFonts w:ascii="Verdana" w:hAnsi="Verdana"/>
          <w:noProof/>
          <w:color w:val="000000"/>
          <w:sz w:val="18"/>
          <w:szCs w:val="18"/>
          <w:lang w:val="en-GB" w:eastAsia="en-GB"/>
        </w:rPr>
        <w:drawing>
          <wp:inline distT="0" distB="0" distL="0" distR="0" wp14:anchorId="54269784" wp14:editId="678F7A8B">
            <wp:extent cx="2510640" cy="2172614"/>
            <wp:effectExtent l="19050" t="0" r="3960" b="0"/>
            <wp:docPr id="28"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0" cstate="print"/>
                    <a:srcRect l="32159" t="55066" r="33782"/>
                    <a:stretch>
                      <a:fillRect/>
                    </a:stretch>
                  </pic:blipFill>
                  <pic:spPr>
                    <a:xfrm>
                      <a:off x="0" y="0"/>
                      <a:ext cx="2511104" cy="2173016"/>
                    </a:xfrm>
                    <a:prstGeom prst="rect">
                      <a:avLst/>
                    </a:prstGeom>
                  </pic:spPr>
                </pic:pic>
              </a:graphicData>
            </a:graphic>
          </wp:inline>
        </w:drawing>
      </w:r>
    </w:p>
    <w:p w14:paraId="6E832DA8" w14:textId="77777777" w:rsidR="003E7741" w:rsidRPr="000C7CFA" w:rsidRDefault="003E7741" w:rsidP="003E7741">
      <w:pPr>
        <w:autoSpaceDE w:val="0"/>
        <w:autoSpaceDN w:val="0"/>
        <w:adjustRightInd w:val="0"/>
        <w:spacing w:after="0"/>
        <w:ind w:left="1134" w:right="657"/>
        <w:jc w:val="center"/>
        <w:rPr>
          <w:rFonts w:ascii="Verdana" w:hAnsi="Verdana"/>
          <w:b/>
          <w:sz w:val="18"/>
          <w:szCs w:val="18"/>
          <w:lang w:val="en-GB"/>
        </w:rPr>
      </w:pPr>
      <w:r w:rsidRPr="000C7CFA">
        <w:rPr>
          <w:rFonts w:ascii="Verdana" w:hAnsi="Verdana"/>
          <w:b/>
          <w:sz w:val="18"/>
          <w:szCs w:val="18"/>
          <w:lang w:val="en-GB"/>
        </w:rPr>
        <w:t>(</w:t>
      </w:r>
      <w:proofErr w:type="gramStart"/>
      <w:r w:rsidRPr="000C7CFA">
        <w:rPr>
          <w:rFonts w:ascii="Verdana" w:hAnsi="Verdana"/>
          <w:b/>
          <w:sz w:val="18"/>
          <w:szCs w:val="18"/>
          <w:lang w:val="en-GB"/>
        </w:rPr>
        <w:t>reprinted</w:t>
      </w:r>
      <w:proofErr w:type="gramEnd"/>
      <w:r w:rsidRPr="000C7CFA">
        <w:rPr>
          <w:rFonts w:ascii="Verdana" w:hAnsi="Verdana"/>
          <w:b/>
          <w:sz w:val="18"/>
          <w:szCs w:val="18"/>
          <w:lang w:val="en-GB"/>
        </w:rPr>
        <w:t xml:space="preserve"> with permission from </w:t>
      </w:r>
      <w:r w:rsidRPr="000C7CFA">
        <w:rPr>
          <w:rFonts w:ascii="Verdana" w:hAnsi="Verdana"/>
          <w:b/>
          <w:sz w:val="18"/>
          <w:szCs w:val="18"/>
        </w:rPr>
        <w:t xml:space="preserve">Barón </w:t>
      </w:r>
      <w:r w:rsidRPr="000C7CFA">
        <w:rPr>
          <w:rFonts w:ascii="Verdana" w:hAnsi="Verdana"/>
          <w:b/>
          <w:i/>
          <w:sz w:val="18"/>
          <w:szCs w:val="18"/>
        </w:rPr>
        <w:t>et al</w:t>
      </w:r>
      <w:r w:rsidRPr="000C7CFA">
        <w:rPr>
          <w:rFonts w:ascii="Verdana" w:hAnsi="Verdana"/>
          <w:b/>
          <w:sz w:val="18"/>
          <w:szCs w:val="18"/>
        </w:rPr>
        <w:t>. (2014a). Copyright 2014:</w:t>
      </w:r>
      <w:r w:rsidR="00DC2425" w:rsidRPr="000C7CFA">
        <w:rPr>
          <w:rFonts w:ascii="Verdana" w:hAnsi="Verdana"/>
          <w:b/>
          <w:sz w:val="18"/>
          <w:szCs w:val="18"/>
        </w:rPr>
        <w:t xml:space="preserve"> Environment International</w:t>
      </w:r>
      <w:r w:rsidRPr="000C7CFA">
        <w:rPr>
          <w:rFonts w:ascii="Verdana" w:hAnsi="Verdana"/>
          <w:b/>
          <w:sz w:val="18"/>
          <w:szCs w:val="18"/>
          <w:lang w:val="en-GB"/>
        </w:rPr>
        <w:t>)</w:t>
      </w:r>
    </w:p>
    <w:p w14:paraId="397B77B3" w14:textId="77777777" w:rsidR="003E7741" w:rsidRPr="000C7CFA" w:rsidRDefault="003E7741" w:rsidP="003E7741">
      <w:pPr>
        <w:autoSpaceDE w:val="0"/>
        <w:autoSpaceDN w:val="0"/>
        <w:adjustRightInd w:val="0"/>
        <w:spacing w:after="0"/>
        <w:ind w:left="1134" w:right="657"/>
        <w:jc w:val="center"/>
        <w:rPr>
          <w:rFonts w:ascii="Verdana" w:hAnsi="Verdana"/>
          <w:b/>
          <w:sz w:val="18"/>
          <w:szCs w:val="18"/>
          <w:lang w:val="en-GB"/>
        </w:rPr>
      </w:pPr>
    </w:p>
    <w:p w14:paraId="50ABD6A2" w14:textId="77777777" w:rsidR="00AB280F" w:rsidRPr="000C7CFA" w:rsidRDefault="00AB280F" w:rsidP="00BD12E3">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 xml:space="preserve">The analysis presented </w:t>
      </w:r>
      <w:r w:rsidR="005434EC" w:rsidRPr="000C7CFA">
        <w:rPr>
          <w:rFonts w:ascii="Verdana" w:hAnsi="Verdana"/>
          <w:color w:val="000000"/>
          <w:sz w:val="18"/>
          <w:szCs w:val="18"/>
        </w:rPr>
        <w:t xml:space="preserve">in the paper </w:t>
      </w:r>
      <w:r w:rsidRPr="000C7CFA">
        <w:rPr>
          <w:rFonts w:ascii="Verdana" w:hAnsi="Verdana"/>
          <w:color w:val="000000"/>
          <w:sz w:val="18"/>
          <w:szCs w:val="18"/>
        </w:rPr>
        <w:t>does not consider the accumulation of the individual isomers, but total Dechlorane Plus levels (dominated by the anti- isomer) were not clearly linearly correlated with trophic position (r</w:t>
      </w:r>
      <w:r w:rsidRPr="000C7CFA">
        <w:rPr>
          <w:rFonts w:ascii="Verdana" w:hAnsi="Verdana"/>
          <w:color w:val="000000"/>
          <w:sz w:val="18"/>
          <w:szCs w:val="18"/>
          <w:vertAlign w:val="superscript"/>
        </w:rPr>
        <w:t>2</w:t>
      </w:r>
      <w:r w:rsidRPr="000C7CFA">
        <w:rPr>
          <w:rFonts w:ascii="Verdana" w:hAnsi="Verdana"/>
          <w:color w:val="000000"/>
          <w:sz w:val="18"/>
          <w:szCs w:val="18"/>
        </w:rPr>
        <w:t xml:space="preserve"> = 0.04) (unlike PBDEs in the same samples).  </w:t>
      </w:r>
      <w:r w:rsidR="00CA4FB4" w:rsidRPr="000C7CFA">
        <w:rPr>
          <w:rFonts w:ascii="Verdana" w:hAnsi="Verdana"/>
          <w:color w:val="000000"/>
          <w:sz w:val="18"/>
          <w:szCs w:val="18"/>
        </w:rPr>
        <w:t xml:space="preserve">However, since only one </w:t>
      </w:r>
      <w:r w:rsidRPr="000C7CFA">
        <w:rPr>
          <w:rFonts w:ascii="Verdana" w:hAnsi="Verdana"/>
          <w:color w:val="000000"/>
          <w:sz w:val="18"/>
          <w:szCs w:val="18"/>
        </w:rPr>
        <w:t xml:space="preserve">egg </w:t>
      </w:r>
      <w:r w:rsidR="00CA4FB4" w:rsidRPr="000C7CFA">
        <w:rPr>
          <w:rFonts w:ascii="Verdana" w:hAnsi="Verdana"/>
          <w:color w:val="000000"/>
          <w:sz w:val="18"/>
          <w:szCs w:val="18"/>
        </w:rPr>
        <w:t>sample was available for two</w:t>
      </w:r>
      <w:r w:rsidRPr="000C7CFA">
        <w:rPr>
          <w:rFonts w:ascii="Verdana" w:hAnsi="Verdana"/>
          <w:color w:val="000000"/>
          <w:sz w:val="18"/>
          <w:szCs w:val="18"/>
        </w:rPr>
        <w:t xml:space="preserve"> of the</w:t>
      </w:r>
      <w:r w:rsidR="00CA4FB4" w:rsidRPr="000C7CFA">
        <w:rPr>
          <w:rFonts w:ascii="Verdana" w:hAnsi="Verdana"/>
          <w:color w:val="000000"/>
          <w:sz w:val="18"/>
          <w:szCs w:val="18"/>
        </w:rPr>
        <w:t xml:space="preserve"> species</w:t>
      </w:r>
      <w:r w:rsidR="007A0D5D" w:rsidRPr="000C7CFA">
        <w:rPr>
          <w:rFonts w:ascii="Verdana" w:hAnsi="Verdana"/>
          <w:color w:val="000000"/>
          <w:sz w:val="18"/>
          <w:szCs w:val="18"/>
        </w:rPr>
        <w:t xml:space="preserve"> (Western Marsh Harrier and Black-winged Kite),</w:t>
      </w:r>
      <w:r w:rsidRPr="000C7CFA">
        <w:rPr>
          <w:rFonts w:ascii="Verdana" w:hAnsi="Verdana"/>
          <w:color w:val="000000"/>
          <w:sz w:val="18"/>
          <w:szCs w:val="18"/>
        </w:rPr>
        <w:t xml:space="preserve"> one of which occupied the highest trophic position according to δ</w:t>
      </w:r>
      <w:r w:rsidRPr="000C7CFA">
        <w:rPr>
          <w:rFonts w:ascii="Verdana" w:hAnsi="Verdana"/>
          <w:color w:val="000000"/>
          <w:sz w:val="18"/>
          <w:szCs w:val="18"/>
          <w:vertAlign w:val="superscript"/>
        </w:rPr>
        <w:t>15</w:t>
      </w:r>
      <w:r w:rsidRPr="000C7CFA">
        <w:rPr>
          <w:rFonts w:ascii="Verdana" w:hAnsi="Verdana"/>
          <w:color w:val="000000"/>
          <w:sz w:val="18"/>
          <w:szCs w:val="18"/>
        </w:rPr>
        <w:t>N value,</w:t>
      </w:r>
      <w:r w:rsidR="00CA4FB4" w:rsidRPr="000C7CFA">
        <w:rPr>
          <w:rFonts w:ascii="Verdana" w:hAnsi="Verdana"/>
          <w:color w:val="000000"/>
          <w:sz w:val="18"/>
          <w:szCs w:val="18"/>
        </w:rPr>
        <w:t xml:space="preserve"> these results should be interpreted with caution.</w:t>
      </w:r>
      <w:r w:rsidRPr="000C7CFA">
        <w:rPr>
          <w:rFonts w:ascii="Verdana" w:hAnsi="Verdana"/>
          <w:color w:val="000000"/>
          <w:sz w:val="18"/>
          <w:szCs w:val="18"/>
        </w:rPr>
        <w:t xml:space="preserve"> For example, if the highest data point were removed</w:t>
      </w:r>
      <w:r w:rsidR="005434EC" w:rsidRPr="000C7CFA">
        <w:rPr>
          <w:rFonts w:ascii="Verdana" w:hAnsi="Verdana"/>
          <w:color w:val="000000"/>
          <w:sz w:val="18"/>
          <w:szCs w:val="18"/>
        </w:rPr>
        <w:t xml:space="preserve"> (or the concentration were higher)</w:t>
      </w:r>
      <w:r w:rsidRPr="000C7CFA">
        <w:rPr>
          <w:rFonts w:ascii="Verdana" w:hAnsi="Verdana"/>
          <w:color w:val="000000"/>
          <w:sz w:val="18"/>
          <w:szCs w:val="18"/>
        </w:rPr>
        <w:t>, the linear trend would be</w:t>
      </w:r>
      <w:r w:rsidR="005434EC" w:rsidRPr="000C7CFA">
        <w:rPr>
          <w:rFonts w:ascii="Verdana" w:hAnsi="Verdana"/>
          <w:color w:val="000000"/>
          <w:sz w:val="18"/>
          <w:szCs w:val="18"/>
        </w:rPr>
        <w:t xml:space="preserve"> more</w:t>
      </w:r>
      <w:r w:rsidRPr="000C7CFA">
        <w:rPr>
          <w:rFonts w:ascii="Verdana" w:hAnsi="Verdana"/>
          <w:color w:val="000000"/>
          <w:sz w:val="18"/>
          <w:szCs w:val="18"/>
        </w:rPr>
        <w:t xml:space="preserve"> strongly positive.</w:t>
      </w:r>
      <w:r w:rsidR="00475FB9" w:rsidRPr="000C7CFA">
        <w:rPr>
          <w:rFonts w:ascii="Verdana" w:hAnsi="Verdana"/>
          <w:color w:val="000000"/>
          <w:sz w:val="18"/>
          <w:szCs w:val="18"/>
        </w:rPr>
        <w:t xml:space="preserve"> </w:t>
      </w:r>
    </w:p>
    <w:p w14:paraId="6B55DF10" w14:textId="2C78097B" w:rsidR="00CA4FB4" w:rsidRPr="000C7CFA" w:rsidRDefault="00475FB9" w:rsidP="00BD12E3">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lastRenderedPageBreak/>
        <w:t>All of the sampled Falconifo</w:t>
      </w:r>
      <w:r w:rsidR="00AB280F" w:rsidRPr="000C7CFA">
        <w:rPr>
          <w:rFonts w:ascii="Verdana" w:hAnsi="Verdana"/>
          <w:color w:val="000000"/>
          <w:sz w:val="18"/>
          <w:szCs w:val="18"/>
        </w:rPr>
        <w:t>rm</w:t>
      </w:r>
      <w:r w:rsidRPr="000C7CFA">
        <w:rPr>
          <w:rFonts w:ascii="Verdana" w:hAnsi="Verdana"/>
          <w:color w:val="000000"/>
          <w:sz w:val="18"/>
          <w:szCs w:val="18"/>
        </w:rPr>
        <w:t xml:space="preserve"> species are apex predators, with diets comprising other </w:t>
      </w:r>
      <w:r w:rsidR="0089291A" w:rsidRPr="000C7CFA">
        <w:rPr>
          <w:rFonts w:ascii="Verdana" w:hAnsi="Verdana"/>
          <w:color w:val="000000"/>
          <w:sz w:val="18"/>
          <w:szCs w:val="18"/>
        </w:rPr>
        <w:t xml:space="preserve">(mainly terrestrial) </w:t>
      </w:r>
      <w:r w:rsidRPr="000C7CFA">
        <w:rPr>
          <w:rFonts w:ascii="Verdana" w:hAnsi="Verdana"/>
          <w:color w:val="000000"/>
          <w:sz w:val="18"/>
          <w:szCs w:val="18"/>
        </w:rPr>
        <w:t>organisms for which concentration data are not available. It would therefore be premature to conclude that there is no biomagnification in specific feeding relationships. In addition, the use of eggs to indicate biomagnification potential might not be reliable if there are differences in transfer efficiency between mothers and eggs in different species (i.e. the concentrations in adult birds might be higher than suggested by the egg data</w:t>
      </w:r>
      <w:r w:rsidR="005A19BF" w:rsidRPr="000C7CFA">
        <w:rPr>
          <w:rFonts w:ascii="Verdana" w:hAnsi="Verdana"/>
          <w:color w:val="000000"/>
          <w:sz w:val="18"/>
          <w:szCs w:val="18"/>
        </w:rPr>
        <w:t xml:space="preserve">, as demonstrated for Domestic Chickens by </w:t>
      </w:r>
      <w:r w:rsidR="005A19BF" w:rsidRPr="000C7CFA">
        <w:rPr>
          <w:rFonts w:ascii="Verdana" w:hAnsi="Verdana"/>
          <w:sz w:val="18"/>
          <w:szCs w:val="18"/>
          <w:lang w:eastAsia="en-GB"/>
        </w:rPr>
        <w:t xml:space="preserve">Zheng </w:t>
      </w:r>
      <w:r w:rsidR="005A19BF" w:rsidRPr="000C7CFA">
        <w:rPr>
          <w:rFonts w:ascii="Verdana" w:hAnsi="Verdana"/>
          <w:i/>
          <w:sz w:val="18"/>
          <w:szCs w:val="18"/>
          <w:lang w:eastAsia="en-GB"/>
        </w:rPr>
        <w:t>et al</w:t>
      </w:r>
      <w:r w:rsidR="005A19BF" w:rsidRPr="000C7CFA">
        <w:rPr>
          <w:rFonts w:ascii="Verdana" w:hAnsi="Verdana"/>
          <w:sz w:val="18"/>
          <w:szCs w:val="18"/>
          <w:lang w:eastAsia="en-GB"/>
        </w:rPr>
        <w:t>., 2014a</w:t>
      </w:r>
      <w:r w:rsidRPr="000C7CFA">
        <w:rPr>
          <w:rFonts w:ascii="Verdana" w:hAnsi="Verdana"/>
          <w:color w:val="000000"/>
          <w:sz w:val="18"/>
          <w:szCs w:val="18"/>
        </w:rPr>
        <w:t xml:space="preserve">). </w:t>
      </w:r>
      <w:r w:rsidR="00E917EB" w:rsidRPr="000C7CFA">
        <w:rPr>
          <w:rFonts w:ascii="Verdana" w:hAnsi="Verdana"/>
          <w:color w:val="000000"/>
          <w:sz w:val="18"/>
          <w:szCs w:val="18"/>
        </w:rPr>
        <w:t>M</w:t>
      </w:r>
      <w:r w:rsidR="00205FEE" w:rsidRPr="000C7CFA">
        <w:rPr>
          <w:rFonts w:ascii="Verdana" w:hAnsi="Verdana"/>
          <w:color w:val="000000"/>
          <w:sz w:val="18"/>
          <w:szCs w:val="18"/>
        </w:rPr>
        <w:t>any</w:t>
      </w:r>
      <w:r w:rsidR="00960DF6" w:rsidRPr="000C7CFA">
        <w:rPr>
          <w:rFonts w:ascii="Verdana" w:hAnsi="Verdana"/>
          <w:color w:val="000000"/>
          <w:sz w:val="18"/>
          <w:szCs w:val="18"/>
        </w:rPr>
        <w:t xml:space="preserve"> of the species are migratory, and given the potential for accumulation over the long-term, their body burdens might not necessarily reflect their diet in a particular area. </w:t>
      </w:r>
      <w:r w:rsidR="0060361F" w:rsidRPr="000C7CFA">
        <w:rPr>
          <w:rFonts w:ascii="Verdana" w:hAnsi="Verdana"/>
          <w:color w:val="000000"/>
          <w:sz w:val="18"/>
          <w:szCs w:val="18"/>
        </w:rPr>
        <w:t>Th</w:t>
      </w:r>
      <w:r w:rsidRPr="000C7CFA">
        <w:rPr>
          <w:rFonts w:ascii="Verdana" w:hAnsi="Verdana"/>
          <w:color w:val="000000"/>
          <w:sz w:val="18"/>
          <w:szCs w:val="18"/>
        </w:rPr>
        <w:t xml:space="preserve">is study </w:t>
      </w:r>
      <w:r w:rsidR="0060361F" w:rsidRPr="000C7CFA">
        <w:rPr>
          <w:rFonts w:ascii="Verdana" w:hAnsi="Verdana"/>
          <w:color w:val="000000"/>
          <w:sz w:val="18"/>
          <w:szCs w:val="18"/>
        </w:rPr>
        <w:t xml:space="preserve">therefore does not </w:t>
      </w:r>
      <w:r w:rsidRPr="000C7CFA">
        <w:rPr>
          <w:rFonts w:ascii="Verdana" w:hAnsi="Verdana"/>
          <w:color w:val="000000"/>
          <w:sz w:val="18"/>
          <w:szCs w:val="18"/>
        </w:rPr>
        <w:t xml:space="preserve">provide </w:t>
      </w:r>
      <w:r w:rsidR="00685175" w:rsidRPr="000C7CFA">
        <w:rPr>
          <w:rFonts w:ascii="Verdana" w:hAnsi="Verdana"/>
          <w:color w:val="000000"/>
          <w:sz w:val="18"/>
          <w:szCs w:val="18"/>
        </w:rPr>
        <w:t xml:space="preserve">strong </w:t>
      </w:r>
      <w:r w:rsidRPr="000C7CFA">
        <w:rPr>
          <w:rFonts w:ascii="Verdana" w:hAnsi="Verdana"/>
          <w:color w:val="000000"/>
          <w:sz w:val="18"/>
          <w:szCs w:val="18"/>
        </w:rPr>
        <w:t>evidence of biomagnification as such, but it clearly shows that Dechlorane Plus is a contaminant in a variety of European bird species using different habitats and food sources</w:t>
      </w:r>
      <w:r w:rsidR="00205FEE" w:rsidRPr="000C7CFA">
        <w:rPr>
          <w:rFonts w:ascii="Verdana" w:hAnsi="Verdana"/>
          <w:color w:val="000000"/>
          <w:sz w:val="18"/>
          <w:szCs w:val="18"/>
        </w:rPr>
        <w:t xml:space="preserve"> (in a protected environment without obvious </w:t>
      </w:r>
      <w:r w:rsidR="0089291A" w:rsidRPr="000C7CFA">
        <w:rPr>
          <w:rFonts w:ascii="Verdana" w:hAnsi="Verdana"/>
          <w:color w:val="000000"/>
          <w:sz w:val="18"/>
          <w:szCs w:val="18"/>
        </w:rPr>
        <w:t>point</w:t>
      </w:r>
      <w:r w:rsidR="00205FEE" w:rsidRPr="000C7CFA">
        <w:rPr>
          <w:rFonts w:ascii="Verdana" w:hAnsi="Verdana"/>
          <w:color w:val="000000"/>
          <w:sz w:val="18"/>
          <w:szCs w:val="18"/>
        </w:rPr>
        <w:t xml:space="preserve"> sources)</w:t>
      </w:r>
      <w:r w:rsidRPr="000C7CFA">
        <w:rPr>
          <w:rFonts w:ascii="Verdana" w:hAnsi="Verdana"/>
          <w:color w:val="000000"/>
          <w:sz w:val="18"/>
          <w:szCs w:val="18"/>
        </w:rPr>
        <w:t xml:space="preserve"> and that transfer to eggs (a sensitive life stage) can occur</w:t>
      </w:r>
      <w:r w:rsidR="0089291A" w:rsidRPr="000C7CFA">
        <w:rPr>
          <w:rFonts w:ascii="Verdana" w:hAnsi="Verdana"/>
          <w:color w:val="000000"/>
          <w:sz w:val="18"/>
          <w:szCs w:val="18"/>
        </w:rPr>
        <w:t xml:space="preserve"> at levels up to 0.1 mg/kg lw</w:t>
      </w:r>
      <w:r w:rsidR="00E917EB" w:rsidRPr="000C7CFA">
        <w:rPr>
          <w:rFonts w:ascii="Verdana" w:hAnsi="Verdana"/>
          <w:color w:val="000000"/>
          <w:sz w:val="18"/>
          <w:szCs w:val="18"/>
        </w:rPr>
        <w:t xml:space="preserve"> in wild birds</w:t>
      </w:r>
      <w:r w:rsidRPr="000C7CFA">
        <w:rPr>
          <w:rFonts w:ascii="Verdana" w:hAnsi="Verdana"/>
          <w:color w:val="000000"/>
          <w:sz w:val="18"/>
          <w:szCs w:val="18"/>
        </w:rPr>
        <w:t>.</w:t>
      </w:r>
    </w:p>
    <w:p w14:paraId="585B5D53" w14:textId="77777777" w:rsidR="000128E5" w:rsidRPr="000C7CFA" w:rsidRDefault="000128E5" w:rsidP="000128E5">
      <w:pPr>
        <w:pStyle w:val="NoSpacing"/>
        <w:spacing w:after="120"/>
        <w:ind w:left="425" w:right="374"/>
        <w:jc w:val="both"/>
        <w:rPr>
          <w:rFonts w:ascii="Verdana" w:hAnsi="Verdana"/>
          <w:color w:val="000000"/>
          <w:sz w:val="18"/>
          <w:szCs w:val="18"/>
        </w:rPr>
      </w:pPr>
      <w:r w:rsidRPr="000C7CFA">
        <w:rPr>
          <w:rFonts w:ascii="Verdana" w:hAnsi="Verdana" w:cs="Times New Roman"/>
          <w:color w:val="000000"/>
          <w:sz w:val="18"/>
          <w:szCs w:val="18"/>
        </w:rPr>
        <w:t>This study is not included in the registration dossier.</w:t>
      </w:r>
    </w:p>
    <w:p w14:paraId="44182460" w14:textId="77777777" w:rsidR="00CA4FB4" w:rsidRPr="000C7CFA" w:rsidRDefault="00CA4FB4" w:rsidP="00857674">
      <w:pPr>
        <w:pStyle w:val="BodyText"/>
        <w:ind w:right="-52"/>
        <w:rPr>
          <w:rFonts w:ascii="Verdana" w:hAnsi="Verdana"/>
          <w:sz w:val="18"/>
          <w:szCs w:val="18"/>
        </w:rPr>
      </w:pPr>
    </w:p>
    <w:p w14:paraId="6D384DF0" w14:textId="77777777" w:rsidR="00B223CD" w:rsidRPr="000C7CFA" w:rsidRDefault="00B223CD" w:rsidP="00DC3658">
      <w:pPr>
        <w:pStyle w:val="ListParagraph"/>
        <w:numPr>
          <w:ilvl w:val="0"/>
          <w:numId w:val="14"/>
        </w:numPr>
        <w:autoSpaceDE w:val="0"/>
        <w:autoSpaceDN w:val="0"/>
        <w:adjustRightInd w:val="0"/>
        <w:spacing w:after="120" w:line="240" w:lineRule="auto"/>
        <w:ind w:left="425" w:hanging="357"/>
        <w:jc w:val="both"/>
        <w:rPr>
          <w:rFonts w:ascii="Verdana" w:hAnsi="Verdana"/>
          <w:color w:val="000000"/>
          <w:sz w:val="18"/>
          <w:szCs w:val="18"/>
        </w:rPr>
      </w:pPr>
      <w:r w:rsidRPr="000C7CFA">
        <w:rPr>
          <w:rFonts w:ascii="Verdana" w:hAnsi="Verdana"/>
          <w:sz w:val="18"/>
          <w:szCs w:val="18"/>
          <w:u w:val="single"/>
        </w:rPr>
        <w:t xml:space="preserve">Sun </w:t>
      </w:r>
      <w:r w:rsidRPr="000C7CFA">
        <w:rPr>
          <w:rFonts w:ascii="Verdana" w:hAnsi="Verdana"/>
          <w:i/>
          <w:sz w:val="18"/>
          <w:szCs w:val="18"/>
          <w:u w:val="single"/>
        </w:rPr>
        <w:t>et al</w:t>
      </w:r>
      <w:r w:rsidRPr="000C7CFA">
        <w:rPr>
          <w:rFonts w:ascii="Verdana" w:hAnsi="Verdana"/>
          <w:sz w:val="18"/>
          <w:szCs w:val="18"/>
          <w:u w:val="single"/>
        </w:rPr>
        <w:t>. (2012)</w:t>
      </w:r>
      <w:r w:rsidRPr="000C7CFA">
        <w:rPr>
          <w:rFonts w:ascii="Verdana" w:hAnsi="Verdana"/>
          <w:sz w:val="18"/>
          <w:szCs w:val="18"/>
        </w:rPr>
        <w:t xml:space="preserve"> investigated the relationship between Dechlorane Plus levels and trophic position in tissues from three terrestrial passerine bird species. Light-vented Bulbul </w:t>
      </w:r>
      <w:r w:rsidRPr="000C7CFA">
        <w:rPr>
          <w:rFonts w:ascii="Verdana" w:hAnsi="Verdana"/>
          <w:color w:val="000000"/>
          <w:sz w:val="18"/>
          <w:szCs w:val="18"/>
        </w:rPr>
        <w:t>(</w:t>
      </w:r>
      <w:r w:rsidRPr="000C7CFA">
        <w:rPr>
          <w:rFonts w:ascii="Verdana" w:hAnsi="Verdana"/>
          <w:i/>
          <w:color w:val="000000"/>
          <w:sz w:val="18"/>
          <w:szCs w:val="18"/>
        </w:rPr>
        <w:t>Pycnonotus sinensis</w:t>
      </w:r>
      <w:r w:rsidRPr="000C7CFA">
        <w:rPr>
          <w:rFonts w:ascii="Verdana" w:hAnsi="Verdana"/>
          <w:color w:val="000000"/>
          <w:sz w:val="18"/>
          <w:szCs w:val="18"/>
        </w:rPr>
        <w:t>, n=16)</w:t>
      </w:r>
      <w:r w:rsidRPr="000C7CFA">
        <w:rPr>
          <w:rFonts w:ascii="Verdana" w:hAnsi="Verdana"/>
          <w:sz w:val="18"/>
          <w:szCs w:val="18"/>
        </w:rPr>
        <w:t xml:space="preserve">, Long-tailed Shrike </w:t>
      </w:r>
      <w:r w:rsidRPr="000C7CFA">
        <w:rPr>
          <w:rFonts w:ascii="Verdana" w:hAnsi="Verdana"/>
          <w:color w:val="000000"/>
          <w:sz w:val="18"/>
          <w:szCs w:val="18"/>
        </w:rPr>
        <w:t>(</w:t>
      </w:r>
      <w:r w:rsidRPr="000C7CFA">
        <w:rPr>
          <w:rFonts w:ascii="Verdana" w:hAnsi="Verdana"/>
          <w:i/>
          <w:color w:val="000000"/>
          <w:sz w:val="18"/>
          <w:szCs w:val="18"/>
        </w:rPr>
        <w:t>Lanius schach</w:t>
      </w:r>
      <w:r w:rsidRPr="000C7CFA">
        <w:rPr>
          <w:rFonts w:ascii="Verdana" w:hAnsi="Verdana"/>
          <w:color w:val="000000"/>
          <w:sz w:val="18"/>
          <w:szCs w:val="18"/>
        </w:rPr>
        <w:t>, n=19)</w:t>
      </w:r>
      <w:r w:rsidRPr="000C7CFA">
        <w:rPr>
          <w:rFonts w:ascii="Verdana" w:hAnsi="Verdana"/>
          <w:sz w:val="18"/>
          <w:szCs w:val="18"/>
        </w:rPr>
        <w:t xml:space="preserve">, and Oriental Magpie-robin </w:t>
      </w:r>
      <w:r w:rsidRPr="000C7CFA">
        <w:rPr>
          <w:rFonts w:ascii="Verdana" w:hAnsi="Verdana"/>
          <w:color w:val="000000"/>
          <w:sz w:val="18"/>
          <w:szCs w:val="18"/>
        </w:rPr>
        <w:t>(</w:t>
      </w:r>
      <w:r w:rsidRPr="000C7CFA">
        <w:rPr>
          <w:rFonts w:ascii="Verdana" w:hAnsi="Verdana"/>
          <w:i/>
          <w:color w:val="000000"/>
          <w:sz w:val="18"/>
          <w:szCs w:val="18"/>
        </w:rPr>
        <w:t>Copsychus saularis</w:t>
      </w:r>
      <w:r w:rsidRPr="000C7CFA">
        <w:rPr>
          <w:rFonts w:ascii="Verdana" w:hAnsi="Verdana"/>
          <w:color w:val="000000"/>
          <w:sz w:val="18"/>
          <w:szCs w:val="18"/>
        </w:rPr>
        <w:t xml:space="preserve">, n=19) </w:t>
      </w:r>
      <w:r w:rsidRPr="000C7CFA">
        <w:rPr>
          <w:rFonts w:ascii="Verdana" w:hAnsi="Verdana"/>
          <w:sz w:val="18"/>
          <w:szCs w:val="18"/>
        </w:rPr>
        <w:t xml:space="preserve">were collected from </w:t>
      </w:r>
      <w:r w:rsidRPr="000C7CFA">
        <w:rPr>
          <w:rFonts w:ascii="Verdana" w:hAnsi="Verdana"/>
          <w:color w:val="000000"/>
          <w:sz w:val="18"/>
          <w:szCs w:val="18"/>
        </w:rPr>
        <w:t xml:space="preserve">seven </w:t>
      </w:r>
      <w:r w:rsidRPr="000C7CFA">
        <w:rPr>
          <w:rFonts w:ascii="Verdana" w:hAnsi="Verdana"/>
          <w:sz w:val="18"/>
          <w:szCs w:val="18"/>
        </w:rPr>
        <w:t>sites in the Pearl River Delta region of southern China</w:t>
      </w:r>
      <w:r w:rsidRPr="000C7CFA">
        <w:rPr>
          <w:rFonts w:ascii="Verdana" w:hAnsi="Verdana"/>
          <w:color w:val="000000"/>
          <w:sz w:val="18"/>
          <w:szCs w:val="18"/>
        </w:rPr>
        <w:t xml:space="preserve"> between September 2009 and May 2010</w:t>
      </w:r>
      <w:r w:rsidRPr="000C7CFA">
        <w:rPr>
          <w:rFonts w:ascii="Verdana" w:hAnsi="Verdana"/>
          <w:sz w:val="18"/>
          <w:szCs w:val="18"/>
        </w:rPr>
        <w:t>. F</w:t>
      </w:r>
      <w:r w:rsidRPr="000C7CFA">
        <w:rPr>
          <w:rFonts w:ascii="Verdana" w:hAnsi="Verdana"/>
          <w:color w:val="000000"/>
          <w:sz w:val="18"/>
          <w:szCs w:val="18"/>
        </w:rPr>
        <w:t>our of the sites had highly developed industries and were considered urban locations. The other three sites were characterized by agricultural activities so were considered rural locations.</w:t>
      </w:r>
      <w:r w:rsidRPr="000C7CFA">
        <w:rPr>
          <w:rFonts w:ascii="Verdana" w:hAnsi="Verdana"/>
          <w:sz w:val="18"/>
          <w:szCs w:val="18"/>
        </w:rPr>
        <w:t xml:space="preserve"> The three species are resident with relatively small territories and foraging areas. Captured birds were </w:t>
      </w:r>
      <w:r w:rsidRPr="000C7CFA">
        <w:rPr>
          <w:rFonts w:ascii="Verdana" w:hAnsi="Verdana"/>
          <w:color w:val="000000"/>
          <w:sz w:val="18"/>
          <w:szCs w:val="18"/>
        </w:rPr>
        <w:t>transported immediately to the laboratory, euthanized and then pectoral muscle and liver were excised from each bird and stored at -20 ºC until chemical analysis.</w:t>
      </w:r>
    </w:p>
    <w:p w14:paraId="2412F2F0" w14:textId="3922BCF8" w:rsidR="00B223CD" w:rsidRPr="000C7CFA" w:rsidRDefault="00B223CD" w:rsidP="00B223CD">
      <w:pPr>
        <w:autoSpaceDE w:val="0"/>
        <w:autoSpaceDN w:val="0"/>
        <w:adjustRightInd w:val="0"/>
        <w:spacing w:after="120"/>
        <w:ind w:left="425"/>
        <w:jc w:val="both"/>
        <w:rPr>
          <w:rFonts w:ascii="Verdana" w:hAnsi="Verdana"/>
          <w:sz w:val="18"/>
          <w:szCs w:val="18"/>
        </w:rPr>
      </w:pPr>
      <w:r w:rsidRPr="000C7CFA">
        <w:rPr>
          <w:rFonts w:ascii="Verdana" w:hAnsi="Verdana"/>
          <w:sz w:val="18"/>
          <w:szCs w:val="18"/>
        </w:rPr>
        <w:t>Following extraction, analysis was performed by GC/MS using electron capture negative ionization in the selective ion monitoring mode. Procedural blanks were performed in each batch of samples. Trace amounts of syn- and anti- isomers were detected in procedural blanks (n=10) with mean concentrations of 0.43 and 1.14 ng/mL (accounting for 5.</w:t>
      </w:r>
      <w:r w:rsidR="00AF7606" w:rsidRPr="000C7CFA">
        <w:rPr>
          <w:rFonts w:ascii="Verdana" w:hAnsi="Verdana"/>
          <w:sz w:val="18"/>
          <w:szCs w:val="18"/>
        </w:rPr>
        <w:t>3 %</w:t>
      </w:r>
      <w:r w:rsidRPr="000C7CFA">
        <w:rPr>
          <w:rFonts w:ascii="Verdana" w:hAnsi="Verdana"/>
          <w:sz w:val="18"/>
          <w:szCs w:val="18"/>
        </w:rPr>
        <w:t xml:space="preserve"> and 8.</w:t>
      </w:r>
      <w:r w:rsidR="00AF7606" w:rsidRPr="000C7CFA">
        <w:rPr>
          <w:rFonts w:ascii="Verdana" w:hAnsi="Verdana"/>
          <w:sz w:val="18"/>
          <w:szCs w:val="18"/>
        </w:rPr>
        <w:t>5 %</w:t>
      </w:r>
      <w:r w:rsidRPr="000C7CFA">
        <w:rPr>
          <w:rFonts w:ascii="Verdana" w:hAnsi="Verdana"/>
          <w:sz w:val="18"/>
          <w:szCs w:val="18"/>
        </w:rPr>
        <w:t xml:space="preserve"> of the sample with the lowest Dechlorane Plus level), respectively, and these were subtracted from the sample results. Recoveries of syn- and anti- isomers were evaluated by spiking known concentrations of the target isomers in solutions and matrix. The mean recoveries of syn- and anti- isomers in three spiked blanks were 87 ± 5.</w:t>
      </w:r>
      <w:r w:rsidR="00AF7606" w:rsidRPr="000C7CFA">
        <w:rPr>
          <w:rFonts w:ascii="Verdana" w:hAnsi="Verdana"/>
          <w:sz w:val="18"/>
          <w:szCs w:val="18"/>
        </w:rPr>
        <w:t>2 %</w:t>
      </w:r>
      <w:r w:rsidRPr="000C7CFA">
        <w:rPr>
          <w:rFonts w:ascii="Verdana" w:hAnsi="Verdana"/>
          <w:sz w:val="18"/>
          <w:szCs w:val="18"/>
        </w:rPr>
        <w:t xml:space="preserve"> and 92 ± 7.</w:t>
      </w:r>
      <w:r w:rsidR="00AF7606" w:rsidRPr="000C7CFA">
        <w:rPr>
          <w:rFonts w:ascii="Verdana" w:hAnsi="Verdana"/>
          <w:sz w:val="18"/>
          <w:szCs w:val="18"/>
        </w:rPr>
        <w:t>8 %</w:t>
      </w:r>
      <w:r w:rsidRPr="000C7CFA">
        <w:rPr>
          <w:rFonts w:ascii="Verdana" w:hAnsi="Verdana"/>
          <w:sz w:val="18"/>
          <w:szCs w:val="18"/>
        </w:rPr>
        <w:t>, and 96 ± 8.</w:t>
      </w:r>
      <w:r w:rsidR="00AF7606" w:rsidRPr="000C7CFA">
        <w:rPr>
          <w:rFonts w:ascii="Verdana" w:hAnsi="Verdana"/>
          <w:sz w:val="18"/>
          <w:szCs w:val="18"/>
        </w:rPr>
        <w:t>5 %</w:t>
      </w:r>
      <w:r w:rsidRPr="000C7CFA">
        <w:rPr>
          <w:rFonts w:ascii="Verdana" w:hAnsi="Verdana"/>
          <w:sz w:val="18"/>
          <w:szCs w:val="18"/>
        </w:rPr>
        <w:t xml:space="preserve"> and 91 ± 10.</w:t>
      </w:r>
      <w:r w:rsidR="00AF7606" w:rsidRPr="000C7CFA">
        <w:rPr>
          <w:rFonts w:ascii="Verdana" w:hAnsi="Verdana"/>
          <w:sz w:val="18"/>
          <w:szCs w:val="18"/>
        </w:rPr>
        <w:t>2 %</w:t>
      </w:r>
      <w:r w:rsidRPr="000C7CFA">
        <w:rPr>
          <w:rFonts w:ascii="Verdana" w:hAnsi="Verdana"/>
          <w:sz w:val="18"/>
          <w:szCs w:val="18"/>
        </w:rPr>
        <w:t xml:space="preserve"> in three matrix spikes, respectively. The mean recovery of the surrogate standard (</w:t>
      </w:r>
      <w:r w:rsidRPr="000C7CFA">
        <w:rPr>
          <w:rFonts w:ascii="Verdana" w:hAnsi="Verdana"/>
          <w:sz w:val="18"/>
          <w:szCs w:val="18"/>
          <w:vertAlign w:val="superscript"/>
        </w:rPr>
        <w:t>13</w:t>
      </w:r>
      <w:r w:rsidRPr="000C7CFA">
        <w:rPr>
          <w:rFonts w:ascii="Verdana" w:hAnsi="Verdana"/>
          <w:sz w:val="18"/>
          <w:szCs w:val="18"/>
        </w:rPr>
        <w:t>C-PCB-141) was 101 ± 14.</w:t>
      </w:r>
      <w:r w:rsidR="00AF7606" w:rsidRPr="000C7CFA">
        <w:rPr>
          <w:rFonts w:ascii="Verdana" w:hAnsi="Verdana"/>
          <w:sz w:val="18"/>
          <w:szCs w:val="18"/>
        </w:rPr>
        <w:t>3 %</w:t>
      </w:r>
      <w:r w:rsidRPr="000C7CFA">
        <w:rPr>
          <w:rFonts w:ascii="Verdana" w:hAnsi="Verdana"/>
          <w:sz w:val="18"/>
          <w:szCs w:val="18"/>
        </w:rPr>
        <w:t xml:space="preserve"> so reported concentrations were not corrected for surrogate recovery. The LoQ was 0.35, 2.28 and 0.03 µg/kg for syn-DP, anti-DP and anti-DP-1Cl/anti-DP-2Cl, respectively. Concentrations below the LoQs were considered to be zero in the subsequent data analysis.</w:t>
      </w:r>
    </w:p>
    <w:p w14:paraId="05FEB9AF" w14:textId="429ADE1C" w:rsidR="00B223CD" w:rsidRPr="000C7CFA" w:rsidRDefault="00B223CD" w:rsidP="00B223CD">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Both Dechlorane Plus isomers were detected in all samples. The concentration range (total isomers) was 3.9 – 930 </w:t>
      </w:r>
      <w:r w:rsidRPr="000C7CFA">
        <w:rPr>
          <w:rFonts w:ascii="Verdana" w:hAnsi="Verdana"/>
          <w:sz w:val="18"/>
          <w:szCs w:val="18"/>
        </w:rPr>
        <w:t>µ</w:t>
      </w:r>
      <w:r w:rsidRPr="000C7CFA">
        <w:rPr>
          <w:rFonts w:ascii="Verdana" w:hAnsi="Verdana"/>
          <w:color w:val="000000"/>
          <w:sz w:val="18"/>
          <w:szCs w:val="18"/>
        </w:rPr>
        <w:t xml:space="preserve">g/kg </w:t>
      </w:r>
      <w:proofErr w:type="gramStart"/>
      <w:r w:rsidRPr="000C7CFA">
        <w:rPr>
          <w:rFonts w:ascii="Verdana" w:hAnsi="Verdana"/>
          <w:color w:val="000000"/>
          <w:sz w:val="18"/>
          <w:szCs w:val="18"/>
        </w:rPr>
        <w:t>lw</w:t>
      </w:r>
      <w:proofErr w:type="gramEnd"/>
      <w:r w:rsidRPr="000C7CFA">
        <w:rPr>
          <w:rFonts w:ascii="Verdana" w:hAnsi="Verdana"/>
          <w:color w:val="000000"/>
          <w:sz w:val="18"/>
          <w:szCs w:val="18"/>
        </w:rPr>
        <w:t xml:space="preserve"> in muscle and 7.0 – 1</w:t>
      </w:r>
      <w:r w:rsidR="008610EB" w:rsidRPr="000C7CFA">
        <w:rPr>
          <w:rFonts w:ascii="Verdana" w:hAnsi="Verdana"/>
          <w:color w:val="000000"/>
          <w:sz w:val="18"/>
          <w:szCs w:val="18"/>
        </w:rPr>
        <w:t> </w:t>
      </w:r>
      <w:r w:rsidRPr="000C7CFA">
        <w:rPr>
          <w:rFonts w:ascii="Verdana" w:hAnsi="Verdana"/>
          <w:color w:val="000000"/>
          <w:sz w:val="18"/>
          <w:szCs w:val="18"/>
        </w:rPr>
        <w:t xml:space="preserve">300 </w:t>
      </w:r>
      <w:r w:rsidRPr="000C7CFA">
        <w:rPr>
          <w:rFonts w:ascii="Verdana" w:hAnsi="Verdana"/>
          <w:sz w:val="18"/>
          <w:szCs w:val="18"/>
        </w:rPr>
        <w:t>µ</w:t>
      </w:r>
      <w:r w:rsidRPr="000C7CFA">
        <w:rPr>
          <w:rFonts w:ascii="Verdana" w:hAnsi="Verdana"/>
          <w:color w:val="000000"/>
          <w:sz w:val="18"/>
          <w:szCs w:val="18"/>
        </w:rPr>
        <w:t xml:space="preserve">g/kg lw in liver, respectively. Birds from urban sites had significantly higher concentrations than from rural sites (mean: 300 versus 73 </w:t>
      </w:r>
      <w:r w:rsidRPr="000C7CFA">
        <w:rPr>
          <w:rFonts w:ascii="Verdana" w:hAnsi="Verdana"/>
          <w:sz w:val="18"/>
          <w:szCs w:val="18"/>
        </w:rPr>
        <w:t>µ</w:t>
      </w:r>
      <w:r w:rsidRPr="000C7CFA">
        <w:rPr>
          <w:rFonts w:ascii="Verdana" w:hAnsi="Verdana"/>
          <w:color w:val="000000"/>
          <w:sz w:val="18"/>
          <w:szCs w:val="18"/>
        </w:rPr>
        <w:t xml:space="preserve">g/kg </w:t>
      </w:r>
      <w:proofErr w:type="gramStart"/>
      <w:r w:rsidRPr="000C7CFA">
        <w:rPr>
          <w:rFonts w:ascii="Verdana" w:hAnsi="Verdana"/>
          <w:color w:val="000000"/>
          <w:sz w:val="18"/>
          <w:szCs w:val="18"/>
        </w:rPr>
        <w:t>lw</w:t>
      </w:r>
      <w:proofErr w:type="gramEnd"/>
      <w:r w:rsidRPr="000C7CFA">
        <w:rPr>
          <w:rFonts w:ascii="Verdana" w:hAnsi="Verdana"/>
          <w:color w:val="000000"/>
          <w:sz w:val="18"/>
          <w:szCs w:val="18"/>
        </w:rPr>
        <w:t xml:space="preserve">, </w:t>
      </w:r>
      <w:r w:rsidRPr="000C7CFA">
        <w:rPr>
          <w:rFonts w:ascii="Verdana" w:hAnsi="Verdana"/>
          <w:i/>
          <w:color w:val="000000"/>
          <w:sz w:val="18"/>
          <w:szCs w:val="18"/>
        </w:rPr>
        <w:t>p</w:t>
      </w:r>
      <w:r w:rsidRPr="000C7CFA">
        <w:rPr>
          <w:rFonts w:ascii="Verdana" w:hAnsi="Verdana"/>
          <w:color w:val="000000"/>
          <w:sz w:val="18"/>
          <w:szCs w:val="18"/>
        </w:rPr>
        <w:t xml:space="preserve"> &lt; 0.01), suggesting that contamination is linked to industrialization/urbanization. </w:t>
      </w:r>
    </w:p>
    <w:p w14:paraId="18260F8C" w14:textId="77777777" w:rsidR="00B223CD" w:rsidRPr="000C7CFA" w:rsidRDefault="00B223CD" w:rsidP="00B223CD">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All (except three bulbul and four shrike) samples had ratios of liver concentration to muscle plus liver concentration statistically significantly higher than 0.5 (for both isomers) (</w:t>
      </w:r>
      <w:r w:rsidRPr="000C7CFA">
        <w:rPr>
          <w:rFonts w:ascii="Verdana" w:hAnsi="Verdana"/>
          <w:i/>
          <w:color w:val="000000"/>
          <w:sz w:val="18"/>
          <w:szCs w:val="18"/>
        </w:rPr>
        <w:t>p </w:t>
      </w:r>
      <w:r w:rsidRPr="000C7CFA">
        <w:rPr>
          <w:rFonts w:ascii="Verdana" w:hAnsi="Verdana"/>
          <w:color w:val="000000"/>
          <w:sz w:val="18"/>
          <w:szCs w:val="18"/>
        </w:rPr>
        <w:t>&lt; 0.05), suggesting liver-specific accumulation. However, since muscle has a larger biomass than the liver, muscle concentrations were used for inter-species comparisons. ANOVA applied to samples from rural and urban sites separately indicated significant differences in Dechlorane Plus concentrations among bird species at both rural and urban sites (</w:t>
      </w:r>
      <w:r w:rsidRPr="000C7CFA">
        <w:rPr>
          <w:rFonts w:ascii="Verdana" w:hAnsi="Verdana"/>
          <w:i/>
          <w:color w:val="000000"/>
          <w:sz w:val="18"/>
          <w:szCs w:val="18"/>
        </w:rPr>
        <w:t>p</w:t>
      </w:r>
      <w:r w:rsidRPr="000C7CFA">
        <w:rPr>
          <w:rFonts w:ascii="Verdana" w:hAnsi="Verdana"/>
          <w:color w:val="000000"/>
          <w:sz w:val="18"/>
          <w:szCs w:val="18"/>
        </w:rPr>
        <w:t xml:space="preserve"> &lt; 0.05). Concentrations increased in the order of bulbul &lt; shrike &lt; magpie-robin, with concentrations in bulbul being significantly lower than the other two species (</w:t>
      </w:r>
      <w:r w:rsidRPr="000C7CFA">
        <w:rPr>
          <w:rFonts w:ascii="Verdana" w:hAnsi="Verdana"/>
          <w:i/>
          <w:color w:val="000000"/>
          <w:sz w:val="18"/>
          <w:szCs w:val="18"/>
        </w:rPr>
        <w:t>p</w:t>
      </w:r>
      <w:r w:rsidRPr="000C7CFA">
        <w:rPr>
          <w:rFonts w:ascii="Verdana" w:hAnsi="Verdana"/>
          <w:color w:val="000000"/>
          <w:sz w:val="18"/>
          <w:szCs w:val="18"/>
        </w:rPr>
        <w:t xml:space="preserve"> &lt; 0.05). </w:t>
      </w:r>
    </w:p>
    <w:p w14:paraId="072F1E57" w14:textId="5617E70B" w:rsidR="00B223CD" w:rsidRPr="000C7CFA" w:rsidRDefault="00B223CD" w:rsidP="00B223CD">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Bulbuls are polyphagous and eat primarily plant matter, whereas the other two species eat insects and small vertebrates. Average δ</w:t>
      </w:r>
      <w:r w:rsidRPr="000C7CFA">
        <w:rPr>
          <w:rFonts w:ascii="Verdana" w:hAnsi="Verdana"/>
          <w:color w:val="000000"/>
          <w:sz w:val="18"/>
          <w:szCs w:val="18"/>
          <w:vertAlign w:val="superscript"/>
        </w:rPr>
        <w:t>13</w:t>
      </w:r>
      <w:r w:rsidRPr="000C7CFA">
        <w:rPr>
          <w:rFonts w:ascii="Verdana" w:hAnsi="Verdana"/>
          <w:color w:val="000000"/>
          <w:sz w:val="18"/>
          <w:szCs w:val="18"/>
        </w:rPr>
        <w:t xml:space="preserve">C values for the bulbul were significantly lower than those of the other two species, confirming that the dietary carbon sources </w:t>
      </w:r>
      <w:r w:rsidRPr="000C7CFA">
        <w:rPr>
          <w:rFonts w:ascii="Verdana" w:hAnsi="Verdana"/>
          <w:color w:val="000000"/>
          <w:sz w:val="18"/>
          <w:szCs w:val="18"/>
        </w:rPr>
        <w:lastRenderedPageBreak/>
        <w:t>were different. Stable nitrogen isotope ratio (δ</w:t>
      </w:r>
      <w:r w:rsidRPr="000C7CFA">
        <w:rPr>
          <w:rFonts w:ascii="Verdana" w:hAnsi="Verdana"/>
          <w:color w:val="000000"/>
          <w:sz w:val="18"/>
          <w:szCs w:val="18"/>
          <w:vertAlign w:val="superscript"/>
        </w:rPr>
        <w:t>15</w:t>
      </w:r>
      <w:r w:rsidRPr="000C7CFA">
        <w:rPr>
          <w:rFonts w:ascii="Verdana" w:hAnsi="Verdana"/>
          <w:color w:val="000000"/>
          <w:sz w:val="18"/>
          <w:szCs w:val="18"/>
        </w:rPr>
        <w:t>N) values in muscle varied widely for each species, i.e. 1.88 – 9.10‰ for bulbul, 2.57 – 8.79‰ for shrike, and 3.22 – 9.38‰ for magpie-robin, respectively. Linear regression was therefore performed using data from individual samples rather than at the species level. A positive correlation was found between log normalized concentrations of Dechlorane Plus (syn- and anti- isomer separately) and δ</w:t>
      </w:r>
      <w:r w:rsidRPr="000C7CFA">
        <w:rPr>
          <w:rFonts w:ascii="Verdana" w:hAnsi="Verdana"/>
          <w:color w:val="000000"/>
          <w:sz w:val="18"/>
          <w:szCs w:val="18"/>
          <w:vertAlign w:val="superscript"/>
        </w:rPr>
        <w:t>15</w:t>
      </w:r>
      <w:r w:rsidRPr="000C7CFA">
        <w:rPr>
          <w:rFonts w:ascii="Verdana" w:hAnsi="Verdana"/>
          <w:color w:val="000000"/>
          <w:sz w:val="18"/>
          <w:szCs w:val="18"/>
        </w:rPr>
        <w:t xml:space="preserve">N values at both rural and urban sites (see Figure </w:t>
      </w:r>
      <w:r w:rsidR="00504011" w:rsidRPr="000C7CFA">
        <w:rPr>
          <w:rFonts w:ascii="Verdana" w:hAnsi="Verdana"/>
          <w:color w:val="000000"/>
          <w:sz w:val="18"/>
          <w:szCs w:val="18"/>
        </w:rPr>
        <w:t>7</w:t>
      </w:r>
      <w:r w:rsidRPr="000C7CFA">
        <w:rPr>
          <w:rFonts w:ascii="Verdana" w:hAnsi="Verdana"/>
          <w:color w:val="000000"/>
          <w:sz w:val="18"/>
          <w:szCs w:val="18"/>
        </w:rPr>
        <w:t xml:space="preserve">). </w:t>
      </w:r>
      <w:r w:rsidR="009773A7" w:rsidRPr="000C7CFA">
        <w:rPr>
          <w:rFonts w:ascii="Verdana" w:hAnsi="Verdana"/>
          <w:color w:val="000000"/>
          <w:sz w:val="18"/>
          <w:szCs w:val="18"/>
        </w:rPr>
        <w:t>Whilst this could</w:t>
      </w:r>
      <w:r w:rsidRPr="000C7CFA">
        <w:rPr>
          <w:rFonts w:ascii="Verdana" w:hAnsi="Verdana"/>
          <w:color w:val="000000"/>
          <w:sz w:val="18"/>
          <w:szCs w:val="18"/>
        </w:rPr>
        <w:t xml:space="preserve"> impl</w:t>
      </w:r>
      <w:r w:rsidR="009773A7" w:rsidRPr="000C7CFA">
        <w:rPr>
          <w:rFonts w:ascii="Verdana" w:hAnsi="Verdana"/>
          <w:color w:val="000000"/>
          <w:sz w:val="18"/>
          <w:szCs w:val="18"/>
        </w:rPr>
        <w:t>y</w:t>
      </w:r>
      <w:r w:rsidRPr="000C7CFA">
        <w:rPr>
          <w:rFonts w:ascii="Verdana" w:hAnsi="Verdana"/>
          <w:color w:val="000000"/>
          <w:sz w:val="18"/>
          <w:szCs w:val="18"/>
        </w:rPr>
        <w:t xml:space="preserve"> </w:t>
      </w:r>
      <w:r w:rsidR="009773A7" w:rsidRPr="000C7CFA">
        <w:rPr>
          <w:rFonts w:ascii="Verdana" w:hAnsi="Verdana"/>
          <w:color w:val="000000"/>
          <w:sz w:val="18"/>
          <w:szCs w:val="18"/>
        </w:rPr>
        <w:t>biomagnification, comparisons of trophic position between locations based on raw δ</w:t>
      </w:r>
      <w:r w:rsidR="009773A7" w:rsidRPr="000C7CFA">
        <w:rPr>
          <w:rFonts w:ascii="Verdana" w:hAnsi="Verdana"/>
          <w:color w:val="000000"/>
          <w:sz w:val="18"/>
          <w:szCs w:val="18"/>
          <w:vertAlign w:val="superscript"/>
        </w:rPr>
        <w:t>15</w:t>
      </w:r>
      <w:r w:rsidR="009773A7" w:rsidRPr="000C7CFA">
        <w:rPr>
          <w:rFonts w:ascii="Verdana" w:hAnsi="Verdana"/>
          <w:color w:val="000000"/>
          <w:sz w:val="18"/>
          <w:szCs w:val="18"/>
        </w:rPr>
        <w:t>N data are inappropriate since the baseline δ</w:t>
      </w:r>
      <w:r w:rsidR="009773A7" w:rsidRPr="000C7CFA">
        <w:rPr>
          <w:rFonts w:ascii="Verdana" w:hAnsi="Verdana"/>
          <w:color w:val="000000"/>
          <w:sz w:val="18"/>
          <w:szCs w:val="18"/>
          <w:vertAlign w:val="superscript"/>
        </w:rPr>
        <w:t>15</w:t>
      </w:r>
      <w:r w:rsidR="009773A7" w:rsidRPr="000C7CFA">
        <w:rPr>
          <w:rFonts w:ascii="Verdana" w:hAnsi="Verdana"/>
          <w:color w:val="000000"/>
          <w:sz w:val="18"/>
          <w:szCs w:val="18"/>
        </w:rPr>
        <w:t xml:space="preserve">N values for each site are unknown. </w:t>
      </w:r>
    </w:p>
    <w:p w14:paraId="35ABB717" w14:textId="77777777" w:rsidR="00990FB2" w:rsidRPr="000C7CFA" w:rsidRDefault="00990FB2">
      <w:pPr>
        <w:spacing w:after="0"/>
        <w:rPr>
          <w:rFonts w:ascii="Verdana" w:hAnsi="Verdana"/>
          <w:b/>
          <w:sz w:val="18"/>
          <w:szCs w:val="18"/>
          <w:lang w:val="en-GB"/>
        </w:rPr>
      </w:pPr>
    </w:p>
    <w:p w14:paraId="179BABC6" w14:textId="77777777" w:rsidR="008C25C7" w:rsidRPr="000C7CFA" w:rsidRDefault="00410A2A" w:rsidP="007C5E6D">
      <w:pPr>
        <w:pStyle w:val="Caption"/>
        <w:ind w:left="1560" w:hanging="1503"/>
        <w:rPr>
          <w:rFonts w:ascii="Verdana" w:hAnsi="Verdana"/>
          <w:b/>
          <w:sz w:val="18"/>
          <w:szCs w:val="18"/>
        </w:rPr>
      </w:pPr>
      <w:bookmarkStart w:id="85" w:name="_Toc489434281"/>
      <w:r w:rsidRPr="000C7CFA">
        <w:rPr>
          <w:rFonts w:ascii="Verdana" w:hAnsi="Verdana"/>
          <w:b/>
          <w:sz w:val="18"/>
          <w:szCs w:val="18"/>
        </w:rPr>
        <w:t xml:space="preserve">Figure </w:t>
      </w:r>
      <w:r w:rsidR="0005445F" w:rsidRPr="000C7CFA">
        <w:rPr>
          <w:rFonts w:ascii="Verdana" w:hAnsi="Verdana"/>
          <w:b/>
          <w:sz w:val="18"/>
          <w:szCs w:val="18"/>
        </w:rPr>
        <w:fldChar w:fldCharType="begin"/>
      </w:r>
      <w:r w:rsidR="0005445F" w:rsidRPr="000C7CFA">
        <w:rPr>
          <w:rFonts w:ascii="Verdana" w:hAnsi="Verdana"/>
          <w:b/>
          <w:sz w:val="18"/>
          <w:szCs w:val="18"/>
        </w:rPr>
        <w:instrText xml:space="preserve"> SEQ Figure \* ARABIC </w:instrText>
      </w:r>
      <w:r w:rsidR="0005445F" w:rsidRPr="000C7CFA">
        <w:rPr>
          <w:rFonts w:ascii="Verdana" w:hAnsi="Verdana"/>
          <w:b/>
          <w:sz w:val="18"/>
          <w:szCs w:val="18"/>
        </w:rPr>
        <w:fldChar w:fldCharType="separate"/>
      </w:r>
      <w:r w:rsidR="00BA2885" w:rsidRPr="000C7CFA">
        <w:rPr>
          <w:rFonts w:ascii="Verdana" w:hAnsi="Verdana"/>
          <w:b/>
          <w:noProof/>
          <w:sz w:val="18"/>
          <w:szCs w:val="18"/>
        </w:rPr>
        <w:t>7</w:t>
      </w:r>
      <w:r w:rsidR="0005445F" w:rsidRPr="000C7CFA">
        <w:rPr>
          <w:rFonts w:ascii="Verdana" w:hAnsi="Verdana"/>
          <w:b/>
          <w:noProof/>
          <w:sz w:val="18"/>
          <w:szCs w:val="18"/>
        </w:rPr>
        <w:fldChar w:fldCharType="end"/>
      </w:r>
      <w:r w:rsidR="008C25C7" w:rsidRPr="000C7CFA">
        <w:rPr>
          <w:rFonts w:ascii="Verdana" w:hAnsi="Verdana"/>
          <w:b/>
          <w:sz w:val="18"/>
          <w:szCs w:val="18"/>
        </w:rPr>
        <w:t xml:space="preserve">: </w:t>
      </w:r>
      <w:r w:rsidR="008C25C7" w:rsidRPr="000C7CFA">
        <w:rPr>
          <w:rFonts w:ascii="Verdana" w:hAnsi="Verdana"/>
          <w:b/>
          <w:sz w:val="18"/>
          <w:szCs w:val="18"/>
        </w:rPr>
        <w:tab/>
        <w:t>Plot of mean Dechlorane Plus concentrations in passerine muscle versus δ</w:t>
      </w:r>
      <w:r w:rsidR="008C25C7" w:rsidRPr="000C7CFA">
        <w:rPr>
          <w:rFonts w:ascii="Verdana" w:hAnsi="Verdana"/>
          <w:b/>
          <w:sz w:val="18"/>
          <w:szCs w:val="18"/>
          <w:vertAlign w:val="superscript"/>
        </w:rPr>
        <w:t>15</w:t>
      </w:r>
      <w:r w:rsidR="008C25C7" w:rsidRPr="000C7CFA">
        <w:rPr>
          <w:rFonts w:ascii="Verdana" w:hAnsi="Verdana"/>
          <w:b/>
          <w:sz w:val="18"/>
          <w:szCs w:val="18"/>
        </w:rPr>
        <w:t>N</w:t>
      </w:r>
      <w:bookmarkEnd w:id="85"/>
    </w:p>
    <w:p w14:paraId="4A198A2B" w14:textId="77777777" w:rsidR="00B223CD" w:rsidRPr="000C7CFA" w:rsidRDefault="00591815" w:rsidP="00B223CD">
      <w:pPr>
        <w:autoSpaceDE w:val="0"/>
        <w:autoSpaceDN w:val="0"/>
        <w:adjustRightInd w:val="0"/>
        <w:spacing w:after="120"/>
        <w:ind w:left="425"/>
        <w:jc w:val="both"/>
        <w:rPr>
          <w:rFonts w:ascii="Verdana" w:hAnsi="Verdana"/>
          <w:color w:val="000000"/>
          <w:sz w:val="18"/>
          <w:szCs w:val="18"/>
        </w:rPr>
      </w:pPr>
      <w:r w:rsidRPr="000C7CFA">
        <w:rPr>
          <w:rFonts w:ascii="Verdana" w:hAnsi="Verdana"/>
          <w:noProof/>
          <w:color w:val="000000"/>
          <w:sz w:val="18"/>
          <w:szCs w:val="18"/>
          <w:lang w:val="en-GB" w:eastAsia="en-GB"/>
        </w:rPr>
        <w:drawing>
          <wp:inline distT="0" distB="0" distL="0" distR="0" wp14:anchorId="065D0D4D" wp14:editId="3AD3FE8B">
            <wp:extent cx="4852874" cy="2814199"/>
            <wp:effectExtent l="19050" t="0" r="4876"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853856" cy="2814769"/>
                    </a:xfrm>
                    <a:prstGeom prst="rect">
                      <a:avLst/>
                    </a:prstGeom>
                    <a:noFill/>
                    <a:ln w="9525">
                      <a:noFill/>
                      <a:miter lim="800000"/>
                      <a:headEnd/>
                      <a:tailEnd/>
                    </a:ln>
                  </pic:spPr>
                </pic:pic>
              </a:graphicData>
            </a:graphic>
          </wp:inline>
        </w:drawing>
      </w:r>
      <w:r w:rsidR="00B223CD" w:rsidRPr="000C7CFA">
        <w:rPr>
          <w:rFonts w:ascii="Verdana" w:hAnsi="Verdana"/>
          <w:color w:val="000000"/>
          <w:sz w:val="18"/>
          <w:szCs w:val="18"/>
        </w:rPr>
        <w:t xml:space="preserve"> </w:t>
      </w:r>
    </w:p>
    <w:p w14:paraId="50D67926" w14:textId="77777777" w:rsidR="003E7741" w:rsidRPr="000C7CFA" w:rsidRDefault="003E7741" w:rsidP="003E7741">
      <w:pPr>
        <w:autoSpaceDE w:val="0"/>
        <w:autoSpaceDN w:val="0"/>
        <w:adjustRightInd w:val="0"/>
        <w:spacing w:after="0"/>
        <w:ind w:left="1134" w:right="657"/>
        <w:jc w:val="center"/>
        <w:rPr>
          <w:rFonts w:ascii="Verdana" w:hAnsi="Verdana"/>
          <w:b/>
          <w:sz w:val="18"/>
          <w:szCs w:val="18"/>
          <w:lang w:val="en-GB"/>
        </w:rPr>
      </w:pPr>
      <w:r w:rsidRPr="000C7CFA">
        <w:rPr>
          <w:rFonts w:ascii="Verdana" w:hAnsi="Verdana"/>
          <w:b/>
          <w:sz w:val="18"/>
          <w:szCs w:val="18"/>
          <w:lang w:val="en-GB"/>
        </w:rPr>
        <w:t>(</w:t>
      </w:r>
      <w:proofErr w:type="gramStart"/>
      <w:r w:rsidRPr="000C7CFA">
        <w:rPr>
          <w:rFonts w:ascii="Verdana" w:hAnsi="Verdana"/>
          <w:b/>
          <w:sz w:val="18"/>
          <w:szCs w:val="18"/>
          <w:lang w:val="en-GB"/>
        </w:rPr>
        <w:t>reprinted</w:t>
      </w:r>
      <w:proofErr w:type="gramEnd"/>
      <w:r w:rsidRPr="000C7CFA">
        <w:rPr>
          <w:rFonts w:ascii="Verdana" w:hAnsi="Verdana"/>
          <w:b/>
          <w:sz w:val="18"/>
          <w:szCs w:val="18"/>
          <w:lang w:val="en-GB"/>
        </w:rPr>
        <w:t xml:space="preserve"> with permission from Sun</w:t>
      </w:r>
      <w:r w:rsidRPr="000C7CFA">
        <w:rPr>
          <w:rFonts w:ascii="Verdana" w:hAnsi="Verdana"/>
          <w:b/>
          <w:sz w:val="18"/>
          <w:szCs w:val="18"/>
        </w:rPr>
        <w:t xml:space="preserve"> </w:t>
      </w:r>
      <w:r w:rsidRPr="000C7CFA">
        <w:rPr>
          <w:rFonts w:ascii="Verdana" w:hAnsi="Verdana"/>
          <w:b/>
          <w:i/>
          <w:sz w:val="18"/>
          <w:szCs w:val="18"/>
        </w:rPr>
        <w:t>et al</w:t>
      </w:r>
      <w:r w:rsidRPr="000C7CFA">
        <w:rPr>
          <w:rFonts w:ascii="Verdana" w:hAnsi="Verdana"/>
          <w:b/>
          <w:sz w:val="18"/>
          <w:szCs w:val="18"/>
        </w:rPr>
        <w:t>. (2012). Copyright 2012:</w:t>
      </w:r>
      <w:r w:rsidR="00591815" w:rsidRPr="000C7CFA">
        <w:rPr>
          <w:rFonts w:ascii="Verdana" w:hAnsi="Verdana"/>
          <w:b/>
          <w:sz w:val="18"/>
          <w:szCs w:val="18"/>
        </w:rPr>
        <w:t xml:space="preserve"> Elsevier Ltd</w:t>
      </w:r>
      <w:r w:rsidRPr="000C7CFA">
        <w:rPr>
          <w:rFonts w:ascii="Verdana" w:hAnsi="Verdana"/>
          <w:b/>
          <w:sz w:val="18"/>
          <w:szCs w:val="18"/>
          <w:lang w:val="en-GB"/>
        </w:rPr>
        <w:t>)</w:t>
      </w:r>
    </w:p>
    <w:p w14:paraId="4EF2855D" w14:textId="77777777" w:rsidR="003E7741" w:rsidRPr="000C7CFA" w:rsidRDefault="003E7741" w:rsidP="003E7741">
      <w:pPr>
        <w:autoSpaceDE w:val="0"/>
        <w:autoSpaceDN w:val="0"/>
        <w:adjustRightInd w:val="0"/>
        <w:spacing w:after="0"/>
        <w:ind w:left="1134" w:right="657"/>
        <w:jc w:val="center"/>
        <w:rPr>
          <w:rFonts w:ascii="Verdana" w:hAnsi="Verdana"/>
          <w:b/>
          <w:sz w:val="18"/>
          <w:szCs w:val="18"/>
          <w:lang w:val="en-GB"/>
        </w:rPr>
      </w:pPr>
    </w:p>
    <w:p w14:paraId="48F32377" w14:textId="77777777" w:rsidR="00B223CD" w:rsidRPr="000C7CFA" w:rsidRDefault="00B223CD" w:rsidP="00B223CD">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 xml:space="preserve">No significant difference in the </w:t>
      </w:r>
      <w:proofErr w:type="gramStart"/>
      <w:r w:rsidRPr="000C7CFA">
        <w:rPr>
          <w:rFonts w:ascii="Verdana" w:hAnsi="Verdana"/>
          <w:color w:val="000000"/>
          <w:sz w:val="18"/>
          <w:szCs w:val="18"/>
        </w:rPr>
        <w:t>f</w:t>
      </w:r>
      <w:r w:rsidRPr="000C7CFA">
        <w:rPr>
          <w:rFonts w:ascii="Verdana" w:hAnsi="Verdana"/>
          <w:color w:val="000000"/>
          <w:sz w:val="18"/>
          <w:szCs w:val="18"/>
          <w:vertAlign w:val="subscript"/>
        </w:rPr>
        <w:t>anti</w:t>
      </w:r>
      <w:proofErr w:type="gramEnd"/>
      <w:r w:rsidRPr="000C7CFA">
        <w:rPr>
          <w:rFonts w:ascii="Verdana" w:hAnsi="Verdana"/>
          <w:color w:val="000000"/>
          <w:sz w:val="18"/>
          <w:szCs w:val="18"/>
        </w:rPr>
        <w:t xml:space="preserve"> values between muscle and liver was observed so an overall f</w:t>
      </w:r>
      <w:r w:rsidRPr="000C7CFA">
        <w:rPr>
          <w:rFonts w:ascii="Verdana" w:hAnsi="Verdana"/>
          <w:color w:val="000000"/>
          <w:sz w:val="18"/>
          <w:szCs w:val="18"/>
          <w:vertAlign w:val="subscript"/>
        </w:rPr>
        <w:t>anti</w:t>
      </w:r>
      <w:r w:rsidRPr="000C7CFA">
        <w:rPr>
          <w:rFonts w:ascii="Verdana" w:hAnsi="Verdana"/>
          <w:color w:val="000000"/>
          <w:sz w:val="18"/>
          <w:szCs w:val="18"/>
        </w:rPr>
        <w:t xml:space="preserve"> was calculated for the three species separated into two groups (urban and rural). The </w:t>
      </w:r>
      <w:proofErr w:type="gramStart"/>
      <w:r w:rsidRPr="000C7CFA">
        <w:rPr>
          <w:rFonts w:ascii="Verdana" w:hAnsi="Verdana"/>
          <w:color w:val="000000"/>
          <w:sz w:val="18"/>
          <w:szCs w:val="18"/>
        </w:rPr>
        <w:t>f</w:t>
      </w:r>
      <w:r w:rsidRPr="000C7CFA">
        <w:rPr>
          <w:rFonts w:ascii="Verdana" w:hAnsi="Verdana"/>
          <w:color w:val="000000"/>
          <w:sz w:val="18"/>
          <w:szCs w:val="18"/>
          <w:vertAlign w:val="subscript"/>
        </w:rPr>
        <w:t>anti</w:t>
      </w:r>
      <w:proofErr w:type="gramEnd"/>
      <w:r w:rsidRPr="000C7CFA">
        <w:rPr>
          <w:rFonts w:ascii="Verdana" w:hAnsi="Verdana"/>
          <w:color w:val="000000"/>
          <w:sz w:val="18"/>
          <w:szCs w:val="18"/>
        </w:rPr>
        <w:t xml:space="preserve"> values in birds from rural sites were significantly higher than those from urban sites (</w:t>
      </w:r>
      <w:r w:rsidRPr="000C7CFA">
        <w:rPr>
          <w:rFonts w:ascii="Verdana" w:hAnsi="Verdana"/>
          <w:i/>
          <w:color w:val="000000"/>
          <w:sz w:val="18"/>
          <w:szCs w:val="18"/>
        </w:rPr>
        <w:t>p</w:t>
      </w:r>
      <w:r w:rsidRPr="000C7CFA">
        <w:rPr>
          <w:rFonts w:ascii="Verdana" w:hAnsi="Verdana"/>
          <w:color w:val="000000"/>
          <w:sz w:val="18"/>
          <w:szCs w:val="18"/>
        </w:rPr>
        <w:t xml:space="preserve"> &lt; 0.05). In addition, there was a significant negative correlation between the </w:t>
      </w:r>
      <w:proofErr w:type="gramStart"/>
      <w:r w:rsidRPr="000C7CFA">
        <w:rPr>
          <w:rFonts w:ascii="Verdana" w:hAnsi="Verdana"/>
          <w:color w:val="000000"/>
          <w:sz w:val="18"/>
          <w:szCs w:val="18"/>
        </w:rPr>
        <w:t>f</w:t>
      </w:r>
      <w:r w:rsidRPr="000C7CFA">
        <w:rPr>
          <w:rFonts w:ascii="Verdana" w:hAnsi="Verdana"/>
          <w:color w:val="000000"/>
          <w:sz w:val="18"/>
          <w:szCs w:val="18"/>
          <w:vertAlign w:val="subscript"/>
        </w:rPr>
        <w:t>anti</w:t>
      </w:r>
      <w:proofErr w:type="gramEnd"/>
      <w:r w:rsidRPr="000C7CFA">
        <w:rPr>
          <w:rFonts w:ascii="Verdana" w:hAnsi="Verdana"/>
          <w:color w:val="000000"/>
          <w:sz w:val="18"/>
          <w:szCs w:val="18"/>
        </w:rPr>
        <w:t xml:space="preserve"> values and δ</w:t>
      </w:r>
      <w:r w:rsidRPr="000C7CFA">
        <w:rPr>
          <w:rFonts w:ascii="Verdana" w:hAnsi="Verdana"/>
          <w:color w:val="000000"/>
          <w:sz w:val="18"/>
          <w:szCs w:val="18"/>
          <w:vertAlign w:val="superscript"/>
        </w:rPr>
        <w:t>15</w:t>
      </w:r>
      <w:r w:rsidRPr="000C7CFA">
        <w:rPr>
          <w:rFonts w:ascii="Verdana" w:hAnsi="Verdana"/>
          <w:color w:val="000000"/>
          <w:sz w:val="18"/>
          <w:szCs w:val="18"/>
        </w:rPr>
        <w:t>N at both rural and urban sites (</w:t>
      </w:r>
      <w:r w:rsidRPr="000C7CFA">
        <w:rPr>
          <w:rFonts w:ascii="Verdana" w:hAnsi="Verdana"/>
          <w:i/>
          <w:color w:val="000000"/>
          <w:sz w:val="18"/>
          <w:szCs w:val="18"/>
        </w:rPr>
        <w:t>p</w:t>
      </w:r>
      <w:r w:rsidRPr="000C7CFA">
        <w:rPr>
          <w:rFonts w:ascii="Verdana" w:hAnsi="Verdana"/>
          <w:color w:val="000000"/>
          <w:sz w:val="18"/>
          <w:szCs w:val="18"/>
        </w:rPr>
        <w:t xml:space="preserve"> &lt; 0.05). This result suggests that higher trophic organisms may preferentially accumulate the syn- isomer.</w:t>
      </w:r>
    </w:p>
    <w:p w14:paraId="32A46E8A" w14:textId="72C8F4AE" w:rsidR="00B223CD" w:rsidRPr="000C7CFA" w:rsidRDefault="00B223CD" w:rsidP="00B223CD">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No anti-DP-2Cl was detected in any sample, but anti-DP-1Cl was detected at up to 7.6 </w:t>
      </w:r>
      <w:r w:rsidRPr="000C7CFA">
        <w:rPr>
          <w:rFonts w:ascii="Verdana" w:hAnsi="Verdana"/>
          <w:sz w:val="18"/>
          <w:szCs w:val="18"/>
        </w:rPr>
        <w:t>µ</w:t>
      </w:r>
      <w:r w:rsidRPr="000C7CFA">
        <w:rPr>
          <w:rFonts w:ascii="Verdana" w:hAnsi="Verdana"/>
          <w:color w:val="000000"/>
          <w:sz w:val="18"/>
          <w:szCs w:val="18"/>
        </w:rPr>
        <w:t xml:space="preserve">g/kg </w:t>
      </w:r>
      <w:proofErr w:type="gramStart"/>
      <w:r w:rsidRPr="000C7CFA">
        <w:rPr>
          <w:rFonts w:ascii="Verdana" w:hAnsi="Verdana"/>
          <w:color w:val="000000"/>
          <w:sz w:val="18"/>
          <w:szCs w:val="18"/>
        </w:rPr>
        <w:t>lw</w:t>
      </w:r>
      <w:proofErr w:type="gramEnd"/>
      <w:r w:rsidRPr="000C7CFA">
        <w:rPr>
          <w:rFonts w:ascii="Verdana" w:hAnsi="Verdana"/>
          <w:color w:val="000000"/>
          <w:sz w:val="18"/>
          <w:szCs w:val="18"/>
        </w:rPr>
        <w:t xml:space="preserve"> at frequencies of 28, 37 and 5</w:t>
      </w:r>
      <w:r w:rsidR="00AF7606" w:rsidRPr="000C7CFA">
        <w:rPr>
          <w:rFonts w:ascii="Verdana" w:hAnsi="Verdana"/>
          <w:color w:val="000000"/>
          <w:sz w:val="18"/>
          <w:szCs w:val="18"/>
        </w:rPr>
        <w:t>5 %</w:t>
      </w:r>
      <w:r w:rsidRPr="000C7CFA">
        <w:rPr>
          <w:rFonts w:ascii="Verdana" w:hAnsi="Verdana"/>
          <w:color w:val="000000"/>
          <w:sz w:val="18"/>
          <w:szCs w:val="18"/>
        </w:rPr>
        <w:t xml:space="preserve"> in bulbul, shrike and magpie-robin, respectively. Another substance found in 15 of the samples (up to around 41 </w:t>
      </w:r>
      <w:r w:rsidRPr="000C7CFA">
        <w:rPr>
          <w:rFonts w:ascii="Verdana" w:hAnsi="Verdana"/>
          <w:sz w:val="18"/>
          <w:szCs w:val="18"/>
        </w:rPr>
        <w:t>µ</w:t>
      </w:r>
      <w:r w:rsidRPr="000C7CFA">
        <w:rPr>
          <w:rFonts w:ascii="Verdana" w:hAnsi="Verdana"/>
          <w:color w:val="000000"/>
          <w:sz w:val="18"/>
          <w:szCs w:val="18"/>
        </w:rPr>
        <w:t xml:space="preserve">g/kg </w:t>
      </w:r>
      <w:proofErr w:type="gramStart"/>
      <w:r w:rsidRPr="000C7CFA">
        <w:rPr>
          <w:rFonts w:ascii="Verdana" w:hAnsi="Verdana"/>
          <w:color w:val="000000"/>
          <w:sz w:val="18"/>
          <w:szCs w:val="18"/>
        </w:rPr>
        <w:t>lw</w:t>
      </w:r>
      <w:proofErr w:type="gramEnd"/>
      <w:r w:rsidRPr="000C7CFA">
        <w:rPr>
          <w:rFonts w:ascii="Verdana" w:hAnsi="Verdana"/>
          <w:color w:val="000000"/>
          <w:sz w:val="18"/>
          <w:szCs w:val="18"/>
        </w:rPr>
        <w:t xml:space="preserve">) was believed to be syn-DP-1Cl, but this could not be confirmed due to the lack of an authentic standard. </w:t>
      </w:r>
    </w:p>
    <w:p w14:paraId="69316398" w14:textId="4C6186D4" w:rsidR="00B223CD" w:rsidRPr="000C7CFA" w:rsidRDefault="00B223CD" w:rsidP="00B223CD">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 xml:space="preserve">The use of </w:t>
      </w:r>
      <w:r w:rsidR="00E917EB" w:rsidRPr="000C7CFA">
        <w:rPr>
          <w:rFonts w:ascii="Verdana" w:hAnsi="Verdana"/>
          <w:color w:val="000000"/>
          <w:sz w:val="18"/>
          <w:szCs w:val="18"/>
        </w:rPr>
        <w:t>lipid normalized concentrations</w:t>
      </w:r>
      <w:r w:rsidR="009773A7" w:rsidRPr="000C7CFA">
        <w:rPr>
          <w:rFonts w:ascii="Verdana" w:hAnsi="Verdana"/>
          <w:color w:val="000000"/>
          <w:sz w:val="18"/>
          <w:szCs w:val="18"/>
        </w:rPr>
        <w:t xml:space="preserve"> in muscle</w:t>
      </w:r>
      <w:r w:rsidR="00E917EB" w:rsidRPr="000C7CFA">
        <w:rPr>
          <w:rFonts w:ascii="Verdana" w:hAnsi="Verdana"/>
          <w:color w:val="000000"/>
          <w:sz w:val="18"/>
          <w:szCs w:val="18"/>
        </w:rPr>
        <w:t xml:space="preserve"> </w:t>
      </w:r>
      <w:r w:rsidRPr="000C7CFA">
        <w:rPr>
          <w:rFonts w:ascii="Verdana" w:hAnsi="Verdana"/>
          <w:color w:val="000000"/>
          <w:sz w:val="18"/>
          <w:szCs w:val="18"/>
        </w:rPr>
        <w:t xml:space="preserve">to indicate biomagnification potential might not be reliable if </w:t>
      </w:r>
      <w:r w:rsidR="00E917EB" w:rsidRPr="000C7CFA">
        <w:rPr>
          <w:rFonts w:ascii="Verdana" w:hAnsi="Verdana"/>
          <w:color w:val="000000"/>
          <w:sz w:val="18"/>
          <w:szCs w:val="18"/>
        </w:rPr>
        <w:t>they are</w:t>
      </w:r>
      <w:r w:rsidRPr="000C7CFA">
        <w:rPr>
          <w:rFonts w:ascii="Verdana" w:hAnsi="Verdana"/>
          <w:color w:val="000000"/>
          <w:sz w:val="18"/>
          <w:szCs w:val="18"/>
        </w:rPr>
        <w:t xml:space="preserve"> not representative of whole body concentrations. </w:t>
      </w:r>
      <w:r w:rsidR="00E917EB" w:rsidRPr="000C7CFA">
        <w:rPr>
          <w:rFonts w:ascii="Verdana" w:hAnsi="Verdana"/>
          <w:sz w:val="18"/>
          <w:szCs w:val="18"/>
        </w:rPr>
        <w:t xml:space="preserve">It is not clear how the calculations would be </w:t>
      </w:r>
      <w:r w:rsidR="00E917EB" w:rsidRPr="000C7CFA">
        <w:rPr>
          <w:rFonts w:ascii="Verdana" w:hAnsi="Verdana"/>
          <w:sz w:val="18"/>
          <w:szCs w:val="18"/>
          <w:lang w:val="en-GB" w:eastAsia="en-GB"/>
        </w:rPr>
        <w:t>affected</w:t>
      </w:r>
      <w:r w:rsidR="00E917EB" w:rsidRPr="000C7CFA">
        <w:rPr>
          <w:rFonts w:ascii="Verdana" w:hAnsi="Verdana"/>
          <w:sz w:val="18"/>
          <w:szCs w:val="18"/>
        </w:rPr>
        <w:t xml:space="preserve"> if the concentrations were expressed as a geometric mean rather than median concentration</w:t>
      </w:r>
      <w:r w:rsidR="009773A7" w:rsidRPr="000C7CFA">
        <w:rPr>
          <w:rFonts w:ascii="Verdana" w:hAnsi="Verdana"/>
          <w:sz w:val="18"/>
          <w:szCs w:val="18"/>
        </w:rPr>
        <w:t>, or wet weight concentrations</w:t>
      </w:r>
      <w:r w:rsidR="00E917EB" w:rsidRPr="000C7CFA">
        <w:rPr>
          <w:rFonts w:ascii="Verdana" w:hAnsi="Verdana"/>
          <w:sz w:val="18"/>
          <w:szCs w:val="18"/>
        </w:rPr>
        <w:t xml:space="preserve">. </w:t>
      </w:r>
      <w:r w:rsidRPr="000C7CFA">
        <w:rPr>
          <w:rFonts w:ascii="Verdana" w:hAnsi="Verdana"/>
          <w:color w:val="000000"/>
          <w:sz w:val="18"/>
          <w:szCs w:val="18"/>
        </w:rPr>
        <w:t>The variation in trophic status is also surprisingly wide for each species</w:t>
      </w:r>
      <w:r w:rsidR="009773A7" w:rsidRPr="000C7CFA">
        <w:rPr>
          <w:rFonts w:ascii="Verdana" w:hAnsi="Verdana"/>
          <w:color w:val="000000"/>
          <w:sz w:val="18"/>
          <w:szCs w:val="18"/>
        </w:rPr>
        <w:t>. As noted above, plotting all raw δ</w:t>
      </w:r>
      <w:r w:rsidR="009773A7" w:rsidRPr="000C7CFA">
        <w:rPr>
          <w:rFonts w:ascii="Verdana" w:hAnsi="Verdana"/>
          <w:color w:val="000000"/>
          <w:sz w:val="18"/>
          <w:szCs w:val="18"/>
          <w:vertAlign w:val="superscript"/>
        </w:rPr>
        <w:t>15</w:t>
      </w:r>
      <w:r w:rsidR="009773A7" w:rsidRPr="000C7CFA">
        <w:rPr>
          <w:rFonts w:ascii="Verdana" w:hAnsi="Verdana"/>
          <w:color w:val="000000"/>
          <w:sz w:val="18"/>
          <w:szCs w:val="18"/>
        </w:rPr>
        <w:t>N data together from different sites is not appropriate</w:t>
      </w:r>
      <w:r w:rsidRPr="000C7CFA">
        <w:rPr>
          <w:rFonts w:ascii="Verdana" w:hAnsi="Verdana"/>
          <w:color w:val="000000"/>
          <w:sz w:val="18"/>
          <w:szCs w:val="18"/>
        </w:rPr>
        <w:t xml:space="preserve">. It is unfortunate that there are no data on levels in food items, so the actual level of accumulation from the diet cannot be assessed. </w:t>
      </w:r>
      <w:r w:rsidR="009773A7" w:rsidRPr="000C7CFA">
        <w:rPr>
          <w:rFonts w:ascii="Verdana" w:hAnsi="Verdana"/>
          <w:color w:val="000000"/>
          <w:sz w:val="18"/>
          <w:szCs w:val="18"/>
        </w:rPr>
        <w:t>T</w:t>
      </w:r>
      <w:r w:rsidRPr="000C7CFA">
        <w:rPr>
          <w:rFonts w:ascii="Verdana" w:hAnsi="Verdana"/>
          <w:color w:val="000000"/>
          <w:sz w:val="18"/>
          <w:szCs w:val="18"/>
        </w:rPr>
        <w:t>his study</w:t>
      </w:r>
      <w:r w:rsidR="009773A7" w:rsidRPr="000C7CFA">
        <w:rPr>
          <w:rFonts w:ascii="Verdana" w:hAnsi="Verdana"/>
          <w:color w:val="000000"/>
          <w:sz w:val="18"/>
          <w:szCs w:val="18"/>
        </w:rPr>
        <w:t xml:space="preserve"> </w:t>
      </w:r>
      <w:r w:rsidR="0060361F" w:rsidRPr="000C7CFA">
        <w:rPr>
          <w:rFonts w:ascii="Verdana" w:hAnsi="Verdana"/>
          <w:color w:val="000000"/>
          <w:sz w:val="18"/>
          <w:szCs w:val="18"/>
        </w:rPr>
        <w:t xml:space="preserve">therefore </w:t>
      </w:r>
      <w:r w:rsidR="009773A7" w:rsidRPr="000C7CFA">
        <w:rPr>
          <w:rFonts w:ascii="Verdana" w:hAnsi="Verdana"/>
          <w:color w:val="000000"/>
          <w:sz w:val="18"/>
          <w:szCs w:val="18"/>
        </w:rPr>
        <w:t>only</w:t>
      </w:r>
      <w:r w:rsidRPr="000C7CFA">
        <w:rPr>
          <w:rFonts w:ascii="Verdana" w:hAnsi="Verdana"/>
          <w:color w:val="000000"/>
          <w:sz w:val="18"/>
          <w:szCs w:val="18"/>
        </w:rPr>
        <w:t xml:space="preserve"> provides </w:t>
      </w:r>
      <w:r w:rsidR="009773A7" w:rsidRPr="000C7CFA">
        <w:rPr>
          <w:rFonts w:ascii="Verdana" w:hAnsi="Verdana"/>
          <w:color w:val="000000"/>
          <w:sz w:val="18"/>
          <w:szCs w:val="18"/>
        </w:rPr>
        <w:t>equivocal</w:t>
      </w:r>
      <w:r w:rsidRPr="000C7CFA">
        <w:rPr>
          <w:rFonts w:ascii="Verdana" w:hAnsi="Verdana"/>
          <w:color w:val="000000"/>
          <w:sz w:val="18"/>
          <w:szCs w:val="18"/>
        </w:rPr>
        <w:t xml:space="preserve"> evidence </w:t>
      </w:r>
      <w:r w:rsidR="00E917EB" w:rsidRPr="000C7CFA">
        <w:rPr>
          <w:rFonts w:ascii="Verdana" w:hAnsi="Verdana"/>
          <w:color w:val="000000"/>
          <w:sz w:val="18"/>
          <w:szCs w:val="18"/>
        </w:rPr>
        <w:t>that</w:t>
      </w:r>
      <w:r w:rsidRPr="000C7CFA">
        <w:rPr>
          <w:rFonts w:ascii="Verdana" w:hAnsi="Verdana"/>
          <w:color w:val="000000"/>
          <w:sz w:val="18"/>
          <w:szCs w:val="18"/>
        </w:rPr>
        <w:t xml:space="preserve"> contamination levels </w:t>
      </w:r>
      <w:r w:rsidR="00E917EB" w:rsidRPr="000C7CFA">
        <w:rPr>
          <w:rFonts w:ascii="Verdana" w:hAnsi="Verdana"/>
          <w:color w:val="000000"/>
          <w:sz w:val="18"/>
          <w:szCs w:val="18"/>
        </w:rPr>
        <w:t xml:space="preserve">increase </w:t>
      </w:r>
      <w:r w:rsidRPr="000C7CFA">
        <w:rPr>
          <w:rFonts w:ascii="Verdana" w:hAnsi="Verdana"/>
          <w:color w:val="000000"/>
          <w:sz w:val="18"/>
          <w:szCs w:val="18"/>
        </w:rPr>
        <w:t>with trophic position in terrestrial passerines</w:t>
      </w:r>
      <w:r w:rsidR="009773A7" w:rsidRPr="000C7CFA">
        <w:rPr>
          <w:rFonts w:ascii="Verdana" w:hAnsi="Verdana"/>
          <w:color w:val="000000"/>
          <w:sz w:val="18"/>
          <w:szCs w:val="18"/>
        </w:rPr>
        <w:t>, although it show</w:t>
      </w:r>
      <w:r w:rsidRPr="000C7CFA">
        <w:rPr>
          <w:rFonts w:ascii="Verdana" w:hAnsi="Verdana"/>
          <w:color w:val="000000"/>
          <w:sz w:val="18"/>
          <w:szCs w:val="18"/>
        </w:rPr>
        <w:t>s that levels may reach up to around 1 mg/kg lw in some tissues</w:t>
      </w:r>
      <w:r w:rsidR="00E917EB" w:rsidRPr="000C7CFA">
        <w:rPr>
          <w:rFonts w:ascii="Verdana" w:hAnsi="Verdana"/>
          <w:color w:val="000000"/>
          <w:sz w:val="18"/>
          <w:szCs w:val="18"/>
        </w:rPr>
        <w:t xml:space="preserve"> in wild bird species</w:t>
      </w:r>
      <w:r w:rsidRPr="000C7CFA">
        <w:rPr>
          <w:rFonts w:ascii="Verdana" w:hAnsi="Verdana"/>
          <w:color w:val="000000"/>
          <w:sz w:val="18"/>
          <w:szCs w:val="18"/>
        </w:rPr>
        <w:t>.</w:t>
      </w:r>
    </w:p>
    <w:p w14:paraId="26C6B8A7" w14:textId="77777777" w:rsidR="00AD70D3" w:rsidRPr="000C7CFA" w:rsidRDefault="00AD70D3" w:rsidP="00AD70D3">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lastRenderedPageBreak/>
        <w:t>This study is included in the registration dossier as supporting monitoring information and is considered fully reliable by the</w:t>
      </w:r>
      <w:r w:rsidR="00A43C45" w:rsidRPr="000C7CFA">
        <w:rPr>
          <w:rFonts w:ascii="Verdana" w:hAnsi="Verdana"/>
          <w:color w:val="000000"/>
          <w:sz w:val="18"/>
          <w:szCs w:val="18"/>
        </w:rPr>
        <w:t xml:space="preserve"> Registrant</w:t>
      </w:r>
      <w:r w:rsidRPr="000C7CFA">
        <w:rPr>
          <w:rFonts w:ascii="Verdana" w:hAnsi="Verdana"/>
          <w:color w:val="000000"/>
          <w:sz w:val="18"/>
          <w:szCs w:val="18"/>
        </w:rPr>
        <w:t xml:space="preserve">. Although the bioaccumulation aspects are not discussed in the CSR, the study summary does mention that trophic level </w:t>
      </w:r>
      <w:r w:rsidR="0023247D" w:rsidRPr="000C7CFA">
        <w:rPr>
          <w:rFonts w:ascii="Verdana" w:hAnsi="Verdana"/>
          <w:color w:val="000000"/>
          <w:sz w:val="18"/>
          <w:szCs w:val="18"/>
        </w:rPr>
        <w:t xml:space="preserve">is </w:t>
      </w:r>
      <w:r w:rsidRPr="000C7CFA">
        <w:rPr>
          <w:rFonts w:ascii="Verdana" w:hAnsi="Verdana"/>
          <w:color w:val="000000"/>
          <w:sz w:val="18"/>
          <w:szCs w:val="18"/>
        </w:rPr>
        <w:t xml:space="preserve">an important factor </w:t>
      </w:r>
      <w:r w:rsidR="0023247D" w:rsidRPr="000C7CFA">
        <w:rPr>
          <w:rFonts w:ascii="Verdana" w:hAnsi="Verdana"/>
          <w:color w:val="000000"/>
          <w:sz w:val="18"/>
          <w:szCs w:val="18"/>
        </w:rPr>
        <w:t>for</w:t>
      </w:r>
      <w:r w:rsidRPr="000C7CFA">
        <w:rPr>
          <w:rFonts w:ascii="Verdana" w:hAnsi="Verdana"/>
          <w:color w:val="000000"/>
          <w:sz w:val="18"/>
          <w:szCs w:val="18"/>
        </w:rPr>
        <w:t xml:space="preserve"> level</w:t>
      </w:r>
      <w:r w:rsidR="0023247D" w:rsidRPr="000C7CFA">
        <w:rPr>
          <w:rFonts w:ascii="Verdana" w:hAnsi="Verdana"/>
          <w:color w:val="000000"/>
          <w:sz w:val="18"/>
          <w:szCs w:val="18"/>
        </w:rPr>
        <w:t>s</w:t>
      </w:r>
      <w:r w:rsidRPr="000C7CFA">
        <w:rPr>
          <w:rFonts w:ascii="Verdana" w:hAnsi="Verdana"/>
          <w:color w:val="000000"/>
          <w:sz w:val="18"/>
          <w:szCs w:val="18"/>
        </w:rPr>
        <w:t xml:space="preserve"> and isomeric composition</w:t>
      </w:r>
      <w:r w:rsidR="0023247D" w:rsidRPr="000C7CFA">
        <w:rPr>
          <w:rFonts w:ascii="Verdana" w:hAnsi="Verdana"/>
          <w:color w:val="000000"/>
          <w:sz w:val="18"/>
          <w:szCs w:val="18"/>
        </w:rPr>
        <w:t xml:space="preserve"> in birds</w:t>
      </w:r>
      <w:r w:rsidRPr="000C7CFA">
        <w:rPr>
          <w:rFonts w:ascii="Verdana" w:hAnsi="Verdana"/>
          <w:color w:val="000000"/>
          <w:sz w:val="18"/>
          <w:szCs w:val="18"/>
        </w:rPr>
        <w:t>.</w:t>
      </w:r>
    </w:p>
    <w:p w14:paraId="30A6B0DE" w14:textId="77777777" w:rsidR="009773A7" w:rsidRPr="000C7CFA" w:rsidRDefault="009773A7" w:rsidP="00B223CD">
      <w:pPr>
        <w:autoSpaceDE w:val="0"/>
        <w:autoSpaceDN w:val="0"/>
        <w:adjustRightInd w:val="0"/>
        <w:spacing w:after="120"/>
        <w:ind w:left="425"/>
        <w:jc w:val="both"/>
        <w:rPr>
          <w:rFonts w:ascii="Verdana" w:hAnsi="Verdana"/>
          <w:color w:val="000000"/>
          <w:sz w:val="18"/>
          <w:szCs w:val="18"/>
        </w:rPr>
      </w:pPr>
    </w:p>
    <w:p w14:paraId="05DBF218" w14:textId="77777777" w:rsidR="00D45414" w:rsidRPr="000C7CFA" w:rsidRDefault="00D45414" w:rsidP="00DC3658">
      <w:pPr>
        <w:pStyle w:val="ListParagraph"/>
        <w:numPr>
          <w:ilvl w:val="0"/>
          <w:numId w:val="14"/>
        </w:numPr>
        <w:autoSpaceDE w:val="0"/>
        <w:autoSpaceDN w:val="0"/>
        <w:adjustRightInd w:val="0"/>
        <w:spacing w:after="120" w:line="240" w:lineRule="auto"/>
        <w:ind w:left="425" w:hanging="357"/>
        <w:jc w:val="both"/>
        <w:rPr>
          <w:rFonts w:ascii="Verdana" w:hAnsi="Verdana"/>
          <w:color w:val="000000"/>
          <w:sz w:val="18"/>
          <w:szCs w:val="18"/>
        </w:rPr>
      </w:pPr>
      <w:r w:rsidRPr="000C7CFA">
        <w:rPr>
          <w:rFonts w:ascii="Verdana" w:hAnsi="Verdana"/>
          <w:sz w:val="18"/>
          <w:szCs w:val="18"/>
          <w:u w:val="single"/>
        </w:rPr>
        <w:t xml:space="preserve">Yu </w:t>
      </w:r>
      <w:r w:rsidRPr="000C7CFA">
        <w:rPr>
          <w:rFonts w:ascii="Verdana" w:hAnsi="Verdana"/>
          <w:i/>
          <w:sz w:val="18"/>
          <w:szCs w:val="18"/>
          <w:u w:val="single"/>
        </w:rPr>
        <w:t>et al</w:t>
      </w:r>
      <w:r w:rsidRPr="000C7CFA">
        <w:rPr>
          <w:rFonts w:ascii="Verdana" w:hAnsi="Verdana"/>
          <w:sz w:val="18"/>
          <w:szCs w:val="18"/>
          <w:u w:val="single"/>
        </w:rPr>
        <w:t>. (2014)</w:t>
      </w:r>
      <w:r w:rsidRPr="000C7CFA">
        <w:rPr>
          <w:rFonts w:ascii="Verdana" w:hAnsi="Verdana"/>
          <w:sz w:val="18"/>
          <w:szCs w:val="18"/>
        </w:rPr>
        <w:t xml:space="preserve"> investigated the relationship between Dechlorane Plus levels and trophic position in tissues from two terrestrial passerine bird species. Eurasian Tree Sparrows (</w:t>
      </w:r>
      <w:r w:rsidRPr="000C7CFA">
        <w:rPr>
          <w:rFonts w:ascii="Verdana" w:hAnsi="Verdana"/>
          <w:i/>
          <w:sz w:val="18"/>
          <w:szCs w:val="18"/>
        </w:rPr>
        <w:t>Passer montanus</w:t>
      </w:r>
      <w:r w:rsidRPr="000C7CFA">
        <w:rPr>
          <w:rFonts w:ascii="Verdana" w:hAnsi="Verdana"/>
          <w:color w:val="000000"/>
          <w:sz w:val="18"/>
          <w:szCs w:val="18"/>
        </w:rPr>
        <w:t>, n=67)</w:t>
      </w:r>
      <w:r w:rsidRPr="000C7CFA">
        <w:rPr>
          <w:rFonts w:ascii="Verdana" w:hAnsi="Verdana"/>
          <w:sz w:val="18"/>
          <w:szCs w:val="18"/>
        </w:rPr>
        <w:t xml:space="preserve"> were collected outside the breeding season from various sites within </w:t>
      </w:r>
      <w:r w:rsidRPr="000C7CFA">
        <w:rPr>
          <w:rFonts w:ascii="Verdana" w:hAnsi="Verdana"/>
          <w:color w:val="000000"/>
          <w:sz w:val="18"/>
          <w:szCs w:val="18"/>
        </w:rPr>
        <w:t xml:space="preserve">two major cities </w:t>
      </w:r>
      <w:r w:rsidRPr="000C7CFA">
        <w:rPr>
          <w:rFonts w:ascii="Verdana" w:hAnsi="Verdana"/>
          <w:sz w:val="18"/>
          <w:szCs w:val="18"/>
        </w:rPr>
        <w:t xml:space="preserve">(Beijing (n=40) and Guangzhou (n=19)) </w:t>
      </w:r>
      <w:r w:rsidRPr="000C7CFA">
        <w:rPr>
          <w:rFonts w:ascii="Verdana" w:hAnsi="Verdana"/>
          <w:color w:val="000000"/>
          <w:sz w:val="18"/>
          <w:szCs w:val="18"/>
        </w:rPr>
        <w:t xml:space="preserve">and a rural reference </w:t>
      </w:r>
      <w:r w:rsidRPr="000C7CFA">
        <w:rPr>
          <w:rFonts w:ascii="Verdana" w:hAnsi="Verdana"/>
          <w:sz w:val="18"/>
          <w:szCs w:val="18"/>
        </w:rPr>
        <w:t>site (Shaoguan, Guangdong Province (n=8)) in China</w:t>
      </w:r>
      <w:r w:rsidRPr="000C7CFA">
        <w:rPr>
          <w:rFonts w:ascii="Verdana" w:hAnsi="Verdana"/>
          <w:color w:val="000000"/>
          <w:sz w:val="18"/>
          <w:szCs w:val="18"/>
        </w:rPr>
        <w:t xml:space="preserve"> between </w:t>
      </w:r>
      <w:r w:rsidRPr="000C7CFA">
        <w:rPr>
          <w:rFonts w:ascii="Verdana" w:hAnsi="Verdana"/>
          <w:sz w:val="18"/>
          <w:szCs w:val="18"/>
        </w:rPr>
        <w:t xml:space="preserve">August 2009 and May 2011. In addition, Common Magpies </w:t>
      </w:r>
      <w:r w:rsidRPr="000C7CFA">
        <w:rPr>
          <w:rFonts w:ascii="Verdana" w:hAnsi="Verdana"/>
          <w:color w:val="000000"/>
          <w:sz w:val="18"/>
          <w:szCs w:val="18"/>
        </w:rPr>
        <w:t>(</w:t>
      </w:r>
      <w:r w:rsidRPr="000C7CFA">
        <w:rPr>
          <w:rFonts w:ascii="Verdana" w:hAnsi="Verdana"/>
          <w:i/>
          <w:color w:val="000000"/>
          <w:sz w:val="18"/>
          <w:szCs w:val="18"/>
        </w:rPr>
        <w:t>Pica pica</w:t>
      </w:r>
      <w:r w:rsidRPr="000C7CFA">
        <w:rPr>
          <w:rFonts w:ascii="Verdana" w:hAnsi="Verdana"/>
          <w:color w:val="000000"/>
          <w:sz w:val="18"/>
          <w:szCs w:val="18"/>
        </w:rPr>
        <w:t xml:space="preserve">, n=9) </w:t>
      </w:r>
      <w:r w:rsidRPr="000C7CFA">
        <w:rPr>
          <w:rFonts w:ascii="Verdana" w:hAnsi="Verdana"/>
          <w:sz w:val="18"/>
          <w:szCs w:val="18"/>
        </w:rPr>
        <w:t xml:space="preserve">were collected in the same period from one site in the suburbs of Wuhan, China. Captured birds were </w:t>
      </w:r>
      <w:r w:rsidRPr="000C7CFA">
        <w:rPr>
          <w:rFonts w:ascii="Verdana" w:hAnsi="Verdana"/>
          <w:color w:val="000000"/>
          <w:sz w:val="18"/>
          <w:szCs w:val="18"/>
        </w:rPr>
        <w:t xml:space="preserve">transported immediately to the laboratory, euthanized and then pectoral muscle was excised from each bird and stored at </w:t>
      </w:r>
      <w:r w:rsidR="00336DE5" w:rsidRPr="000C7CFA">
        <w:rPr>
          <w:rFonts w:ascii="Verdana" w:hAnsi="Verdana"/>
          <w:color w:val="000000"/>
          <w:sz w:val="18"/>
          <w:szCs w:val="18"/>
        </w:rPr>
        <w:noBreakHyphen/>
      </w:r>
      <w:r w:rsidRPr="000C7CFA">
        <w:rPr>
          <w:rFonts w:ascii="Verdana" w:hAnsi="Verdana"/>
          <w:color w:val="000000"/>
          <w:sz w:val="18"/>
          <w:szCs w:val="18"/>
        </w:rPr>
        <w:t>20</w:t>
      </w:r>
      <w:r w:rsidR="00336DE5" w:rsidRPr="000C7CFA">
        <w:rPr>
          <w:rFonts w:ascii="Verdana" w:hAnsi="Verdana"/>
          <w:color w:val="000000"/>
          <w:sz w:val="18"/>
          <w:szCs w:val="18"/>
        </w:rPr>
        <w:t> </w:t>
      </w:r>
      <w:r w:rsidRPr="000C7CFA">
        <w:rPr>
          <w:rFonts w:ascii="Verdana" w:hAnsi="Verdana"/>
          <w:color w:val="000000"/>
          <w:sz w:val="18"/>
          <w:szCs w:val="18"/>
        </w:rPr>
        <w:t>ºC until chemical analysis.</w:t>
      </w:r>
    </w:p>
    <w:p w14:paraId="61E33418" w14:textId="77777777" w:rsidR="00D45414" w:rsidRPr="000C7CFA" w:rsidRDefault="00D45414" w:rsidP="00D45414">
      <w:pPr>
        <w:autoSpaceDE w:val="0"/>
        <w:autoSpaceDN w:val="0"/>
        <w:adjustRightInd w:val="0"/>
        <w:spacing w:after="120"/>
        <w:ind w:left="425"/>
        <w:jc w:val="both"/>
        <w:rPr>
          <w:rFonts w:ascii="Verdana" w:hAnsi="Verdana"/>
          <w:sz w:val="18"/>
          <w:szCs w:val="18"/>
        </w:rPr>
      </w:pPr>
      <w:r w:rsidRPr="000C7CFA">
        <w:rPr>
          <w:rFonts w:ascii="Verdana" w:hAnsi="Verdana"/>
          <w:sz w:val="18"/>
          <w:szCs w:val="18"/>
        </w:rPr>
        <w:t xml:space="preserve">Following extraction, analysis was performed by GC/MS using electron capture negative ionization in the selective ion monitoring mode. Procedural blanks were consistently analyzed and the mean values were subtracted from the sample results (Dechlorane Plus isomers were found at levels &lt;10% of that in the samples). Matrix spiking triplicates and surrogate standard recoveries from authentic samples were also used for quality control purposes. The limit of detection was in the range 0.14-0.17 µg/kg </w:t>
      </w:r>
      <w:proofErr w:type="gramStart"/>
      <w:r w:rsidRPr="000C7CFA">
        <w:rPr>
          <w:rFonts w:ascii="Verdana" w:hAnsi="Verdana"/>
          <w:sz w:val="18"/>
          <w:szCs w:val="18"/>
        </w:rPr>
        <w:t>lw</w:t>
      </w:r>
      <w:proofErr w:type="gramEnd"/>
      <w:r w:rsidRPr="000C7CFA">
        <w:rPr>
          <w:rFonts w:ascii="Verdana" w:hAnsi="Verdana"/>
          <w:sz w:val="18"/>
          <w:szCs w:val="18"/>
        </w:rPr>
        <w:t xml:space="preserve"> for the two isomers.</w:t>
      </w:r>
    </w:p>
    <w:p w14:paraId="64527175" w14:textId="77777777" w:rsidR="00D45414" w:rsidRPr="000C7CFA" w:rsidRDefault="00D45414" w:rsidP="00D45414">
      <w:pPr>
        <w:autoSpaceDE w:val="0"/>
        <w:autoSpaceDN w:val="0"/>
        <w:adjustRightInd w:val="0"/>
        <w:spacing w:after="120"/>
        <w:ind w:left="425"/>
        <w:jc w:val="both"/>
        <w:rPr>
          <w:rFonts w:ascii="Verdana" w:hAnsi="Verdana" w:cs="AdvOT863180fb"/>
          <w:sz w:val="18"/>
          <w:szCs w:val="18"/>
        </w:rPr>
      </w:pPr>
      <w:r w:rsidRPr="000C7CFA">
        <w:rPr>
          <w:rFonts w:ascii="Verdana" w:hAnsi="Verdana"/>
          <w:color w:val="000000"/>
          <w:sz w:val="18"/>
          <w:szCs w:val="18"/>
        </w:rPr>
        <w:t xml:space="preserve">Dechlorane Plus (total isomers) was found in all magpie muscle samples from Wuhan (median: 4.4, range: 1.7-18 µg/kg </w:t>
      </w:r>
      <w:proofErr w:type="gramStart"/>
      <w:r w:rsidRPr="000C7CFA">
        <w:rPr>
          <w:rFonts w:ascii="Verdana" w:hAnsi="Verdana"/>
          <w:color w:val="000000"/>
          <w:sz w:val="18"/>
          <w:szCs w:val="18"/>
        </w:rPr>
        <w:t>lw</w:t>
      </w:r>
      <w:proofErr w:type="gramEnd"/>
      <w:r w:rsidRPr="000C7CFA">
        <w:rPr>
          <w:rFonts w:ascii="Verdana" w:hAnsi="Verdana"/>
          <w:color w:val="000000"/>
          <w:sz w:val="18"/>
          <w:szCs w:val="18"/>
        </w:rPr>
        <w:t xml:space="preserve">), and was detected in sparrow muscle samples at concentrations up to 350 µg/kg lw. Levels in Guangzhou (median: 13, range: not detected-350 µg/kg </w:t>
      </w:r>
      <w:proofErr w:type="gramStart"/>
      <w:r w:rsidRPr="000C7CFA">
        <w:rPr>
          <w:rFonts w:ascii="Verdana" w:hAnsi="Verdana"/>
          <w:color w:val="000000"/>
          <w:sz w:val="18"/>
          <w:szCs w:val="18"/>
        </w:rPr>
        <w:t>lw</w:t>
      </w:r>
      <w:proofErr w:type="gramEnd"/>
      <w:r w:rsidRPr="000C7CFA">
        <w:rPr>
          <w:rFonts w:ascii="Verdana" w:hAnsi="Verdana"/>
          <w:color w:val="000000"/>
          <w:sz w:val="18"/>
          <w:szCs w:val="18"/>
        </w:rPr>
        <w:t>) were significantly higher than those in Beijing (median: 4.9, range:  not detected-31 µg/kg lw)</w:t>
      </w:r>
      <w:r w:rsidR="00E917EB" w:rsidRPr="000C7CFA">
        <w:rPr>
          <w:rStyle w:val="FootnoteReference"/>
          <w:rFonts w:ascii="Verdana" w:hAnsi="Verdana"/>
          <w:color w:val="000000"/>
          <w:sz w:val="18"/>
          <w:szCs w:val="18"/>
        </w:rPr>
        <w:footnoteReference w:id="34"/>
      </w:r>
      <w:r w:rsidRPr="000C7CFA">
        <w:rPr>
          <w:rFonts w:ascii="Verdana" w:hAnsi="Verdana"/>
          <w:color w:val="000000"/>
          <w:sz w:val="18"/>
          <w:szCs w:val="18"/>
        </w:rPr>
        <w:t xml:space="preserve"> (</w:t>
      </w:r>
      <w:r w:rsidRPr="000C7CFA">
        <w:rPr>
          <w:rFonts w:ascii="Verdana" w:hAnsi="Verdana"/>
          <w:i/>
          <w:color w:val="000000"/>
          <w:sz w:val="18"/>
          <w:szCs w:val="18"/>
        </w:rPr>
        <w:t>p</w:t>
      </w:r>
      <w:r w:rsidRPr="000C7CFA">
        <w:rPr>
          <w:rFonts w:ascii="Verdana" w:hAnsi="Verdana"/>
          <w:color w:val="000000"/>
          <w:sz w:val="18"/>
          <w:szCs w:val="18"/>
        </w:rPr>
        <w:t xml:space="preserve"> &lt; 0.01), which was believed to </w:t>
      </w:r>
      <w:r w:rsidRPr="000C7CFA">
        <w:rPr>
          <w:rFonts w:ascii="Verdana" w:hAnsi="Verdana"/>
          <w:sz w:val="18"/>
          <w:szCs w:val="18"/>
        </w:rPr>
        <w:t>reflect the intensive e-waste recycling activities in the southern region (although no e-waste recycling activities occurred in the sampling locations). In</w:t>
      </w:r>
      <w:r w:rsidRPr="000C7CFA">
        <w:rPr>
          <w:rFonts w:ascii="Verdana" w:hAnsi="Verdana"/>
          <w:color w:val="000000"/>
          <w:sz w:val="18"/>
          <w:szCs w:val="18"/>
        </w:rPr>
        <w:t xml:space="preserve"> contrast, no statistically significantly difference was found between levels in Guangzhou and the reference site (median: 24, range: 8.9-</w:t>
      </w:r>
      <w:r w:rsidR="00E917EB" w:rsidRPr="000C7CFA">
        <w:rPr>
          <w:rFonts w:ascii="Verdana" w:hAnsi="Verdana"/>
          <w:color w:val="000000"/>
          <w:sz w:val="18"/>
          <w:szCs w:val="18"/>
        </w:rPr>
        <w:t>120 </w:t>
      </w:r>
      <w:r w:rsidRPr="000C7CFA">
        <w:rPr>
          <w:rFonts w:ascii="Verdana" w:hAnsi="Verdana"/>
          <w:color w:val="000000"/>
          <w:sz w:val="18"/>
          <w:szCs w:val="18"/>
        </w:rPr>
        <w:t xml:space="preserve">µg/kg </w:t>
      </w:r>
      <w:proofErr w:type="gramStart"/>
      <w:r w:rsidRPr="000C7CFA">
        <w:rPr>
          <w:rFonts w:ascii="Verdana" w:hAnsi="Verdana"/>
          <w:color w:val="000000"/>
          <w:sz w:val="18"/>
          <w:szCs w:val="18"/>
        </w:rPr>
        <w:t>lw</w:t>
      </w:r>
      <w:proofErr w:type="gramEnd"/>
      <w:r w:rsidRPr="000C7CFA">
        <w:rPr>
          <w:rFonts w:ascii="Verdana" w:hAnsi="Verdana"/>
          <w:color w:val="000000"/>
          <w:sz w:val="18"/>
          <w:szCs w:val="18"/>
        </w:rPr>
        <w:t xml:space="preserve">), whereas the levels of other flame retardants were much lower at the latter site compared to the cities. </w:t>
      </w:r>
    </w:p>
    <w:p w14:paraId="49D76F31" w14:textId="77777777" w:rsidR="00D45414" w:rsidRPr="000C7CFA" w:rsidRDefault="00D45414" w:rsidP="00D45414">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Sparrows eat predominantly seed and grain, whereas magpies are omnivorous. Samples from Beijing and Guangzhou exhibited a wider range of δ</w:t>
      </w:r>
      <w:r w:rsidRPr="000C7CFA">
        <w:rPr>
          <w:rFonts w:ascii="Verdana" w:hAnsi="Verdana"/>
          <w:color w:val="000000"/>
          <w:sz w:val="18"/>
          <w:szCs w:val="18"/>
          <w:vertAlign w:val="superscript"/>
        </w:rPr>
        <w:t>13</w:t>
      </w:r>
      <w:r w:rsidRPr="000C7CFA">
        <w:rPr>
          <w:rFonts w:ascii="Verdana" w:hAnsi="Verdana"/>
          <w:color w:val="000000"/>
          <w:sz w:val="18"/>
          <w:szCs w:val="18"/>
        </w:rPr>
        <w:t>C and δ</w:t>
      </w:r>
      <w:r w:rsidRPr="000C7CFA">
        <w:rPr>
          <w:rFonts w:ascii="Verdana" w:hAnsi="Verdana"/>
          <w:color w:val="000000"/>
          <w:sz w:val="18"/>
          <w:szCs w:val="18"/>
          <w:vertAlign w:val="superscript"/>
        </w:rPr>
        <w:t>15</w:t>
      </w:r>
      <w:r w:rsidRPr="000C7CFA">
        <w:rPr>
          <w:rFonts w:ascii="Verdana" w:hAnsi="Verdana"/>
          <w:color w:val="000000"/>
          <w:sz w:val="18"/>
          <w:szCs w:val="18"/>
        </w:rPr>
        <w:t>N values compared to those from the other two locations, indicating a high heterogeneity of diet source for sparrows in the two former cites. In general, mean δ</w:t>
      </w:r>
      <w:r w:rsidRPr="000C7CFA">
        <w:rPr>
          <w:rFonts w:ascii="Verdana" w:hAnsi="Verdana"/>
          <w:color w:val="000000"/>
          <w:sz w:val="18"/>
          <w:szCs w:val="18"/>
          <w:vertAlign w:val="superscript"/>
        </w:rPr>
        <w:t>13</w:t>
      </w:r>
      <w:r w:rsidRPr="000C7CFA">
        <w:rPr>
          <w:rFonts w:ascii="Verdana" w:hAnsi="Verdana"/>
          <w:color w:val="000000"/>
          <w:sz w:val="18"/>
          <w:szCs w:val="18"/>
        </w:rPr>
        <w:t>C values in samples from Beijing (</w:t>
      </w:r>
      <w:r w:rsidRPr="000C7CFA">
        <w:rPr>
          <w:rFonts w:ascii="Verdana" w:hAnsi="Verdana"/>
          <w:color w:val="000000"/>
          <w:sz w:val="18"/>
          <w:szCs w:val="18"/>
        </w:rPr>
        <w:softHyphen/>
        <w:t>18.7±3.3‰) and Guangzhou (-20.2±4.7‰) were significantly higher than those in samples from the reference site (-24.7±1.1‰) and Wuhan (-23.8±0.4‰) (</w:t>
      </w:r>
      <w:r w:rsidRPr="000C7CFA">
        <w:rPr>
          <w:rFonts w:ascii="Verdana" w:hAnsi="Verdana"/>
          <w:i/>
          <w:color w:val="000000"/>
          <w:sz w:val="18"/>
          <w:szCs w:val="18"/>
        </w:rPr>
        <w:t>p</w:t>
      </w:r>
      <w:r w:rsidRPr="000C7CFA">
        <w:rPr>
          <w:rFonts w:ascii="Verdana" w:hAnsi="Verdana"/>
          <w:color w:val="000000"/>
          <w:sz w:val="18"/>
          <w:szCs w:val="18"/>
        </w:rPr>
        <w:t xml:space="preserve"> &lt; 0.005). In contrast, the mean δ</w:t>
      </w:r>
      <w:r w:rsidRPr="000C7CFA">
        <w:rPr>
          <w:rFonts w:ascii="Verdana" w:hAnsi="Verdana"/>
          <w:color w:val="000000"/>
          <w:sz w:val="18"/>
          <w:szCs w:val="18"/>
          <w:vertAlign w:val="superscript"/>
        </w:rPr>
        <w:t>15</w:t>
      </w:r>
      <w:r w:rsidRPr="000C7CFA">
        <w:rPr>
          <w:rFonts w:ascii="Verdana" w:hAnsi="Verdana"/>
          <w:color w:val="000000"/>
          <w:sz w:val="18"/>
          <w:szCs w:val="18"/>
        </w:rPr>
        <w:t>N values of samples from the reference site (8.7±0.4‰) were higher than those from the cities (Beijing: 6.8±1.3‰, Guangzhou: 6.0±1.4‰, Wuhan: 5.5±1.2‰)) (</w:t>
      </w:r>
      <w:r w:rsidRPr="000C7CFA">
        <w:rPr>
          <w:rFonts w:ascii="Verdana" w:hAnsi="Verdana"/>
          <w:i/>
          <w:color w:val="000000"/>
          <w:sz w:val="18"/>
          <w:szCs w:val="18"/>
        </w:rPr>
        <w:t>p</w:t>
      </w:r>
      <w:r w:rsidRPr="000C7CFA">
        <w:rPr>
          <w:rFonts w:ascii="Verdana" w:hAnsi="Verdana"/>
          <w:color w:val="000000"/>
          <w:sz w:val="18"/>
          <w:szCs w:val="18"/>
        </w:rPr>
        <w:t xml:space="preserve"> &lt; 0.001). This may partly be explained by the different isotopic baselines as well as the variation in isotopic fraction among different species and ecosystems.</w:t>
      </w:r>
    </w:p>
    <w:p w14:paraId="68D194E6" w14:textId="0C21DDA0" w:rsidR="00B3294B" w:rsidRPr="000C7CFA" w:rsidRDefault="00B3294B" w:rsidP="00B3294B">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Comparisons</w:t>
      </w:r>
      <w:r w:rsidRPr="000C7CFA">
        <w:rPr>
          <w:rFonts w:ascii="Verdana" w:eastAsiaTheme="minorHAnsi" w:hAnsi="Verdana"/>
          <w:color w:val="000000"/>
          <w:sz w:val="18"/>
          <w:szCs w:val="18"/>
          <w:lang w:val="en-GB"/>
        </w:rPr>
        <w:t xml:space="preserve"> of trophic position based on raw </w:t>
      </w:r>
      <w:r w:rsidRPr="000C7CFA">
        <w:rPr>
          <w:rFonts w:ascii="Verdana" w:hAnsi="Verdana"/>
          <w:color w:val="000000"/>
          <w:sz w:val="18"/>
          <w:szCs w:val="18"/>
        </w:rPr>
        <w:t>δ</w:t>
      </w:r>
      <w:r w:rsidRPr="000C7CFA">
        <w:rPr>
          <w:rFonts w:ascii="Verdana" w:hAnsi="Verdana"/>
          <w:color w:val="000000"/>
          <w:sz w:val="18"/>
          <w:szCs w:val="18"/>
          <w:vertAlign w:val="superscript"/>
        </w:rPr>
        <w:t>15</w:t>
      </w:r>
      <w:r w:rsidRPr="000C7CFA">
        <w:rPr>
          <w:rFonts w:ascii="Verdana" w:hAnsi="Verdana"/>
          <w:color w:val="000000"/>
          <w:sz w:val="18"/>
          <w:szCs w:val="18"/>
        </w:rPr>
        <w:t xml:space="preserve">N </w:t>
      </w:r>
      <w:r w:rsidRPr="000C7CFA">
        <w:rPr>
          <w:rFonts w:ascii="Verdana" w:eastAsiaTheme="minorHAnsi" w:hAnsi="Verdana"/>
          <w:color w:val="000000"/>
          <w:sz w:val="18"/>
          <w:szCs w:val="18"/>
          <w:lang w:val="en-GB"/>
        </w:rPr>
        <w:t xml:space="preserve">data are inappropriate since the baseline </w:t>
      </w:r>
      <w:r w:rsidRPr="000C7CFA">
        <w:rPr>
          <w:rFonts w:ascii="Verdana" w:hAnsi="Verdana"/>
          <w:color w:val="000000"/>
          <w:sz w:val="18"/>
          <w:szCs w:val="18"/>
        </w:rPr>
        <w:t>δ</w:t>
      </w:r>
      <w:r w:rsidRPr="000C7CFA">
        <w:rPr>
          <w:rFonts w:ascii="Verdana" w:hAnsi="Verdana"/>
          <w:color w:val="000000"/>
          <w:sz w:val="18"/>
          <w:szCs w:val="18"/>
          <w:vertAlign w:val="superscript"/>
        </w:rPr>
        <w:t>15</w:t>
      </w:r>
      <w:r w:rsidRPr="000C7CFA">
        <w:rPr>
          <w:rFonts w:ascii="Verdana" w:hAnsi="Verdana"/>
          <w:color w:val="000000"/>
          <w:sz w:val="18"/>
          <w:szCs w:val="18"/>
        </w:rPr>
        <w:t xml:space="preserve">N </w:t>
      </w:r>
      <w:r w:rsidRPr="000C7CFA">
        <w:rPr>
          <w:rFonts w:ascii="Verdana" w:eastAsiaTheme="minorHAnsi" w:hAnsi="Verdana"/>
          <w:color w:val="000000"/>
          <w:sz w:val="18"/>
          <w:szCs w:val="18"/>
          <w:lang w:val="en-GB"/>
        </w:rPr>
        <w:t>values for each ecosystem</w:t>
      </w:r>
      <w:r w:rsidRPr="000C7CFA">
        <w:rPr>
          <w:rFonts w:ascii="Verdana" w:hAnsi="Verdana"/>
          <w:color w:val="000000"/>
          <w:sz w:val="18"/>
          <w:szCs w:val="18"/>
        </w:rPr>
        <w:t xml:space="preserve"> are unknown. Unfortunately, the paper does not discuss any linear correlation between the levels in the birds and their trophic position at specific localities using d</w:t>
      </w:r>
      <w:r w:rsidR="0060361F" w:rsidRPr="000C7CFA">
        <w:rPr>
          <w:rFonts w:ascii="Verdana" w:hAnsi="Verdana"/>
          <w:color w:val="000000"/>
          <w:sz w:val="18"/>
          <w:szCs w:val="18"/>
        </w:rPr>
        <w:t>ata from individual samples. D</w:t>
      </w:r>
      <w:r w:rsidRPr="000C7CFA">
        <w:rPr>
          <w:rFonts w:ascii="Verdana" w:hAnsi="Verdana"/>
          <w:color w:val="000000"/>
          <w:sz w:val="18"/>
          <w:szCs w:val="18"/>
        </w:rPr>
        <w:t xml:space="preserve">ata for individual samples are not provided in the supporting information. </w:t>
      </w:r>
    </w:p>
    <w:p w14:paraId="4B4A1D30" w14:textId="7AE1853D" w:rsidR="00D45414" w:rsidRPr="000C7CFA" w:rsidRDefault="00E917EB" w:rsidP="00D45414">
      <w:pPr>
        <w:autoSpaceDE w:val="0"/>
        <w:autoSpaceDN w:val="0"/>
        <w:adjustRightInd w:val="0"/>
        <w:spacing w:after="120"/>
        <w:ind w:left="425"/>
        <w:jc w:val="both"/>
        <w:rPr>
          <w:rFonts w:ascii="Verdana" w:hAnsi="Verdana"/>
          <w:color w:val="000000"/>
          <w:sz w:val="18"/>
          <w:szCs w:val="18"/>
        </w:rPr>
      </w:pPr>
      <w:r w:rsidRPr="000C7CFA">
        <w:rPr>
          <w:rFonts w:ascii="Verdana" w:hAnsi="Verdana"/>
          <w:color w:val="000000"/>
          <w:sz w:val="18"/>
          <w:szCs w:val="18"/>
        </w:rPr>
        <w:t xml:space="preserve">The use of muscle and lipid normalized concentrations to indicate bioaccumulation potential might not be reliable if they are not representative of whole body concentrations. </w:t>
      </w:r>
      <w:r w:rsidRPr="000C7CFA">
        <w:rPr>
          <w:rFonts w:ascii="Verdana" w:hAnsi="Verdana"/>
          <w:sz w:val="18"/>
          <w:szCs w:val="18"/>
        </w:rPr>
        <w:t xml:space="preserve">It is not clear how the calculations would be </w:t>
      </w:r>
      <w:r w:rsidRPr="000C7CFA">
        <w:rPr>
          <w:rFonts w:ascii="Verdana" w:hAnsi="Verdana"/>
          <w:sz w:val="18"/>
          <w:szCs w:val="18"/>
          <w:lang w:val="en-GB" w:eastAsia="en-GB"/>
        </w:rPr>
        <w:t>affected</w:t>
      </w:r>
      <w:r w:rsidRPr="000C7CFA">
        <w:rPr>
          <w:rFonts w:ascii="Verdana" w:hAnsi="Verdana"/>
          <w:sz w:val="18"/>
          <w:szCs w:val="18"/>
        </w:rPr>
        <w:t xml:space="preserve"> if the concentrations were expressed as a geometric mean rather than median concentration. </w:t>
      </w:r>
      <w:r w:rsidR="00D45414" w:rsidRPr="000C7CFA">
        <w:rPr>
          <w:rFonts w:ascii="Verdana" w:hAnsi="Verdana"/>
          <w:color w:val="000000"/>
          <w:sz w:val="18"/>
          <w:szCs w:val="18"/>
        </w:rPr>
        <w:t>It is unfortunate that there are no data on levels in food items, so the actual level of accumulation from the diet cannot be assessed. The variation in δ</w:t>
      </w:r>
      <w:r w:rsidR="00D45414" w:rsidRPr="000C7CFA">
        <w:rPr>
          <w:rFonts w:ascii="Verdana" w:hAnsi="Verdana"/>
          <w:color w:val="000000"/>
          <w:sz w:val="18"/>
          <w:szCs w:val="18"/>
          <w:vertAlign w:val="superscript"/>
        </w:rPr>
        <w:t>15</w:t>
      </w:r>
      <w:r w:rsidR="00D45414" w:rsidRPr="000C7CFA">
        <w:rPr>
          <w:rFonts w:ascii="Verdana" w:hAnsi="Verdana"/>
          <w:color w:val="000000"/>
          <w:sz w:val="18"/>
          <w:szCs w:val="18"/>
        </w:rPr>
        <w:t xml:space="preserve">N values for the same species at different sites also confounds the interpretation of the results. </w:t>
      </w:r>
      <w:r w:rsidR="0060361F" w:rsidRPr="000C7CFA">
        <w:rPr>
          <w:rFonts w:ascii="Verdana" w:hAnsi="Verdana"/>
          <w:color w:val="000000"/>
          <w:sz w:val="18"/>
          <w:szCs w:val="18"/>
        </w:rPr>
        <w:t>N</w:t>
      </w:r>
      <w:r w:rsidR="00D45414" w:rsidRPr="000C7CFA">
        <w:rPr>
          <w:rFonts w:ascii="Verdana" w:hAnsi="Verdana"/>
          <w:color w:val="000000"/>
          <w:sz w:val="18"/>
          <w:szCs w:val="18"/>
        </w:rPr>
        <w:t xml:space="preserve">o </w:t>
      </w:r>
      <w:r w:rsidR="00D45414" w:rsidRPr="000C7CFA">
        <w:rPr>
          <w:rFonts w:ascii="Verdana" w:hAnsi="Verdana"/>
          <w:color w:val="000000"/>
          <w:sz w:val="18"/>
          <w:szCs w:val="18"/>
        </w:rPr>
        <w:lastRenderedPageBreak/>
        <w:t>conclusion</w:t>
      </w:r>
      <w:r w:rsidR="0060361F" w:rsidRPr="000C7CFA">
        <w:rPr>
          <w:rFonts w:ascii="Verdana" w:hAnsi="Verdana"/>
          <w:color w:val="000000"/>
          <w:sz w:val="18"/>
          <w:szCs w:val="18"/>
        </w:rPr>
        <w:t xml:space="preserve"> is drawn</w:t>
      </w:r>
      <w:r w:rsidR="00D45414" w:rsidRPr="000C7CFA">
        <w:rPr>
          <w:rFonts w:ascii="Verdana" w:hAnsi="Verdana"/>
          <w:color w:val="000000"/>
          <w:sz w:val="18"/>
          <w:szCs w:val="18"/>
        </w:rPr>
        <w:t xml:space="preserve"> about biomagnification in terrestrial passerines from this study</w:t>
      </w:r>
      <w:r w:rsidR="0060361F" w:rsidRPr="000C7CFA">
        <w:rPr>
          <w:rFonts w:ascii="Verdana" w:hAnsi="Verdana"/>
          <w:color w:val="000000"/>
          <w:sz w:val="18"/>
          <w:szCs w:val="18"/>
        </w:rPr>
        <w:t xml:space="preserve"> for the purposes of this assessment</w:t>
      </w:r>
      <w:r w:rsidR="00D45414" w:rsidRPr="000C7CFA">
        <w:rPr>
          <w:rFonts w:ascii="Verdana" w:hAnsi="Verdana"/>
          <w:color w:val="000000"/>
          <w:sz w:val="18"/>
          <w:szCs w:val="18"/>
        </w:rPr>
        <w:t xml:space="preserve">, but </w:t>
      </w:r>
      <w:r w:rsidR="0060361F" w:rsidRPr="000C7CFA">
        <w:rPr>
          <w:rFonts w:ascii="Verdana" w:hAnsi="Verdana"/>
          <w:color w:val="000000"/>
          <w:sz w:val="18"/>
          <w:szCs w:val="18"/>
        </w:rPr>
        <w:t>it provides clear evidence of</w:t>
      </w:r>
      <w:r w:rsidR="00D45414" w:rsidRPr="000C7CFA">
        <w:rPr>
          <w:rFonts w:ascii="Verdana" w:hAnsi="Verdana"/>
          <w:color w:val="000000"/>
          <w:sz w:val="18"/>
          <w:szCs w:val="18"/>
        </w:rPr>
        <w:t xml:space="preserve"> widespread contamination, with levels up to 0.35 mg/kg lw in a granivorous species.</w:t>
      </w:r>
    </w:p>
    <w:p w14:paraId="754E87E9" w14:textId="77777777" w:rsidR="000128E5" w:rsidRPr="000C7CFA" w:rsidRDefault="000128E5" w:rsidP="000128E5">
      <w:pPr>
        <w:pStyle w:val="NoSpacing"/>
        <w:spacing w:after="120"/>
        <w:ind w:left="425" w:right="374"/>
        <w:jc w:val="both"/>
        <w:rPr>
          <w:rFonts w:ascii="Verdana" w:hAnsi="Verdana"/>
          <w:color w:val="000000"/>
          <w:sz w:val="18"/>
          <w:szCs w:val="18"/>
        </w:rPr>
      </w:pPr>
      <w:r w:rsidRPr="000C7CFA">
        <w:rPr>
          <w:rFonts w:ascii="Verdana" w:hAnsi="Verdana" w:cs="Times New Roman"/>
          <w:color w:val="000000"/>
          <w:sz w:val="18"/>
          <w:szCs w:val="18"/>
        </w:rPr>
        <w:t>This study is not included in the registration dossier.</w:t>
      </w:r>
    </w:p>
    <w:p w14:paraId="7DCF6A19" w14:textId="77777777" w:rsidR="00857B7F" w:rsidRPr="000C7CFA" w:rsidRDefault="00857B7F" w:rsidP="00857B7F">
      <w:pPr>
        <w:pStyle w:val="NoSpacing"/>
        <w:ind w:left="426" w:right="374"/>
        <w:jc w:val="both"/>
        <w:rPr>
          <w:rFonts w:ascii="Verdana" w:hAnsi="Verdana" w:cs="Times New Roman"/>
          <w:sz w:val="18"/>
          <w:szCs w:val="18"/>
        </w:rPr>
      </w:pPr>
    </w:p>
    <w:p w14:paraId="19264E2D" w14:textId="77777777" w:rsidR="00857B7F" w:rsidRPr="000C7CFA" w:rsidRDefault="00857B7F" w:rsidP="00DC3658">
      <w:pPr>
        <w:pStyle w:val="ListParagraph"/>
        <w:numPr>
          <w:ilvl w:val="0"/>
          <w:numId w:val="14"/>
        </w:numPr>
        <w:autoSpaceDE w:val="0"/>
        <w:autoSpaceDN w:val="0"/>
        <w:adjustRightInd w:val="0"/>
        <w:spacing w:after="120" w:line="240" w:lineRule="auto"/>
        <w:ind w:left="425" w:hanging="357"/>
        <w:jc w:val="both"/>
        <w:rPr>
          <w:rFonts w:ascii="Verdana" w:hAnsi="Verdana"/>
          <w:color w:val="000000"/>
          <w:sz w:val="18"/>
          <w:szCs w:val="18"/>
        </w:rPr>
      </w:pPr>
      <w:r w:rsidRPr="000C7CFA">
        <w:rPr>
          <w:rFonts w:ascii="Verdana" w:hAnsi="Verdana"/>
          <w:color w:val="000000"/>
          <w:sz w:val="18"/>
          <w:szCs w:val="18"/>
          <w:u w:val="single"/>
        </w:rPr>
        <w:t xml:space="preserve">Peng </w:t>
      </w:r>
      <w:r w:rsidRPr="000C7CFA">
        <w:rPr>
          <w:rFonts w:ascii="Verdana" w:hAnsi="Verdana"/>
          <w:i/>
          <w:color w:val="000000"/>
          <w:sz w:val="18"/>
          <w:szCs w:val="18"/>
          <w:u w:val="single"/>
        </w:rPr>
        <w:t>et al.</w:t>
      </w:r>
      <w:r w:rsidRPr="000C7CFA">
        <w:rPr>
          <w:rFonts w:ascii="Verdana" w:hAnsi="Verdana"/>
          <w:color w:val="000000"/>
          <w:sz w:val="18"/>
          <w:szCs w:val="18"/>
          <w:u w:val="single"/>
        </w:rPr>
        <w:t xml:space="preserve"> (2015)</w:t>
      </w:r>
      <w:r w:rsidRPr="000C7CFA">
        <w:rPr>
          <w:rFonts w:ascii="Verdana" w:hAnsi="Verdana"/>
          <w:color w:val="000000"/>
          <w:sz w:val="18"/>
          <w:szCs w:val="18"/>
        </w:rPr>
        <w:t xml:space="preserve"> investigated the accumulation of Dechlorane Plus in terrestrial passerines. The birds were collected from a national nature reserve in South China around 120 km from a major electronic waste recycling area. A total of 44 muscle samples from the following species were analysed: Great Tit (</w:t>
      </w:r>
      <w:r w:rsidRPr="000C7CFA">
        <w:rPr>
          <w:rFonts w:ascii="Verdana" w:hAnsi="Verdana"/>
          <w:i/>
          <w:color w:val="000000"/>
          <w:sz w:val="18"/>
          <w:szCs w:val="18"/>
        </w:rPr>
        <w:t xml:space="preserve">Parus major, </w:t>
      </w:r>
      <w:r w:rsidRPr="000C7CFA">
        <w:rPr>
          <w:rFonts w:ascii="Verdana" w:hAnsi="Verdana"/>
          <w:color w:val="000000"/>
          <w:sz w:val="18"/>
          <w:szCs w:val="18"/>
        </w:rPr>
        <w:t>n=18), Oriental Magpie-robin (</w:t>
      </w:r>
      <w:r w:rsidRPr="000C7CFA">
        <w:rPr>
          <w:rFonts w:ascii="Verdana" w:hAnsi="Verdana"/>
          <w:i/>
          <w:color w:val="000000"/>
          <w:sz w:val="18"/>
          <w:szCs w:val="18"/>
        </w:rPr>
        <w:t>Copsychus saularis</w:t>
      </w:r>
      <w:r w:rsidRPr="000C7CFA">
        <w:rPr>
          <w:rFonts w:ascii="Verdana" w:hAnsi="Verdana"/>
          <w:color w:val="000000"/>
          <w:sz w:val="18"/>
          <w:szCs w:val="18"/>
        </w:rPr>
        <w:t>, n=7), Red-whiskered Bulbul (</w:t>
      </w:r>
      <w:r w:rsidRPr="000C7CFA">
        <w:rPr>
          <w:rFonts w:ascii="Verdana" w:hAnsi="Verdana"/>
          <w:i/>
          <w:color w:val="000000"/>
          <w:sz w:val="18"/>
          <w:szCs w:val="18"/>
        </w:rPr>
        <w:t>Pycnonotus jocosus</w:t>
      </w:r>
      <w:r w:rsidRPr="000C7CFA">
        <w:rPr>
          <w:rFonts w:ascii="Verdana" w:hAnsi="Verdana"/>
          <w:color w:val="000000"/>
          <w:sz w:val="18"/>
          <w:szCs w:val="18"/>
        </w:rPr>
        <w:t>, n=6), Light-vented Bulbul (</w:t>
      </w:r>
      <w:r w:rsidRPr="000C7CFA">
        <w:rPr>
          <w:rFonts w:ascii="Verdana" w:hAnsi="Verdana"/>
          <w:i/>
          <w:color w:val="000000"/>
          <w:sz w:val="18"/>
          <w:szCs w:val="18"/>
        </w:rPr>
        <w:t xml:space="preserve">Pycnonotus sinensis, </w:t>
      </w:r>
      <w:r w:rsidRPr="000C7CFA">
        <w:rPr>
          <w:rFonts w:ascii="Verdana" w:hAnsi="Verdana"/>
          <w:color w:val="000000"/>
          <w:sz w:val="18"/>
          <w:szCs w:val="18"/>
        </w:rPr>
        <w:t xml:space="preserve">n=5), </w:t>
      </w:r>
      <w:r w:rsidRPr="000C7CFA">
        <w:rPr>
          <w:rFonts w:ascii="Verdana" w:hAnsi="Verdana"/>
          <w:sz w:val="18"/>
          <w:szCs w:val="18"/>
          <w:u w:val="single"/>
        </w:rPr>
        <w:t>Streak</w:t>
      </w:r>
      <w:r w:rsidRPr="000C7CFA">
        <w:rPr>
          <w:rFonts w:ascii="Verdana" w:hAnsi="Verdana"/>
          <w:color w:val="000000"/>
          <w:sz w:val="18"/>
          <w:szCs w:val="18"/>
        </w:rPr>
        <w:t>-breasted Scimitar Babbler (</w:t>
      </w:r>
      <w:r w:rsidRPr="000C7CFA">
        <w:rPr>
          <w:rFonts w:ascii="Verdana" w:hAnsi="Verdana"/>
          <w:i/>
          <w:color w:val="000000"/>
          <w:sz w:val="18"/>
          <w:szCs w:val="18"/>
        </w:rPr>
        <w:t>Pomatorhinus rufficollis</w:t>
      </w:r>
      <w:r w:rsidRPr="000C7CFA">
        <w:rPr>
          <w:rFonts w:ascii="Verdana" w:hAnsi="Verdana"/>
          <w:color w:val="000000"/>
          <w:sz w:val="18"/>
          <w:szCs w:val="18"/>
        </w:rPr>
        <w:t>, n=4), Long-tailed Shrike (</w:t>
      </w:r>
      <w:r w:rsidRPr="000C7CFA">
        <w:rPr>
          <w:rFonts w:ascii="Verdana" w:hAnsi="Verdana"/>
          <w:i/>
          <w:color w:val="000000"/>
          <w:sz w:val="18"/>
          <w:szCs w:val="18"/>
        </w:rPr>
        <w:t>Lanius Schach</w:t>
      </w:r>
      <w:r w:rsidRPr="000C7CFA">
        <w:rPr>
          <w:rFonts w:ascii="Verdana" w:hAnsi="Verdana"/>
          <w:color w:val="000000"/>
          <w:sz w:val="18"/>
          <w:szCs w:val="18"/>
        </w:rPr>
        <w:t>, n=2) and Orange-headed Thrush (</w:t>
      </w:r>
      <w:r w:rsidRPr="000C7CFA">
        <w:rPr>
          <w:rFonts w:ascii="Verdana" w:hAnsi="Verdana"/>
          <w:i/>
          <w:color w:val="000000"/>
          <w:sz w:val="18"/>
          <w:szCs w:val="18"/>
        </w:rPr>
        <w:t>Zoothera citrina</w:t>
      </w:r>
      <w:r w:rsidRPr="000C7CFA">
        <w:rPr>
          <w:rFonts w:ascii="Verdana" w:hAnsi="Verdana"/>
          <w:color w:val="000000"/>
          <w:sz w:val="18"/>
          <w:szCs w:val="18"/>
        </w:rPr>
        <w:t>, n=2). The levels of total Dechlorane Plus ranged from 1.2 to 104 μg/kg lipid and the levels were found to be significantly (</w:t>
      </w:r>
      <w:r w:rsidRPr="000C7CFA">
        <w:rPr>
          <w:rFonts w:ascii="Verdana" w:hAnsi="Verdana"/>
          <w:i/>
          <w:color w:val="000000"/>
          <w:sz w:val="18"/>
          <w:szCs w:val="18"/>
        </w:rPr>
        <w:t>p</w:t>
      </w:r>
      <w:r w:rsidRPr="000C7CFA">
        <w:rPr>
          <w:rFonts w:ascii="Verdana" w:hAnsi="Verdana"/>
          <w:color w:val="000000"/>
          <w:sz w:val="18"/>
          <w:szCs w:val="18"/>
        </w:rPr>
        <w:t xml:space="preserve">=0.03) higher in insectivorous birds (mean 16.9 μg/kg lipid; n-=27) than in omnivorous birds (mean 6.4 μg/kg lipid; n-17). As insectivorous birds generally occupy a higher trophic level than omnivorous birds Peng </w:t>
      </w:r>
      <w:r w:rsidRPr="000C7CFA">
        <w:rPr>
          <w:rFonts w:ascii="Verdana" w:hAnsi="Verdana"/>
          <w:i/>
          <w:color w:val="000000"/>
          <w:sz w:val="18"/>
          <w:szCs w:val="18"/>
        </w:rPr>
        <w:t>et al</w:t>
      </w:r>
      <w:r w:rsidRPr="000C7CFA">
        <w:rPr>
          <w:rFonts w:ascii="Verdana" w:hAnsi="Verdana"/>
          <w:color w:val="000000"/>
          <w:sz w:val="18"/>
          <w:szCs w:val="18"/>
        </w:rPr>
        <w:t xml:space="preserve">. (2015) considered that this could be an indication of biomagnification. Unfortunately the trophic levels of the birds in the study were not determined. The </w:t>
      </w:r>
      <w:proofErr w:type="gramStart"/>
      <w:r w:rsidRPr="000C7CFA">
        <w:rPr>
          <w:rFonts w:ascii="Verdana" w:hAnsi="Verdana"/>
          <w:color w:val="000000"/>
          <w:sz w:val="18"/>
          <w:szCs w:val="18"/>
        </w:rPr>
        <w:t>f</w:t>
      </w:r>
      <w:r w:rsidRPr="000C7CFA">
        <w:rPr>
          <w:rFonts w:ascii="Verdana" w:hAnsi="Verdana"/>
          <w:color w:val="000000"/>
          <w:sz w:val="18"/>
          <w:szCs w:val="18"/>
          <w:vertAlign w:val="subscript"/>
        </w:rPr>
        <w:t>anti</w:t>
      </w:r>
      <w:proofErr w:type="gramEnd"/>
      <w:r w:rsidRPr="000C7CFA">
        <w:rPr>
          <w:rFonts w:ascii="Verdana" w:hAnsi="Verdana"/>
          <w:color w:val="000000"/>
          <w:sz w:val="18"/>
          <w:szCs w:val="18"/>
        </w:rPr>
        <w:t xml:space="preserve"> in the samples ranged from 0.34 to 0.97, with the median f</w:t>
      </w:r>
      <w:r w:rsidRPr="000C7CFA">
        <w:rPr>
          <w:rFonts w:ascii="Verdana" w:hAnsi="Verdana"/>
          <w:color w:val="000000"/>
          <w:sz w:val="18"/>
          <w:szCs w:val="18"/>
          <w:vertAlign w:val="subscript"/>
        </w:rPr>
        <w:t>anti</w:t>
      </w:r>
      <w:r w:rsidRPr="000C7CFA">
        <w:rPr>
          <w:rFonts w:ascii="Verdana" w:hAnsi="Verdana"/>
          <w:color w:val="000000"/>
          <w:sz w:val="18"/>
          <w:szCs w:val="18"/>
        </w:rPr>
        <w:t xml:space="preserve"> for individual species in the range 0.55-0.82, which was considered by Peng </w:t>
      </w:r>
      <w:r w:rsidRPr="000C7CFA">
        <w:rPr>
          <w:rFonts w:ascii="Verdana" w:hAnsi="Verdana"/>
          <w:i/>
          <w:color w:val="000000"/>
          <w:sz w:val="18"/>
          <w:szCs w:val="18"/>
        </w:rPr>
        <w:t>et al</w:t>
      </w:r>
      <w:r w:rsidRPr="000C7CFA">
        <w:rPr>
          <w:rFonts w:ascii="Verdana" w:hAnsi="Verdana"/>
          <w:color w:val="000000"/>
          <w:sz w:val="18"/>
          <w:szCs w:val="18"/>
        </w:rPr>
        <w:t xml:space="preserve">. (2015) to be similar to that in technical Dechlorane Plus products (0.64-0.80). There was no significant difference in the </w:t>
      </w:r>
      <w:proofErr w:type="gramStart"/>
      <w:r w:rsidRPr="000C7CFA">
        <w:rPr>
          <w:rFonts w:ascii="Verdana" w:hAnsi="Verdana"/>
          <w:color w:val="000000"/>
          <w:sz w:val="18"/>
          <w:szCs w:val="18"/>
        </w:rPr>
        <w:t>f</w:t>
      </w:r>
      <w:r w:rsidRPr="000C7CFA">
        <w:rPr>
          <w:rFonts w:ascii="Verdana" w:hAnsi="Verdana"/>
          <w:color w:val="000000"/>
          <w:sz w:val="18"/>
          <w:szCs w:val="18"/>
          <w:vertAlign w:val="subscript"/>
        </w:rPr>
        <w:t>anti</w:t>
      </w:r>
      <w:proofErr w:type="gramEnd"/>
      <w:r w:rsidRPr="000C7CFA">
        <w:rPr>
          <w:rFonts w:ascii="Verdana" w:hAnsi="Verdana"/>
          <w:color w:val="000000"/>
          <w:sz w:val="18"/>
          <w:szCs w:val="18"/>
        </w:rPr>
        <w:t xml:space="preserve"> between omnivorous birds and insectivorous birds, but interspecies differences were evident (for example both the Red-whiskered Bulbul and Oriental Magpie-robin had a significantly higher f</w:t>
      </w:r>
      <w:r w:rsidRPr="000C7CFA">
        <w:rPr>
          <w:rFonts w:ascii="Verdana" w:hAnsi="Verdana"/>
          <w:color w:val="000000"/>
          <w:sz w:val="18"/>
          <w:szCs w:val="18"/>
          <w:vertAlign w:val="subscript"/>
        </w:rPr>
        <w:t>anti</w:t>
      </w:r>
      <w:r w:rsidRPr="000C7CFA">
        <w:rPr>
          <w:rFonts w:ascii="Verdana" w:hAnsi="Verdana"/>
          <w:color w:val="000000"/>
          <w:sz w:val="18"/>
          <w:szCs w:val="18"/>
        </w:rPr>
        <w:t xml:space="preserve"> than the Great Tit and Light-vented Bulbul). It could not be established if these difference resulted from different isomeric profiles of Dechlorane Plus in the diets or from different metabolic potential.</w:t>
      </w:r>
    </w:p>
    <w:p w14:paraId="7E783B1F" w14:textId="0CD9B942" w:rsidR="0026127E" w:rsidRPr="000C7CFA" w:rsidRDefault="00857B7F" w:rsidP="00857B7F">
      <w:pPr>
        <w:pStyle w:val="NoSpacing"/>
        <w:spacing w:after="120"/>
        <w:ind w:left="425" w:right="374"/>
        <w:jc w:val="both"/>
        <w:rPr>
          <w:rFonts w:ascii="Verdana" w:hAnsi="Verdana"/>
          <w:sz w:val="18"/>
          <w:szCs w:val="18"/>
        </w:rPr>
      </w:pPr>
      <w:r w:rsidRPr="000C7CFA">
        <w:rPr>
          <w:rFonts w:ascii="Verdana" w:hAnsi="Verdana"/>
          <w:sz w:val="18"/>
          <w:szCs w:val="18"/>
        </w:rPr>
        <w:t xml:space="preserve">This study is not included in the </w:t>
      </w:r>
      <w:r w:rsidRPr="000C7CFA">
        <w:rPr>
          <w:rFonts w:ascii="Verdana" w:hAnsi="Verdana" w:cs="Times New Roman"/>
          <w:color w:val="000000"/>
          <w:sz w:val="18"/>
          <w:szCs w:val="18"/>
        </w:rPr>
        <w:t>registration</w:t>
      </w:r>
      <w:r w:rsidRPr="000C7CFA">
        <w:rPr>
          <w:rFonts w:ascii="Verdana" w:hAnsi="Verdana"/>
          <w:sz w:val="18"/>
          <w:szCs w:val="18"/>
        </w:rPr>
        <w:t xml:space="preserve"> dossier.</w:t>
      </w:r>
    </w:p>
    <w:p w14:paraId="17A4D6F2" w14:textId="77777777" w:rsidR="00857B7F" w:rsidRPr="000C7CFA" w:rsidRDefault="00857B7F" w:rsidP="00857B7F">
      <w:pPr>
        <w:autoSpaceDE w:val="0"/>
        <w:autoSpaceDN w:val="0"/>
        <w:adjustRightInd w:val="0"/>
        <w:spacing w:after="120"/>
        <w:ind w:left="425"/>
        <w:jc w:val="both"/>
        <w:rPr>
          <w:rFonts w:ascii="Verdana" w:hAnsi="Verdana"/>
          <w:color w:val="000000"/>
          <w:sz w:val="18"/>
          <w:szCs w:val="18"/>
        </w:rPr>
      </w:pPr>
    </w:p>
    <w:p w14:paraId="658111EA" w14:textId="0ADF7341" w:rsidR="0026127E" w:rsidRPr="000C7CFA" w:rsidRDefault="0026127E" w:rsidP="00DC3658">
      <w:pPr>
        <w:pStyle w:val="ListParagraph"/>
        <w:numPr>
          <w:ilvl w:val="0"/>
          <w:numId w:val="14"/>
        </w:numPr>
        <w:autoSpaceDE w:val="0"/>
        <w:autoSpaceDN w:val="0"/>
        <w:adjustRightInd w:val="0"/>
        <w:spacing w:after="120" w:line="240" w:lineRule="auto"/>
        <w:ind w:left="425" w:hanging="357"/>
        <w:jc w:val="both"/>
        <w:rPr>
          <w:rFonts w:ascii="Verdana" w:hAnsi="Verdana"/>
          <w:color w:val="000000"/>
          <w:sz w:val="18"/>
          <w:szCs w:val="18"/>
          <w:lang w:eastAsia="en-GB"/>
        </w:rPr>
      </w:pPr>
      <w:r w:rsidRPr="000C7CFA">
        <w:rPr>
          <w:rFonts w:ascii="Verdana" w:hAnsi="Verdana"/>
          <w:sz w:val="18"/>
          <w:szCs w:val="18"/>
          <w:u w:val="single"/>
        </w:rPr>
        <w:t xml:space="preserve">Muir </w:t>
      </w:r>
      <w:r w:rsidRPr="000C7CFA">
        <w:rPr>
          <w:rFonts w:ascii="Verdana" w:hAnsi="Verdana"/>
          <w:i/>
          <w:sz w:val="18"/>
          <w:szCs w:val="18"/>
          <w:u w:val="single"/>
        </w:rPr>
        <w:t>et al.</w:t>
      </w:r>
      <w:r w:rsidRPr="000C7CFA">
        <w:rPr>
          <w:rFonts w:ascii="Verdana" w:hAnsi="Verdana"/>
          <w:sz w:val="18"/>
          <w:szCs w:val="18"/>
          <w:u w:val="single"/>
        </w:rPr>
        <w:t xml:space="preserve"> (2014)</w:t>
      </w:r>
      <w:r w:rsidRPr="000C7CFA">
        <w:rPr>
          <w:rFonts w:ascii="Verdana" w:hAnsi="Verdana"/>
          <w:color w:val="000000"/>
          <w:sz w:val="18"/>
          <w:szCs w:val="18"/>
          <w:lang w:eastAsia="en-GB"/>
        </w:rPr>
        <w:t xml:space="preserve"> </w:t>
      </w:r>
      <w:r w:rsidR="00AC6C50" w:rsidRPr="000C7CFA">
        <w:rPr>
          <w:rFonts w:ascii="Verdana" w:hAnsi="Verdana"/>
          <w:color w:val="000000"/>
          <w:sz w:val="18"/>
          <w:szCs w:val="18"/>
          <w:lang w:eastAsia="en-GB"/>
        </w:rPr>
        <w:t xml:space="preserve">[ABST] </w:t>
      </w:r>
      <w:r w:rsidRPr="000C7CFA">
        <w:rPr>
          <w:rFonts w:ascii="Verdana" w:hAnsi="Verdana"/>
          <w:color w:val="000000"/>
          <w:sz w:val="18"/>
          <w:szCs w:val="18"/>
          <w:lang w:eastAsia="en-GB"/>
        </w:rPr>
        <w:t xml:space="preserve">analysed </w:t>
      </w:r>
      <w:r w:rsidR="00005E32" w:rsidRPr="000C7CFA">
        <w:rPr>
          <w:rFonts w:ascii="Verdana" w:hAnsi="Verdana"/>
          <w:sz w:val="18"/>
          <w:szCs w:val="18"/>
        </w:rPr>
        <w:t xml:space="preserve">a food web </w:t>
      </w:r>
      <w:r w:rsidR="00005E32" w:rsidRPr="000C7CFA">
        <w:rPr>
          <w:rFonts w:ascii="Verdana" w:hAnsi="Verdana"/>
          <w:color w:val="000000"/>
          <w:sz w:val="18"/>
          <w:szCs w:val="18"/>
          <w:lang w:eastAsia="en-GB"/>
        </w:rPr>
        <w:t xml:space="preserve">in a remote area of the Canadian Arctic (western Nunavut, Bathurst region). </w:t>
      </w:r>
      <w:r w:rsidR="00005E32" w:rsidRPr="000C7CFA">
        <w:rPr>
          <w:rFonts w:ascii="Verdana" w:hAnsi="Verdana"/>
          <w:sz w:val="18"/>
          <w:szCs w:val="18"/>
        </w:rPr>
        <w:t>This</w:t>
      </w:r>
      <w:r w:rsidR="007E36AC" w:rsidRPr="000C7CFA">
        <w:rPr>
          <w:rFonts w:ascii="Verdana" w:hAnsi="Verdana"/>
          <w:sz w:val="18"/>
          <w:szCs w:val="18"/>
        </w:rPr>
        <w:t xml:space="preserve"> included vegetation (e.g. various lichen, moss, willow, graminoid</w:t>
      </w:r>
      <w:r w:rsidR="006E4CFF" w:rsidRPr="000C7CFA">
        <w:rPr>
          <w:rFonts w:ascii="Verdana" w:hAnsi="Verdana"/>
          <w:sz w:val="18"/>
          <w:szCs w:val="18"/>
        </w:rPr>
        <w:t xml:space="preserve"> </w:t>
      </w:r>
      <w:r w:rsidR="007E36AC" w:rsidRPr="000C7CFA">
        <w:rPr>
          <w:rFonts w:ascii="Verdana" w:hAnsi="Verdana"/>
          <w:sz w:val="18"/>
          <w:szCs w:val="18"/>
        </w:rPr>
        <w:t>s</w:t>
      </w:r>
      <w:r w:rsidR="006E4CFF" w:rsidRPr="000C7CFA">
        <w:rPr>
          <w:rFonts w:ascii="Verdana" w:hAnsi="Verdana"/>
          <w:sz w:val="18"/>
          <w:szCs w:val="18"/>
        </w:rPr>
        <w:t>pecies</w:t>
      </w:r>
      <w:r w:rsidR="007E36AC" w:rsidRPr="000C7CFA">
        <w:rPr>
          <w:rFonts w:ascii="Verdana" w:hAnsi="Verdana"/>
          <w:sz w:val="18"/>
          <w:szCs w:val="18"/>
        </w:rPr>
        <w:t>, etc.)</w:t>
      </w:r>
      <w:r w:rsidR="00005E32" w:rsidRPr="000C7CFA">
        <w:rPr>
          <w:rFonts w:ascii="Verdana" w:hAnsi="Verdana"/>
          <w:sz w:val="18"/>
          <w:szCs w:val="18"/>
        </w:rPr>
        <w:t xml:space="preserve">, </w:t>
      </w:r>
      <w:r w:rsidR="00005E32" w:rsidRPr="000C7CFA">
        <w:rPr>
          <w:rFonts w:ascii="Verdana" w:hAnsi="Verdana"/>
          <w:color w:val="000000"/>
          <w:sz w:val="18"/>
          <w:szCs w:val="18"/>
          <w:lang w:eastAsia="en-GB"/>
        </w:rPr>
        <w:t>Caribou (</w:t>
      </w:r>
      <w:r w:rsidR="00005E32" w:rsidRPr="000C7CFA">
        <w:rPr>
          <w:rFonts w:ascii="Verdana" w:hAnsi="Verdana"/>
          <w:i/>
          <w:color w:val="000000"/>
          <w:sz w:val="18"/>
          <w:szCs w:val="18"/>
          <w:lang w:eastAsia="en-GB"/>
        </w:rPr>
        <w:t>Rangifer tarandus groenlandicus</w:t>
      </w:r>
      <w:r w:rsidR="00005E32" w:rsidRPr="000C7CFA">
        <w:rPr>
          <w:rFonts w:ascii="Verdana" w:hAnsi="Verdana"/>
          <w:color w:val="000000"/>
          <w:sz w:val="18"/>
          <w:szCs w:val="18"/>
          <w:lang w:eastAsia="en-GB"/>
        </w:rPr>
        <w:t xml:space="preserve">) and </w:t>
      </w:r>
      <w:r w:rsidR="00005E32" w:rsidRPr="000C7CFA">
        <w:rPr>
          <w:rFonts w:ascii="Verdana" w:hAnsi="Verdana"/>
          <w:sz w:val="18"/>
          <w:szCs w:val="18"/>
        </w:rPr>
        <w:t xml:space="preserve">Grey </w:t>
      </w:r>
      <w:r w:rsidR="00005E32" w:rsidRPr="000C7CFA">
        <w:rPr>
          <w:rFonts w:ascii="Verdana" w:hAnsi="Verdana"/>
          <w:color w:val="000000"/>
          <w:sz w:val="18"/>
          <w:szCs w:val="18"/>
          <w:lang w:eastAsia="en-GB"/>
        </w:rPr>
        <w:t>Wolf (</w:t>
      </w:r>
      <w:r w:rsidR="00005E32" w:rsidRPr="000C7CFA">
        <w:rPr>
          <w:rFonts w:ascii="Verdana" w:hAnsi="Verdana"/>
          <w:i/>
          <w:color w:val="000000"/>
          <w:sz w:val="18"/>
          <w:szCs w:val="18"/>
          <w:lang w:eastAsia="en-GB"/>
        </w:rPr>
        <w:t>Canis lupus</w:t>
      </w:r>
      <w:r w:rsidR="00005E32" w:rsidRPr="000C7CFA">
        <w:rPr>
          <w:rFonts w:ascii="Verdana" w:hAnsi="Verdana"/>
          <w:color w:val="000000"/>
          <w:sz w:val="18"/>
          <w:szCs w:val="18"/>
          <w:lang w:eastAsia="en-GB"/>
        </w:rPr>
        <w:t xml:space="preserve">). Using estimated </w:t>
      </w:r>
      <w:r w:rsidR="00005E32" w:rsidRPr="000C7CFA">
        <w:rPr>
          <w:rFonts w:ascii="Verdana" w:hAnsi="Verdana"/>
          <w:sz w:val="18"/>
          <w:szCs w:val="18"/>
        </w:rPr>
        <w:t>total body burdens,</w:t>
      </w:r>
      <w:r w:rsidR="00005E32" w:rsidRPr="000C7CFA">
        <w:rPr>
          <w:rFonts w:ascii="Verdana" w:hAnsi="Verdana"/>
          <w:color w:val="000000"/>
          <w:sz w:val="18"/>
          <w:szCs w:val="18"/>
          <w:lang w:eastAsia="en-GB"/>
        </w:rPr>
        <w:t xml:space="preserve"> t</w:t>
      </w:r>
      <w:r w:rsidR="007E36AC" w:rsidRPr="000C7CFA">
        <w:rPr>
          <w:rFonts w:ascii="Verdana" w:hAnsi="Verdana"/>
          <w:sz w:val="18"/>
          <w:szCs w:val="18"/>
        </w:rPr>
        <w:t>he TMF</w:t>
      </w:r>
      <w:r w:rsidR="00005E32" w:rsidRPr="000C7CFA">
        <w:rPr>
          <w:rFonts w:ascii="Verdana" w:hAnsi="Verdana"/>
          <w:sz w:val="18"/>
          <w:szCs w:val="18"/>
        </w:rPr>
        <w:t xml:space="preserve"> for the anti- isomer</w:t>
      </w:r>
      <w:r w:rsidR="007E36AC" w:rsidRPr="000C7CFA">
        <w:rPr>
          <w:rFonts w:ascii="Verdana" w:hAnsi="Verdana"/>
          <w:sz w:val="18"/>
          <w:szCs w:val="18"/>
        </w:rPr>
        <w:t xml:space="preserve"> was below unity (0.83), suggesting that trophic magnification was not occurring. </w:t>
      </w:r>
      <w:r w:rsidR="00005E32" w:rsidRPr="000C7CFA">
        <w:rPr>
          <w:rFonts w:ascii="Verdana" w:hAnsi="Verdana"/>
          <w:color w:val="000000"/>
          <w:sz w:val="18"/>
          <w:szCs w:val="18"/>
          <w:lang w:eastAsia="en-GB"/>
        </w:rPr>
        <w:t>A Caribou-Wolf BMF of 3.4 ± 2.1 was estimated for the anti- isomer, but this was not statistically significant. No information is provided for the syn- isomer and n</w:t>
      </w:r>
      <w:r w:rsidR="00AC6C50" w:rsidRPr="000C7CFA">
        <w:rPr>
          <w:rFonts w:ascii="Verdana" w:hAnsi="Verdana"/>
          <w:color w:val="000000"/>
          <w:sz w:val="18"/>
          <w:szCs w:val="18"/>
          <w:lang w:eastAsia="en-GB"/>
        </w:rPr>
        <w:t>o other</w:t>
      </w:r>
      <w:r w:rsidRPr="000C7CFA">
        <w:rPr>
          <w:rFonts w:ascii="Verdana" w:hAnsi="Verdana"/>
          <w:color w:val="000000"/>
          <w:sz w:val="18"/>
          <w:szCs w:val="18"/>
          <w:lang w:eastAsia="en-GB"/>
        </w:rPr>
        <w:t xml:space="preserve"> details are available (e.g. </w:t>
      </w:r>
      <w:r w:rsidR="005B6B2B" w:rsidRPr="000C7CFA">
        <w:rPr>
          <w:rFonts w:ascii="Verdana" w:hAnsi="Verdana"/>
          <w:color w:val="000000"/>
          <w:sz w:val="18"/>
          <w:szCs w:val="18"/>
          <w:lang w:eastAsia="en-GB"/>
        </w:rPr>
        <w:t>it</w:t>
      </w:r>
      <w:r w:rsidR="00AC6C50" w:rsidRPr="000C7CFA">
        <w:rPr>
          <w:rFonts w:ascii="Verdana" w:hAnsi="Verdana"/>
          <w:color w:val="000000"/>
          <w:sz w:val="18"/>
          <w:szCs w:val="18"/>
          <w:lang w:eastAsia="en-GB"/>
        </w:rPr>
        <w:t xml:space="preserve"> </w:t>
      </w:r>
      <w:r w:rsidR="005B6B2B" w:rsidRPr="000C7CFA">
        <w:rPr>
          <w:rFonts w:ascii="Verdana" w:hAnsi="Verdana"/>
          <w:color w:val="000000"/>
          <w:sz w:val="18"/>
          <w:szCs w:val="18"/>
          <w:lang w:eastAsia="en-GB"/>
        </w:rPr>
        <w:t xml:space="preserve">is </w:t>
      </w:r>
      <w:r w:rsidR="00AC6C50" w:rsidRPr="000C7CFA">
        <w:rPr>
          <w:rFonts w:ascii="Verdana" w:hAnsi="Verdana"/>
          <w:color w:val="000000"/>
          <w:sz w:val="18"/>
          <w:szCs w:val="18"/>
          <w:lang w:eastAsia="en-GB"/>
        </w:rPr>
        <w:t>not know</w:t>
      </w:r>
      <w:r w:rsidR="005B6B2B" w:rsidRPr="000C7CFA">
        <w:rPr>
          <w:rFonts w:ascii="Verdana" w:hAnsi="Verdana"/>
          <w:color w:val="000000"/>
          <w:sz w:val="18"/>
          <w:szCs w:val="18"/>
          <w:lang w:eastAsia="en-GB"/>
        </w:rPr>
        <w:t>n</w:t>
      </w:r>
      <w:r w:rsidR="00AC6C50" w:rsidRPr="000C7CFA">
        <w:rPr>
          <w:rFonts w:ascii="Verdana" w:hAnsi="Verdana"/>
          <w:color w:val="000000"/>
          <w:sz w:val="18"/>
          <w:szCs w:val="18"/>
          <w:lang w:eastAsia="en-GB"/>
        </w:rPr>
        <w:t xml:space="preserve"> how many animals were involved, which tissues were sampled or </w:t>
      </w:r>
      <w:r w:rsidRPr="000C7CFA">
        <w:rPr>
          <w:rFonts w:ascii="Verdana" w:hAnsi="Verdana"/>
          <w:color w:val="000000"/>
          <w:sz w:val="18"/>
          <w:szCs w:val="18"/>
          <w:lang w:eastAsia="en-GB"/>
        </w:rPr>
        <w:t>how body burden was estimated</w:t>
      </w:r>
      <w:r w:rsidR="00005E32" w:rsidRPr="000C7CFA">
        <w:rPr>
          <w:rFonts w:ascii="Verdana" w:hAnsi="Verdana"/>
          <w:color w:val="000000"/>
          <w:sz w:val="18"/>
          <w:szCs w:val="18"/>
          <w:lang w:eastAsia="en-GB"/>
        </w:rPr>
        <w:t xml:space="preserve"> for an animal as large as a Caribou</w:t>
      </w:r>
      <w:r w:rsidRPr="000C7CFA">
        <w:rPr>
          <w:rFonts w:ascii="Verdana" w:hAnsi="Verdana"/>
          <w:color w:val="000000"/>
          <w:sz w:val="18"/>
          <w:szCs w:val="18"/>
          <w:lang w:eastAsia="en-GB"/>
        </w:rPr>
        <w:t>)</w:t>
      </w:r>
      <w:r w:rsidR="00005E32" w:rsidRPr="000C7CFA">
        <w:rPr>
          <w:rFonts w:ascii="Verdana" w:hAnsi="Verdana"/>
          <w:color w:val="000000"/>
          <w:sz w:val="18"/>
          <w:szCs w:val="18"/>
          <w:lang w:eastAsia="en-GB"/>
        </w:rPr>
        <w:t>. The reliability of this study is therefore unknown</w:t>
      </w:r>
      <w:r w:rsidRPr="000C7CFA">
        <w:rPr>
          <w:rFonts w:ascii="Verdana" w:hAnsi="Verdana"/>
          <w:color w:val="000000"/>
          <w:sz w:val="18"/>
          <w:szCs w:val="18"/>
          <w:lang w:eastAsia="en-GB"/>
        </w:rPr>
        <w:t xml:space="preserve">. </w:t>
      </w:r>
    </w:p>
    <w:p w14:paraId="23992F60" w14:textId="77777777" w:rsidR="0026127E" w:rsidRPr="000C7CFA" w:rsidRDefault="0026127E" w:rsidP="0026127E">
      <w:pPr>
        <w:pStyle w:val="ListParagraph"/>
        <w:autoSpaceDE w:val="0"/>
        <w:autoSpaceDN w:val="0"/>
        <w:adjustRightInd w:val="0"/>
        <w:spacing w:after="120" w:line="240" w:lineRule="auto"/>
        <w:ind w:left="425"/>
        <w:jc w:val="both"/>
        <w:rPr>
          <w:rFonts w:ascii="Verdana" w:hAnsi="Verdana"/>
          <w:color w:val="000000"/>
          <w:sz w:val="18"/>
          <w:szCs w:val="18"/>
          <w:lang w:eastAsia="en-GB"/>
        </w:rPr>
      </w:pPr>
    </w:p>
    <w:p w14:paraId="46BB48E5" w14:textId="77777777" w:rsidR="0026127E" w:rsidRPr="000C7CFA" w:rsidRDefault="0026127E" w:rsidP="0026127E">
      <w:pPr>
        <w:pStyle w:val="ListParagraph"/>
        <w:autoSpaceDE w:val="0"/>
        <w:autoSpaceDN w:val="0"/>
        <w:adjustRightInd w:val="0"/>
        <w:spacing w:after="120" w:line="240" w:lineRule="auto"/>
        <w:ind w:left="425"/>
        <w:jc w:val="both"/>
        <w:rPr>
          <w:rFonts w:ascii="Verdana" w:hAnsi="Verdana"/>
          <w:color w:val="000000"/>
          <w:sz w:val="18"/>
          <w:szCs w:val="18"/>
          <w:lang w:eastAsia="en-GB"/>
        </w:rPr>
      </w:pPr>
      <w:r w:rsidRPr="000C7CFA">
        <w:rPr>
          <w:rFonts w:ascii="Verdana" w:hAnsi="Verdana"/>
          <w:color w:val="000000"/>
          <w:sz w:val="18"/>
          <w:szCs w:val="18"/>
          <w:lang w:eastAsia="en-GB"/>
        </w:rPr>
        <w:t>This study is not included in the registration dossier.</w:t>
      </w:r>
    </w:p>
    <w:p w14:paraId="649623BC" w14:textId="77777777" w:rsidR="00D45414" w:rsidRPr="000C7CFA" w:rsidRDefault="00D45414" w:rsidP="00857674">
      <w:pPr>
        <w:pStyle w:val="BodyText"/>
        <w:ind w:right="-52"/>
        <w:rPr>
          <w:rFonts w:ascii="Verdana" w:hAnsi="Verdana"/>
          <w:sz w:val="18"/>
          <w:szCs w:val="18"/>
        </w:rPr>
      </w:pPr>
    </w:p>
    <w:p w14:paraId="6EE5C766" w14:textId="233E93B2" w:rsidR="00857674" w:rsidRPr="000C7CFA" w:rsidRDefault="00857674" w:rsidP="00857674">
      <w:pPr>
        <w:pStyle w:val="BodyText"/>
        <w:ind w:right="-52"/>
        <w:rPr>
          <w:rFonts w:ascii="Verdana" w:hAnsi="Verdana"/>
          <w:sz w:val="18"/>
          <w:szCs w:val="18"/>
        </w:rPr>
      </w:pPr>
      <w:r w:rsidRPr="000C7CFA">
        <w:rPr>
          <w:rFonts w:ascii="Verdana" w:hAnsi="Verdana"/>
          <w:sz w:val="18"/>
          <w:szCs w:val="18"/>
        </w:rPr>
        <w:t>Other terrestrial wildlife monitoring results from the open literature are reported in</w:t>
      </w:r>
      <w:r w:rsidR="00336DE5" w:rsidRPr="000C7CFA">
        <w:rPr>
          <w:rFonts w:ascii="Verdana" w:hAnsi="Verdana"/>
          <w:sz w:val="18"/>
          <w:szCs w:val="18"/>
        </w:rPr>
        <w:t xml:space="preserve"> </w:t>
      </w:r>
      <w:r w:rsidR="0000000F" w:rsidRPr="000C7CFA">
        <w:rPr>
          <w:rFonts w:ascii="Verdana" w:hAnsi="Verdana"/>
          <w:sz w:val="18"/>
          <w:szCs w:val="18"/>
        </w:rPr>
        <w:t xml:space="preserve">Appendix </w:t>
      </w:r>
      <w:r w:rsidR="00FB3AD7" w:rsidRPr="000C7CFA">
        <w:rPr>
          <w:rFonts w:ascii="Verdana" w:hAnsi="Verdana"/>
          <w:sz w:val="18"/>
          <w:szCs w:val="18"/>
        </w:rPr>
        <w:t>4</w:t>
      </w:r>
      <w:r w:rsidRPr="000C7CFA">
        <w:rPr>
          <w:rFonts w:ascii="Verdana" w:hAnsi="Verdana"/>
          <w:sz w:val="18"/>
          <w:szCs w:val="18"/>
        </w:rPr>
        <w:t xml:space="preserve">. In addition, a number of studies have examined contamination of human tissues and these are </w:t>
      </w:r>
      <w:r w:rsidR="00E448CC" w:rsidRPr="000C7CFA">
        <w:rPr>
          <w:rFonts w:ascii="Verdana" w:hAnsi="Verdana"/>
          <w:sz w:val="18"/>
          <w:szCs w:val="18"/>
        </w:rPr>
        <w:t xml:space="preserve">briefly </w:t>
      </w:r>
      <w:r w:rsidRPr="000C7CFA">
        <w:rPr>
          <w:rFonts w:ascii="Verdana" w:hAnsi="Verdana"/>
          <w:sz w:val="18"/>
          <w:szCs w:val="18"/>
        </w:rPr>
        <w:t xml:space="preserve">summarised below. </w:t>
      </w:r>
    </w:p>
    <w:p w14:paraId="001F87AC" w14:textId="77777777" w:rsidR="00813CD1" w:rsidRPr="000C7CFA" w:rsidRDefault="00813CD1" w:rsidP="00DC3658">
      <w:pPr>
        <w:pStyle w:val="NoSpacing"/>
        <w:numPr>
          <w:ilvl w:val="0"/>
          <w:numId w:val="7"/>
        </w:numPr>
        <w:spacing w:after="120"/>
        <w:ind w:left="425" w:right="374" w:hanging="357"/>
        <w:jc w:val="both"/>
        <w:rPr>
          <w:rFonts w:ascii="Verdana" w:hAnsi="Verdana" w:cs="Times New Roman"/>
          <w:sz w:val="18"/>
          <w:szCs w:val="18"/>
        </w:rPr>
      </w:pPr>
      <w:r w:rsidRPr="000C7CFA">
        <w:rPr>
          <w:rFonts w:ascii="Verdana" w:hAnsi="Verdana" w:cs="Times New Roman"/>
          <w:sz w:val="18"/>
          <w:szCs w:val="18"/>
          <w:u w:val="single"/>
        </w:rPr>
        <w:t xml:space="preserve">Ren </w:t>
      </w:r>
      <w:r w:rsidRPr="000C7CFA">
        <w:rPr>
          <w:rFonts w:ascii="Verdana" w:hAnsi="Verdana" w:cs="Times New Roman"/>
          <w:i/>
          <w:sz w:val="18"/>
          <w:szCs w:val="18"/>
          <w:u w:val="single"/>
        </w:rPr>
        <w:t>et al</w:t>
      </w:r>
      <w:r w:rsidRPr="000C7CFA">
        <w:rPr>
          <w:rFonts w:ascii="Verdana" w:hAnsi="Verdana" w:cs="Times New Roman"/>
          <w:sz w:val="18"/>
          <w:szCs w:val="18"/>
          <w:u w:val="single"/>
        </w:rPr>
        <w:t>. (2009)</w:t>
      </w:r>
      <w:r w:rsidRPr="000C7CFA">
        <w:rPr>
          <w:rFonts w:ascii="Verdana" w:hAnsi="Verdana" w:cs="Times New Roman"/>
          <w:sz w:val="18"/>
          <w:szCs w:val="18"/>
        </w:rPr>
        <w:t xml:space="preserve"> collected serum samples from residents at two sites in southern China during 2005. The first cohort consisted of 20 residents from an electronic waste (e-waste) dismantling site in Guiyu town, Shantou City, Guangdong Province (where 80% of families are engaged in primitive recycling work). The second cohort consisted of 20 residents of Haojiang district, Shantou City, about 50 km east of Guiyu, where fishing was the predominant industry. Dechlorane Plus was detected in all the samples, with concentrations (total isomers) ranging from 7.8 to 465 (median: 42.6) μg/kg </w:t>
      </w:r>
      <w:r w:rsidR="00980461" w:rsidRPr="000C7CFA">
        <w:rPr>
          <w:rFonts w:ascii="Verdana" w:hAnsi="Verdana" w:cs="Times New Roman"/>
          <w:sz w:val="18"/>
          <w:szCs w:val="18"/>
        </w:rPr>
        <w:t>lipid weight (</w:t>
      </w:r>
      <w:proofErr w:type="gramStart"/>
      <w:r w:rsidRPr="000C7CFA">
        <w:rPr>
          <w:rFonts w:ascii="Verdana" w:hAnsi="Verdana" w:cs="Times New Roman"/>
          <w:sz w:val="18"/>
          <w:szCs w:val="18"/>
        </w:rPr>
        <w:t>lw</w:t>
      </w:r>
      <w:proofErr w:type="gramEnd"/>
      <w:r w:rsidR="00980461" w:rsidRPr="000C7CFA">
        <w:rPr>
          <w:rFonts w:ascii="Verdana" w:hAnsi="Verdana" w:cs="Times New Roman"/>
          <w:sz w:val="18"/>
          <w:szCs w:val="18"/>
        </w:rPr>
        <w:t>)</w:t>
      </w:r>
      <w:r w:rsidRPr="000C7CFA">
        <w:rPr>
          <w:rFonts w:ascii="Verdana" w:hAnsi="Verdana" w:cs="Times New Roman"/>
          <w:sz w:val="18"/>
          <w:szCs w:val="18"/>
        </w:rPr>
        <w:t xml:space="preserve"> in Guiyu and 0.93 to 50.5 (median: 13.7) μg/kg lw in Haojiang. Levels were broadly similar to (though slightly lower than) those of decabromodiphenyl ether in the same samples. The average </w:t>
      </w:r>
      <w:proofErr w:type="gramStart"/>
      <w:r w:rsidRPr="000C7CFA">
        <w:rPr>
          <w:rFonts w:ascii="Verdana" w:hAnsi="Verdana" w:cs="Times New Roman"/>
          <w:sz w:val="18"/>
          <w:szCs w:val="18"/>
        </w:rPr>
        <w:t>f</w:t>
      </w:r>
      <w:r w:rsidRPr="000C7CFA">
        <w:rPr>
          <w:rFonts w:ascii="Verdana" w:hAnsi="Verdana" w:cs="Times New Roman"/>
          <w:iCs/>
          <w:sz w:val="18"/>
          <w:szCs w:val="18"/>
          <w:vertAlign w:val="subscript"/>
        </w:rPr>
        <w:t>anti</w:t>
      </w:r>
      <w:proofErr w:type="gramEnd"/>
      <w:r w:rsidRPr="000C7CFA">
        <w:rPr>
          <w:rFonts w:ascii="Verdana" w:hAnsi="Verdana" w:cs="Times New Roman"/>
          <w:sz w:val="18"/>
          <w:szCs w:val="18"/>
        </w:rPr>
        <w:t xml:space="preserve"> was 0.58±0.11 and 0.64±0.05 for Guiyu and Haojiang, respectively (</w:t>
      </w:r>
      <w:r w:rsidRPr="000C7CFA">
        <w:rPr>
          <w:rFonts w:ascii="Verdana" w:hAnsi="Verdana" w:cs="Times New Roman"/>
          <w:i/>
          <w:iCs/>
          <w:sz w:val="18"/>
          <w:szCs w:val="18"/>
        </w:rPr>
        <w:t xml:space="preserve">p </w:t>
      </w:r>
      <w:r w:rsidRPr="000C7CFA">
        <w:rPr>
          <w:rFonts w:ascii="Verdana" w:hAnsi="Verdana" w:cs="Times New Roman"/>
          <w:sz w:val="18"/>
          <w:szCs w:val="18"/>
        </w:rPr>
        <w:t xml:space="preserve">&lt; 0.01). A substance tentatively identified as DP-1Cl was found in 11/20 samples from Guiyu </w:t>
      </w:r>
      <w:r w:rsidRPr="000C7CFA">
        <w:rPr>
          <w:rFonts w:ascii="Verdana" w:hAnsi="Verdana" w:cs="Times New Roman"/>
          <w:sz w:val="18"/>
          <w:szCs w:val="18"/>
        </w:rPr>
        <w:lastRenderedPageBreak/>
        <w:t>and 8/20 samples from Haojiang. No hydroxylated metabolites were detected. Dechlorane Plus isomers were detected in a pooled serum sample from a reference population from Guangzhou (a typical urban city in south China), but the concentration was below the limit of quantitation.</w:t>
      </w:r>
    </w:p>
    <w:p w14:paraId="54A48F73" w14:textId="2421C3AC" w:rsidR="0023247D" w:rsidRPr="000C7CFA" w:rsidRDefault="00445E1C" w:rsidP="00813CD1">
      <w:pPr>
        <w:pStyle w:val="NoSpacing"/>
        <w:spacing w:after="120"/>
        <w:ind w:left="425" w:right="374"/>
        <w:jc w:val="both"/>
        <w:rPr>
          <w:rFonts w:ascii="Verdana" w:hAnsi="Verdana" w:cs="Times New Roman"/>
          <w:sz w:val="18"/>
          <w:szCs w:val="18"/>
        </w:rPr>
      </w:pPr>
      <w:r w:rsidRPr="000C7CFA">
        <w:rPr>
          <w:rFonts w:ascii="Verdana" w:hAnsi="Verdana" w:cs="Times New Roman"/>
          <w:sz w:val="18"/>
          <w:szCs w:val="18"/>
        </w:rPr>
        <w:t>The volunteers’ ages ranged from 23 to 67 years, and 7</w:t>
      </w:r>
      <w:r w:rsidR="00AF7606" w:rsidRPr="000C7CFA">
        <w:rPr>
          <w:rFonts w:ascii="Verdana" w:hAnsi="Verdana" w:cs="Times New Roman"/>
          <w:sz w:val="18"/>
          <w:szCs w:val="18"/>
        </w:rPr>
        <w:t>3 %</w:t>
      </w:r>
      <w:r w:rsidRPr="000C7CFA">
        <w:rPr>
          <w:rFonts w:ascii="Verdana" w:hAnsi="Verdana" w:cs="Times New Roman"/>
          <w:sz w:val="18"/>
          <w:szCs w:val="18"/>
        </w:rPr>
        <w:t xml:space="preserve"> were male (2</w:t>
      </w:r>
      <w:r w:rsidR="00AF7606" w:rsidRPr="000C7CFA">
        <w:rPr>
          <w:rFonts w:ascii="Verdana" w:hAnsi="Verdana" w:cs="Times New Roman"/>
          <w:sz w:val="18"/>
          <w:szCs w:val="18"/>
        </w:rPr>
        <w:t>7 %</w:t>
      </w:r>
      <w:r w:rsidRPr="000C7CFA">
        <w:rPr>
          <w:rFonts w:ascii="Verdana" w:hAnsi="Verdana" w:cs="Times New Roman"/>
          <w:sz w:val="18"/>
          <w:szCs w:val="18"/>
        </w:rPr>
        <w:t xml:space="preserve"> female). </w:t>
      </w:r>
      <w:r w:rsidR="00813CD1" w:rsidRPr="000C7CFA">
        <w:rPr>
          <w:rFonts w:ascii="Verdana" w:hAnsi="Verdana" w:cs="Times New Roman"/>
          <w:sz w:val="18"/>
          <w:szCs w:val="18"/>
        </w:rPr>
        <w:t>Serum concentrations were not correlated with age in either the Guiyu or Haojiang samples. According to the results of the questionnaire, most of the dismantling workers in Guiyu were temporary migrants from other parts of China and had worked there for various lengths of time. Food consumption is not thought to be the main route of human exposure in Guiyu, because most food is bought in from other regions. Thus, inhalation of Dechlorane Plus from the air and from dust is likely to be more important.</w:t>
      </w:r>
      <w:r w:rsidR="0023247D" w:rsidRPr="000C7CFA">
        <w:rPr>
          <w:rFonts w:ascii="Verdana" w:hAnsi="Verdana" w:cs="Times New Roman"/>
          <w:sz w:val="18"/>
          <w:szCs w:val="18"/>
        </w:rPr>
        <w:t xml:space="preserve"> </w:t>
      </w:r>
    </w:p>
    <w:p w14:paraId="482010EF" w14:textId="77777777" w:rsidR="00813CD1" w:rsidRPr="000C7CFA" w:rsidRDefault="0023247D" w:rsidP="00813CD1">
      <w:pPr>
        <w:pStyle w:val="NoSpacing"/>
        <w:spacing w:after="120"/>
        <w:ind w:left="425" w:right="374"/>
        <w:jc w:val="both"/>
        <w:rPr>
          <w:rFonts w:ascii="Verdana" w:hAnsi="Verdana" w:cs="Times New Roman"/>
          <w:sz w:val="18"/>
          <w:szCs w:val="18"/>
        </w:rPr>
      </w:pPr>
      <w:r w:rsidRPr="000C7CFA">
        <w:rPr>
          <w:rFonts w:ascii="Verdana" w:hAnsi="Verdana" w:cs="Times New Roman"/>
          <w:sz w:val="18"/>
          <w:szCs w:val="18"/>
        </w:rPr>
        <w:t>This study is included in the registration dossier as supporting monitoring information and is considered fully reliable by the</w:t>
      </w:r>
      <w:r w:rsidR="00A43C45" w:rsidRPr="000C7CFA">
        <w:rPr>
          <w:rFonts w:ascii="Verdana" w:hAnsi="Verdana" w:cs="Times New Roman"/>
          <w:sz w:val="18"/>
          <w:szCs w:val="18"/>
        </w:rPr>
        <w:t xml:space="preserve"> Registrant</w:t>
      </w:r>
      <w:r w:rsidRPr="000C7CFA">
        <w:rPr>
          <w:rFonts w:ascii="Verdana" w:hAnsi="Verdana" w:cs="Times New Roman"/>
          <w:sz w:val="18"/>
          <w:szCs w:val="18"/>
        </w:rPr>
        <w:t>.</w:t>
      </w:r>
    </w:p>
    <w:p w14:paraId="1136871B" w14:textId="77777777" w:rsidR="00F46F6C" w:rsidRPr="000C7CFA" w:rsidRDefault="00F46F6C" w:rsidP="00F46F6C">
      <w:pPr>
        <w:pStyle w:val="NoSpacing"/>
        <w:spacing w:after="120"/>
        <w:ind w:left="425" w:right="374"/>
        <w:jc w:val="both"/>
        <w:rPr>
          <w:rFonts w:ascii="Verdana" w:hAnsi="Verdana" w:cs="Times New Roman"/>
          <w:sz w:val="18"/>
          <w:szCs w:val="18"/>
        </w:rPr>
      </w:pPr>
    </w:p>
    <w:p w14:paraId="73E9C7F5" w14:textId="77777777" w:rsidR="00190728" w:rsidRPr="000C7CFA" w:rsidRDefault="008D6CDE" w:rsidP="00DC3658">
      <w:pPr>
        <w:pStyle w:val="NoSpacing"/>
        <w:numPr>
          <w:ilvl w:val="0"/>
          <w:numId w:val="7"/>
        </w:numPr>
        <w:spacing w:after="120"/>
        <w:ind w:left="425" w:right="374" w:hanging="357"/>
        <w:jc w:val="both"/>
        <w:rPr>
          <w:rFonts w:ascii="Verdana" w:hAnsi="Verdana" w:cs="Times New Roman"/>
          <w:sz w:val="18"/>
          <w:szCs w:val="18"/>
        </w:rPr>
      </w:pPr>
      <w:r w:rsidRPr="000C7CFA">
        <w:rPr>
          <w:rFonts w:ascii="Verdana" w:hAnsi="Verdana" w:cs="Times New Roman"/>
          <w:sz w:val="18"/>
          <w:szCs w:val="18"/>
          <w:u w:val="single"/>
        </w:rPr>
        <w:t xml:space="preserve">Yan </w:t>
      </w:r>
      <w:r w:rsidRPr="000C7CFA">
        <w:rPr>
          <w:rFonts w:ascii="Verdana" w:hAnsi="Verdana" w:cs="Times New Roman"/>
          <w:i/>
          <w:sz w:val="18"/>
          <w:szCs w:val="18"/>
          <w:u w:val="single"/>
        </w:rPr>
        <w:t>et al</w:t>
      </w:r>
      <w:r w:rsidRPr="000C7CFA">
        <w:rPr>
          <w:rFonts w:ascii="Verdana" w:hAnsi="Verdana" w:cs="Times New Roman"/>
          <w:sz w:val="18"/>
          <w:szCs w:val="18"/>
          <w:u w:val="single"/>
        </w:rPr>
        <w:t>. (2012)</w:t>
      </w:r>
      <w:r w:rsidRPr="000C7CFA">
        <w:rPr>
          <w:rFonts w:ascii="Verdana" w:hAnsi="Verdana" w:cs="Times New Roman"/>
          <w:sz w:val="18"/>
          <w:szCs w:val="18"/>
        </w:rPr>
        <w:t xml:space="preserve"> measured Dechlorane Plus in human blood samples collected between May and July 2011 from 70 occupationally exposed workers from e-waste recycling workshops in Longtang Town, Qingyuan County, </w:t>
      </w:r>
      <w:r w:rsidR="005B69C4" w:rsidRPr="000C7CFA">
        <w:rPr>
          <w:rFonts w:ascii="Verdana" w:hAnsi="Verdana" w:cs="Times New Roman"/>
          <w:sz w:val="18"/>
          <w:szCs w:val="18"/>
        </w:rPr>
        <w:t xml:space="preserve">south </w:t>
      </w:r>
      <w:r w:rsidRPr="000C7CFA">
        <w:rPr>
          <w:rFonts w:ascii="Verdana" w:hAnsi="Verdana" w:cs="Times New Roman"/>
          <w:sz w:val="18"/>
          <w:szCs w:val="18"/>
        </w:rPr>
        <w:t>China</w:t>
      </w:r>
      <w:r w:rsidR="00190728" w:rsidRPr="000C7CFA">
        <w:rPr>
          <w:rFonts w:ascii="Verdana" w:hAnsi="Verdana" w:cs="Times New Roman"/>
          <w:sz w:val="18"/>
          <w:szCs w:val="18"/>
        </w:rPr>
        <w:t>, and 13 residents of Guangzhou City</w:t>
      </w:r>
      <w:r w:rsidR="005B69C4" w:rsidRPr="000C7CFA">
        <w:rPr>
          <w:rFonts w:ascii="Verdana" w:hAnsi="Verdana" w:cs="Times New Roman"/>
          <w:sz w:val="18"/>
          <w:szCs w:val="18"/>
        </w:rPr>
        <w:t xml:space="preserve"> (50 km distant)</w:t>
      </w:r>
      <w:r w:rsidR="00190728" w:rsidRPr="000C7CFA">
        <w:rPr>
          <w:rFonts w:ascii="Verdana" w:hAnsi="Verdana" w:cs="Times New Roman"/>
          <w:sz w:val="18"/>
          <w:szCs w:val="18"/>
        </w:rPr>
        <w:t xml:space="preserve"> with no occupational exposure acting as a control group. </w:t>
      </w:r>
      <w:r w:rsidRPr="000C7CFA">
        <w:rPr>
          <w:rFonts w:ascii="Verdana" w:hAnsi="Verdana" w:cs="Times New Roman"/>
          <w:sz w:val="18"/>
          <w:szCs w:val="18"/>
        </w:rPr>
        <w:t xml:space="preserve">The volunteers were between 20 and 59 years old, and the </w:t>
      </w:r>
      <w:r w:rsidR="00190728" w:rsidRPr="000C7CFA">
        <w:rPr>
          <w:rFonts w:ascii="Verdana" w:hAnsi="Verdana" w:cs="Times New Roman"/>
          <w:sz w:val="18"/>
          <w:szCs w:val="18"/>
        </w:rPr>
        <w:t xml:space="preserve">male to female </w:t>
      </w:r>
      <w:r w:rsidRPr="000C7CFA">
        <w:rPr>
          <w:rFonts w:ascii="Verdana" w:hAnsi="Verdana" w:cs="Times New Roman"/>
          <w:sz w:val="18"/>
          <w:szCs w:val="18"/>
        </w:rPr>
        <w:t>sex</w:t>
      </w:r>
      <w:r w:rsidR="00190728" w:rsidRPr="000C7CFA">
        <w:rPr>
          <w:rFonts w:ascii="Verdana" w:hAnsi="Verdana" w:cs="Times New Roman"/>
          <w:sz w:val="18"/>
          <w:szCs w:val="18"/>
        </w:rPr>
        <w:t xml:space="preserve"> </w:t>
      </w:r>
      <w:r w:rsidRPr="000C7CFA">
        <w:rPr>
          <w:rFonts w:ascii="Verdana" w:hAnsi="Verdana" w:cs="Times New Roman"/>
          <w:sz w:val="18"/>
          <w:szCs w:val="18"/>
        </w:rPr>
        <w:t>ratio was 48:52.</w:t>
      </w:r>
    </w:p>
    <w:p w14:paraId="6AA90833" w14:textId="7B4F28D9" w:rsidR="00D57622" w:rsidRPr="000C7CFA" w:rsidRDefault="00190728" w:rsidP="00D65DCB">
      <w:pPr>
        <w:pStyle w:val="NoSpacing"/>
        <w:spacing w:after="120"/>
        <w:ind w:left="426" w:right="374"/>
        <w:jc w:val="both"/>
        <w:rPr>
          <w:rFonts w:ascii="Verdana" w:hAnsi="Verdana" w:cs="Times New Roman"/>
          <w:sz w:val="18"/>
          <w:szCs w:val="18"/>
        </w:rPr>
      </w:pPr>
      <w:r w:rsidRPr="000C7CFA">
        <w:rPr>
          <w:rFonts w:ascii="Verdana" w:hAnsi="Verdana" w:cs="Times New Roman"/>
          <w:sz w:val="18"/>
          <w:szCs w:val="18"/>
        </w:rPr>
        <w:t xml:space="preserve">Anti-Dechlorane Plus was consistently detected in all serum samples. The syn- isomer was detected in all samples from e-waste recycling workers but in only 3 out of 13 </w:t>
      </w:r>
      <w:r w:rsidR="00D57622" w:rsidRPr="000C7CFA">
        <w:rPr>
          <w:rFonts w:ascii="Verdana" w:hAnsi="Verdana" w:cs="Times New Roman"/>
          <w:sz w:val="18"/>
          <w:szCs w:val="18"/>
        </w:rPr>
        <w:t>(2</w:t>
      </w:r>
      <w:r w:rsidR="00AF7606" w:rsidRPr="000C7CFA">
        <w:rPr>
          <w:rFonts w:ascii="Verdana" w:hAnsi="Verdana" w:cs="Times New Roman"/>
          <w:sz w:val="18"/>
          <w:szCs w:val="18"/>
        </w:rPr>
        <w:t>3 %</w:t>
      </w:r>
      <w:r w:rsidR="00D57622" w:rsidRPr="000C7CFA">
        <w:rPr>
          <w:rFonts w:ascii="Verdana" w:hAnsi="Verdana" w:cs="Times New Roman"/>
          <w:sz w:val="18"/>
          <w:szCs w:val="18"/>
        </w:rPr>
        <w:t xml:space="preserve">) samples </w:t>
      </w:r>
      <w:r w:rsidRPr="000C7CFA">
        <w:rPr>
          <w:rFonts w:ascii="Verdana" w:hAnsi="Verdana" w:cs="Times New Roman"/>
          <w:sz w:val="18"/>
          <w:szCs w:val="18"/>
        </w:rPr>
        <w:t xml:space="preserve">from the control group (which might be partly attributed to its relatively high LoQ of 3.08 </w:t>
      </w:r>
      <w:r w:rsidR="00D57622" w:rsidRPr="000C7CFA">
        <w:rPr>
          <w:rFonts w:ascii="Verdana" w:hAnsi="Verdana" w:cs="Times New Roman"/>
          <w:sz w:val="18"/>
          <w:szCs w:val="18"/>
        </w:rPr>
        <w:t>μg/kg lw</w:t>
      </w:r>
      <w:r w:rsidRPr="000C7CFA">
        <w:rPr>
          <w:rFonts w:ascii="Verdana" w:hAnsi="Verdana" w:cs="Times New Roman"/>
          <w:sz w:val="18"/>
          <w:szCs w:val="18"/>
        </w:rPr>
        <w:t>, as well as the low</w:t>
      </w:r>
      <w:r w:rsidR="005B69C4" w:rsidRPr="000C7CFA">
        <w:rPr>
          <w:rFonts w:ascii="Verdana" w:hAnsi="Verdana" w:cs="Times New Roman"/>
          <w:sz w:val="18"/>
          <w:szCs w:val="18"/>
        </w:rPr>
        <w:t>er</w:t>
      </w:r>
      <w:r w:rsidRPr="000C7CFA">
        <w:rPr>
          <w:rFonts w:ascii="Verdana" w:hAnsi="Verdana" w:cs="Times New Roman"/>
          <w:sz w:val="18"/>
          <w:szCs w:val="18"/>
        </w:rPr>
        <w:t xml:space="preserve"> levels in urban residents). Concentrations of total isomers in serum ranged from 22 to 2</w:t>
      </w:r>
      <w:r w:rsidR="002D4EB9" w:rsidRPr="000C7CFA">
        <w:rPr>
          <w:rFonts w:ascii="Verdana" w:hAnsi="Verdana" w:cs="Times New Roman"/>
          <w:sz w:val="18"/>
          <w:szCs w:val="18"/>
        </w:rPr>
        <w:t> </w:t>
      </w:r>
      <w:r w:rsidRPr="000C7CFA">
        <w:rPr>
          <w:rFonts w:ascii="Verdana" w:hAnsi="Verdana" w:cs="Times New Roman"/>
          <w:sz w:val="18"/>
          <w:szCs w:val="18"/>
        </w:rPr>
        <w:t xml:space="preserve">200 </w:t>
      </w:r>
      <w:r w:rsidR="00D57622" w:rsidRPr="000C7CFA">
        <w:rPr>
          <w:rFonts w:ascii="Verdana" w:hAnsi="Verdana" w:cs="Times New Roman"/>
          <w:sz w:val="18"/>
          <w:szCs w:val="18"/>
        </w:rPr>
        <w:t xml:space="preserve">μg/kg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(median: 150 </w:t>
      </w:r>
      <w:r w:rsidR="00D57622" w:rsidRPr="000C7CFA">
        <w:rPr>
          <w:rFonts w:ascii="Verdana" w:hAnsi="Verdana" w:cs="Times New Roman"/>
          <w:sz w:val="18"/>
          <w:szCs w:val="18"/>
        </w:rPr>
        <w:t xml:space="preserve">μg/kg </w:t>
      </w:r>
      <w:r w:rsidRPr="000C7CFA">
        <w:rPr>
          <w:rFonts w:ascii="Verdana" w:hAnsi="Verdana" w:cs="Times New Roman"/>
          <w:sz w:val="18"/>
          <w:szCs w:val="18"/>
        </w:rPr>
        <w:t>lw) in occupational</w:t>
      </w:r>
      <w:r w:rsidR="00D57622" w:rsidRPr="000C7CFA">
        <w:rPr>
          <w:rFonts w:ascii="Verdana" w:hAnsi="Verdana" w:cs="Times New Roman"/>
          <w:sz w:val="18"/>
          <w:szCs w:val="18"/>
        </w:rPr>
        <w:t>ly</w:t>
      </w:r>
      <w:r w:rsidRPr="000C7CFA">
        <w:rPr>
          <w:rFonts w:ascii="Verdana" w:hAnsi="Verdana" w:cs="Times New Roman"/>
          <w:sz w:val="18"/>
          <w:szCs w:val="18"/>
        </w:rPr>
        <w:t xml:space="preserve"> expose</w:t>
      </w:r>
      <w:r w:rsidR="00D57622" w:rsidRPr="000C7CFA">
        <w:rPr>
          <w:rFonts w:ascii="Verdana" w:hAnsi="Verdana" w:cs="Times New Roman"/>
          <w:sz w:val="18"/>
          <w:szCs w:val="18"/>
        </w:rPr>
        <w:t>d</w:t>
      </w:r>
      <w:r w:rsidRPr="000C7CFA">
        <w:rPr>
          <w:rFonts w:ascii="Verdana" w:hAnsi="Verdana" w:cs="Times New Roman"/>
          <w:sz w:val="18"/>
          <w:szCs w:val="18"/>
        </w:rPr>
        <w:t xml:space="preserve"> workers and from 2.7 to 91 </w:t>
      </w:r>
      <w:r w:rsidR="00D57622" w:rsidRPr="000C7CFA">
        <w:rPr>
          <w:rFonts w:ascii="Verdana" w:hAnsi="Verdana" w:cs="Times New Roman"/>
          <w:sz w:val="18"/>
          <w:szCs w:val="18"/>
        </w:rPr>
        <w:t xml:space="preserve">μg/kg </w:t>
      </w:r>
      <w:r w:rsidRPr="000C7CFA">
        <w:rPr>
          <w:rFonts w:ascii="Verdana" w:hAnsi="Verdana" w:cs="Times New Roman"/>
          <w:sz w:val="18"/>
          <w:szCs w:val="18"/>
        </w:rPr>
        <w:t xml:space="preserve">lw </w:t>
      </w:r>
      <w:r w:rsidR="00D57622" w:rsidRPr="000C7CFA">
        <w:rPr>
          <w:rFonts w:ascii="Verdana" w:hAnsi="Verdana" w:cs="Times New Roman"/>
          <w:sz w:val="18"/>
          <w:szCs w:val="18"/>
        </w:rPr>
        <w:t xml:space="preserve">(median: 4.6 μg/kg </w:t>
      </w:r>
      <w:r w:rsidRPr="000C7CFA">
        <w:rPr>
          <w:rFonts w:ascii="Verdana" w:hAnsi="Verdana" w:cs="Times New Roman"/>
          <w:sz w:val="18"/>
          <w:szCs w:val="18"/>
        </w:rPr>
        <w:t>l</w:t>
      </w:r>
      <w:r w:rsidR="004144A3" w:rsidRPr="000C7CFA">
        <w:rPr>
          <w:rFonts w:ascii="Verdana" w:hAnsi="Verdana" w:cs="Times New Roman"/>
          <w:sz w:val="18"/>
          <w:szCs w:val="18"/>
        </w:rPr>
        <w:t>w</w:t>
      </w:r>
      <w:r w:rsidRPr="000C7CFA">
        <w:rPr>
          <w:rFonts w:ascii="Verdana" w:hAnsi="Verdana" w:cs="Times New Roman"/>
          <w:sz w:val="18"/>
          <w:szCs w:val="18"/>
        </w:rPr>
        <w:t xml:space="preserve">) in </w:t>
      </w:r>
      <w:r w:rsidR="005B69C4" w:rsidRPr="000C7CFA">
        <w:rPr>
          <w:rFonts w:ascii="Verdana" w:hAnsi="Verdana" w:cs="Times New Roman"/>
          <w:sz w:val="18"/>
          <w:szCs w:val="18"/>
        </w:rPr>
        <w:t>the control group</w:t>
      </w:r>
      <w:r w:rsidRPr="000C7CFA">
        <w:rPr>
          <w:rFonts w:ascii="Verdana" w:hAnsi="Verdana" w:cs="Times New Roman"/>
          <w:sz w:val="18"/>
          <w:szCs w:val="18"/>
        </w:rPr>
        <w:t xml:space="preserve">. </w:t>
      </w:r>
      <w:r w:rsidR="00D57622" w:rsidRPr="000C7CFA">
        <w:rPr>
          <w:rFonts w:ascii="Verdana" w:hAnsi="Verdana" w:cs="Times New Roman"/>
          <w:sz w:val="18"/>
          <w:szCs w:val="18"/>
        </w:rPr>
        <w:t>N</w:t>
      </w:r>
      <w:r w:rsidRPr="000C7CFA">
        <w:rPr>
          <w:rFonts w:ascii="Verdana" w:hAnsi="Verdana" w:cs="Times New Roman"/>
          <w:sz w:val="18"/>
          <w:szCs w:val="18"/>
        </w:rPr>
        <w:t>o significant correlation was observed between serum concentrations and age or occupational</w:t>
      </w:r>
      <w:r w:rsidR="00D57622" w:rsidRPr="000C7CFA">
        <w:rPr>
          <w:rFonts w:ascii="Verdana" w:hAnsi="Verdana" w:cs="Times New Roman"/>
          <w:sz w:val="18"/>
          <w:szCs w:val="18"/>
        </w:rPr>
        <w:t xml:space="preserve"> </w:t>
      </w:r>
      <w:r w:rsidRPr="000C7CFA">
        <w:rPr>
          <w:rFonts w:ascii="Verdana" w:hAnsi="Verdana" w:cs="Times New Roman"/>
          <w:sz w:val="18"/>
          <w:szCs w:val="18"/>
        </w:rPr>
        <w:t>exposure time</w:t>
      </w:r>
      <w:r w:rsidR="00D57622" w:rsidRPr="000C7CFA">
        <w:rPr>
          <w:rFonts w:ascii="Verdana" w:hAnsi="Verdana" w:cs="Times New Roman"/>
          <w:sz w:val="18"/>
          <w:szCs w:val="18"/>
        </w:rPr>
        <w:t xml:space="preserve"> when the whole sample set was considered</w:t>
      </w:r>
      <w:r w:rsidRPr="000C7CFA">
        <w:rPr>
          <w:rFonts w:ascii="Verdana" w:hAnsi="Verdana" w:cs="Times New Roman"/>
          <w:sz w:val="18"/>
          <w:szCs w:val="18"/>
        </w:rPr>
        <w:t xml:space="preserve">. </w:t>
      </w:r>
      <w:r w:rsidR="00D57622" w:rsidRPr="000C7CFA">
        <w:rPr>
          <w:rFonts w:ascii="Verdana" w:hAnsi="Verdana" w:cs="Times New Roman"/>
          <w:sz w:val="18"/>
          <w:szCs w:val="18"/>
        </w:rPr>
        <w:t xml:space="preserve">However, </w:t>
      </w:r>
      <w:r w:rsidRPr="000C7CFA">
        <w:rPr>
          <w:rFonts w:ascii="Verdana" w:hAnsi="Verdana" w:cs="Times New Roman"/>
          <w:sz w:val="18"/>
          <w:szCs w:val="18"/>
        </w:rPr>
        <w:t>D</w:t>
      </w:r>
      <w:r w:rsidR="00D57622" w:rsidRPr="000C7CFA">
        <w:rPr>
          <w:rFonts w:ascii="Verdana" w:hAnsi="Verdana" w:cs="Times New Roman"/>
          <w:sz w:val="18"/>
          <w:szCs w:val="18"/>
        </w:rPr>
        <w:t xml:space="preserve">echlorane </w:t>
      </w:r>
      <w:r w:rsidRPr="000C7CFA">
        <w:rPr>
          <w:rFonts w:ascii="Verdana" w:hAnsi="Verdana" w:cs="Times New Roman"/>
          <w:sz w:val="18"/>
          <w:szCs w:val="18"/>
        </w:rPr>
        <w:t>P</w:t>
      </w:r>
      <w:r w:rsidR="00D57622" w:rsidRPr="000C7CFA">
        <w:rPr>
          <w:rFonts w:ascii="Verdana" w:hAnsi="Verdana" w:cs="Times New Roman"/>
          <w:sz w:val="18"/>
          <w:szCs w:val="18"/>
        </w:rPr>
        <w:t>lus</w:t>
      </w:r>
      <w:r w:rsidRPr="000C7CFA">
        <w:rPr>
          <w:rFonts w:ascii="Verdana" w:hAnsi="Verdana" w:cs="Times New Roman"/>
          <w:sz w:val="18"/>
          <w:szCs w:val="18"/>
        </w:rPr>
        <w:t xml:space="preserve"> concentrations</w:t>
      </w:r>
      <w:r w:rsidR="00D57622" w:rsidRPr="000C7CFA">
        <w:rPr>
          <w:rFonts w:ascii="Verdana" w:hAnsi="Verdana" w:cs="Times New Roman"/>
          <w:sz w:val="18"/>
          <w:szCs w:val="18"/>
        </w:rPr>
        <w:t xml:space="preserve"> were significantly correlated with age in women, which was thought to </w:t>
      </w:r>
      <w:r w:rsidR="004144A3" w:rsidRPr="000C7CFA">
        <w:rPr>
          <w:rFonts w:ascii="Verdana" w:hAnsi="Verdana" w:cs="Times New Roman"/>
          <w:sz w:val="18"/>
          <w:szCs w:val="18"/>
        </w:rPr>
        <w:t xml:space="preserve">possibly </w:t>
      </w:r>
      <w:r w:rsidR="00D57622" w:rsidRPr="000C7CFA">
        <w:rPr>
          <w:rFonts w:ascii="Verdana" w:hAnsi="Verdana" w:cs="Times New Roman"/>
          <w:sz w:val="18"/>
          <w:szCs w:val="18"/>
        </w:rPr>
        <w:t xml:space="preserve">reflect differences in </w:t>
      </w:r>
      <w:r w:rsidR="0065091D" w:rsidRPr="000C7CFA">
        <w:rPr>
          <w:rFonts w:ascii="Verdana" w:hAnsi="Verdana" w:cs="Times New Roman"/>
          <w:sz w:val="18"/>
          <w:szCs w:val="18"/>
        </w:rPr>
        <w:t xml:space="preserve">selective absorption and elimination and/or </w:t>
      </w:r>
      <w:r w:rsidR="00D57622" w:rsidRPr="000C7CFA">
        <w:rPr>
          <w:rFonts w:ascii="Verdana" w:hAnsi="Verdana" w:cs="Times New Roman"/>
          <w:sz w:val="18"/>
          <w:szCs w:val="18"/>
        </w:rPr>
        <w:t>gender-specific</w:t>
      </w:r>
      <w:r w:rsidR="0065091D" w:rsidRPr="000C7CFA">
        <w:rPr>
          <w:rFonts w:ascii="Verdana" w:hAnsi="Verdana" w:cs="Times New Roman"/>
          <w:sz w:val="18"/>
          <w:szCs w:val="18"/>
        </w:rPr>
        <w:t xml:space="preserve"> metabolic</w:t>
      </w:r>
      <w:r w:rsidR="00D57622" w:rsidRPr="000C7CFA">
        <w:rPr>
          <w:rFonts w:ascii="Verdana" w:hAnsi="Verdana" w:cs="Times New Roman"/>
          <w:sz w:val="18"/>
          <w:szCs w:val="18"/>
        </w:rPr>
        <w:t xml:space="preserve"> half-life.</w:t>
      </w:r>
      <w:r w:rsidR="005B69C4" w:rsidRPr="000C7CFA">
        <w:rPr>
          <w:rFonts w:ascii="Verdana" w:hAnsi="Verdana" w:cs="Times New Roman"/>
          <w:sz w:val="18"/>
          <w:szCs w:val="18"/>
        </w:rPr>
        <w:t xml:space="preserve"> The maximum concentration (2</w:t>
      </w:r>
      <w:r w:rsidR="002D4EB9" w:rsidRPr="000C7CFA">
        <w:rPr>
          <w:rFonts w:ascii="Verdana" w:hAnsi="Verdana" w:cs="Times New Roman"/>
          <w:sz w:val="18"/>
          <w:szCs w:val="18"/>
        </w:rPr>
        <w:t> </w:t>
      </w:r>
      <w:r w:rsidR="005B69C4" w:rsidRPr="000C7CFA">
        <w:rPr>
          <w:rFonts w:ascii="Verdana" w:hAnsi="Verdana" w:cs="Times New Roman"/>
          <w:sz w:val="18"/>
          <w:szCs w:val="18"/>
        </w:rPr>
        <w:t xml:space="preserve">200 μg/kg </w:t>
      </w:r>
      <w:proofErr w:type="gramStart"/>
      <w:r w:rsidR="005B69C4" w:rsidRPr="000C7CFA">
        <w:rPr>
          <w:rFonts w:ascii="Verdana" w:hAnsi="Verdana" w:cs="Times New Roman"/>
          <w:sz w:val="18"/>
          <w:szCs w:val="18"/>
        </w:rPr>
        <w:t>lw</w:t>
      </w:r>
      <w:proofErr w:type="gramEnd"/>
      <w:r w:rsidR="005B69C4" w:rsidRPr="000C7CFA">
        <w:rPr>
          <w:rFonts w:ascii="Verdana" w:hAnsi="Verdana" w:cs="Times New Roman"/>
          <w:sz w:val="18"/>
          <w:szCs w:val="18"/>
        </w:rPr>
        <w:t>) was detected in a 48 year old woman who worked in e-waste dismantling.</w:t>
      </w:r>
    </w:p>
    <w:p w14:paraId="71AC72A7" w14:textId="55E4455D" w:rsidR="008D6CDE" w:rsidRPr="000C7CFA" w:rsidRDefault="005B69C4" w:rsidP="00D65DCB">
      <w:pPr>
        <w:pStyle w:val="NoSpacing"/>
        <w:spacing w:after="120"/>
        <w:ind w:left="426" w:right="374"/>
        <w:jc w:val="both"/>
        <w:rPr>
          <w:rFonts w:ascii="Verdana" w:hAnsi="Verdana"/>
          <w:sz w:val="18"/>
          <w:szCs w:val="18"/>
        </w:rPr>
      </w:pPr>
      <w:r w:rsidRPr="000C7CFA">
        <w:rPr>
          <w:rFonts w:ascii="Verdana" w:hAnsi="Verdana" w:cs="Times New Roman"/>
          <w:sz w:val="18"/>
          <w:szCs w:val="18"/>
        </w:rPr>
        <w:t xml:space="preserve">Anti-DP-2Cl was not detected in any sample (LoQ 0.51 μg/kg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Anti-DP-1Cl was detected in 51 of the 70 samples (7</w:t>
      </w:r>
      <w:r w:rsidR="00AF7606" w:rsidRPr="000C7CFA">
        <w:rPr>
          <w:rFonts w:ascii="Verdana" w:hAnsi="Verdana" w:cs="Times New Roman"/>
          <w:sz w:val="18"/>
          <w:szCs w:val="18"/>
        </w:rPr>
        <w:t>3 %</w:t>
      </w:r>
      <w:r w:rsidRPr="000C7CFA">
        <w:rPr>
          <w:rFonts w:ascii="Verdana" w:hAnsi="Verdana" w:cs="Times New Roman"/>
          <w:sz w:val="18"/>
          <w:szCs w:val="18"/>
        </w:rPr>
        <w:t xml:space="preserve">) from occupationally exposed workers at concentrations up to 9.93 μg/kg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(median: 1.47 μg/kg lw), but not in any of the control group samples (LoQ 0.64 μg/kg lw). The higher f</w:t>
      </w:r>
      <w:r w:rsidRPr="000C7CFA">
        <w:rPr>
          <w:rFonts w:ascii="Verdana" w:hAnsi="Verdana" w:cs="Times New Roman"/>
          <w:sz w:val="18"/>
          <w:szCs w:val="18"/>
          <w:vertAlign w:val="subscript"/>
        </w:rPr>
        <w:t>anti</w:t>
      </w:r>
      <w:r w:rsidRPr="000C7CFA">
        <w:rPr>
          <w:rFonts w:ascii="Verdana" w:hAnsi="Verdana" w:cs="Times New Roman"/>
          <w:sz w:val="18"/>
          <w:szCs w:val="18"/>
        </w:rPr>
        <w:t xml:space="preserve"> values and lower ratios of anti-DP-1Cl to anti-DP in women than men suggested that women might have a lower metabolic capacity for Dechlorane Plus than men, and hints at the possibility that dechlorination might occur </w:t>
      </w:r>
      <w:r w:rsidRPr="000C7CFA">
        <w:rPr>
          <w:rFonts w:ascii="Verdana" w:hAnsi="Verdana" w:cs="Times New Roman"/>
          <w:i/>
          <w:sz w:val="18"/>
          <w:szCs w:val="18"/>
        </w:rPr>
        <w:t>in vivo</w:t>
      </w:r>
      <w:r w:rsidRPr="000C7CFA">
        <w:rPr>
          <w:rFonts w:ascii="Verdana" w:hAnsi="Verdana" w:cs="Times New Roman"/>
          <w:sz w:val="18"/>
          <w:szCs w:val="18"/>
        </w:rPr>
        <w:t>.</w:t>
      </w:r>
      <w:r w:rsidRPr="000C7CFA">
        <w:rPr>
          <w:rFonts w:ascii="Verdana" w:hAnsi="Verdana"/>
          <w:sz w:val="18"/>
          <w:szCs w:val="18"/>
        </w:rPr>
        <w:t xml:space="preserve"> </w:t>
      </w:r>
    </w:p>
    <w:p w14:paraId="7FB7609B" w14:textId="77777777" w:rsidR="0023247D" w:rsidRPr="000C7CFA" w:rsidRDefault="0023247D" w:rsidP="00D65DCB">
      <w:pPr>
        <w:pStyle w:val="NoSpacing"/>
        <w:spacing w:after="120"/>
        <w:ind w:left="426" w:right="374"/>
        <w:jc w:val="both"/>
        <w:rPr>
          <w:rFonts w:ascii="Verdana" w:hAnsi="Verdana"/>
          <w:sz w:val="18"/>
          <w:szCs w:val="18"/>
        </w:rPr>
      </w:pPr>
      <w:r w:rsidRPr="000C7CFA">
        <w:rPr>
          <w:rFonts w:ascii="Verdana" w:hAnsi="Verdana" w:cs="Times New Roman"/>
          <w:sz w:val="18"/>
          <w:szCs w:val="18"/>
        </w:rPr>
        <w:t>This study is not included in the registration dossier.</w:t>
      </w:r>
    </w:p>
    <w:p w14:paraId="390228E6" w14:textId="77777777" w:rsidR="00190728" w:rsidRPr="000C7CFA" w:rsidRDefault="00190728" w:rsidP="00190728">
      <w:pPr>
        <w:pStyle w:val="NoSpacing"/>
        <w:spacing w:after="120"/>
        <w:ind w:left="425" w:right="374"/>
        <w:jc w:val="both"/>
        <w:rPr>
          <w:rFonts w:ascii="Verdana" w:hAnsi="Verdana" w:cs="Times New Roman"/>
          <w:sz w:val="18"/>
          <w:szCs w:val="18"/>
        </w:rPr>
      </w:pPr>
    </w:p>
    <w:p w14:paraId="22E7CC82" w14:textId="77777777" w:rsidR="00857674" w:rsidRPr="000C7CFA" w:rsidRDefault="00010160" w:rsidP="00DC3658">
      <w:pPr>
        <w:pStyle w:val="NoSpacing"/>
        <w:numPr>
          <w:ilvl w:val="0"/>
          <w:numId w:val="7"/>
        </w:numPr>
        <w:spacing w:after="120"/>
        <w:ind w:left="425" w:right="374" w:hanging="357"/>
        <w:jc w:val="both"/>
        <w:rPr>
          <w:rFonts w:ascii="Verdana" w:hAnsi="Verdana" w:cs="Times New Roman"/>
          <w:sz w:val="18"/>
          <w:szCs w:val="18"/>
        </w:rPr>
      </w:pPr>
      <w:r w:rsidRPr="000C7CFA">
        <w:rPr>
          <w:rFonts w:ascii="Verdana" w:hAnsi="Verdana" w:cs="Times New Roman"/>
          <w:sz w:val="18"/>
          <w:szCs w:val="18"/>
          <w:u w:val="single"/>
        </w:rPr>
        <w:t xml:space="preserve">Ben </w:t>
      </w:r>
      <w:r w:rsidRPr="000C7CFA">
        <w:rPr>
          <w:rFonts w:ascii="Verdana" w:hAnsi="Verdana" w:cs="Times New Roman"/>
          <w:i/>
          <w:sz w:val="18"/>
          <w:szCs w:val="18"/>
          <w:u w:val="single"/>
        </w:rPr>
        <w:t>et al</w:t>
      </w:r>
      <w:r w:rsidRPr="000C7CFA">
        <w:rPr>
          <w:rFonts w:ascii="Verdana" w:hAnsi="Verdana" w:cs="Times New Roman"/>
          <w:sz w:val="18"/>
          <w:szCs w:val="18"/>
          <w:u w:val="single"/>
        </w:rPr>
        <w:t>. (2014)</w:t>
      </w:r>
      <w:r w:rsidRPr="000C7CFA">
        <w:rPr>
          <w:rFonts w:ascii="Verdana" w:hAnsi="Verdana" w:cs="Times New Roman"/>
          <w:sz w:val="18"/>
          <w:szCs w:val="18"/>
        </w:rPr>
        <w:t xml:space="preserve"> measured Dechlorane Plus in matched human maternal blood−placenta</w:t>
      </w:r>
      <w:r w:rsidR="00857674" w:rsidRPr="000C7CFA">
        <w:rPr>
          <w:rFonts w:ascii="Verdana" w:hAnsi="Verdana" w:cs="Times New Roman"/>
          <w:sz w:val="18"/>
          <w:szCs w:val="18"/>
        </w:rPr>
        <w:t xml:space="preserve">−cord blood samples collected between July 2010 and July 2011 from 72 residents of the e-waste recycling area of Wenling, Taizhou region, China. All donors were required to be residing in a rural area. The R20 group (n=48) contained donors who had lived in Wenling for more than 20 years and were living or had recently lived in villages where e-waste recycling activities were undertaken but did not directly participate in e-waste recycling activities. The R3 group (n=24) contained donors who had lived in Wenling for less than 3 years, had not previously lived in villages where e-waste recycling activities were undertaken, and did not participate in e-waste recycling activities. </w:t>
      </w:r>
    </w:p>
    <w:p w14:paraId="319D5F9C" w14:textId="57C30D9A" w:rsidR="00857674" w:rsidRPr="000C7CFA" w:rsidRDefault="00857674" w:rsidP="00E33953">
      <w:pPr>
        <w:pStyle w:val="NoSpacing"/>
        <w:spacing w:after="120"/>
        <w:ind w:left="425" w:right="374"/>
        <w:jc w:val="both"/>
        <w:rPr>
          <w:rFonts w:ascii="Verdana" w:hAnsi="Verdana" w:cs="Times New Roman"/>
          <w:sz w:val="18"/>
          <w:szCs w:val="18"/>
        </w:rPr>
      </w:pPr>
      <w:r w:rsidRPr="000C7CFA">
        <w:rPr>
          <w:rFonts w:ascii="Verdana" w:hAnsi="Verdana" w:cs="Times New Roman"/>
          <w:sz w:val="18"/>
          <w:szCs w:val="18"/>
        </w:rPr>
        <w:t>Both isomers of Dechlorane Plus were detected in all of the samples, with ant</w:t>
      </w:r>
      <w:r w:rsidR="00807CB2" w:rsidRPr="000C7CFA">
        <w:rPr>
          <w:rFonts w:ascii="Verdana" w:hAnsi="Verdana" w:cs="Times New Roman"/>
          <w:sz w:val="18"/>
          <w:szCs w:val="18"/>
        </w:rPr>
        <w:t>i- is</w:t>
      </w:r>
      <w:r w:rsidRPr="000C7CFA">
        <w:rPr>
          <w:rFonts w:ascii="Verdana" w:hAnsi="Verdana" w:cs="Times New Roman"/>
          <w:sz w:val="18"/>
          <w:szCs w:val="18"/>
        </w:rPr>
        <w:t>omer levels approximately double those of the sy</w:t>
      </w:r>
      <w:r w:rsidR="00807CB2" w:rsidRPr="000C7CFA">
        <w:rPr>
          <w:rFonts w:ascii="Verdana" w:hAnsi="Verdana" w:cs="Times New Roman"/>
          <w:sz w:val="18"/>
          <w:szCs w:val="18"/>
        </w:rPr>
        <w:t>n- is</w:t>
      </w:r>
      <w:r w:rsidRPr="000C7CFA">
        <w:rPr>
          <w:rFonts w:ascii="Verdana" w:hAnsi="Verdana" w:cs="Times New Roman"/>
          <w:sz w:val="18"/>
          <w:szCs w:val="18"/>
        </w:rPr>
        <w:t xml:space="preserve">omer. Maternal serum concentrations were highest, and were two to three times higher in the R20 group (geometric mean of 13.5 μg/kg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range 1.28−900 μg/kg lw) than those in the R3 </w:t>
      </w:r>
      <w:r w:rsidRPr="000C7CFA">
        <w:rPr>
          <w:rFonts w:ascii="Verdana" w:hAnsi="Verdana" w:cs="Times New Roman"/>
          <w:sz w:val="18"/>
          <w:szCs w:val="18"/>
        </w:rPr>
        <w:lastRenderedPageBreak/>
        <w:t xml:space="preserve">group (a statistically significant difference). Total concentrations in most of the cord sera samples were 1.35−4.76 μg/kg lw (first to third quartiles) with a small number of samples having concentrations up to 89.7 μg/kg lw, indicating that individual </w:t>
      </w:r>
      <w:r w:rsidR="001135EA" w:rsidRPr="000C7CFA">
        <w:rPr>
          <w:rFonts w:ascii="Verdana" w:hAnsi="Verdana" w:cs="Times New Roman"/>
          <w:sz w:val="18"/>
          <w:szCs w:val="18"/>
        </w:rPr>
        <w:t>foetuses</w:t>
      </w:r>
      <w:r w:rsidRPr="000C7CFA">
        <w:rPr>
          <w:rFonts w:ascii="Verdana" w:hAnsi="Verdana" w:cs="Times New Roman"/>
          <w:sz w:val="18"/>
          <w:szCs w:val="18"/>
        </w:rPr>
        <w:t xml:space="preserve"> had widely different body burdens. A similar skewed concentration distribution was found in the placentas and maternal sera. The concentration ratio in the cord and maternal serum was estimated to be 0.45 for the sy</w:t>
      </w:r>
      <w:r w:rsidR="00807CB2" w:rsidRPr="000C7CFA">
        <w:rPr>
          <w:rFonts w:ascii="Verdana" w:hAnsi="Verdana" w:cs="Times New Roman"/>
          <w:sz w:val="18"/>
          <w:szCs w:val="18"/>
        </w:rPr>
        <w:t>n- is</w:t>
      </w:r>
      <w:r w:rsidRPr="000C7CFA">
        <w:rPr>
          <w:rFonts w:ascii="Verdana" w:hAnsi="Verdana" w:cs="Times New Roman"/>
          <w:sz w:val="18"/>
          <w:szCs w:val="18"/>
        </w:rPr>
        <w:t>omer and 0.35 for the ant</w:t>
      </w:r>
      <w:r w:rsidR="00807CB2" w:rsidRPr="000C7CFA">
        <w:rPr>
          <w:rFonts w:ascii="Verdana" w:hAnsi="Verdana" w:cs="Times New Roman"/>
          <w:sz w:val="18"/>
          <w:szCs w:val="18"/>
        </w:rPr>
        <w:t>i- is</w:t>
      </w:r>
      <w:r w:rsidRPr="000C7CFA">
        <w:rPr>
          <w:rFonts w:ascii="Verdana" w:hAnsi="Verdana" w:cs="Times New Roman"/>
          <w:sz w:val="18"/>
          <w:szCs w:val="18"/>
        </w:rPr>
        <w:t>omer, suggesting that the placenta partially limited transfer for the ant</w:t>
      </w:r>
      <w:r w:rsidR="00807CB2" w:rsidRPr="000C7CFA">
        <w:rPr>
          <w:rFonts w:ascii="Verdana" w:hAnsi="Verdana" w:cs="Times New Roman"/>
          <w:sz w:val="18"/>
          <w:szCs w:val="18"/>
        </w:rPr>
        <w:t>i- is</w:t>
      </w:r>
      <w:r w:rsidRPr="000C7CFA">
        <w:rPr>
          <w:rFonts w:ascii="Verdana" w:hAnsi="Verdana" w:cs="Times New Roman"/>
          <w:sz w:val="18"/>
          <w:szCs w:val="18"/>
        </w:rPr>
        <w:t>omer. The ant</w:t>
      </w:r>
      <w:r w:rsidR="00807CB2" w:rsidRPr="000C7CFA">
        <w:rPr>
          <w:rFonts w:ascii="Verdana" w:hAnsi="Verdana" w:cs="Times New Roman"/>
          <w:sz w:val="18"/>
          <w:szCs w:val="18"/>
        </w:rPr>
        <w:t>i- is</w:t>
      </w:r>
      <w:r w:rsidRPr="000C7CFA">
        <w:rPr>
          <w:rFonts w:ascii="Verdana" w:hAnsi="Verdana" w:cs="Times New Roman"/>
          <w:sz w:val="18"/>
          <w:szCs w:val="18"/>
        </w:rPr>
        <w:t>omer/total Dechlorane Plus concentration ratios in the placentas and cord sera were significantly different from those in the maternal sera, suggesting stereoselection.</w:t>
      </w:r>
    </w:p>
    <w:p w14:paraId="7D69A8FA" w14:textId="75C801C4" w:rsidR="00857674" w:rsidRPr="000C7CFA" w:rsidRDefault="00857674" w:rsidP="00E33953">
      <w:pPr>
        <w:pStyle w:val="NoSpacing"/>
        <w:spacing w:after="120"/>
        <w:ind w:left="425" w:right="374"/>
        <w:jc w:val="both"/>
        <w:rPr>
          <w:rFonts w:ascii="Verdana" w:hAnsi="Verdana" w:cs="Times New Roman"/>
          <w:sz w:val="18"/>
          <w:szCs w:val="18"/>
        </w:rPr>
      </w:pPr>
      <w:r w:rsidRPr="000C7CFA">
        <w:rPr>
          <w:rFonts w:ascii="Verdana" w:hAnsi="Verdana" w:cs="Times New Roman"/>
          <w:sz w:val="18"/>
          <w:szCs w:val="18"/>
        </w:rPr>
        <w:t>Anti-[DP-2Cl] was not detected in any of the samples. Several possible monodechlorinated analogues of Dechlorane Plus were found, but with the exception of anti-[DP-1Cl] the peaks could not be quantified in the absence of authentic standards. For maternal sera, placenta, and cord sera, anti-[DP-1Cl] was detected in 8</w:t>
      </w:r>
      <w:r w:rsidR="00AF7606" w:rsidRPr="000C7CFA">
        <w:rPr>
          <w:rFonts w:ascii="Verdana" w:hAnsi="Verdana" w:cs="Times New Roman"/>
          <w:sz w:val="18"/>
          <w:szCs w:val="18"/>
        </w:rPr>
        <w:t>1 %</w:t>
      </w:r>
      <w:r w:rsidRPr="000C7CFA">
        <w:rPr>
          <w:rFonts w:ascii="Verdana" w:hAnsi="Verdana" w:cs="Times New Roman"/>
          <w:sz w:val="18"/>
          <w:szCs w:val="18"/>
        </w:rPr>
        <w:t>, 6</w:t>
      </w:r>
      <w:r w:rsidR="00AF7606" w:rsidRPr="000C7CFA">
        <w:rPr>
          <w:rFonts w:ascii="Verdana" w:hAnsi="Verdana" w:cs="Times New Roman"/>
          <w:sz w:val="18"/>
          <w:szCs w:val="18"/>
        </w:rPr>
        <w:t>9 %</w:t>
      </w:r>
      <w:r w:rsidRPr="000C7CFA">
        <w:rPr>
          <w:rFonts w:ascii="Verdana" w:hAnsi="Verdana" w:cs="Times New Roman"/>
          <w:sz w:val="18"/>
          <w:szCs w:val="18"/>
        </w:rPr>
        <w:t>, and 3</w:t>
      </w:r>
      <w:r w:rsidR="00AF7606" w:rsidRPr="000C7CFA">
        <w:rPr>
          <w:rFonts w:ascii="Verdana" w:hAnsi="Verdana" w:cs="Times New Roman"/>
          <w:sz w:val="18"/>
          <w:szCs w:val="18"/>
        </w:rPr>
        <w:t>6 %</w:t>
      </w:r>
      <w:r w:rsidRPr="000C7CFA">
        <w:rPr>
          <w:rFonts w:ascii="Verdana" w:hAnsi="Verdana" w:cs="Times New Roman"/>
          <w:sz w:val="18"/>
          <w:szCs w:val="18"/>
        </w:rPr>
        <w:t xml:space="preserve"> in the R20 group and 7</w:t>
      </w:r>
      <w:r w:rsidR="00AF7606" w:rsidRPr="000C7CFA">
        <w:rPr>
          <w:rFonts w:ascii="Verdana" w:hAnsi="Verdana" w:cs="Times New Roman"/>
          <w:sz w:val="18"/>
          <w:szCs w:val="18"/>
        </w:rPr>
        <w:t>1 %</w:t>
      </w:r>
      <w:r w:rsidRPr="000C7CFA">
        <w:rPr>
          <w:rFonts w:ascii="Verdana" w:hAnsi="Verdana" w:cs="Times New Roman"/>
          <w:sz w:val="18"/>
          <w:szCs w:val="18"/>
        </w:rPr>
        <w:t>, 2</w:t>
      </w:r>
      <w:r w:rsidR="00AF7606" w:rsidRPr="000C7CFA">
        <w:rPr>
          <w:rFonts w:ascii="Verdana" w:hAnsi="Verdana" w:cs="Times New Roman"/>
          <w:sz w:val="18"/>
          <w:szCs w:val="18"/>
        </w:rPr>
        <w:t>9 %</w:t>
      </w:r>
      <w:r w:rsidRPr="000C7CFA">
        <w:rPr>
          <w:rFonts w:ascii="Verdana" w:hAnsi="Verdana" w:cs="Times New Roman"/>
          <w:sz w:val="18"/>
          <w:szCs w:val="18"/>
        </w:rPr>
        <w:t xml:space="preserve">, and </w:t>
      </w:r>
      <w:r w:rsidR="00AF7606" w:rsidRPr="000C7CFA">
        <w:rPr>
          <w:rFonts w:ascii="Verdana" w:hAnsi="Verdana" w:cs="Times New Roman"/>
          <w:sz w:val="18"/>
          <w:szCs w:val="18"/>
        </w:rPr>
        <w:t>4 %</w:t>
      </w:r>
      <w:r w:rsidRPr="000C7CFA">
        <w:rPr>
          <w:rFonts w:ascii="Verdana" w:hAnsi="Verdana" w:cs="Times New Roman"/>
          <w:sz w:val="18"/>
          <w:szCs w:val="18"/>
        </w:rPr>
        <w:t xml:space="preserve"> in the R3 group, respectively. The concentration of anti-[DP-1Cl] ranged from not detected (0.029 or 0.064 μg/kg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to 17.2 μg/kg lw.</w:t>
      </w:r>
    </w:p>
    <w:p w14:paraId="4B23B9B0" w14:textId="7EF31154" w:rsidR="0023247D" w:rsidRPr="000C7CFA" w:rsidRDefault="0023247D" w:rsidP="00857B7F">
      <w:pPr>
        <w:pStyle w:val="NoSpacing"/>
        <w:spacing w:after="120"/>
        <w:ind w:left="426" w:right="374"/>
        <w:jc w:val="both"/>
        <w:rPr>
          <w:rFonts w:ascii="Verdana" w:hAnsi="Verdana"/>
          <w:sz w:val="18"/>
          <w:szCs w:val="18"/>
        </w:rPr>
      </w:pPr>
      <w:r w:rsidRPr="000C7CFA">
        <w:rPr>
          <w:rFonts w:ascii="Verdana" w:hAnsi="Verdana" w:cs="Times New Roman"/>
          <w:sz w:val="18"/>
          <w:szCs w:val="18"/>
        </w:rPr>
        <w:t>This study is not included in the registration dossier.</w:t>
      </w:r>
    </w:p>
    <w:p w14:paraId="34976F9A" w14:textId="77777777" w:rsidR="00857674" w:rsidRPr="000C7CFA" w:rsidRDefault="00857674" w:rsidP="00857674">
      <w:pPr>
        <w:autoSpaceDE w:val="0"/>
        <w:autoSpaceDN w:val="0"/>
        <w:adjustRightInd w:val="0"/>
        <w:spacing w:after="0"/>
        <w:jc w:val="both"/>
        <w:rPr>
          <w:rFonts w:ascii="Verdana" w:hAnsi="Verdana"/>
          <w:sz w:val="18"/>
          <w:szCs w:val="18"/>
          <w:lang w:val="en-GB"/>
        </w:rPr>
      </w:pPr>
    </w:p>
    <w:p w14:paraId="30A1388B" w14:textId="77777777" w:rsidR="00E33953" w:rsidRPr="000C7CFA" w:rsidRDefault="00E33953" w:rsidP="00DC3658">
      <w:pPr>
        <w:pStyle w:val="NoSpacing"/>
        <w:numPr>
          <w:ilvl w:val="0"/>
          <w:numId w:val="7"/>
        </w:numPr>
        <w:spacing w:after="120"/>
        <w:ind w:left="425" w:right="374" w:hanging="357"/>
        <w:jc w:val="both"/>
        <w:rPr>
          <w:rFonts w:ascii="Verdana" w:hAnsi="Verdana" w:cs="Times New Roman"/>
          <w:sz w:val="18"/>
          <w:szCs w:val="18"/>
        </w:rPr>
      </w:pPr>
      <w:r w:rsidRPr="000C7CFA">
        <w:rPr>
          <w:rFonts w:ascii="Verdana" w:hAnsi="Verdana" w:cs="Times New Roman"/>
          <w:sz w:val="18"/>
          <w:szCs w:val="18"/>
        </w:rPr>
        <w:t xml:space="preserve">In a related study, </w:t>
      </w:r>
      <w:r w:rsidRPr="000C7CFA">
        <w:rPr>
          <w:rFonts w:ascii="Verdana" w:hAnsi="Verdana" w:cs="Times New Roman"/>
          <w:sz w:val="18"/>
          <w:szCs w:val="18"/>
          <w:u w:val="single"/>
        </w:rPr>
        <w:t xml:space="preserve">Ben </w:t>
      </w:r>
      <w:r w:rsidRPr="000C7CFA">
        <w:rPr>
          <w:rFonts w:ascii="Verdana" w:hAnsi="Verdana" w:cs="Times New Roman"/>
          <w:i/>
          <w:sz w:val="18"/>
          <w:szCs w:val="18"/>
          <w:u w:val="single"/>
        </w:rPr>
        <w:t>et al</w:t>
      </w:r>
      <w:r w:rsidRPr="000C7CFA">
        <w:rPr>
          <w:rFonts w:ascii="Verdana" w:hAnsi="Verdana" w:cs="Times New Roman"/>
          <w:sz w:val="18"/>
          <w:szCs w:val="18"/>
          <w:u w:val="single"/>
        </w:rPr>
        <w:t>. (2013)</w:t>
      </w:r>
      <w:r w:rsidRPr="000C7CFA">
        <w:rPr>
          <w:rFonts w:ascii="Verdana" w:hAnsi="Verdana" w:cs="Times New Roman"/>
          <w:sz w:val="18"/>
          <w:szCs w:val="18"/>
        </w:rPr>
        <w:t xml:space="preserve"> measured Dechlorane Plus in blood serum and breast milk from women living at e-waste recycling sites in Wenling, Taizhou region, China. Forty-four breast milk samples and forty-five serum samples (including 40 breast milk and serum samples from the same women) were collected from July 2010 to March 2011 (n = 49 in total). Both syn- and anti- isomers were detected in all samples. Levels in people who had been resident in the local environment for more than 20 years (R20 group) were significantly higher than those living there for less than three 3 years (R3 group) (</w:t>
      </w:r>
      <w:r w:rsidRPr="000C7CFA">
        <w:rPr>
          <w:rFonts w:ascii="Verdana" w:hAnsi="Verdana" w:cs="Times New Roman"/>
          <w:i/>
          <w:sz w:val="18"/>
          <w:szCs w:val="18"/>
        </w:rPr>
        <w:t>p</w:t>
      </w:r>
      <w:r w:rsidRPr="000C7CFA">
        <w:rPr>
          <w:rFonts w:ascii="Verdana" w:hAnsi="Verdana" w:cs="Times New Roman"/>
          <w:sz w:val="18"/>
          <w:szCs w:val="18"/>
        </w:rPr>
        <w:t xml:space="preserve"> &lt; 0.05). For the R20 group, arithmetic means in serum were 25.4 (range: 0.56 – 278, median: 2.79) and 46.1 (range: 1.24 – 656, median: 5.95) µg/kg lw for the syn- and anti- isomers, respectively; arithmetic means in breast milk were 10.4 (range: 0.29 – 139.2, median: 1.33) and 27.4 (range: 0.71 – 451, median: 3.32) µg/kg lw for the syn- and anti- isomers, respectively. The arithmetic mean levels of syn-, anti- and total isomers in the R20 group were much higher than the median levels, demonstrating a skewed distribution. The highest total isomer concentration was 900 µg/kg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in blood serum</w:t>
      </w:r>
      <w:r w:rsidR="00F82B39" w:rsidRPr="000C7CFA">
        <w:rPr>
          <w:rFonts w:ascii="Verdana" w:hAnsi="Verdana" w:cs="Times New Roman"/>
          <w:sz w:val="18"/>
          <w:szCs w:val="18"/>
        </w:rPr>
        <w:t xml:space="preserve">, so the data set for this matrix appears to be the same as that reported in Ben </w:t>
      </w:r>
      <w:r w:rsidR="00F82B39" w:rsidRPr="000C7CFA">
        <w:rPr>
          <w:rFonts w:ascii="Verdana" w:hAnsi="Verdana" w:cs="Times New Roman"/>
          <w:i/>
          <w:sz w:val="18"/>
          <w:szCs w:val="18"/>
        </w:rPr>
        <w:t>et al</w:t>
      </w:r>
      <w:r w:rsidR="00F82B39" w:rsidRPr="000C7CFA">
        <w:rPr>
          <w:rFonts w:ascii="Verdana" w:hAnsi="Verdana" w:cs="Times New Roman"/>
          <w:sz w:val="18"/>
          <w:szCs w:val="18"/>
        </w:rPr>
        <w:t>. (2014)</w:t>
      </w:r>
      <w:r w:rsidRPr="000C7CFA">
        <w:rPr>
          <w:rFonts w:ascii="Verdana" w:hAnsi="Verdana" w:cs="Times New Roman"/>
          <w:sz w:val="18"/>
          <w:szCs w:val="18"/>
        </w:rPr>
        <w:t xml:space="preserve">. </w:t>
      </w:r>
    </w:p>
    <w:p w14:paraId="3402FEEB" w14:textId="77777777" w:rsidR="00E33953" w:rsidRPr="000C7CFA" w:rsidRDefault="00E33953" w:rsidP="00E33953">
      <w:pPr>
        <w:pStyle w:val="NoSpacing"/>
        <w:spacing w:after="120"/>
        <w:ind w:left="425" w:right="374"/>
        <w:jc w:val="both"/>
        <w:rPr>
          <w:rFonts w:ascii="Verdana" w:hAnsi="Verdana" w:cs="Times New Roman"/>
          <w:sz w:val="18"/>
          <w:szCs w:val="18"/>
        </w:rPr>
      </w:pPr>
      <w:r w:rsidRPr="000C7CFA">
        <w:rPr>
          <w:rFonts w:ascii="Verdana" w:hAnsi="Verdana" w:cs="Times New Roman"/>
          <w:sz w:val="18"/>
          <w:szCs w:val="18"/>
        </w:rPr>
        <w:t xml:space="preserve">The milk/serum partition coefficient from the same women was approximately 0.43 and 0.47 for the syn- and anti- isomer, respectively. Similar </w:t>
      </w:r>
      <w:proofErr w:type="gramStart"/>
      <w:r w:rsidRPr="000C7CFA">
        <w:rPr>
          <w:rFonts w:ascii="Verdana" w:hAnsi="Verdana" w:cs="Times New Roman"/>
          <w:sz w:val="18"/>
          <w:szCs w:val="18"/>
        </w:rPr>
        <w:t>f</w:t>
      </w:r>
      <w:r w:rsidRPr="000C7CFA">
        <w:rPr>
          <w:rFonts w:ascii="Verdana" w:hAnsi="Verdana" w:cs="Times New Roman"/>
          <w:sz w:val="18"/>
          <w:szCs w:val="18"/>
          <w:vertAlign w:val="subscript"/>
        </w:rPr>
        <w:t>anti</w:t>
      </w:r>
      <w:proofErr w:type="gramEnd"/>
      <w:r w:rsidRPr="000C7CFA">
        <w:rPr>
          <w:rFonts w:ascii="Verdana" w:hAnsi="Verdana" w:cs="Times New Roman"/>
          <w:sz w:val="18"/>
          <w:szCs w:val="18"/>
          <w:vertAlign w:val="subscript"/>
        </w:rPr>
        <w:t xml:space="preserve"> </w:t>
      </w:r>
      <w:r w:rsidRPr="000C7CFA">
        <w:rPr>
          <w:rFonts w:ascii="Verdana" w:hAnsi="Verdana" w:cs="Times New Roman"/>
          <w:sz w:val="18"/>
          <w:szCs w:val="18"/>
        </w:rPr>
        <w:t xml:space="preserve">values in serum and milk suggested that stereoselective bioaccumulation did not occur during transfer from blood to milk. </w:t>
      </w:r>
    </w:p>
    <w:p w14:paraId="71FA4FB7" w14:textId="2F8FC6F6" w:rsidR="0023247D" w:rsidRPr="000C7CFA" w:rsidRDefault="00E33953" w:rsidP="00E33953">
      <w:pPr>
        <w:pStyle w:val="NoSpacing"/>
        <w:spacing w:after="120"/>
        <w:ind w:left="425" w:right="374"/>
        <w:jc w:val="both"/>
        <w:rPr>
          <w:rFonts w:ascii="Verdana" w:hAnsi="Verdana" w:cs="Times New Roman"/>
          <w:sz w:val="18"/>
          <w:szCs w:val="18"/>
        </w:rPr>
      </w:pPr>
      <w:r w:rsidRPr="000C7CFA">
        <w:rPr>
          <w:rFonts w:ascii="Verdana" w:hAnsi="Verdana" w:cs="Times New Roman"/>
          <w:sz w:val="18"/>
          <w:szCs w:val="18"/>
        </w:rPr>
        <w:t>DP-1C1 was detected in 8</w:t>
      </w:r>
      <w:r w:rsidR="00AF7606" w:rsidRPr="000C7CFA">
        <w:rPr>
          <w:rFonts w:ascii="Verdana" w:hAnsi="Verdana" w:cs="Times New Roman"/>
          <w:sz w:val="18"/>
          <w:szCs w:val="18"/>
        </w:rPr>
        <w:t>4 %</w:t>
      </w:r>
      <w:r w:rsidRPr="000C7CFA">
        <w:rPr>
          <w:rFonts w:ascii="Verdana" w:hAnsi="Verdana" w:cs="Times New Roman"/>
          <w:sz w:val="18"/>
          <w:szCs w:val="18"/>
        </w:rPr>
        <w:t xml:space="preserve"> of serum samples and 4</w:t>
      </w:r>
      <w:r w:rsidR="00AF7606" w:rsidRPr="000C7CFA">
        <w:rPr>
          <w:rFonts w:ascii="Verdana" w:hAnsi="Verdana" w:cs="Times New Roman"/>
          <w:sz w:val="18"/>
          <w:szCs w:val="18"/>
        </w:rPr>
        <w:t>5 %</w:t>
      </w:r>
      <w:r w:rsidRPr="000C7CFA">
        <w:rPr>
          <w:rFonts w:ascii="Verdana" w:hAnsi="Verdana" w:cs="Times New Roman"/>
          <w:sz w:val="18"/>
          <w:szCs w:val="18"/>
        </w:rPr>
        <w:t xml:space="preserve"> of milk samples (maximum concentrations were 14.9 and 7.19 µg/kg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in blood and milk, respectively). DP-2Cl was not detected in any sample.</w:t>
      </w:r>
      <w:r w:rsidR="0023247D" w:rsidRPr="000C7CFA">
        <w:rPr>
          <w:rFonts w:ascii="Verdana" w:hAnsi="Verdana" w:cs="Times New Roman"/>
          <w:sz w:val="18"/>
          <w:szCs w:val="18"/>
        </w:rPr>
        <w:t xml:space="preserve"> </w:t>
      </w:r>
    </w:p>
    <w:p w14:paraId="2AD11139" w14:textId="77777777" w:rsidR="00E33953" w:rsidRPr="000C7CFA" w:rsidRDefault="0023247D" w:rsidP="00E33953">
      <w:pPr>
        <w:pStyle w:val="NoSpacing"/>
        <w:spacing w:after="120"/>
        <w:ind w:left="425" w:right="374"/>
        <w:jc w:val="both"/>
        <w:rPr>
          <w:rFonts w:ascii="Verdana" w:hAnsi="Verdana" w:cs="Times New Roman"/>
          <w:sz w:val="18"/>
          <w:szCs w:val="18"/>
        </w:rPr>
      </w:pPr>
      <w:r w:rsidRPr="000C7CFA">
        <w:rPr>
          <w:rFonts w:ascii="Verdana" w:hAnsi="Verdana" w:cs="Times New Roman"/>
          <w:sz w:val="18"/>
          <w:szCs w:val="18"/>
        </w:rPr>
        <w:t>This study is included in the registration dossier as supporting monitoring information and is considered fully reliable by the</w:t>
      </w:r>
      <w:r w:rsidR="00A43C45" w:rsidRPr="000C7CFA">
        <w:rPr>
          <w:rFonts w:ascii="Verdana" w:hAnsi="Verdana" w:cs="Times New Roman"/>
          <w:sz w:val="18"/>
          <w:szCs w:val="18"/>
        </w:rPr>
        <w:t xml:space="preserve"> Registrant</w:t>
      </w:r>
      <w:r w:rsidRPr="000C7CFA">
        <w:rPr>
          <w:rFonts w:ascii="Verdana" w:hAnsi="Verdana" w:cs="Times New Roman"/>
          <w:sz w:val="18"/>
          <w:szCs w:val="18"/>
        </w:rPr>
        <w:t>.</w:t>
      </w:r>
    </w:p>
    <w:p w14:paraId="318E875B" w14:textId="77777777" w:rsidR="00E33953" w:rsidRPr="000C7CFA" w:rsidRDefault="00E33953" w:rsidP="00E33953">
      <w:pPr>
        <w:pStyle w:val="NoSpacing"/>
        <w:ind w:left="426" w:right="374"/>
        <w:jc w:val="both"/>
        <w:rPr>
          <w:rFonts w:ascii="Verdana" w:hAnsi="Verdana" w:cs="Times New Roman"/>
          <w:sz w:val="18"/>
          <w:szCs w:val="18"/>
        </w:rPr>
      </w:pPr>
    </w:p>
    <w:p w14:paraId="43EB8B1F" w14:textId="18647958" w:rsidR="00857674" w:rsidRPr="000C7CFA" w:rsidRDefault="00857674" w:rsidP="00DC3658">
      <w:pPr>
        <w:pStyle w:val="NoSpacing"/>
        <w:numPr>
          <w:ilvl w:val="0"/>
          <w:numId w:val="7"/>
        </w:numPr>
        <w:spacing w:after="180"/>
        <w:ind w:left="425" w:right="374" w:hanging="357"/>
        <w:jc w:val="both"/>
        <w:rPr>
          <w:rFonts w:ascii="Verdana" w:hAnsi="Verdana" w:cs="Times New Roman"/>
          <w:sz w:val="18"/>
          <w:szCs w:val="18"/>
        </w:rPr>
      </w:pPr>
      <w:r w:rsidRPr="000C7CFA">
        <w:rPr>
          <w:rFonts w:ascii="Verdana" w:hAnsi="Verdana" w:cs="Times New Roman"/>
          <w:sz w:val="18"/>
          <w:szCs w:val="18"/>
          <w:u w:val="single"/>
        </w:rPr>
        <w:t xml:space="preserve">Zhang </w:t>
      </w:r>
      <w:r w:rsidRPr="000C7CFA">
        <w:rPr>
          <w:rFonts w:ascii="Verdana" w:hAnsi="Verdana" w:cs="Times New Roman"/>
          <w:i/>
          <w:sz w:val="18"/>
          <w:szCs w:val="18"/>
          <w:u w:val="single"/>
        </w:rPr>
        <w:t>et al</w:t>
      </w:r>
      <w:r w:rsidRPr="000C7CFA">
        <w:rPr>
          <w:rFonts w:ascii="Verdana" w:hAnsi="Verdana" w:cs="Times New Roman"/>
          <w:sz w:val="18"/>
          <w:szCs w:val="18"/>
          <w:u w:val="single"/>
        </w:rPr>
        <w:t>. (2013)</w:t>
      </w:r>
      <w:r w:rsidRPr="000C7CFA">
        <w:rPr>
          <w:rFonts w:ascii="Verdana" w:hAnsi="Verdana" w:cs="Times New Roman"/>
          <w:sz w:val="18"/>
          <w:szCs w:val="18"/>
        </w:rPr>
        <w:t xml:space="preserve"> measured Dechlorane Plus concentrations in two groups of workers at a manufacturing site in eastern China and a non-occupationally exposed control group residing 3 km from the plant. It was detected in all whole blood samples (n = 47), with total concentrations in the range 89.8 – 2</w:t>
      </w:r>
      <w:r w:rsidR="002D4EB9" w:rsidRPr="000C7CFA">
        <w:rPr>
          <w:rFonts w:ascii="Verdana" w:hAnsi="Verdana" w:cs="Times New Roman"/>
          <w:sz w:val="18"/>
          <w:szCs w:val="18"/>
        </w:rPr>
        <w:t> </w:t>
      </w:r>
      <w:r w:rsidRPr="000C7CFA">
        <w:rPr>
          <w:rFonts w:ascii="Verdana" w:hAnsi="Verdana" w:cs="Times New Roman"/>
          <w:sz w:val="18"/>
          <w:szCs w:val="18"/>
        </w:rPr>
        <w:t xml:space="preserve">958 µg/kg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(median: 456 µg/kg lw). The control group (n=12) had the lowest concentrations, in the range 89.8 – 513 µg/kg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(mean 243 µg/kg lw). Dechlorane Plus was detected in all human hair samples (n=43), with total conce</w:t>
      </w:r>
      <w:r w:rsidR="002D4EB9" w:rsidRPr="000C7CFA">
        <w:rPr>
          <w:rFonts w:ascii="Verdana" w:hAnsi="Verdana" w:cs="Times New Roman"/>
          <w:sz w:val="18"/>
          <w:szCs w:val="18"/>
        </w:rPr>
        <w:t>ntrations in the range 4.08 – 2 </w:t>
      </w:r>
      <w:r w:rsidRPr="000C7CFA">
        <w:rPr>
          <w:rFonts w:ascii="Verdana" w:hAnsi="Verdana" w:cs="Times New Roman"/>
          <w:sz w:val="18"/>
          <w:szCs w:val="18"/>
        </w:rPr>
        <w:t xml:space="preserve">159 µg/kg </w:t>
      </w:r>
      <w:proofErr w:type="gramStart"/>
      <w:r w:rsidRPr="000C7CFA">
        <w:rPr>
          <w:rFonts w:ascii="Verdana" w:hAnsi="Verdana" w:cs="Times New Roman"/>
          <w:sz w:val="18"/>
          <w:szCs w:val="18"/>
        </w:rPr>
        <w:t>dw</w:t>
      </w:r>
      <w:proofErr w:type="gramEnd"/>
      <w:r w:rsidRPr="000C7CFA">
        <w:rPr>
          <w:rFonts w:ascii="Verdana" w:hAnsi="Verdana" w:cs="Times New Roman"/>
          <w:sz w:val="18"/>
          <w:szCs w:val="18"/>
        </w:rPr>
        <w:t>.</w:t>
      </w:r>
      <w:r w:rsidR="004B3270" w:rsidRPr="000C7CFA">
        <w:rPr>
          <w:rStyle w:val="FootnoteReference"/>
          <w:rFonts w:ascii="Verdana" w:hAnsi="Verdana" w:cs="Times New Roman"/>
          <w:sz w:val="18"/>
          <w:szCs w:val="18"/>
        </w:rPr>
        <w:footnoteReference w:id="35"/>
      </w:r>
      <w:r w:rsidRPr="000C7CFA">
        <w:rPr>
          <w:rFonts w:ascii="Verdana" w:hAnsi="Verdana" w:cs="Times New Roman"/>
          <w:sz w:val="18"/>
          <w:szCs w:val="18"/>
        </w:rPr>
        <w:t xml:space="preserve"> As with blood, the control group had the lowest </w:t>
      </w:r>
      <w:r w:rsidRPr="000C7CFA">
        <w:rPr>
          <w:rFonts w:ascii="Verdana" w:hAnsi="Verdana" w:cs="Times New Roman"/>
          <w:sz w:val="18"/>
          <w:szCs w:val="18"/>
        </w:rPr>
        <w:lastRenderedPageBreak/>
        <w:t xml:space="preserve">concentrations (4.08 – 236 µg/kg </w:t>
      </w:r>
      <w:proofErr w:type="gramStart"/>
      <w:r w:rsidRPr="000C7CFA">
        <w:rPr>
          <w:rFonts w:ascii="Verdana" w:hAnsi="Verdana" w:cs="Times New Roman"/>
          <w:sz w:val="18"/>
          <w:szCs w:val="18"/>
        </w:rPr>
        <w:t>dw</w:t>
      </w:r>
      <w:proofErr w:type="gramEnd"/>
      <w:r w:rsidRPr="000C7CFA">
        <w:rPr>
          <w:rFonts w:ascii="Verdana" w:hAnsi="Verdana" w:cs="Times New Roman"/>
          <w:sz w:val="18"/>
          <w:szCs w:val="18"/>
        </w:rPr>
        <w:t xml:space="preserve"> with an exception of 356 µg/kg dw). Significantly positive correlations (r</w:t>
      </w:r>
      <w:r w:rsidRPr="000C7CFA">
        <w:rPr>
          <w:rFonts w:ascii="Verdana" w:hAnsi="Verdana" w:cs="Times New Roman"/>
          <w:sz w:val="18"/>
          <w:szCs w:val="18"/>
          <w:vertAlign w:val="superscript"/>
        </w:rPr>
        <w:t>2</w:t>
      </w:r>
      <w:r w:rsidRPr="000C7CFA">
        <w:rPr>
          <w:rFonts w:ascii="Verdana" w:hAnsi="Verdana" w:cs="Times New Roman"/>
          <w:sz w:val="18"/>
          <w:szCs w:val="18"/>
        </w:rPr>
        <w:t>: 0.60</w:t>
      </w:r>
      <w:r w:rsidRPr="000C7CFA">
        <w:rPr>
          <w:rFonts w:ascii="Verdana" w:eastAsia="AdvOT8608a8d1+22" w:hAnsi="Verdana" w:cs="Times New Roman"/>
          <w:sz w:val="18"/>
          <w:szCs w:val="18"/>
        </w:rPr>
        <w:t>−</w:t>
      </w:r>
      <w:r w:rsidRPr="000C7CFA">
        <w:rPr>
          <w:rFonts w:ascii="Verdana" w:hAnsi="Verdana" w:cs="Times New Roman"/>
          <w:sz w:val="18"/>
          <w:szCs w:val="18"/>
        </w:rPr>
        <w:t>0.76) were found for the logarithmic concentrations of syn-, anti-, and total isomers in human blood against working years in the group associated with the manufacturing process.</w:t>
      </w:r>
    </w:p>
    <w:p w14:paraId="3E44EEAA" w14:textId="77777777" w:rsidR="0023247D" w:rsidRPr="000C7CFA" w:rsidRDefault="0023247D" w:rsidP="0023247D">
      <w:pPr>
        <w:pStyle w:val="NoSpacing"/>
        <w:spacing w:after="120"/>
        <w:ind w:left="425" w:right="374"/>
        <w:jc w:val="both"/>
        <w:rPr>
          <w:rFonts w:ascii="Verdana" w:hAnsi="Verdana"/>
          <w:sz w:val="18"/>
          <w:szCs w:val="18"/>
        </w:rPr>
      </w:pPr>
      <w:r w:rsidRPr="000C7CFA">
        <w:rPr>
          <w:rFonts w:ascii="Verdana" w:hAnsi="Verdana" w:cs="Times New Roman"/>
          <w:sz w:val="18"/>
          <w:szCs w:val="18"/>
        </w:rPr>
        <w:t>This study is not included in the registration dossier.</w:t>
      </w:r>
    </w:p>
    <w:p w14:paraId="7584D7C1" w14:textId="77777777" w:rsidR="00857674" w:rsidRPr="000C7CFA" w:rsidRDefault="00857674" w:rsidP="00B80DD7">
      <w:pPr>
        <w:pStyle w:val="NoSpacing"/>
        <w:ind w:left="426" w:right="374"/>
        <w:jc w:val="both"/>
        <w:rPr>
          <w:rFonts w:ascii="Verdana" w:hAnsi="Verdana" w:cs="Times New Roman"/>
          <w:sz w:val="18"/>
          <w:szCs w:val="18"/>
        </w:rPr>
      </w:pPr>
    </w:p>
    <w:p w14:paraId="04560BD1" w14:textId="77777777" w:rsidR="00857674" w:rsidRPr="000C7CFA" w:rsidRDefault="00857674" w:rsidP="00DC3658">
      <w:pPr>
        <w:pStyle w:val="NoSpacing"/>
        <w:numPr>
          <w:ilvl w:val="0"/>
          <w:numId w:val="7"/>
        </w:numPr>
        <w:spacing w:after="180"/>
        <w:ind w:left="425" w:right="374" w:hanging="357"/>
        <w:jc w:val="both"/>
        <w:rPr>
          <w:rFonts w:ascii="Verdana" w:hAnsi="Verdana" w:cs="Times New Roman"/>
          <w:sz w:val="18"/>
          <w:szCs w:val="18"/>
          <w:lang w:eastAsia="ar-SA"/>
        </w:rPr>
      </w:pPr>
      <w:r w:rsidRPr="000C7CFA">
        <w:rPr>
          <w:rFonts w:ascii="Verdana" w:hAnsi="Verdana" w:cs="Times New Roman"/>
          <w:sz w:val="18"/>
          <w:szCs w:val="18"/>
          <w:u w:val="single"/>
          <w:lang w:eastAsia="ar-SA"/>
        </w:rPr>
        <w:t xml:space="preserve">He </w:t>
      </w:r>
      <w:r w:rsidRPr="000C7CFA">
        <w:rPr>
          <w:rFonts w:ascii="Verdana" w:hAnsi="Verdana" w:cs="Times New Roman"/>
          <w:i/>
          <w:sz w:val="18"/>
          <w:szCs w:val="18"/>
          <w:u w:val="single"/>
          <w:lang w:eastAsia="ar-SA"/>
        </w:rPr>
        <w:t>et al</w:t>
      </w:r>
      <w:r w:rsidRPr="000C7CFA">
        <w:rPr>
          <w:rFonts w:ascii="Verdana" w:hAnsi="Verdana" w:cs="Times New Roman"/>
          <w:sz w:val="18"/>
          <w:szCs w:val="18"/>
          <w:u w:val="single"/>
          <w:lang w:eastAsia="ar-SA"/>
        </w:rPr>
        <w:t>.</w:t>
      </w:r>
      <w:r w:rsidRPr="000C7CFA">
        <w:rPr>
          <w:rFonts w:ascii="Verdana" w:hAnsi="Verdana" w:cs="Times New Roman"/>
          <w:sz w:val="18"/>
          <w:szCs w:val="18"/>
          <w:u w:val="single"/>
        </w:rPr>
        <w:t xml:space="preserve"> (</w:t>
      </w:r>
      <w:r w:rsidRPr="000C7CFA">
        <w:rPr>
          <w:rFonts w:ascii="Verdana" w:hAnsi="Verdana" w:cs="Times New Roman"/>
          <w:sz w:val="18"/>
          <w:szCs w:val="18"/>
          <w:u w:val="single"/>
          <w:lang w:eastAsia="ar-SA"/>
        </w:rPr>
        <w:t>2013)</w:t>
      </w:r>
      <w:r w:rsidRPr="000C7CFA">
        <w:rPr>
          <w:rFonts w:ascii="Verdana" w:hAnsi="Verdana" w:cs="Times New Roman"/>
          <w:sz w:val="18"/>
          <w:szCs w:val="18"/>
        </w:rPr>
        <w:t xml:space="preserve"> and </w:t>
      </w:r>
      <w:r w:rsidRPr="000C7CFA">
        <w:rPr>
          <w:rFonts w:ascii="Verdana" w:hAnsi="Verdana" w:cs="Times New Roman"/>
          <w:sz w:val="18"/>
          <w:szCs w:val="18"/>
          <w:u w:val="single"/>
          <w:lang w:eastAsia="ar-SA"/>
        </w:rPr>
        <w:t xml:space="preserve">Wang </w:t>
      </w:r>
      <w:r w:rsidRPr="000C7CFA">
        <w:rPr>
          <w:rFonts w:ascii="Verdana" w:hAnsi="Verdana" w:cs="Times New Roman"/>
          <w:i/>
          <w:sz w:val="18"/>
          <w:szCs w:val="18"/>
          <w:u w:val="single"/>
          <w:lang w:eastAsia="ar-SA"/>
        </w:rPr>
        <w:t>et al</w:t>
      </w:r>
      <w:r w:rsidRPr="000C7CFA">
        <w:rPr>
          <w:rFonts w:ascii="Verdana" w:hAnsi="Verdana" w:cs="Times New Roman"/>
          <w:sz w:val="18"/>
          <w:szCs w:val="18"/>
          <w:u w:val="single"/>
          <w:lang w:eastAsia="ar-SA"/>
        </w:rPr>
        <w:t>. (2014)</w:t>
      </w:r>
      <w:r w:rsidRPr="000C7CFA">
        <w:rPr>
          <w:rFonts w:ascii="Verdana" w:hAnsi="Verdana" w:cs="Times New Roman"/>
          <w:sz w:val="18"/>
          <w:szCs w:val="18"/>
          <w:lang w:eastAsia="ar-SA"/>
        </w:rPr>
        <w:t xml:space="preserve"> analyzed pooled human blood serum samples from different age groups </w:t>
      </w:r>
      <w:r w:rsidRPr="000C7CFA">
        <w:rPr>
          <w:rFonts w:ascii="Verdana" w:hAnsi="Verdana" w:cs="Times New Roman"/>
          <w:sz w:val="18"/>
          <w:szCs w:val="18"/>
        </w:rPr>
        <w:t>f</w:t>
      </w:r>
      <w:r w:rsidRPr="000C7CFA">
        <w:rPr>
          <w:rFonts w:ascii="Verdana" w:hAnsi="Verdana" w:cs="Times New Roman"/>
          <w:sz w:val="18"/>
          <w:szCs w:val="18"/>
          <w:lang w:eastAsia="ar-SA"/>
        </w:rPr>
        <w:t>rom</w:t>
      </w:r>
      <w:r w:rsidRPr="000C7CFA">
        <w:rPr>
          <w:rFonts w:ascii="Verdana" w:hAnsi="Verdana" w:cs="Times New Roman"/>
          <w:sz w:val="18"/>
          <w:szCs w:val="18"/>
        </w:rPr>
        <w:t xml:space="preserve"> </w:t>
      </w:r>
      <w:r w:rsidRPr="000C7CFA">
        <w:rPr>
          <w:rFonts w:ascii="Verdana" w:hAnsi="Verdana" w:cs="Times New Roman"/>
          <w:sz w:val="18"/>
          <w:szCs w:val="18"/>
          <w:lang w:eastAsia="ar-SA"/>
        </w:rPr>
        <w:t xml:space="preserve">the south coast of Laizhou Bay, Shandong Province, China. </w:t>
      </w:r>
      <w:r w:rsidRPr="000C7CFA">
        <w:rPr>
          <w:rFonts w:ascii="Verdana" w:hAnsi="Verdana" w:cs="Times New Roman"/>
          <w:sz w:val="18"/>
          <w:szCs w:val="18"/>
        </w:rPr>
        <w:t>T</w:t>
      </w:r>
      <w:r w:rsidRPr="000C7CFA">
        <w:rPr>
          <w:rFonts w:ascii="Verdana" w:hAnsi="Verdana" w:cs="Times New Roman"/>
          <w:sz w:val="18"/>
          <w:szCs w:val="18"/>
          <w:lang w:eastAsia="ar-SA"/>
        </w:rPr>
        <w:t>he mean concentration</w:t>
      </w:r>
      <w:r w:rsidRPr="000C7CFA">
        <w:rPr>
          <w:rFonts w:ascii="Verdana" w:hAnsi="Verdana" w:cs="Times New Roman"/>
          <w:sz w:val="18"/>
          <w:szCs w:val="18"/>
        </w:rPr>
        <w:t xml:space="preserve"> of Dechlorane Plus (total isomer</w:t>
      </w:r>
      <w:r w:rsidRPr="000C7CFA">
        <w:rPr>
          <w:rFonts w:ascii="Verdana" w:hAnsi="Verdana" w:cs="Times New Roman"/>
          <w:sz w:val="18"/>
          <w:szCs w:val="18"/>
          <w:lang w:eastAsia="ar-SA"/>
        </w:rPr>
        <w:t>s</w:t>
      </w:r>
      <w:r w:rsidRPr="000C7CFA">
        <w:rPr>
          <w:rFonts w:ascii="Verdana" w:hAnsi="Verdana" w:cs="Times New Roman"/>
          <w:sz w:val="18"/>
          <w:szCs w:val="18"/>
        </w:rPr>
        <w:t>) was</w:t>
      </w:r>
      <w:r w:rsidRPr="000C7CFA">
        <w:rPr>
          <w:rFonts w:ascii="Verdana" w:hAnsi="Verdana" w:cs="Times New Roman"/>
          <w:sz w:val="18"/>
          <w:szCs w:val="18"/>
          <w:lang w:eastAsia="ar-SA"/>
        </w:rPr>
        <w:t xml:space="preserve"> 3.6 </w:t>
      </w:r>
      <w:r w:rsidRPr="000C7CFA">
        <w:rPr>
          <w:rFonts w:ascii="Verdana" w:hAnsi="Verdana" w:cs="Times New Roman"/>
          <w:sz w:val="18"/>
          <w:szCs w:val="18"/>
        </w:rPr>
        <w:t>µ</w:t>
      </w:r>
      <w:r w:rsidRPr="000C7CFA">
        <w:rPr>
          <w:rFonts w:ascii="Verdana" w:hAnsi="Verdana" w:cs="Times New Roman"/>
          <w:sz w:val="18"/>
          <w:szCs w:val="18"/>
          <w:lang w:eastAsia="ar-SA"/>
        </w:rPr>
        <w:t>g/</w:t>
      </w:r>
      <w:r w:rsidRPr="000C7CFA">
        <w:rPr>
          <w:rFonts w:ascii="Verdana" w:hAnsi="Verdana" w:cs="Times New Roman"/>
          <w:sz w:val="18"/>
          <w:szCs w:val="18"/>
        </w:rPr>
        <w:t>k</w:t>
      </w:r>
      <w:r w:rsidRPr="000C7CFA">
        <w:rPr>
          <w:rFonts w:ascii="Verdana" w:hAnsi="Verdana" w:cs="Times New Roman"/>
          <w:sz w:val="18"/>
          <w:szCs w:val="18"/>
          <w:lang w:eastAsia="ar-SA"/>
        </w:rPr>
        <w:t xml:space="preserve">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(range: </w:t>
      </w:r>
      <w:r w:rsidRPr="000C7CFA">
        <w:rPr>
          <w:rFonts w:ascii="Verdana" w:hAnsi="Verdana" w:cs="Times New Roman"/>
          <w:sz w:val="18"/>
          <w:szCs w:val="18"/>
          <w:lang w:eastAsia="ar-SA"/>
        </w:rPr>
        <w:t>1.4–11</w:t>
      </w:r>
      <w:r w:rsidRPr="000C7CFA">
        <w:rPr>
          <w:rFonts w:ascii="Verdana" w:hAnsi="Verdana" w:cs="Times New Roman"/>
          <w:sz w:val="18"/>
          <w:szCs w:val="18"/>
        </w:rPr>
        <w:t xml:space="preserve"> µ</w:t>
      </w:r>
      <w:r w:rsidRPr="000C7CFA">
        <w:rPr>
          <w:rFonts w:ascii="Verdana" w:hAnsi="Verdana" w:cs="Times New Roman"/>
          <w:sz w:val="18"/>
          <w:szCs w:val="18"/>
          <w:lang w:eastAsia="ar-SA"/>
        </w:rPr>
        <w:t>g/</w:t>
      </w:r>
      <w:r w:rsidRPr="000C7CFA">
        <w:rPr>
          <w:rFonts w:ascii="Verdana" w:hAnsi="Verdana" w:cs="Times New Roman"/>
          <w:sz w:val="18"/>
          <w:szCs w:val="18"/>
        </w:rPr>
        <w:t>kg lw). N</w:t>
      </w:r>
      <w:r w:rsidRPr="000C7CFA">
        <w:rPr>
          <w:rFonts w:ascii="Verdana" w:hAnsi="Verdana" w:cs="Times New Roman"/>
          <w:sz w:val="18"/>
          <w:szCs w:val="18"/>
          <w:lang w:eastAsia="ar-SA"/>
        </w:rPr>
        <w:t>o trend was found between</w:t>
      </w:r>
      <w:r w:rsidRPr="000C7CFA">
        <w:rPr>
          <w:rFonts w:ascii="Verdana" w:hAnsi="Verdana" w:cs="Times New Roman"/>
          <w:sz w:val="18"/>
          <w:szCs w:val="18"/>
        </w:rPr>
        <w:t xml:space="preserve"> </w:t>
      </w:r>
      <w:r w:rsidRPr="000C7CFA">
        <w:rPr>
          <w:rFonts w:ascii="Verdana" w:hAnsi="Verdana" w:cs="Times New Roman"/>
          <w:sz w:val="18"/>
          <w:szCs w:val="18"/>
          <w:lang w:eastAsia="ar-SA"/>
        </w:rPr>
        <w:t>concentration and age</w:t>
      </w:r>
      <w:r w:rsidRPr="000C7CFA">
        <w:rPr>
          <w:rFonts w:ascii="Verdana" w:hAnsi="Verdana" w:cs="Times New Roman"/>
          <w:sz w:val="18"/>
          <w:szCs w:val="18"/>
        </w:rPr>
        <w:t xml:space="preserve">, although </w:t>
      </w:r>
      <w:r w:rsidRPr="000C7CFA">
        <w:rPr>
          <w:rFonts w:ascii="Verdana" w:hAnsi="Verdana" w:cs="Times New Roman"/>
          <w:sz w:val="18"/>
          <w:szCs w:val="18"/>
          <w:lang w:eastAsia="ar-SA"/>
        </w:rPr>
        <w:t>the younger volunteers (</w:t>
      </w:r>
      <w:r w:rsidRPr="000C7CFA">
        <w:rPr>
          <w:rFonts w:ascii="Verdana" w:hAnsi="Verdana" w:cs="Times New Roman"/>
          <w:sz w:val="18"/>
          <w:szCs w:val="18"/>
        </w:rPr>
        <w:t xml:space="preserve">in </w:t>
      </w:r>
      <w:r w:rsidRPr="000C7CFA">
        <w:rPr>
          <w:rFonts w:ascii="Verdana" w:hAnsi="Verdana" w:cs="Times New Roman"/>
          <w:sz w:val="18"/>
          <w:szCs w:val="18"/>
          <w:lang w:eastAsia="ar-SA"/>
        </w:rPr>
        <w:t>the 20–29 year-old group)</w:t>
      </w:r>
      <w:r w:rsidRPr="000C7CFA">
        <w:rPr>
          <w:rFonts w:ascii="Verdana" w:hAnsi="Verdana" w:cs="Times New Roman"/>
          <w:sz w:val="18"/>
          <w:szCs w:val="18"/>
        </w:rPr>
        <w:t xml:space="preserve"> </w:t>
      </w:r>
      <w:r w:rsidRPr="000C7CFA">
        <w:rPr>
          <w:rFonts w:ascii="Verdana" w:hAnsi="Verdana" w:cs="Times New Roman"/>
          <w:sz w:val="18"/>
          <w:szCs w:val="18"/>
          <w:lang w:eastAsia="ar-SA"/>
        </w:rPr>
        <w:t>had the highest serum concentration</w:t>
      </w:r>
      <w:r w:rsidRPr="000C7CFA">
        <w:rPr>
          <w:rFonts w:ascii="Verdana" w:hAnsi="Verdana" w:cs="Times New Roman"/>
          <w:sz w:val="18"/>
          <w:szCs w:val="18"/>
        </w:rPr>
        <w:t>s</w:t>
      </w:r>
      <w:r w:rsidRPr="000C7CFA">
        <w:rPr>
          <w:rFonts w:ascii="Verdana" w:hAnsi="Verdana" w:cs="Times New Roman"/>
          <w:sz w:val="18"/>
          <w:szCs w:val="18"/>
          <w:lang w:eastAsia="ar-SA"/>
        </w:rPr>
        <w:t xml:space="preserve">. </w:t>
      </w:r>
      <w:r w:rsidRPr="000C7CFA">
        <w:rPr>
          <w:rFonts w:ascii="Verdana" w:hAnsi="Verdana" w:cs="Times New Roman"/>
          <w:sz w:val="18"/>
          <w:szCs w:val="18"/>
        </w:rPr>
        <w:t>The authors noted that Dechlorane Plus wa</w:t>
      </w:r>
      <w:r w:rsidRPr="000C7CFA">
        <w:rPr>
          <w:rFonts w:ascii="Verdana" w:hAnsi="Verdana" w:cs="Times New Roman"/>
          <w:sz w:val="18"/>
          <w:szCs w:val="18"/>
          <w:lang w:eastAsia="ar-SA"/>
        </w:rPr>
        <w:t>s first</w:t>
      </w:r>
      <w:r w:rsidRPr="000C7CFA">
        <w:rPr>
          <w:rFonts w:ascii="Verdana" w:hAnsi="Verdana" w:cs="Times New Roman"/>
          <w:sz w:val="18"/>
          <w:szCs w:val="18"/>
        </w:rPr>
        <w:t xml:space="preserve"> </w:t>
      </w:r>
      <w:r w:rsidRPr="000C7CFA">
        <w:rPr>
          <w:rFonts w:ascii="Verdana" w:hAnsi="Verdana" w:cs="Times New Roman"/>
          <w:sz w:val="18"/>
          <w:szCs w:val="18"/>
          <w:lang w:eastAsia="ar-SA"/>
        </w:rPr>
        <w:t xml:space="preserve">produced in </w:t>
      </w:r>
      <w:r w:rsidRPr="000C7CFA">
        <w:rPr>
          <w:rFonts w:ascii="Verdana" w:hAnsi="Verdana" w:cs="Times New Roman"/>
          <w:sz w:val="18"/>
          <w:szCs w:val="18"/>
        </w:rPr>
        <w:t xml:space="preserve">China in </w:t>
      </w:r>
      <w:r w:rsidRPr="000C7CFA">
        <w:rPr>
          <w:rFonts w:ascii="Verdana" w:hAnsi="Verdana" w:cs="Times New Roman"/>
          <w:sz w:val="18"/>
          <w:szCs w:val="18"/>
          <w:lang w:eastAsia="ar-SA"/>
        </w:rPr>
        <w:t>2003</w:t>
      </w:r>
      <w:r w:rsidRPr="000C7CFA">
        <w:rPr>
          <w:rFonts w:ascii="Verdana" w:hAnsi="Verdana" w:cs="Times New Roman"/>
          <w:sz w:val="18"/>
          <w:szCs w:val="18"/>
        </w:rPr>
        <w:t>. Inhalation exposure was thought to be important.</w:t>
      </w:r>
    </w:p>
    <w:p w14:paraId="740FF869" w14:textId="77777777" w:rsidR="0023247D" w:rsidRPr="000C7CFA" w:rsidRDefault="0023247D" w:rsidP="0023247D">
      <w:pPr>
        <w:pStyle w:val="NoSpacing"/>
        <w:spacing w:after="120"/>
        <w:ind w:left="425" w:right="374"/>
        <w:jc w:val="both"/>
        <w:rPr>
          <w:rFonts w:ascii="Verdana" w:hAnsi="Verdana"/>
          <w:sz w:val="18"/>
          <w:szCs w:val="18"/>
        </w:rPr>
      </w:pPr>
      <w:r w:rsidRPr="000C7CFA">
        <w:rPr>
          <w:rFonts w:ascii="Verdana" w:hAnsi="Verdana" w:cs="Times New Roman"/>
          <w:sz w:val="18"/>
          <w:szCs w:val="18"/>
        </w:rPr>
        <w:t>This study is not included in the registration dossier.</w:t>
      </w:r>
    </w:p>
    <w:p w14:paraId="23B9C9C9" w14:textId="77777777" w:rsidR="007166A7" w:rsidRPr="000C7CFA" w:rsidRDefault="007166A7" w:rsidP="007166A7">
      <w:pPr>
        <w:pStyle w:val="ListParagraph"/>
        <w:rPr>
          <w:rFonts w:ascii="Verdana" w:hAnsi="Verdana"/>
          <w:sz w:val="18"/>
          <w:szCs w:val="18"/>
          <w:lang w:eastAsia="ar-SA"/>
        </w:rPr>
      </w:pPr>
    </w:p>
    <w:p w14:paraId="297EDE64" w14:textId="61CA7DFA" w:rsidR="007166A7" w:rsidRPr="000C7CFA" w:rsidRDefault="007166A7" w:rsidP="00DC3658">
      <w:pPr>
        <w:pStyle w:val="NoSpacing"/>
        <w:numPr>
          <w:ilvl w:val="0"/>
          <w:numId w:val="7"/>
        </w:numPr>
        <w:spacing w:after="180"/>
        <w:ind w:left="425" w:right="374" w:hanging="357"/>
        <w:jc w:val="both"/>
        <w:rPr>
          <w:rFonts w:ascii="Verdana" w:hAnsi="Verdana" w:cs="Times New Roman"/>
          <w:sz w:val="18"/>
          <w:szCs w:val="18"/>
          <w:lang w:eastAsia="en-GB"/>
        </w:rPr>
      </w:pPr>
      <w:r w:rsidRPr="000C7CFA">
        <w:rPr>
          <w:rFonts w:ascii="Verdana" w:hAnsi="Verdana" w:cs="Times New Roman"/>
          <w:sz w:val="18"/>
          <w:szCs w:val="18"/>
          <w:u w:val="single"/>
          <w:lang w:eastAsia="en-GB"/>
        </w:rPr>
        <w:t xml:space="preserve">Chen </w:t>
      </w:r>
      <w:r w:rsidRPr="000C7CFA">
        <w:rPr>
          <w:rFonts w:ascii="Verdana" w:hAnsi="Verdana" w:cs="Times New Roman"/>
          <w:i/>
          <w:sz w:val="18"/>
          <w:szCs w:val="18"/>
          <w:u w:val="single"/>
          <w:lang w:eastAsia="en-GB"/>
        </w:rPr>
        <w:t>et al</w:t>
      </w:r>
      <w:r w:rsidRPr="000C7CFA">
        <w:rPr>
          <w:rFonts w:ascii="Verdana" w:hAnsi="Verdana" w:cs="Times New Roman"/>
          <w:sz w:val="18"/>
          <w:szCs w:val="18"/>
          <w:u w:val="single"/>
          <w:lang w:eastAsia="en-GB"/>
        </w:rPr>
        <w:t>. (2015)</w:t>
      </w:r>
      <w:r w:rsidRPr="000C7CFA">
        <w:rPr>
          <w:rFonts w:ascii="Verdana" w:hAnsi="Verdana" w:cs="Times New Roman"/>
          <w:sz w:val="18"/>
          <w:szCs w:val="18"/>
          <w:lang w:eastAsia="en-GB"/>
        </w:rPr>
        <w:t xml:space="preserve"> collected 34 matched h</w:t>
      </w:r>
      <w:r w:rsidR="00B6617C" w:rsidRPr="000C7CFA">
        <w:rPr>
          <w:rFonts w:ascii="Verdana" w:hAnsi="Verdana" w:cs="Times New Roman"/>
          <w:sz w:val="18"/>
          <w:szCs w:val="18"/>
          <w:lang w:eastAsia="en-GB"/>
        </w:rPr>
        <w:t>uman hair and serum samples (19 </w:t>
      </w:r>
      <w:r w:rsidRPr="000C7CFA">
        <w:rPr>
          <w:rFonts w:ascii="Verdana" w:hAnsi="Verdana" w:cs="Times New Roman"/>
          <w:sz w:val="18"/>
          <w:szCs w:val="18"/>
          <w:lang w:eastAsia="en-GB"/>
        </w:rPr>
        <w:t>males and 15 females) from e-waste recycling workers in South China. Dechlorane Plus (total isomer) concentrations ranged from 6.3 to 1</w:t>
      </w:r>
      <w:r w:rsidR="008610EB" w:rsidRPr="000C7CFA">
        <w:rPr>
          <w:rFonts w:ascii="Verdana" w:hAnsi="Verdana" w:cs="Times New Roman"/>
          <w:sz w:val="18"/>
          <w:szCs w:val="18"/>
          <w:lang w:eastAsia="en-GB"/>
        </w:rPr>
        <w:t> </w:t>
      </w:r>
      <w:r w:rsidRPr="000C7CFA">
        <w:rPr>
          <w:rFonts w:ascii="Verdana" w:hAnsi="Verdana" w:cs="Times New Roman"/>
          <w:sz w:val="18"/>
          <w:szCs w:val="18"/>
          <w:lang w:eastAsia="en-GB"/>
        </w:rPr>
        <w:t>100</w:t>
      </w:r>
      <w:r w:rsidR="008610EB" w:rsidRPr="000C7CFA">
        <w:rPr>
          <w:rFonts w:ascii="Verdana" w:hAnsi="Verdana" w:cs="Times New Roman"/>
          <w:sz w:val="18"/>
          <w:szCs w:val="18"/>
          <w:lang w:eastAsia="en-GB"/>
        </w:rPr>
        <w:t> </w:t>
      </w:r>
      <w:r w:rsidRPr="000C7CFA">
        <w:rPr>
          <w:rFonts w:ascii="Verdana" w:hAnsi="Verdana" w:cs="Times New Roman"/>
          <w:sz w:val="18"/>
          <w:szCs w:val="18"/>
          <w:lang w:eastAsia="en-GB"/>
        </w:rPr>
        <w:t>µg</w:t>
      </w:r>
      <w:r w:rsidR="008610EB" w:rsidRPr="000C7CFA">
        <w:rPr>
          <w:rFonts w:ascii="Verdana" w:hAnsi="Verdana" w:cs="Times New Roman"/>
          <w:sz w:val="18"/>
          <w:szCs w:val="18"/>
          <w:lang w:eastAsia="en-GB"/>
        </w:rPr>
        <w:t xml:space="preserve">/kg </w:t>
      </w:r>
      <w:proofErr w:type="gramStart"/>
      <w:r w:rsidR="008610EB" w:rsidRPr="000C7CFA">
        <w:rPr>
          <w:rFonts w:ascii="Verdana" w:hAnsi="Verdana" w:cs="Times New Roman"/>
          <w:sz w:val="18"/>
          <w:szCs w:val="18"/>
          <w:lang w:eastAsia="en-GB"/>
        </w:rPr>
        <w:t>dw</w:t>
      </w:r>
      <w:proofErr w:type="gramEnd"/>
      <w:r w:rsidR="008610EB" w:rsidRPr="000C7CFA">
        <w:rPr>
          <w:rFonts w:ascii="Verdana" w:hAnsi="Verdana" w:cs="Times New Roman"/>
          <w:sz w:val="18"/>
          <w:szCs w:val="18"/>
          <w:lang w:eastAsia="en-GB"/>
        </w:rPr>
        <w:t xml:space="preserve"> in hair and from 22 to 1 </w:t>
      </w:r>
      <w:r w:rsidRPr="000C7CFA">
        <w:rPr>
          <w:rFonts w:ascii="Verdana" w:hAnsi="Verdana" w:cs="Times New Roman"/>
          <w:sz w:val="18"/>
          <w:szCs w:val="18"/>
          <w:lang w:eastAsia="en-GB"/>
        </w:rPr>
        <w:t xml:space="preserve">400 µg/kg lw in serum. </w:t>
      </w:r>
      <w:r w:rsidR="00B6617C" w:rsidRPr="000C7CFA">
        <w:rPr>
          <w:rFonts w:ascii="Verdana" w:hAnsi="Verdana" w:cs="Times New Roman"/>
          <w:sz w:val="18"/>
          <w:szCs w:val="18"/>
          <w:lang w:eastAsia="en-GB"/>
        </w:rPr>
        <w:t>L</w:t>
      </w:r>
      <w:r w:rsidRPr="000C7CFA">
        <w:rPr>
          <w:rFonts w:ascii="Verdana" w:hAnsi="Verdana" w:cs="Times New Roman"/>
          <w:sz w:val="18"/>
          <w:szCs w:val="18"/>
          <w:lang w:eastAsia="en-GB"/>
        </w:rPr>
        <w:t xml:space="preserve">evels of anti-DP-1Cl ranged from 0.02 to 1.8 µg/kg </w:t>
      </w:r>
      <w:proofErr w:type="gramStart"/>
      <w:r w:rsidRPr="000C7CFA">
        <w:rPr>
          <w:rFonts w:ascii="Verdana" w:hAnsi="Verdana" w:cs="Times New Roman"/>
          <w:sz w:val="18"/>
          <w:szCs w:val="18"/>
          <w:lang w:eastAsia="en-GB"/>
        </w:rPr>
        <w:t>dw</w:t>
      </w:r>
      <w:proofErr w:type="gramEnd"/>
      <w:r w:rsidRPr="000C7CFA">
        <w:rPr>
          <w:rFonts w:ascii="Verdana" w:hAnsi="Verdana" w:cs="Times New Roman"/>
          <w:sz w:val="18"/>
          <w:szCs w:val="18"/>
          <w:lang w:eastAsia="en-GB"/>
        </w:rPr>
        <w:t xml:space="preserve"> in hair and from not detected to 7.9 µg/kg lw in serum. A significant difference was found in the Dechlorane Plus isomer composition between hair and serum, suggesting stereoselective bioaccumulation. A sharp gender difference was found in the levels of Dechlorane Plus in hair. Moreover, both Dechlorane Plus isomers and anti-DP-1Cl in hair significantly correlated with those in serum for male samples, but not for female samples. The observed gender differences may be partly explained by the much longer hair exposure time for females than males due to the difference in sampling distance from the scalp. </w:t>
      </w:r>
    </w:p>
    <w:p w14:paraId="032668EA" w14:textId="77777777" w:rsidR="0023247D" w:rsidRPr="000C7CFA" w:rsidRDefault="0023247D" w:rsidP="0023247D">
      <w:pPr>
        <w:pStyle w:val="NoSpacing"/>
        <w:spacing w:after="120"/>
        <w:ind w:left="425" w:right="374"/>
        <w:jc w:val="both"/>
        <w:rPr>
          <w:rFonts w:ascii="Verdana" w:hAnsi="Verdana"/>
          <w:sz w:val="18"/>
          <w:szCs w:val="18"/>
        </w:rPr>
      </w:pPr>
      <w:r w:rsidRPr="000C7CFA">
        <w:rPr>
          <w:rFonts w:ascii="Verdana" w:hAnsi="Verdana" w:cs="Times New Roman"/>
          <w:sz w:val="18"/>
          <w:szCs w:val="18"/>
        </w:rPr>
        <w:t>This study is not included in the registration dossier.</w:t>
      </w:r>
    </w:p>
    <w:p w14:paraId="73939087" w14:textId="77777777" w:rsidR="007166A7" w:rsidRPr="000C7CFA" w:rsidRDefault="007166A7" w:rsidP="00B80DD7">
      <w:pPr>
        <w:pStyle w:val="NoSpacing"/>
        <w:ind w:left="426" w:right="374"/>
        <w:jc w:val="both"/>
        <w:rPr>
          <w:rFonts w:ascii="Verdana" w:hAnsi="Verdana" w:cs="Times New Roman"/>
          <w:sz w:val="18"/>
          <w:szCs w:val="18"/>
        </w:rPr>
      </w:pPr>
    </w:p>
    <w:p w14:paraId="7F1C7BBC" w14:textId="21D73C31" w:rsidR="001E7EF9" w:rsidRPr="000C7CFA" w:rsidRDefault="007166A7" w:rsidP="00DC3658">
      <w:pPr>
        <w:pStyle w:val="NoSpacing"/>
        <w:numPr>
          <w:ilvl w:val="0"/>
          <w:numId w:val="7"/>
        </w:numPr>
        <w:spacing w:after="180"/>
        <w:ind w:left="425" w:right="374" w:hanging="357"/>
        <w:jc w:val="both"/>
        <w:rPr>
          <w:rFonts w:ascii="Verdana" w:hAnsi="Verdana" w:cs="Times New Roman"/>
          <w:sz w:val="18"/>
          <w:szCs w:val="18"/>
          <w:lang w:eastAsia="en-GB"/>
        </w:rPr>
      </w:pPr>
      <w:r w:rsidRPr="000C7CFA">
        <w:rPr>
          <w:rFonts w:ascii="Verdana" w:hAnsi="Verdana" w:cs="Times New Roman"/>
          <w:sz w:val="18"/>
          <w:szCs w:val="18"/>
          <w:u w:val="single"/>
        </w:rPr>
        <w:t xml:space="preserve">Cequier </w:t>
      </w:r>
      <w:r w:rsidRPr="000C7CFA">
        <w:rPr>
          <w:rFonts w:ascii="Verdana" w:hAnsi="Verdana" w:cs="Times New Roman"/>
          <w:i/>
          <w:sz w:val="18"/>
          <w:szCs w:val="18"/>
          <w:u w:val="single"/>
        </w:rPr>
        <w:t>et al</w:t>
      </w:r>
      <w:r w:rsidRPr="000C7CFA">
        <w:rPr>
          <w:rFonts w:ascii="Verdana" w:hAnsi="Verdana" w:cs="Times New Roman"/>
          <w:sz w:val="18"/>
          <w:szCs w:val="18"/>
          <w:u w:val="single"/>
        </w:rPr>
        <w:t>. (2013)</w:t>
      </w:r>
      <w:r w:rsidRPr="000C7CFA">
        <w:rPr>
          <w:rFonts w:ascii="Verdana" w:hAnsi="Verdana" w:cs="Times New Roman"/>
          <w:sz w:val="18"/>
          <w:szCs w:val="18"/>
        </w:rPr>
        <w:t xml:space="preserve"> detected Dechlorane Plus in human serum samples (n=10) collected in Norway</w:t>
      </w:r>
      <w:r w:rsidR="004A7FFC" w:rsidRPr="000C7CFA">
        <w:rPr>
          <w:rFonts w:ascii="Verdana" w:hAnsi="Verdana" w:cs="Times New Roman"/>
          <w:sz w:val="18"/>
          <w:szCs w:val="18"/>
        </w:rPr>
        <w:t xml:space="preserve"> as part of a screening study. In a further paper, </w:t>
      </w:r>
      <w:r w:rsidR="004A7FFC" w:rsidRPr="000C7CFA">
        <w:rPr>
          <w:rFonts w:ascii="Verdana" w:hAnsi="Verdana" w:cs="Times New Roman"/>
          <w:sz w:val="18"/>
          <w:szCs w:val="18"/>
          <w:lang w:eastAsia="en-GB"/>
        </w:rPr>
        <w:t xml:space="preserve">Cequier </w:t>
      </w:r>
      <w:r w:rsidR="004A7FFC" w:rsidRPr="000C7CFA">
        <w:rPr>
          <w:rFonts w:ascii="Verdana" w:hAnsi="Verdana" w:cs="Times New Roman"/>
          <w:i/>
          <w:sz w:val="18"/>
          <w:szCs w:val="18"/>
          <w:lang w:eastAsia="en-GB"/>
        </w:rPr>
        <w:t>et al</w:t>
      </w:r>
      <w:r w:rsidR="004A7FFC" w:rsidRPr="000C7CFA">
        <w:rPr>
          <w:rFonts w:ascii="Verdana" w:hAnsi="Verdana" w:cs="Times New Roman"/>
          <w:sz w:val="18"/>
          <w:szCs w:val="18"/>
          <w:lang w:eastAsia="en-GB"/>
        </w:rPr>
        <w:t>. (2015) measured</w:t>
      </w:r>
      <w:r w:rsidR="004A7FFC" w:rsidRPr="000C7CFA">
        <w:rPr>
          <w:rFonts w:ascii="Verdana" w:eastAsia="Times New Roman" w:hAnsi="Verdana" w:cs="Times New Roman"/>
          <w:sz w:val="18"/>
          <w:szCs w:val="18"/>
          <w:lang w:val="en-US" w:eastAsia="en-GB"/>
        </w:rPr>
        <w:t xml:space="preserve"> serum concentrations of</w:t>
      </w:r>
      <w:r w:rsidR="004A7FFC" w:rsidRPr="000C7CFA">
        <w:rPr>
          <w:rFonts w:ascii="Verdana" w:hAnsi="Verdana" w:cs="Times New Roman"/>
          <w:sz w:val="18"/>
          <w:szCs w:val="18"/>
          <w:lang w:eastAsia="en-GB"/>
        </w:rPr>
        <w:t xml:space="preserve"> several flame retardants (including Dechlorane Plus)</w:t>
      </w:r>
      <w:r w:rsidR="004A7FFC" w:rsidRPr="000C7CFA">
        <w:rPr>
          <w:rFonts w:ascii="Verdana" w:eastAsia="Times New Roman" w:hAnsi="Verdana" w:cs="Times New Roman"/>
          <w:sz w:val="18"/>
          <w:szCs w:val="18"/>
          <w:lang w:val="en-US" w:eastAsia="en-GB"/>
        </w:rPr>
        <w:t xml:space="preserve"> in 46 Norwegian women. </w:t>
      </w:r>
      <w:r w:rsidR="004A7FFC" w:rsidRPr="000C7CFA">
        <w:rPr>
          <w:rFonts w:ascii="Verdana" w:hAnsi="Verdana" w:cs="Times New Roman"/>
          <w:sz w:val="18"/>
          <w:szCs w:val="18"/>
          <w:lang w:eastAsia="en-GB"/>
        </w:rPr>
        <w:t xml:space="preserve">The cohort </w:t>
      </w:r>
      <w:r w:rsidR="004A7FFC" w:rsidRPr="000C7CFA">
        <w:rPr>
          <w:rFonts w:ascii="Verdana" w:eastAsia="Times New Roman" w:hAnsi="Verdana" w:cs="Times New Roman"/>
          <w:sz w:val="18"/>
          <w:szCs w:val="18"/>
          <w:lang w:val="en-US" w:eastAsia="en-GB"/>
        </w:rPr>
        <w:t>was established in 2012</w:t>
      </w:r>
      <w:r w:rsidR="004A7FFC" w:rsidRPr="000C7CFA">
        <w:rPr>
          <w:rFonts w:ascii="Verdana" w:hAnsi="Verdana" w:cs="Times New Roman"/>
          <w:sz w:val="18"/>
          <w:szCs w:val="18"/>
          <w:lang w:eastAsia="en-GB"/>
        </w:rPr>
        <w:t xml:space="preserve"> but the date of sample collection is not reported. Concentrations were measured </w:t>
      </w:r>
      <w:r w:rsidR="004A7FFC" w:rsidRPr="000C7CFA">
        <w:rPr>
          <w:rFonts w:ascii="Verdana" w:eastAsia="Times New Roman" w:hAnsi="Verdana" w:cs="Times New Roman"/>
          <w:sz w:val="18"/>
          <w:szCs w:val="18"/>
          <w:lang w:val="en-US" w:eastAsia="en-GB"/>
        </w:rPr>
        <w:t>by GC–MS (electron capture negative ionization mode).</w:t>
      </w:r>
      <w:r w:rsidR="004A7FFC" w:rsidRPr="000C7CFA">
        <w:rPr>
          <w:rFonts w:ascii="Verdana" w:hAnsi="Verdana" w:cs="Times New Roman"/>
          <w:sz w:val="18"/>
          <w:szCs w:val="18"/>
          <w:lang w:eastAsia="en-GB"/>
        </w:rPr>
        <w:t xml:space="preserve"> The syn- isomer was detected in </w:t>
      </w:r>
      <w:r w:rsidR="004A7FFC" w:rsidRPr="000C7CFA">
        <w:rPr>
          <w:rFonts w:ascii="Verdana" w:eastAsia="Times New Roman" w:hAnsi="Verdana" w:cs="Times New Roman"/>
          <w:sz w:val="18"/>
          <w:szCs w:val="18"/>
          <w:lang w:val="en-US" w:eastAsia="en-GB"/>
        </w:rPr>
        <w:t>7</w:t>
      </w:r>
      <w:r w:rsidR="00AF7606" w:rsidRPr="000C7CFA">
        <w:rPr>
          <w:rFonts w:ascii="Verdana" w:eastAsia="Times New Roman" w:hAnsi="Verdana" w:cs="Times New Roman"/>
          <w:sz w:val="18"/>
          <w:szCs w:val="18"/>
          <w:lang w:val="en-US" w:eastAsia="en-GB"/>
        </w:rPr>
        <w:t>8 %</w:t>
      </w:r>
      <w:r w:rsidR="004A7FFC" w:rsidRPr="000C7CFA">
        <w:rPr>
          <w:rFonts w:ascii="Verdana" w:hAnsi="Verdana" w:cs="Times New Roman"/>
          <w:sz w:val="18"/>
          <w:szCs w:val="18"/>
          <w:lang w:eastAsia="en-GB"/>
        </w:rPr>
        <w:t xml:space="preserve"> of samples, at a </w:t>
      </w:r>
      <w:r w:rsidR="004A7FFC" w:rsidRPr="000C7CFA">
        <w:rPr>
          <w:rFonts w:ascii="Verdana" w:eastAsia="Times New Roman" w:hAnsi="Verdana" w:cs="Times New Roman"/>
          <w:sz w:val="18"/>
          <w:szCs w:val="18"/>
          <w:lang w:val="en-US" w:eastAsia="en-GB"/>
        </w:rPr>
        <w:t>median</w:t>
      </w:r>
      <w:r w:rsidR="004A7FFC" w:rsidRPr="000C7CFA">
        <w:rPr>
          <w:rFonts w:ascii="Verdana" w:hAnsi="Verdana" w:cs="Times New Roman"/>
          <w:sz w:val="18"/>
          <w:szCs w:val="18"/>
          <w:lang w:eastAsia="en-GB"/>
        </w:rPr>
        <w:t>, mean and maximum concentration of</w:t>
      </w:r>
      <w:r w:rsidR="004A7FFC" w:rsidRPr="000C7CFA">
        <w:rPr>
          <w:rFonts w:ascii="Verdana" w:eastAsia="Times New Roman" w:hAnsi="Verdana" w:cs="Times New Roman"/>
          <w:sz w:val="18"/>
          <w:szCs w:val="18"/>
          <w:lang w:val="en-US" w:eastAsia="en-GB"/>
        </w:rPr>
        <w:t xml:space="preserve"> 0.45</w:t>
      </w:r>
      <w:r w:rsidR="004A7FFC" w:rsidRPr="000C7CFA">
        <w:rPr>
          <w:rFonts w:ascii="Verdana" w:hAnsi="Verdana" w:cs="Times New Roman"/>
          <w:sz w:val="18"/>
          <w:szCs w:val="18"/>
          <w:lang w:eastAsia="en-GB"/>
        </w:rPr>
        <w:t>, 0.77 and</w:t>
      </w:r>
      <w:r w:rsidR="004A7FFC" w:rsidRPr="000C7CFA">
        <w:rPr>
          <w:rFonts w:ascii="Verdana" w:eastAsia="Times New Roman" w:hAnsi="Verdana" w:cs="Times New Roman"/>
          <w:sz w:val="18"/>
          <w:szCs w:val="18"/>
          <w:lang w:val="en-US" w:eastAsia="en-GB"/>
        </w:rPr>
        <w:t xml:space="preserve"> </w:t>
      </w:r>
      <w:r w:rsidR="004A7FFC" w:rsidRPr="000C7CFA">
        <w:rPr>
          <w:rFonts w:ascii="Verdana" w:hAnsi="Verdana" w:cs="Times New Roman"/>
          <w:sz w:val="18"/>
          <w:szCs w:val="18"/>
          <w:lang w:eastAsia="en-GB"/>
        </w:rPr>
        <w:t>6.7 µ</w:t>
      </w:r>
      <w:r w:rsidR="004A7FFC" w:rsidRPr="000C7CFA">
        <w:rPr>
          <w:rFonts w:ascii="Verdana" w:eastAsia="Times New Roman" w:hAnsi="Verdana" w:cs="Times New Roman"/>
          <w:sz w:val="18"/>
          <w:szCs w:val="18"/>
          <w:lang w:val="en-US" w:eastAsia="en-GB"/>
        </w:rPr>
        <w:t>g/</w:t>
      </w:r>
      <w:r w:rsidR="004A7FFC" w:rsidRPr="000C7CFA">
        <w:rPr>
          <w:rFonts w:ascii="Verdana" w:hAnsi="Verdana" w:cs="Times New Roman"/>
          <w:sz w:val="18"/>
          <w:szCs w:val="18"/>
          <w:lang w:eastAsia="en-GB"/>
        </w:rPr>
        <w:t>k</w:t>
      </w:r>
      <w:r w:rsidR="004A7FFC" w:rsidRPr="000C7CFA">
        <w:rPr>
          <w:rFonts w:ascii="Verdana" w:eastAsia="Times New Roman" w:hAnsi="Verdana" w:cs="Times New Roman"/>
          <w:sz w:val="18"/>
          <w:szCs w:val="18"/>
          <w:lang w:val="en-US" w:eastAsia="en-GB"/>
        </w:rPr>
        <w:t xml:space="preserve">g </w:t>
      </w:r>
      <w:proofErr w:type="gramStart"/>
      <w:r w:rsidR="004A7FFC" w:rsidRPr="000C7CFA">
        <w:rPr>
          <w:rFonts w:ascii="Verdana" w:eastAsia="Times New Roman" w:hAnsi="Verdana" w:cs="Times New Roman"/>
          <w:sz w:val="18"/>
          <w:szCs w:val="18"/>
          <w:lang w:val="en-US" w:eastAsia="en-GB"/>
        </w:rPr>
        <w:t>l</w:t>
      </w:r>
      <w:r w:rsidR="004A7FFC" w:rsidRPr="000C7CFA">
        <w:rPr>
          <w:rFonts w:ascii="Verdana" w:hAnsi="Verdana" w:cs="Times New Roman"/>
          <w:sz w:val="18"/>
          <w:szCs w:val="18"/>
          <w:lang w:eastAsia="en-GB"/>
        </w:rPr>
        <w:t>w</w:t>
      </w:r>
      <w:proofErr w:type="gramEnd"/>
      <w:r w:rsidR="004A7FFC" w:rsidRPr="000C7CFA">
        <w:rPr>
          <w:rFonts w:ascii="Verdana" w:hAnsi="Verdana" w:cs="Times New Roman"/>
          <w:sz w:val="18"/>
          <w:szCs w:val="18"/>
          <w:lang w:eastAsia="en-GB"/>
        </w:rPr>
        <w:t xml:space="preserve">, respectively. The anti- isomer was detected in </w:t>
      </w:r>
      <w:r w:rsidR="004A7FFC" w:rsidRPr="000C7CFA">
        <w:rPr>
          <w:rFonts w:ascii="Verdana" w:eastAsia="Times New Roman" w:hAnsi="Verdana" w:cs="Times New Roman"/>
          <w:sz w:val="18"/>
          <w:szCs w:val="18"/>
          <w:lang w:val="en-US" w:eastAsia="en-GB"/>
        </w:rPr>
        <w:t>8</w:t>
      </w:r>
      <w:r w:rsidR="00AF7606" w:rsidRPr="000C7CFA">
        <w:rPr>
          <w:rFonts w:ascii="Verdana" w:hAnsi="Verdana" w:cs="Times New Roman"/>
          <w:sz w:val="18"/>
          <w:szCs w:val="18"/>
          <w:lang w:eastAsia="en-GB"/>
        </w:rPr>
        <w:t>9 %</w:t>
      </w:r>
      <w:r w:rsidR="004A7FFC" w:rsidRPr="000C7CFA">
        <w:rPr>
          <w:rFonts w:ascii="Verdana" w:hAnsi="Verdana" w:cs="Times New Roman"/>
          <w:sz w:val="18"/>
          <w:szCs w:val="18"/>
          <w:lang w:eastAsia="en-GB"/>
        </w:rPr>
        <w:t xml:space="preserve"> of samples, at a </w:t>
      </w:r>
      <w:r w:rsidR="004A7FFC" w:rsidRPr="000C7CFA">
        <w:rPr>
          <w:rFonts w:ascii="Verdana" w:eastAsia="Times New Roman" w:hAnsi="Verdana" w:cs="Times New Roman"/>
          <w:sz w:val="18"/>
          <w:szCs w:val="18"/>
          <w:lang w:val="en-US" w:eastAsia="en-GB"/>
        </w:rPr>
        <w:t>median</w:t>
      </w:r>
      <w:r w:rsidR="004A7FFC" w:rsidRPr="000C7CFA">
        <w:rPr>
          <w:rFonts w:ascii="Verdana" w:hAnsi="Verdana" w:cs="Times New Roman"/>
          <w:sz w:val="18"/>
          <w:szCs w:val="18"/>
          <w:lang w:eastAsia="en-GB"/>
        </w:rPr>
        <w:t>, mean and maximum concentration of</w:t>
      </w:r>
      <w:r w:rsidR="004A7FFC" w:rsidRPr="000C7CFA">
        <w:rPr>
          <w:rFonts w:ascii="Verdana" w:eastAsia="Times New Roman" w:hAnsi="Verdana" w:cs="Times New Roman"/>
          <w:sz w:val="18"/>
          <w:szCs w:val="18"/>
          <w:lang w:val="en-US" w:eastAsia="en-GB"/>
        </w:rPr>
        <w:t xml:space="preserve"> 0.85</w:t>
      </w:r>
      <w:r w:rsidR="004A7FFC" w:rsidRPr="000C7CFA">
        <w:rPr>
          <w:rFonts w:ascii="Verdana" w:hAnsi="Verdana" w:cs="Times New Roman"/>
          <w:sz w:val="18"/>
          <w:szCs w:val="18"/>
          <w:lang w:eastAsia="en-GB"/>
        </w:rPr>
        <w:t>, 1.8 and</w:t>
      </w:r>
      <w:r w:rsidR="004A7FFC" w:rsidRPr="000C7CFA">
        <w:rPr>
          <w:rFonts w:ascii="Verdana" w:eastAsia="Times New Roman" w:hAnsi="Verdana" w:cs="Times New Roman"/>
          <w:sz w:val="18"/>
          <w:szCs w:val="18"/>
          <w:lang w:val="en-US" w:eastAsia="en-GB"/>
        </w:rPr>
        <w:t xml:space="preserve"> </w:t>
      </w:r>
      <w:r w:rsidR="004A7FFC" w:rsidRPr="000C7CFA">
        <w:rPr>
          <w:rFonts w:ascii="Verdana" w:hAnsi="Verdana" w:cs="Times New Roman"/>
          <w:sz w:val="18"/>
          <w:szCs w:val="18"/>
          <w:lang w:eastAsia="en-GB"/>
        </w:rPr>
        <w:t>25 µ</w:t>
      </w:r>
      <w:r w:rsidR="004A7FFC" w:rsidRPr="000C7CFA">
        <w:rPr>
          <w:rFonts w:ascii="Verdana" w:eastAsia="Times New Roman" w:hAnsi="Verdana" w:cs="Times New Roman"/>
          <w:sz w:val="18"/>
          <w:szCs w:val="18"/>
          <w:lang w:val="en-US" w:eastAsia="en-GB"/>
        </w:rPr>
        <w:t>g/</w:t>
      </w:r>
      <w:r w:rsidR="004A7FFC" w:rsidRPr="000C7CFA">
        <w:rPr>
          <w:rFonts w:ascii="Verdana" w:hAnsi="Verdana" w:cs="Times New Roman"/>
          <w:sz w:val="18"/>
          <w:szCs w:val="18"/>
          <w:lang w:eastAsia="en-GB"/>
        </w:rPr>
        <w:t>k</w:t>
      </w:r>
      <w:r w:rsidR="004A7FFC" w:rsidRPr="000C7CFA">
        <w:rPr>
          <w:rFonts w:ascii="Verdana" w:eastAsia="Times New Roman" w:hAnsi="Verdana" w:cs="Times New Roman"/>
          <w:sz w:val="18"/>
          <w:szCs w:val="18"/>
          <w:lang w:val="en-US" w:eastAsia="en-GB"/>
        </w:rPr>
        <w:t xml:space="preserve">g </w:t>
      </w:r>
      <w:proofErr w:type="gramStart"/>
      <w:r w:rsidR="004A7FFC" w:rsidRPr="000C7CFA">
        <w:rPr>
          <w:rFonts w:ascii="Verdana" w:eastAsia="Times New Roman" w:hAnsi="Verdana" w:cs="Times New Roman"/>
          <w:sz w:val="18"/>
          <w:szCs w:val="18"/>
          <w:lang w:val="en-US" w:eastAsia="en-GB"/>
        </w:rPr>
        <w:t>l</w:t>
      </w:r>
      <w:r w:rsidR="004A7FFC" w:rsidRPr="000C7CFA">
        <w:rPr>
          <w:rFonts w:ascii="Verdana" w:hAnsi="Verdana" w:cs="Times New Roman"/>
          <w:sz w:val="18"/>
          <w:szCs w:val="18"/>
          <w:lang w:eastAsia="en-GB"/>
        </w:rPr>
        <w:t>w</w:t>
      </w:r>
      <w:proofErr w:type="gramEnd"/>
      <w:r w:rsidR="004A7FFC" w:rsidRPr="000C7CFA">
        <w:rPr>
          <w:rFonts w:ascii="Verdana" w:hAnsi="Verdana" w:cs="Times New Roman"/>
          <w:sz w:val="18"/>
          <w:szCs w:val="18"/>
          <w:lang w:eastAsia="en-GB"/>
        </w:rPr>
        <w:t xml:space="preserve">, respectively. The total concentrations of both isomers appear to be broadly the same as the total PBDE concentrations in the same samples. The study also investigated </w:t>
      </w:r>
      <w:r w:rsidR="004A7FFC" w:rsidRPr="000C7CFA">
        <w:rPr>
          <w:rFonts w:ascii="Verdana" w:eastAsia="Times New Roman" w:hAnsi="Verdana" w:cs="Times New Roman"/>
          <w:sz w:val="18"/>
          <w:szCs w:val="18"/>
          <w:lang w:val="en-US" w:eastAsia="en-GB"/>
        </w:rPr>
        <w:t>associations between serum concentrations and measured indoor air and dust concentrations as</w:t>
      </w:r>
      <w:r w:rsidR="004A7FFC" w:rsidRPr="000C7CFA">
        <w:rPr>
          <w:rFonts w:ascii="Verdana" w:hAnsi="Verdana" w:cs="Times New Roman"/>
          <w:sz w:val="18"/>
          <w:szCs w:val="18"/>
          <w:lang w:eastAsia="en-GB"/>
        </w:rPr>
        <w:t xml:space="preserve"> </w:t>
      </w:r>
      <w:r w:rsidR="004A7FFC" w:rsidRPr="000C7CFA">
        <w:rPr>
          <w:rFonts w:ascii="Verdana" w:eastAsia="Times New Roman" w:hAnsi="Verdana" w:cs="Times New Roman"/>
          <w:sz w:val="18"/>
          <w:szCs w:val="18"/>
          <w:lang w:val="en-US" w:eastAsia="en-GB"/>
        </w:rPr>
        <w:t>well as diet and household factors</w:t>
      </w:r>
      <w:r w:rsidR="004A7FFC" w:rsidRPr="000C7CFA">
        <w:rPr>
          <w:rFonts w:ascii="Verdana" w:hAnsi="Verdana" w:cs="Times New Roman"/>
          <w:sz w:val="18"/>
          <w:szCs w:val="18"/>
          <w:lang w:eastAsia="en-GB"/>
        </w:rPr>
        <w:t>, but this did not specifically include Dechlorane Plus.</w:t>
      </w:r>
    </w:p>
    <w:p w14:paraId="02C3D369" w14:textId="77777777" w:rsidR="0023247D" w:rsidRPr="000C7CFA" w:rsidRDefault="0023247D" w:rsidP="0023247D">
      <w:pPr>
        <w:pStyle w:val="NoSpacing"/>
        <w:spacing w:after="120"/>
        <w:ind w:left="425" w:right="374"/>
        <w:jc w:val="both"/>
        <w:rPr>
          <w:rFonts w:ascii="Verdana" w:hAnsi="Verdana"/>
          <w:sz w:val="18"/>
          <w:szCs w:val="18"/>
        </w:rPr>
      </w:pPr>
      <w:r w:rsidRPr="000C7CFA">
        <w:rPr>
          <w:rFonts w:ascii="Verdana" w:hAnsi="Verdana" w:cs="Times New Roman"/>
          <w:sz w:val="18"/>
          <w:szCs w:val="18"/>
        </w:rPr>
        <w:t>This study is not included in the registration dossier.</w:t>
      </w:r>
    </w:p>
    <w:p w14:paraId="2D921D37" w14:textId="77777777" w:rsidR="003D7FBE" w:rsidRPr="000C7CFA" w:rsidRDefault="003D7FBE" w:rsidP="00B80DD7">
      <w:pPr>
        <w:pStyle w:val="NoSpacing"/>
        <w:ind w:left="426" w:right="374"/>
        <w:jc w:val="both"/>
        <w:rPr>
          <w:rFonts w:ascii="Verdana" w:hAnsi="Verdana" w:cs="Times New Roman"/>
          <w:sz w:val="18"/>
          <w:szCs w:val="18"/>
        </w:rPr>
      </w:pPr>
    </w:p>
    <w:p w14:paraId="5977980E" w14:textId="77777777" w:rsidR="003D7FBE" w:rsidRPr="000C7CFA" w:rsidRDefault="003D7FBE" w:rsidP="00DC3658">
      <w:pPr>
        <w:pStyle w:val="NoSpacing"/>
        <w:numPr>
          <w:ilvl w:val="0"/>
          <w:numId w:val="7"/>
        </w:numPr>
        <w:spacing w:after="180"/>
        <w:ind w:left="425" w:right="374" w:hanging="357"/>
        <w:jc w:val="both"/>
        <w:rPr>
          <w:rFonts w:ascii="Verdana" w:hAnsi="Verdana" w:cs="Times New Roman"/>
          <w:sz w:val="18"/>
          <w:szCs w:val="18"/>
          <w:lang w:eastAsia="en-GB"/>
        </w:rPr>
      </w:pPr>
      <w:r w:rsidRPr="000C7CFA">
        <w:rPr>
          <w:rFonts w:ascii="Verdana" w:hAnsi="Verdana" w:cs="Times New Roman"/>
          <w:sz w:val="18"/>
          <w:szCs w:val="18"/>
          <w:u w:val="single"/>
          <w:lang w:eastAsia="en-GB"/>
        </w:rPr>
        <w:t xml:space="preserve">Sahlström </w:t>
      </w:r>
      <w:r w:rsidRPr="000C7CFA">
        <w:rPr>
          <w:rFonts w:ascii="Verdana" w:hAnsi="Verdana" w:cs="Times New Roman"/>
          <w:i/>
          <w:sz w:val="18"/>
          <w:szCs w:val="18"/>
          <w:u w:val="single"/>
          <w:lang w:eastAsia="en-GB"/>
        </w:rPr>
        <w:t>et al</w:t>
      </w:r>
      <w:r w:rsidRPr="000C7CFA">
        <w:rPr>
          <w:rFonts w:ascii="Verdana" w:hAnsi="Verdana" w:cs="Times New Roman"/>
          <w:sz w:val="18"/>
          <w:szCs w:val="18"/>
          <w:u w:val="single"/>
          <w:lang w:eastAsia="en-GB"/>
        </w:rPr>
        <w:t>. (2014)</w:t>
      </w:r>
      <w:r w:rsidRPr="000C7CFA">
        <w:rPr>
          <w:rFonts w:ascii="Verdana" w:hAnsi="Verdana" w:cs="Times New Roman"/>
          <w:sz w:val="18"/>
          <w:szCs w:val="18"/>
          <w:lang w:eastAsia="en-GB"/>
        </w:rPr>
        <w:t xml:space="preserve"> measured levels of various flame retardants in serum samples from 24 first-time mothers </w:t>
      </w:r>
      <w:r w:rsidRPr="000C7CFA">
        <w:rPr>
          <w:rFonts w:ascii="Verdana" w:eastAsia="Times New Roman" w:hAnsi="Verdana" w:cs="Times New Roman"/>
          <w:sz w:val="18"/>
          <w:szCs w:val="18"/>
          <w:lang w:val="en-CA" w:eastAsia="en-GB"/>
        </w:rPr>
        <w:t xml:space="preserve">who </w:t>
      </w:r>
      <w:r w:rsidRPr="000C7CFA">
        <w:rPr>
          <w:rFonts w:ascii="Verdana" w:hAnsi="Verdana" w:cs="Times New Roman"/>
          <w:sz w:val="18"/>
          <w:szCs w:val="18"/>
          <w:lang w:eastAsia="en-GB"/>
        </w:rPr>
        <w:t xml:space="preserve">had </w:t>
      </w:r>
      <w:r w:rsidRPr="000C7CFA">
        <w:rPr>
          <w:rFonts w:ascii="Verdana" w:eastAsia="Times New Roman" w:hAnsi="Verdana" w:cs="Times New Roman"/>
          <w:sz w:val="18"/>
          <w:szCs w:val="18"/>
          <w:lang w:val="en-CA" w:eastAsia="en-GB"/>
        </w:rPr>
        <w:t>delivered in Uppsala</w:t>
      </w:r>
      <w:r w:rsidRPr="000C7CFA">
        <w:rPr>
          <w:rFonts w:ascii="Verdana" w:hAnsi="Verdana" w:cs="Times New Roman"/>
          <w:sz w:val="18"/>
          <w:szCs w:val="18"/>
          <w:lang w:eastAsia="en-GB"/>
        </w:rPr>
        <w:t>, Sweden</w:t>
      </w:r>
      <w:r w:rsidRPr="000C7CFA">
        <w:rPr>
          <w:rFonts w:ascii="Verdana" w:eastAsia="Times New Roman" w:hAnsi="Verdana" w:cs="Times New Roman"/>
          <w:sz w:val="18"/>
          <w:szCs w:val="18"/>
          <w:lang w:val="en-CA" w:eastAsia="en-GB"/>
        </w:rPr>
        <w:t xml:space="preserve"> in 2009−2010 </w:t>
      </w:r>
      <w:r w:rsidRPr="000C7CFA">
        <w:rPr>
          <w:rFonts w:ascii="Verdana" w:hAnsi="Verdana" w:cs="Times New Roman"/>
          <w:sz w:val="18"/>
          <w:szCs w:val="18"/>
          <w:lang w:eastAsia="en-GB"/>
        </w:rPr>
        <w:t xml:space="preserve">and their matched children </w:t>
      </w:r>
      <w:r w:rsidRPr="000C7CFA">
        <w:rPr>
          <w:rFonts w:ascii="Verdana" w:eastAsia="Times New Roman" w:hAnsi="Verdana" w:cs="Times New Roman"/>
          <w:sz w:val="18"/>
          <w:szCs w:val="18"/>
          <w:lang w:val="en-CA" w:eastAsia="en-GB"/>
        </w:rPr>
        <w:t>(</w:t>
      </w:r>
      <w:r w:rsidRPr="000C7CFA">
        <w:rPr>
          <w:rFonts w:ascii="Verdana" w:hAnsi="Verdana" w:cs="Times New Roman"/>
          <w:sz w:val="18"/>
          <w:szCs w:val="18"/>
          <w:lang w:eastAsia="en-GB"/>
        </w:rPr>
        <w:t xml:space="preserve">aged </w:t>
      </w:r>
      <w:r w:rsidRPr="000C7CFA">
        <w:rPr>
          <w:rFonts w:ascii="Verdana" w:eastAsia="Times New Roman" w:hAnsi="Verdana" w:cs="Times New Roman"/>
          <w:sz w:val="18"/>
          <w:szCs w:val="18"/>
          <w:lang w:val="en-CA" w:eastAsia="en-GB"/>
        </w:rPr>
        <w:t>11−15 months)</w:t>
      </w:r>
      <w:r w:rsidRPr="000C7CFA">
        <w:rPr>
          <w:rFonts w:ascii="Verdana" w:hAnsi="Verdana" w:cs="Times New Roman"/>
          <w:sz w:val="18"/>
          <w:szCs w:val="18"/>
          <w:lang w:eastAsia="en-GB"/>
        </w:rPr>
        <w:t xml:space="preserve">. </w:t>
      </w:r>
      <w:r w:rsidRPr="000C7CFA">
        <w:rPr>
          <w:rFonts w:ascii="Verdana" w:eastAsia="Times New Roman" w:hAnsi="Verdana" w:cs="Times New Roman"/>
          <w:sz w:val="18"/>
          <w:szCs w:val="18"/>
          <w:lang w:val="en-CA" w:eastAsia="en-GB"/>
        </w:rPr>
        <w:t>Analysis was by GC-MS.</w:t>
      </w:r>
      <w:r w:rsidRPr="000C7CFA">
        <w:rPr>
          <w:rFonts w:ascii="Verdana" w:hAnsi="Verdana" w:cs="Times New Roman"/>
          <w:sz w:val="18"/>
          <w:szCs w:val="18"/>
          <w:lang w:eastAsia="en-GB"/>
        </w:rPr>
        <w:t xml:space="preserve"> Anti- and syn-</w:t>
      </w:r>
      <w:r w:rsidRPr="000C7CFA">
        <w:rPr>
          <w:rFonts w:ascii="Verdana" w:eastAsia="Times New Roman" w:hAnsi="Verdana" w:cs="Times New Roman"/>
          <w:sz w:val="18"/>
          <w:szCs w:val="18"/>
          <w:lang w:val="en-CA" w:eastAsia="en-GB"/>
        </w:rPr>
        <w:t>Dechlorane Plus were</w:t>
      </w:r>
      <w:r w:rsidRPr="000C7CFA">
        <w:rPr>
          <w:rFonts w:ascii="Verdana" w:hAnsi="Verdana" w:cs="Times New Roman"/>
          <w:sz w:val="18"/>
          <w:szCs w:val="18"/>
          <w:lang w:eastAsia="en-GB"/>
        </w:rPr>
        <w:t xml:space="preserve"> </w:t>
      </w:r>
      <w:r w:rsidRPr="000C7CFA">
        <w:rPr>
          <w:rFonts w:ascii="Verdana" w:eastAsia="Times New Roman" w:hAnsi="Verdana" w:cs="Times New Roman"/>
          <w:sz w:val="18"/>
          <w:szCs w:val="18"/>
          <w:lang w:val="en-CA" w:eastAsia="en-GB"/>
        </w:rPr>
        <w:t>detected in serum from one toddler (</w:t>
      </w:r>
      <w:r w:rsidR="00AA6637" w:rsidRPr="000C7CFA">
        <w:rPr>
          <w:rFonts w:ascii="Verdana" w:eastAsia="Times New Roman" w:hAnsi="Verdana" w:cs="Times New Roman"/>
          <w:sz w:val="18"/>
          <w:szCs w:val="18"/>
          <w:lang w:val="en-CA" w:eastAsia="en-GB"/>
        </w:rPr>
        <w:t xml:space="preserve">at a concentration of </w:t>
      </w:r>
      <w:r w:rsidRPr="000C7CFA">
        <w:rPr>
          <w:rFonts w:ascii="Verdana" w:eastAsia="Times New Roman" w:hAnsi="Verdana" w:cs="Times New Roman"/>
          <w:sz w:val="18"/>
          <w:szCs w:val="18"/>
          <w:lang w:val="en-CA" w:eastAsia="en-GB"/>
        </w:rPr>
        <w:t xml:space="preserve">85 and 63 </w:t>
      </w:r>
      <w:r w:rsidRPr="000C7CFA">
        <w:rPr>
          <w:rFonts w:ascii="Verdana" w:hAnsi="Verdana" w:cs="Times New Roman"/>
          <w:sz w:val="18"/>
          <w:szCs w:val="18"/>
          <w:lang w:eastAsia="en-GB"/>
        </w:rPr>
        <w:t>µ</w:t>
      </w:r>
      <w:r w:rsidRPr="000C7CFA">
        <w:rPr>
          <w:rFonts w:ascii="Verdana" w:eastAsia="Times New Roman" w:hAnsi="Verdana" w:cs="Times New Roman"/>
          <w:sz w:val="18"/>
          <w:szCs w:val="18"/>
          <w:lang w:val="en-CA" w:eastAsia="en-GB"/>
        </w:rPr>
        <w:t>g/</w:t>
      </w:r>
      <w:r w:rsidRPr="000C7CFA">
        <w:rPr>
          <w:rFonts w:ascii="Verdana" w:hAnsi="Verdana" w:cs="Times New Roman"/>
          <w:sz w:val="18"/>
          <w:szCs w:val="18"/>
          <w:lang w:eastAsia="en-GB"/>
        </w:rPr>
        <w:t>k</w:t>
      </w:r>
      <w:r w:rsidRPr="000C7CFA">
        <w:rPr>
          <w:rFonts w:ascii="Verdana" w:eastAsia="Times New Roman" w:hAnsi="Verdana" w:cs="Times New Roman"/>
          <w:sz w:val="18"/>
          <w:szCs w:val="18"/>
          <w:lang w:val="en-CA" w:eastAsia="en-GB"/>
        </w:rPr>
        <w:t xml:space="preserve">g </w:t>
      </w:r>
      <w:proofErr w:type="gramStart"/>
      <w:r w:rsidRPr="000C7CFA">
        <w:rPr>
          <w:rFonts w:ascii="Verdana" w:eastAsia="Times New Roman" w:hAnsi="Verdana" w:cs="Times New Roman"/>
          <w:sz w:val="18"/>
          <w:szCs w:val="18"/>
          <w:lang w:val="en-CA" w:eastAsia="en-GB"/>
        </w:rPr>
        <w:t>l</w:t>
      </w:r>
      <w:r w:rsidRPr="000C7CFA">
        <w:rPr>
          <w:rFonts w:ascii="Verdana" w:hAnsi="Verdana" w:cs="Times New Roman"/>
          <w:sz w:val="18"/>
          <w:szCs w:val="18"/>
          <w:lang w:eastAsia="en-GB"/>
        </w:rPr>
        <w:t>w</w:t>
      </w:r>
      <w:proofErr w:type="gramEnd"/>
      <w:r w:rsidRPr="000C7CFA">
        <w:rPr>
          <w:rFonts w:ascii="Verdana" w:eastAsia="Times New Roman" w:hAnsi="Verdana" w:cs="Times New Roman"/>
          <w:sz w:val="18"/>
          <w:szCs w:val="18"/>
          <w:lang w:val="en-CA" w:eastAsia="en-GB"/>
        </w:rPr>
        <w:t>,</w:t>
      </w:r>
      <w:r w:rsidRPr="000C7CFA">
        <w:rPr>
          <w:rFonts w:ascii="Verdana" w:hAnsi="Verdana" w:cs="Times New Roman"/>
          <w:sz w:val="18"/>
          <w:szCs w:val="18"/>
          <w:lang w:eastAsia="en-GB"/>
        </w:rPr>
        <w:t xml:space="preserve"> </w:t>
      </w:r>
      <w:r w:rsidRPr="000C7CFA">
        <w:rPr>
          <w:rFonts w:ascii="Verdana" w:eastAsia="Times New Roman" w:hAnsi="Verdana" w:cs="Times New Roman"/>
          <w:sz w:val="18"/>
          <w:szCs w:val="18"/>
          <w:lang w:val="en-CA" w:eastAsia="en-GB"/>
        </w:rPr>
        <w:t xml:space="preserve">respectively) and one mother (49 and 39 </w:t>
      </w:r>
      <w:r w:rsidRPr="000C7CFA">
        <w:rPr>
          <w:rFonts w:ascii="Verdana" w:hAnsi="Verdana" w:cs="Times New Roman"/>
          <w:sz w:val="18"/>
          <w:szCs w:val="18"/>
          <w:lang w:eastAsia="en-GB"/>
        </w:rPr>
        <w:lastRenderedPageBreak/>
        <w:t>µ</w:t>
      </w:r>
      <w:r w:rsidRPr="000C7CFA">
        <w:rPr>
          <w:rFonts w:ascii="Verdana" w:eastAsia="Times New Roman" w:hAnsi="Verdana" w:cs="Times New Roman"/>
          <w:sz w:val="18"/>
          <w:szCs w:val="18"/>
          <w:lang w:val="en-CA" w:eastAsia="en-GB"/>
        </w:rPr>
        <w:t>g/</w:t>
      </w:r>
      <w:r w:rsidRPr="000C7CFA">
        <w:rPr>
          <w:rFonts w:ascii="Verdana" w:hAnsi="Verdana" w:cs="Times New Roman"/>
          <w:sz w:val="18"/>
          <w:szCs w:val="18"/>
          <w:lang w:eastAsia="en-GB"/>
        </w:rPr>
        <w:t>k</w:t>
      </w:r>
      <w:r w:rsidRPr="000C7CFA">
        <w:rPr>
          <w:rFonts w:ascii="Verdana" w:eastAsia="Times New Roman" w:hAnsi="Verdana" w:cs="Times New Roman"/>
          <w:sz w:val="18"/>
          <w:szCs w:val="18"/>
          <w:lang w:val="en-CA" w:eastAsia="en-GB"/>
        </w:rPr>
        <w:t>g l</w:t>
      </w:r>
      <w:r w:rsidRPr="000C7CFA">
        <w:rPr>
          <w:rFonts w:ascii="Verdana" w:hAnsi="Verdana" w:cs="Times New Roman"/>
          <w:sz w:val="18"/>
          <w:szCs w:val="18"/>
          <w:lang w:eastAsia="en-GB"/>
        </w:rPr>
        <w:t>w</w:t>
      </w:r>
      <w:r w:rsidRPr="000C7CFA">
        <w:rPr>
          <w:rFonts w:ascii="Verdana" w:eastAsia="Times New Roman" w:hAnsi="Verdana" w:cs="Times New Roman"/>
          <w:sz w:val="18"/>
          <w:szCs w:val="18"/>
          <w:lang w:val="en-CA" w:eastAsia="en-GB"/>
        </w:rPr>
        <w:t>,</w:t>
      </w:r>
      <w:r w:rsidRPr="000C7CFA">
        <w:rPr>
          <w:rFonts w:ascii="Verdana" w:hAnsi="Verdana" w:cs="Times New Roman"/>
          <w:sz w:val="18"/>
          <w:szCs w:val="18"/>
          <w:lang w:eastAsia="en-GB"/>
        </w:rPr>
        <w:t xml:space="preserve"> </w:t>
      </w:r>
      <w:r w:rsidRPr="000C7CFA">
        <w:rPr>
          <w:rFonts w:ascii="Verdana" w:eastAsia="Times New Roman" w:hAnsi="Verdana" w:cs="Times New Roman"/>
          <w:sz w:val="18"/>
          <w:szCs w:val="18"/>
          <w:lang w:val="en-CA" w:eastAsia="en-GB"/>
        </w:rPr>
        <w:t xml:space="preserve">respectively) </w:t>
      </w:r>
      <w:r w:rsidRPr="000C7CFA">
        <w:rPr>
          <w:rFonts w:ascii="Verdana" w:hAnsi="Verdana" w:cs="Times New Roman"/>
          <w:sz w:val="18"/>
          <w:szCs w:val="18"/>
          <w:lang w:eastAsia="en-GB"/>
        </w:rPr>
        <w:t>from different</w:t>
      </w:r>
      <w:r w:rsidRPr="000C7CFA">
        <w:rPr>
          <w:rFonts w:ascii="Verdana" w:eastAsia="Times New Roman" w:hAnsi="Verdana" w:cs="Times New Roman"/>
          <w:sz w:val="18"/>
          <w:szCs w:val="18"/>
          <w:lang w:val="en-CA" w:eastAsia="en-GB"/>
        </w:rPr>
        <w:t xml:space="preserve"> household</w:t>
      </w:r>
      <w:r w:rsidRPr="000C7CFA">
        <w:rPr>
          <w:rFonts w:ascii="Verdana" w:hAnsi="Verdana" w:cs="Times New Roman"/>
          <w:sz w:val="18"/>
          <w:szCs w:val="18"/>
          <w:lang w:eastAsia="en-GB"/>
        </w:rPr>
        <w:t>s</w:t>
      </w:r>
      <w:r w:rsidRPr="000C7CFA">
        <w:rPr>
          <w:rFonts w:ascii="Verdana" w:eastAsia="Times New Roman" w:hAnsi="Verdana" w:cs="Times New Roman"/>
          <w:sz w:val="18"/>
          <w:szCs w:val="18"/>
          <w:lang w:val="en-CA" w:eastAsia="en-GB"/>
        </w:rPr>
        <w:t>.</w:t>
      </w:r>
      <w:r w:rsidRPr="000C7CFA">
        <w:rPr>
          <w:rFonts w:ascii="Verdana" w:hAnsi="Verdana" w:cs="Times New Roman"/>
          <w:sz w:val="18"/>
          <w:szCs w:val="18"/>
          <w:lang w:eastAsia="en-GB"/>
        </w:rPr>
        <w:t xml:space="preserve"> </w:t>
      </w:r>
      <w:r w:rsidR="003F44F0" w:rsidRPr="000C7CFA">
        <w:rPr>
          <w:rFonts w:ascii="Verdana" w:eastAsia="Times New Roman" w:hAnsi="Verdana" w:cs="Times New Roman"/>
          <w:sz w:val="18"/>
          <w:szCs w:val="18"/>
          <w:lang w:val="en-CA" w:eastAsia="en-GB"/>
        </w:rPr>
        <w:t xml:space="preserve">The difference in results compared to Norwegian people (as reported by </w:t>
      </w:r>
      <w:r w:rsidR="003F44F0" w:rsidRPr="000C7CFA">
        <w:rPr>
          <w:rFonts w:ascii="Verdana" w:hAnsi="Verdana" w:cs="Times New Roman"/>
          <w:sz w:val="18"/>
          <w:szCs w:val="18"/>
        </w:rPr>
        <w:t xml:space="preserve">Cequier </w:t>
      </w:r>
      <w:r w:rsidR="003F44F0" w:rsidRPr="000C7CFA">
        <w:rPr>
          <w:rFonts w:ascii="Verdana" w:hAnsi="Verdana" w:cs="Times New Roman"/>
          <w:i/>
          <w:sz w:val="18"/>
          <w:szCs w:val="18"/>
        </w:rPr>
        <w:t>et al</w:t>
      </w:r>
      <w:r w:rsidR="003F44F0" w:rsidRPr="000C7CFA">
        <w:rPr>
          <w:rFonts w:ascii="Verdana" w:hAnsi="Verdana" w:cs="Times New Roman"/>
          <w:sz w:val="18"/>
          <w:szCs w:val="18"/>
        </w:rPr>
        <w:t>., 2013</w:t>
      </w:r>
      <w:r w:rsidR="003F44F0" w:rsidRPr="000C7CFA">
        <w:rPr>
          <w:rFonts w:ascii="Verdana" w:eastAsia="Times New Roman" w:hAnsi="Verdana" w:cs="Times New Roman"/>
          <w:sz w:val="18"/>
          <w:szCs w:val="18"/>
          <w:lang w:val="en-CA" w:eastAsia="en-GB"/>
        </w:rPr>
        <w:t>) may be due to higher detection limits (t</w:t>
      </w:r>
      <w:r w:rsidR="003F44F0" w:rsidRPr="000C7CFA">
        <w:rPr>
          <w:rFonts w:ascii="Verdana" w:hAnsi="Verdana" w:cs="Times New Roman"/>
          <w:sz w:val="18"/>
          <w:szCs w:val="18"/>
          <w:lang w:eastAsia="en-GB"/>
        </w:rPr>
        <w:t>he detection limit was 85 and 41 pg/serum sample for the anti- and syn-isomer, respectively).</w:t>
      </w:r>
    </w:p>
    <w:p w14:paraId="5C113018" w14:textId="77777777" w:rsidR="0023247D" w:rsidRPr="000C7CFA" w:rsidRDefault="0023247D" w:rsidP="0023247D">
      <w:pPr>
        <w:pStyle w:val="NoSpacing"/>
        <w:spacing w:after="120"/>
        <w:ind w:left="425" w:right="374"/>
        <w:jc w:val="both"/>
        <w:rPr>
          <w:rFonts w:ascii="Verdana" w:hAnsi="Verdana"/>
          <w:sz w:val="18"/>
          <w:szCs w:val="18"/>
        </w:rPr>
      </w:pPr>
      <w:r w:rsidRPr="000C7CFA">
        <w:rPr>
          <w:rFonts w:ascii="Verdana" w:hAnsi="Verdana" w:cs="Times New Roman"/>
          <w:sz w:val="18"/>
          <w:szCs w:val="18"/>
        </w:rPr>
        <w:t>This study is not included in the registration dossier.</w:t>
      </w:r>
    </w:p>
    <w:p w14:paraId="1A6EEED9" w14:textId="77777777" w:rsidR="00400987" w:rsidRPr="000C7CFA" w:rsidRDefault="00400987" w:rsidP="00B80DD7">
      <w:pPr>
        <w:pStyle w:val="NoSpacing"/>
        <w:ind w:left="426" w:right="374"/>
        <w:jc w:val="both"/>
        <w:rPr>
          <w:rFonts w:ascii="Verdana" w:hAnsi="Verdana" w:cs="Times New Roman"/>
          <w:sz w:val="18"/>
          <w:szCs w:val="18"/>
        </w:rPr>
      </w:pPr>
    </w:p>
    <w:p w14:paraId="2CCDC46A" w14:textId="117ED509" w:rsidR="0023247D" w:rsidRPr="000C7CFA" w:rsidRDefault="004D3687" w:rsidP="00DC3658">
      <w:pPr>
        <w:pStyle w:val="NoSpacing"/>
        <w:numPr>
          <w:ilvl w:val="0"/>
          <w:numId w:val="7"/>
        </w:numPr>
        <w:spacing w:after="180"/>
        <w:ind w:left="425" w:right="374" w:hanging="357"/>
        <w:jc w:val="both"/>
        <w:rPr>
          <w:rFonts w:ascii="Verdana" w:hAnsi="Verdana" w:cs="Times New Roman"/>
          <w:sz w:val="18"/>
          <w:szCs w:val="18"/>
        </w:rPr>
      </w:pPr>
      <w:r w:rsidRPr="000C7CFA">
        <w:rPr>
          <w:rFonts w:ascii="Verdana" w:hAnsi="Verdana" w:cs="Times New Roman"/>
          <w:sz w:val="18"/>
          <w:szCs w:val="18"/>
          <w:u w:val="single"/>
          <w:lang w:eastAsia="ar-SA"/>
        </w:rPr>
        <w:t xml:space="preserve">Brasseur </w:t>
      </w:r>
      <w:r w:rsidRPr="000C7CFA">
        <w:rPr>
          <w:rFonts w:ascii="Verdana" w:hAnsi="Verdana" w:cs="Times New Roman"/>
          <w:i/>
          <w:sz w:val="18"/>
          <w:szCs w:val="18"/>
          <w:u w:val="single"/>
          <w:lang w:eastAsia="ar-SA"/>
        </w:rPr>
        <w:t>et al</w:t>
      </w:r>
      <w:r w:rsidRPr="000C7CFA">
        <w:rPr>
          <w:rFonts w:ascii="Verdana" w:hAnsi="Verdana" w:cs="Times New Roman"/>
          <w:sz w:val="18"/>
          <w:szCs w:val="18"/>
          <w:u w:val="single"/>
          <w:lang w:eastAsia="ar-SA"/>
        </w:rPr>
        <w:t>. (2014)</w:t>
      </w:r>
      <w:r w:rsidRPr="000C7CFA">
        <w:rPr>
          <w:rFonts w:ascii="Verdana" w:hAnsi="Verdana" w:cs="Times New Roman"/>
          <w:sz w:val="18"/>
          <w:szCs w:val="18"/>
          <w:lang w:eastAsia="ar-SA"/>
        </w:rPr>
        <w:t xml:space="preserve"> </w:t>
      </w:r>
      <w:r w:rsidR="00D04E08" w:rsidRPr="000C7CFA">
        <w:rPr>
          <w:rFonts w:ascii="Verdana" w:hAnsi="Verdana" w:cs="Times New Roman"/>
          <w:sz w:val="18"/>
          <w:szCs w:val="18"/>
        </w:rPr>
        <w:t>analyzed 48 banked human serum samples (24 male and 24 female, mean age 57±13 years, age range 28-86 years) collected between 2003 and 2005 from people living in the area of a municipal solid waste incinerator in Besançon, France. Dechlorane Plus was detected in almost all the samples (detection frequency 9</w:t>
      </w:r>
      <w:r w:rsidR="00AF7606" w:rsidRPr="000C7CFA">
        <w:rPr>
          <w:rFonts w:ascii="Verdana" w:hAnsi="Verdana" w:cs="Times New Roman"/>
          <w:sz w:val="18"/>
          <w:szCs w:val="18"/>
        </w:rPr>
        <w:t>4 %</w:t>
      </w:r>
      <w:r w:rsidR="00D04E08" w:rsidRPr="000C7CFA">
        <w:rPr>
          <w:rFonts w:ascii="Verdana" w:hAnsi="Verdana" w:cs="Times New Roman"/>
          <w:sz w:val="18"/>
          <w:szCs w:val="18"/>
        </w:rPr>
        <w:t xml:space="preserve"> for the anti- isomer, LoD: 0.16 µg/kg </w:t>
      </w:r>
      <w:proofErr w:type="gramStart"/>
      <w:r w:rsidR="00D04E08" w:rsidRPr="000C7CFA">
        <w:rPr>
          <w:rFonts w:ascii="Verdana" w:hAnsi="Verdana" w:cs="Times New Roman"/>
          <w:sz w:val="18"/>
          <w:szCs w:val="18"/>
        </w:rPr>
        <w:t>lw</w:t>
      </w:r>
      <w:proofErr w:type="gramEnd"/>
      <w:r w:rsidR="00D04E08" w:rsidRPr="000C7CFA">
        <w:rPr>
          <w:rFonts w:ascii="Verdana" w:hAnsi="Verdana" w:cs="Times New Roman"/>
          <w:sz w:val="18"/>
          <w:szCs w:val="18"/>
        </w:rPr>
        <w:t>) at a mean</w:t>
      </w:r>
      <w:r w:rsidR="00400987" w:rsidRPr="000C7CFA">
        <w:rPr>
          <w:rFonts w:ascii="Verdana" w:hAnsi="Verdana" w:cs="Times New Roman"/>
          <w:sz w:val="18"/>
          <w:szCs w:val="18"/>
        </w:rPr>
        <w:t>, median and maximum</w:t>
      </w:r>
      <w:r w:rsidR="00D04E08" w:rsidRPr="000C7CFA">
        <w:rPr>
          <w:rFonts w:ascii="Verdana" w:hAnsi="Verdana" w:cs="Times New Roman"/>
          <w:sz w:val="18"/>
          <w:szCs w:val="18"/>
        </w:rPr>
        <w:t xml:space="preserve"> concentration (total isomers) of 1.40</w:t>
      </w:r>
      <w:r w:rsidR="00400987" w:rsidRPr="000C7CFA">
        <w:rPr>
          <w:rFonts w:ascii="Verdana" w:hAnsi="Verdana" w:cs="Times New Roman"/>
          <w:sz w:val="18"/>
          <w:szCs w:val="18"/>
        </w:rPr>
        <w:t>,</w:t>
      </w:r>
      <w:r w:rsidR="00D04E08" w:rsidRPr="000C7CFA">
        <w:rPr>
          <w:rFonts w:ascii="Verdana" w:hAnsi="Verdana" w:cs="Times New Roman"/>
          <w:sz w:val="18"/>
          <w:szCs w:val="18"/>
        </w:rPr>
        <w:t xml:space="preserve"> 1.20 </w:t>
      </w:r>
      <w:r w:rsidR="00400987" w:rsidRPr="000C7CFA">
        <w:rPr>
          <w:rFonts w:ascii="Verdana" w:hAnsi="Verdana" w:cs="Times New Roman"/>
          <w:sz w:val="18"/>
          <w:szCs w:val="18"/>
        </w:rPr>
        <w:t>and</w:t>
      </w:r>
      <w:r w:rsidR="00D04E08" w:rsidRPr="000C7CFA">
        <w:rPr>
          <w:rFonts w:ascii="Verdana" w:hAnsi="Verdana" w:cs="Times New Roman"/>
          <w:sz w:val="18"/>
          <w:szCs w:val="18"/>
        </w:rPr>
        <w:t xml:space="preserve"> 7.04 µg/kg lw</w:t>
      </w:r>
      <w:r w:rsidR="00400987" w:rsidRPr="000C7CFA">
        <w:rPr>
          <w:rFonts w:ascii="Verdana" w:hAnsi="Verdana" w:cs="Times New Roman"/>
          <w:sz w:val="18"/>
          <w:szCs w:val="18"/>
        </w:rPr>
        <w:t>, respectively</w:t>
      </w:r>
      <w:r w:rsidR="00D04E08" w:rsidRPr="000C7CFA">
        <w:rPr>
          <w:rFonts w:ascii="Verdana" w:hAnsi="Verdana" w:cs="Times New Roman"/>
          <w:sz w:val="18"/>
          <w:szCs w:val="18"/>
        </w:rPr>
        <w:t xml:space="preserve">. For comparison, BDE-47 and BDE-153 were the major PBDE congeners in the samples with mean levels of 2.06 and 1.39 µg/kg </w:t>
      </w:r>
      <w:proofErr w:type="gramStart"/>
      <w:r w:rsidR="00D04E08" w:rsidRPr="000C7CFA">
        <w:rPr>
          <w:rFonts w:ascii="Verdana" w:hAnsi="Verdana" w:cs="Times New Roman"/>
          <w:sz w:val="18"/>
          <w:szCs w:val="18"/>
        </w:rPr>
        <w:t>lw</w:t>
      </w:r>
      <w:proofErr w:type="gramEnd"/>
      <w:r w:rsidR="00D04E08" w:rsidRPr="000C7CFA">
        <w:rPr>
          <w:rFonts w:ascii="Verdana" w:hAnsi="Verdana" w:cs="Times New Roman"/>
          <w:sz w:val="18"/>
          <w:szCs w:val="18"/>
        </w:rPr>
        <w:t xml:space="preserve">, respectively. There was no statistically significant difference in levels between males and females, nor correlation with age. The mean </w:t>
      </w:r>
      <w:proofErr w:type="gramStart"/>
      <w:r w:rsidR="00D04E08" w:rsidRPr="000C7CFA">
        <w:rPr>
          <w:rFonts w:ascii="Verdana" w:hAnsi="Verdana" w:cs="Times New Roman"/>
          <w:sz w:val="18"/>
          <w:szCs w:val="18"/>
        </w:rPr>
        <w:t>f</w:t>
      </w:r>
      <w:r w:rsidR="00D04E08" w:rsidRPr="000C7CFA">
        <w:rPr>
          <w:rFonts w:ascii="Verdana" w:hAnsi="Verdana" w:cs="Times New Roman"/>
          <w:sz w:val="18"/>
          <w:szCs w:val="18"/>
          <w:vertAlign w:val="subscript"/>
        </w:rPr>
        <w:t>anti</w:t>
      </w:r>
      <w:proofErr w:type="gramEnd"/>
      <w:r w:rsidR="00D04E08" w:rsidRPr="000C7CFA">
        <w:rPr>
          <w:rFonts w:ascii="Verdana" w:hAnsi="Verdana" w:cs="Times New Roman"/>
          <w:sz w:val="18"/>
          <w:szCs w:val="18"/>
          <w:vertAlign w:val="subscript"/>
        </w:rPr>
        <w:t xml:space="preserve"> </w:t>
      </w:r>
      <w:r w:rsidR="00D04E08" w:rsidRPr="000C7CFA">
        <w:rPr>
          <w:rFonts w:ascii="Verdana" w:hAnsi="Verdana" w:cs="Times New Roman"/>
          <w:sz w:val="18"/>
          <w:szCs w:val="18"/>
        </w:rPr>
        <w:t>calculated for 33 samples was 0.75 (range: 0.65 to 0.86).</w:t>
      </w:r>
      <w:r w:rsidR="0023247D" w:rsidRPr="000C7CFA">
        <w:rPr>
          <w:rFonts w:ascii="Verdana" w:hAnsi="Verdana" w:cs="Times New Roman"/>
          <w:sz w:val="18"/>
          <w:szCs w:val="18"/>
        </w:rPr>
        <w:t xml:space="preserve"> </w:t>
      </w:r>
    </w:p>
    <w:p w14:paraId="6CF4D838" w14:textId="77777777" w:rsidR="00C07E12" w:rsidRPr="000C7CFA" w:rsidRDefault="0023247D" w:rsidP="0023247D">
      <w:pPr>
        <w:pStyle w:val="NoSpacing"/>
        <w:ind w:left="426" w:right="374"/>
        <w:jc w:val="both"/>
        <w:rPr>
          <w:rFonts w:ascii="Verdana" w:hAnsi="Verdana" w:cs="Times New Roman"/>
          <w:sz w:val="18"/>
          <w:szCs w:val="18"/>
        </w:rPr>
      </w:pPr>
      <w:r w:rsidRPr="000C7CFA">
        <w:rPr>
          <w:rFonts w:ascii="Verdana" w:hAnsi="Verdana" w:cs="Times New Roman"/>
          <w:sz w:val="18"/>
          <w:szCs w:val="18"/>
        </w:rPr>
        <w:t>This study is included in the registration dossier as supporting monitoring information and is considered fully reliable by the</w:t>
      </w:r>
      <w:r w:rsidR="00A43C45" w:rsidRPr="000C7CFA">
        <w:rPr>
          <w:rFonts w:ascii="Verdana" w:hAnsi="Verdana" w:cs="Times New Roman"/>
          <w:sz w:val="18"/>
          <w:szCs w:val="18"/>
        </w:rPr>
        <w:t xml:space="preserve"> Registrant</w:t>
      </w:r>
      <w:r w:rsidRPr="000C7CFA">
        <w:rPr>
          <w:rFonts w:ascii="Verdana" w:hAnsi="Verdana" w:cs="Times New Roman"/>
          <w:sz w:val="18"/>
          <w:szCs w:val="18"/>
        </w:rPr>
        <w:t>.</w:t>
      </w:r>
    </w:p>
    <w:p w14:paraId="0817C1A7" w14:textId="77777777" w:rsidR="0023247D" w:rsidRPr="000C7CFA" w:rsidRDefault="0023247D" w:rsidP="0023247D">
      <w:pPr>
        <w:pStyle w:val="NoSpacing"/>
        <w:ind w:right="374"/>
        <w:jc w:val="both"/>
        <w:rPr>
          <w:rFonts w:ascii="Verdana" w:hAnsi="Verdana" w:cs="Times New Roman"/>
          <w:sz w:val="18"/>
          <w:szCs w:val="18"/>
        </w:rPr>
      </w:pPr>
    </w:p>
    <w:p w14:paraId="126CC6F6" w14:textId="2D70B9B1" w:rsidR="00C07E12" w:rsidRPr="000C7CFA" w:rsidRDefault="00C07E12" w:rsidP="00DC3658">
      <w:pPr>
        <w:pStyle w:val="NoSpacing"/>
        <w:numPr>
          <w:ilvl w:val="0"/>
          <w:numId w:val="7"/>
        </w:numPr>
        <w:spacing w:after="180"/>
        <w:ind w:left="425" w:right="374" w:hanging="357"/>
        <w:jc w:val="both"/>
        <w:rPr>
          <w:rFonts w:ascii="Verdana" w:eastAsia="Arial Unicode MS" w:hAnsi="Verdana" w:cs="Arial Unicode MS"/>
          <w:color w:val="2E2E2E"/>
          <w:sz w:val="18"/>
          <w:szCs w:val="18"/>
          <w:lang w:eastAsia="en-GB"/>
        </w:rPr>
      </w:pPr>
      <w:r w:rsidRPr="000C7CFA">
        <w:rPr>
          <w:rFonts w:ascii="Verdana" w:hAnsi="Verdana" w:cs="Times New Roman"/>
          <w:sz w:val="18"/>
          <w:szCs w:val="18"/>
          <w:u w:val="single"/>
        </w:rPr>
        <w:t xml:space="preserve">Siddique </w:t>
      </w:r>
      <w:r w:rsidRPr="000C7CFA">
        <w:rPr>
          <w:rFonts w:ascii="Verdana" w:hAnsi="Verdana" w:cs="Times New Roman"/>
          <w:i/>
          <w:sz w:val="18"/>
          <w:szCs w:val="18"/>
          <w:u w:val="single"/>
        </w:rPr>
        <w:t>et al</w:t>
      </w:r>
      <w:r w:rsidRPr="000C7CFA">
        <w:rPr>
          <w:rFonts w:ascii="Verdana" w:hAnsi="Verdana" w:cs="Times New Roman"/>
          <w:sz w:val="18"/>
          <w:szCs w:val="18"/>
          <w:u w:val="single"/>
        </w:rPr>
        <w:t>. (2012)</w:t>
      </w:r>
      <w:r w:rsidRPr="000C7CFA">
        <w:rPr>
          <w:rFonts w:ascii="Verdana" w:hAnsi="Verdana" w:cs="Times New Roman"/>
          <w:sz w:val="18"/>
          <w:szCs w:val="18"/>
        </w:rPr>
        <w:t xml:space="preserve"> collected 87 breast milk samples from two Canadian cities, i.e. Kingston (n=39, during 2003–2004) and Sherbrooke (n=48, during 2008–2009). Kingston is located on the north-east shore of Lake Ontario and Sherbrooke is about 400 km north-east of Kingston. </w:t>
      </w:r>
      <w:r w:rsidR="00ED5866" w:rsidRPr="000C7CFA">
        <w:rPr>
          <w:rFonts w:ascii="Verdana" w:hAnsi="Verdana" w:cs="Times New Roman"/>
          <w:sz w:val="18"/>
          <w:szCs w:val="18"/>
        </w:rPr>
        <w:t>At least one Dechlorane Plus isomer was detected in 9</w:t>
      </w:r>
      <w:r w:rsidR="00AF7606" w:rsidRPr="000C7CFA">
        <w:rPr>
          <w:rFonts w:ascii="Verdana" w:hAnsi="Verdana" w:cs="Times New Roman"/>
          <w:sz w:val="18"/>
          <w:szCs w:val="18"/>
        </w:rPr>
        <w:t>1 %</w:t>
      </w:r>
      <w:r w:rsidR="00ED5866" w:rsidRPr="000C7CFA">
        <w:rPr>
          <w:rFonts w:ascii="Verdana" w:hAnsi="Verdana" w:cs="Times New Roman"/>
          <w:sz w:val="18"/>
          <w:szCs w:val="18"/>
        </w:rPr>
        <w:t xml:space="preserve"> of the samples, with m</w:t>
      </w:r>
      <w:r w:rsidRPr="000C7CFA">
        <w:rPr>
          <w:rFonts w:ascii="Verdana" w:hAnsi="Verdana" w:cs="Times New Roman"/>
          <w:sz w:val="18"/>
          <w:szCs w:val="18"/>
        </w:rPr>
        <w:t xml:space="preserve">ean and median concentrations (total isomers) </w:t>
      </w:r>
      <w:r w:rsidR="00ED5866" w:rsidRPr="000C7CFA">
        <w:rPr>
          <w:rFonts w:ascii="Verdana" w:hAnsi="Verdana" w:cs="Times New Roman"/>
          <w:sz w:val="18"/>
          <w:szCs w:val="18"/>
        </w:rPr>
        <w:t>of</w:t>
      </w:r>
      <w:r w:rsidRPr="000C7CFA">
        <w:rPr>
          <w:rFonts w:ascii="Verdana" w:hAnsi="Verdana" w:cs="Times New Roman"/>
          <w:sz w:val="18"/>
          <w:szCs w:val="18"/>
        </w:rPr>
        <w:t xml:space="preserve"> 0.98 and 0.60 (range: not detected-</w:t>
      </w:r>
      <w:r w:rsidR="00ED5866" w:rsidRPr="000C7CFA">
        <w:rPr>
          <w:rFonts w:ascii="Verdana" w:hAnsi="Verdana" w:cs="Times New Roman"/>
          <w:sz w:val="18"/>
          <w:szCs w:val="18"/>
        </w:rPr>
        <w:t>8.0) </w:t>
      </w:r>
      <w:r w:rsidRPr="000C7CFA">
        <w:rPr>
          <w:rFonts w:ascii="Verdana" w:hAnsi="Verdana" w:cs="Times New Roman"/>
          <w:sz w:val="18"/>
          <w:szCs w:val="18"/>
        </w:rPr>
        <w:t xml:space="preserve">µg/kg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respectively. These were </w:t>
      </w:r>
      <w:r w:rsidR="00ED5866" w:rsidRPr="000C7CFA">
        <w:rPr>
          <w:rFonts w:ascii="Verdana" w:hAnsi="Verdana" w:cs="Times New Roman"/>
          <w:sz w:val="18"/>
          <w:szCs w:val="18"/>
        </w:rPr>
        <w:t>up</w:t>
      </w:r>
      <w:r w:rsidRPr="000C7CFA">
        <w:rPr>
          <w:rFonts w:ascii="Verdana" w:hAnsi="Verdana" w:cs="Times New Roman"/>
          <w:sz w:val="18"/>
          <w:szCs w:val="18"/>
        </w:rPr>
        <w:t xml:space="preserve"> to ten times lower than those of concurrently measured major PBDEs, although a Principal Components Analysis indicated that the PBDEs came from a source that was distinct from that of Dechlorane Plus</w:t>
      </w:r>
      <w:r w:rsidR="00F46F6C" w:rsidRPr="000C7CFA">
        <w:rPr>
          <w:rFonts w:ascii="Verdana" w:hAnsi="Verdana" w:cs="Times New Roman"/>
          <w:sz w:val="18"/>
          <w:szCs w:val="18"/>
        </w:rPr>
        <w:t>. Over 7</w:t>
      </w:r>
      <w:r w:rsidR="00AF7606" w:rsidRPr="000C7CFA">
        <w:rPr>
          <w:rFonts w:ascii="Verdana" w:hAnsi="Verdana" w:cs="Times New Roman"/>
          <w:sz w:val="18"/>
          <w:szCs w:val="18"/>
        </w:rPr>
        <w:t>5 %</w:t>
      </w:r>
      <w:r w:rsidR="00F46F6C" w:rsidRPr="000C7CFA">
        <w:rPr>
          <w:rFonts w:ascii="Verdana" w:hAnsi="Verdana" w:cs="Times New Roman"/>
          <w:sz w:val="18"/>
          <w:szCs w:val="18"/>
        </w:rPr>
        <w:t xml:space="preserve"> of the samples had total Dechlorane Plus levels below 1 µg/kg </w:t>
      </w:r>
      <w:proofErr w:type="gramStart"/>
      <w:r w:rsidR="00F46F6C" w:rsidRPr="000C7CFA">
        <w:rPr>
          <w:rFonts w:ascii="Verdana" w:hAnsi="Verdana" w:cs="Times New Roman"/>
          <w:sz w:val="18"/>
          <w:szCs w:val="18"/>
        </w:rPr>
        <w:t>lw</w:t>
      </w:r>
      <w:proofErr w:type="gramEnd"/>
      <w:r w:rsidR="00F46F6C" w:rsidRPr="000C7CFA">
        <w:rPr>
          <w:rFonts w:ascii="Verdana" w:hAnsi="Verdana" w:cs="Times New Roman"/>
          <w:sz w:val="18"/>
          <w:szCs w:val="18"/>
        </w:rPr>
        <w:t xml:space="preserve">, and only </w:t>
      </w:r>
      <w:r w:rsidR="00AF7606" w:rsidRPr="000C7CFA">
        <w:rPr>
          <w:rFonts w:ascii="Verdana" w:hAnsi="Verdana" w:cs="Times New Roman"/>
          <w:sz w:val="18"/>
          <w:szCs w:val="18"/>
        </w:rPr>
        <w:t>5 %</w:t>
      </w:r>
      <w:r w:rsidR="00F46F6C" w:rsidRPr="000C7CFA">
        <w:rPr>
          <w:rFonts w:ascii="Verdana" w:hAnsi="Verdana" w:cs="Times New Roman"/>
          <w:sz w:val="18"/>
          <w:szCs w:val="18"/>
        </w:rPr>
        <w:t xml:space="preserve"> had levels exceeding 3 µg/kg lw.</w:t>
      </w:r>
      <w:r w:rsidR="00F46F6C" w:rsidRPr="000C7CFA">
        <w:rPr>
          <w:rFonts w:ascii="Verdana" w:eastAsia="Arial Unicode MS" w:hAnsi="Verdana" w:cs="Arial Unicode MS"/>
          <w:color w:val="2E2E2E"/>
          <w:sz w:val="18"/>
          <w:szCs w:val="18"/>
        </w:rPr>
        <w:t xml:space="preserve"> </w:t>
      </w:r>
      <w:r w:rsidR="00F46F6C" w:rsidRPr="000C7CFA">
        <w:rPr>
          <w:rFonts w:ascii="Verdana" w:hAnsi="Verdana" w:cs="Times New Roman"/>
          <w:sz w:val="18"/>
          <w:szCs w:val="18"/>
        </w:rPr>
        <w:t>There was little difference</w:t>
      </w:r>
      <w:r w:rsidRPr="000C7CFA">
        <w:rPr>
          <w:rFonts w:ascii="Verdana" w:hAnsi="Verdana" w:cs="Times New Roman"/>
          <w:sz w:val="18"/>
          <w:szCs w:val="18"/>
        </w:rPr>
        <w:t xml:space="preserve"> in the measured levels between the two cities. The </w:t>
      </w:r>
      <w:proofErr w:type="gramStart"/>
      <w:r w:rsidRPr="000C7CFA">
        <w:rPr>
          <w:rFonts w:ascii="Verdana" w:hAnsi="Verdana" w:cs="Times New Roman"/>
          <w:sz w:val="18"/>
          <w:szCs w:val="18"/>
        </w:rPr>
        <w:t>f</w:t>
      </w:r>
      <w:r w:rsidRPr="000C7CFA">
        <w:rPr>
          <w:rFonts w:ascii="Verdana" w:hAnsi="Verdana" w:cs="Times New Roman"/>
          <w:sz w:val="18"/>
          <w:szCs w:val="18"/>
          <w:vertAlign w:val="subscript"/>
        </w:rPr>
        <w:t>anti</w:t>
      </w:r>
      <w:proofErr w:type="gramEnd"/>
      <w:r w:rsidRPr="000C7CFA">
        <w:rPr>
          <w:rFonts w:ascii="Verdana" w:hAnsi="Verdana" w:cs="Times New Roman"/>
          <w:sz w:val="18"/>
          <w:szCs w:val="18"/>
        </w:rPr>
        <w:t xml:space="preserve"> was similar to that in commercial products (mean: 0.67).</w:t>
      </w:r>
    </w:p>
    <w:p w14:paraId="7219940B" w14:textId="77777777" w:rsidR="004D3687" w:rsidRPr="000C7CFA" w:rsidRDefault="0023247D" w:rsidP="0023247D">
      <w:pPr>
        <w:pStyle w:val="NoSpacing"/>
        <w:ind w:left="426" w:right="374"/>
        <w:jc w:val="both"/>
        <w:rPr>
          <w:rFonts w:ascii="Verdana" w:hAnsi="Verdana"/>
          <w:sz w:val="18"/>
          <w:szCs w:val="18"/>
        </w:rPr>
      </w:pPr>
      <w:r w:rsidRPr="000C7CFA">
        <w:rPr>
          <w:rFonts w:ascii="Verdana" w:hAnsi="Verdana" w:cs="Times New Roman"/>
          <w:sz w:val="18"/>
          <w:szCs w:val="18"/>
        </w:rPr>
        <w:t>This study is not included in the registration dossier.</w:t>
      </w:r>
    </w:p>
    <w:p w14:paraId="5A51718A" w14:textId="77777777" w:rsidR="00120365" w:rsidRPr="000C7CFA" w:rsidRDefault="00120365" w:rsidP="0023247D">
      <w:pPr>
        <w:pStyle w:val="BodyText"/>
        <w:spacing w:after="0"/>
        <w:ind w:right="-51"/>
        <w:rPr>
          <w:rFonts w:ascii="Verdana" w:hAnsi="Verdana"/>
          <w:sz w:val="18"/>
          <w:szCs w:val="18"/>
        </w:rPr>
      </w:pPr>
    </w:p>
    <w:p w14:paraId="017DAB9B" w14:textId="1B5C752D" w:rsidR="00120365" w:rsidRPr="000C7CFA" w:rsidRDefault="00120365" w:rsidP="00DC3658">
      <w:pPr>
        <w:pStyle w:val="NoSpacing"/>
        <w:numPr>
          <w:ilvl w:val="0"/>
          <w:numId w:val="7"/>
        </w:numPr>
        <w:spacing w:after="180"/>
        <w:ind w:left="425" w:right="374" w:hanging="357"/>
        <w:jc w:val="both"/>
        <w:rPr>
          <w:rFonts w:ascii="Verdana" w:hAnsi="Verdana" w:cs="Times New Roman"/>
          <w:sz w:val="18"/>
          <w:szCs w:val="18"/>
        </w:rPr>
      </w:pPr>
      <w:r w:rsidRPr="000C7CFA">
        <w:rPr>
          <w:rFonts w:ascii="Verdana" w:hAnsi="Verdana" w:cs="Times New Roman"/>
          <w:sz w:val="18"/>
          <w:szCs w:val="18"/>
          <w:u w:val="single"/>
        </w:rPr>
        <w:t>Zhou</w:t>
      </w:r>
      <w:r w:rsidRPr="000C7CFA">
        <w:rPr>
          <w:rFonts w:ascii="Verdana" w:hAnsi="Verdana" w:cs="Times New Roman"/>
          <w:color w:val="000000"/>
          <w:sz w:val="18"/>
          <w:szCs w:val="18"/>
          <w:u w:val="single"/>
        </w:rPr>
        <w:t xml:space="preserve"> </w:t>
      </w:r>
      <w:r w:rsidRPr="000C7CFA">
        <w:rPr>
          <w:rFonts w:ascii="Verdana" w:hAnsi="Verdana" w:cs="Times New Roman"/>
          <w:i/>
          <w:color w:val="000000"/>
          <w:sz w:val="18"/>
          <w:szCs w:val="18"/>
          <w:u w:val="single"/>
        </w:rPr>
        <w:t>et al</w:t>
      </w:r>
      <w:r w:rsidRPr="000C7CFA">
        <w:rPr>
          <w:rFonts w:ascii="Verdana" w:hAnsi="Verdana" w:cs="Times New Roman"/>
          <w:color w:val="000000"/>
          <w:sz w:val="18"/>
          <w:szCs w:val="18"/>
          <w:u w:val="single"/>
        </w:rPr>
        <w:t>. (2014)</w:t>
      </w:r>
      <w:r w:rsidRPr="000C7CFA">
        <w:rPr>
          <w:rFonts w:ascii="Verdana" w:hAnsi="Verdana" w:cs="Times New Roman"/>
          <w:color w:val="000000"/>
          <w:sz w:val="18"/>
          <w:szCs w:val="18"/>
        </w:rPr>
        <w:t xml:space="preserve"> measured Dechlorane </w:t>
      </w:r>
      <w:r w:rsidRPr="000C7CFA">
        <w:rPr>
          <w:rFonts w:ascii="Verdana" w:hAnsi="Verdana" w:cs="Times New Roman"/>
          <w:sz w:val="18"/>
          <w:szCs w:val="18"/>
          <w:lang w:eastAsia="ar-SA"/>
        </w:rPr>
        <w:t>Plus in milk (n=105) and maternal serum (n=102) samples collected from mothers in the Sherbrooke area of Québec, Canada, between December 2007 and December 2009. Detection frequency in serum (7</w:t>
      </w:r>
      <w:r w:rsidR="00AF7606" w:rsidRPr="000C7CFA">
        <w:rPr>
          <w:rFonts w:ascii="Verdana" w:hAnsi="Verdana" w:cs="Times New Roman"/>
          <w:sz w:val="18"/>
          <w:szCs w:val="18"/>
          <w:lang w:eastAsia="ar-SA"/>
        </w:rPr>
        <w:t>7 %</w:t>
      </w:r>
      <w:r w:rsidRPr="000C7CFA">
        <w:rPr>
          <w:rFonts w:ascii="Verdana" w:hAnsi="Verdana" w:cs="Times New Roman"/>
          <w:sz w:val="18"/>
          <w:szCs w:val="18"/>
          <w:lang w:eastAsia="ar-SA"/>
        </w:rPr>
        <w:t xml:space="preserve"> and 8</w:t>
      </w:r>
      <w:r w:rsidR="00AF7606" w:rsidRPr="000C7CFA">
        <w:rPr>
          <w:rFonts w:ascii="Verdana" w:hAnsi="Verdana" w:cs="Times New Roman"/>
          <w:sz w:val="18"/>
          <w:szCs w:val="18"/>
          <w:lang w:eastAsia="ar-SA"/>
        </w:rPr>
        <w:t>7 %</w:t>
      </w:r>
      <w:r w:rsidRPr="000C7CFA">
        <w:rPr>
          <w:rFonts w:ascii="Verdana" w:hAnsi="Verdana" w:cs="Times New Roman"/>
          <w:sz w:val="18"/>
          <w:szCs w:val="18"/>
          <w:lang w:eastAsia="ar-SA"/>
        </w:rPr>
        <w:t xml:space="preserve"> for the syn- isomer and anti- isomer, respectively) was higher than that in milk samples (40% and 50%). The median total isomer concentrations were 2.37 </w:t>
      </w:r>
      <w:r w:rsidRPr="000C7CFA">
        <w:rPr>
          <w:rFonts w:ascii="Verdana" w:hAnsi="Verdana" w:cs="Times New Roman"/>
          <w:sz w:val="18"/>
          <w:szCs w:val="18"/>
        </w:rPr>
        <w:t>µ</w:t>
      </w:r>
      <w:r w:rsidRPr="000C7CFA">
        <w:rPr>
          <w:rFonts w:ascii="Verdana" w:hAnsi="Verdana" w:cs="Times New Roman"/>
          <w:sz w:val="18"/>
          <w:szCs w:val="18"/>
          <w:lang w:eastAsia="ar-SA"/>
        </w:rPr>
        <w:t>g/</w:t>
      </w:r>
      <w:r w:rsidRPr="000C7CFA">
        <w:rPr>
          <w:rFonts w:ascii="Verdana" w:hAnsi="Verdana" w:cs="Times New Roman"/>
          <w:sz w:val="18"/>
          <w:szCs w:val="18"/>
        </w:rPr>
        <w:t xml:space="preserve">kg </w:t>
      </w:r>
      <w:proofErr w:type="gramStart"/>
      <w:r w:rsidRPr="000C7CFA">
        <w:rPr>
          <w:rFonts w:ascii="Verdana" w:hAnsi="Verdana" w:cs="Times New Roman"/>
          <w:sz w:val="18"/>
          <w:szCs w:val="18"/>
        </w:rPr>
        <w:t>lw</w:t>
      </w:r>
      <w:proofErr w:type="gramEnd"/>
      <w:r w:rsidRPr="000C7CFA">
        <w:rPr>
          <w:rFonts w:ascii="Verdana" w:hAnsi="Verdana" w:cs="Times New Roman"/>
          <w:sz w:val="18"/>
          <w:szCs w:val="18"/>
        </w:rPr>
        <w:t xml:space="preserve"> (range: &lt;0.16 – ~70</w:t>
      </w:r>
      <w:r w:rsidRPr="000C7CFA">
        <w:rPr>
          <w:rStyle w:val="FootnoteReference"/>
          <w:rFonts w:ascii="Verdana" w:hAnsi="Verdana" w:cs="Times New Roman"/>
          <w:sz w:val="18"/>
          <w:szCs w:val="18"/>
        </w:rPr>
        <w:footnoteReference w:id="36"/>
      </w:r>
      <w:r w:rsidRPr="000C7CFA">
        <w:rPr>
          <w:rFonts w:ascii="Verdana" w:hAnsi="Verdana" w:cs="Times New Roman"/>
          <w:sz w:val="18"/>
          <w:szCs w:val="18"/>
        </w:rPr>
        <w:t> µ</w:t>
      </w:r>
      <w:r w:rsidRPr="000C7CFA">
        <w:rPr>
          <w:rFonts w:ascii="Verdana" w:hAnsi="Verdana" w:cs="Times New Roman"/>
          <w:sz w:val="18"/>
          <w:szCs w:val="18"/>
          <w:lang w:eastAsia="ar-SA"/>
        </w:rPr>
        <w:t>g/</w:t>
      </w:r>
      <w:r w:rsidRPr="000C7CFA">
        <w:rPr>
          <w:rFonts w:ascii="Verdana" w:hAnsi="Verdana" w:cs="Times New Roman"/>
          <w:sz w:val="18"/>
          <w:szCs w:val="18"/>
        </w:rPr>
        <w:t>kg lw</w:t>
      </w:r>
      <w:r w:rsidRPr="000C7CFA">
        <w:rPr>
          <w:rFonts w:ascii="Verdana" w:hAnsi="Verdana" w:cs="Times New Roman"/>
          <w:sz w:val="18"/>
          <w:szCs w:val="18"/>
          <w:lang w:eastAsia="ar-SA"/>
        </w:rPr>
        <w:t xml:space="preserve">) in serum and 0.02 </w:t>
      </w:r>
      <w:r w:rsidRPr="000C7CFA">
        <w:rPr>
          <w:rFonts w:ascii="Verdana" w:hAnsi="Verdana" w:cs="Times New Roman"/>
          <w:sz w:val="18"/>
          <w:szCs w:val="18"/>
        </w:rPr>
        <w:t>µ</w:t>
      </w:r>
      <w:r w:rsidRPr="000C7CFA">
        <w:rPr>
          <w:rFonts w:ascii="Verdana" w:hAnsi="Verdana" w:cs="Times New Roman"/>
          <w:sz w:val="18"/>
          <w:szCs w:val="18"/>
          <w:lang w:eastAsia="ar-SA"/>
        </w:rPr>
        <w:t>g/</w:t>
      </w:r>
      <w:r w:rsidRPr="000C7CFA">
        <w:rPr>
          <w:rFonts w:ascii="Verdana" w:hAnsi="Verdana" w:cs="Times New Roman"/>
          <w:sz w:val="18"/>
          <w:szCs w:val="18"/>
        </w:rPr>
        <w:t>kg lw (range: &lt;0.03 – ~15 µ</w:t>
      </w:r>
      <w:r w:rsidRPr="000C7CFA">
        <w:rPr>
          <w:rFonts w:ascii="Verdana" w:hAnsi="Verdana" w:cs="Times New Roman"/>
          <w:sz w:val="18"/>
          <w:szCs w:val="18"/>
          <w:lang w:eastAsia="ar-SA"/>
        </w:rPr>
        <w:t>g/</w:t>
      </w:r>
      <w:r w:rsidRPr="000C7CFA">
        <w:rPr>
          <w:rFonts w:ascii="Verdana" w:hAnsi="Verdana" w:cs="Times New Roman"/>
          <w:sz w:val="18"/>
          <w:szCs w:val="18"/>
        </w:rPr>
        <w:t>kg lw</w:t>
      </w:r>
      <w:r w:rsidRPr="000C7CFA">
        <w:rPr>
          <w:rFonts w:ascii="Verdana" w:hAnsi="Verdana" w:cs="Times New Roman"/>
          <w:sz w:val="18"/>
          <w:szCs w:val="18"/>
          <w:lang w:eastAsia="ar-SA"/>
        </w:rPr>
        <w:t>) in milk. There was no evidence</w:t>
      </w:r>
      <w:r w:rsidRPr="000C7CFA">
        <w:rPr>
          <w:rFonts w:ascii="Verdana" w:hAnsi="Verdana" w:cs="Times New Roman"/>
          <w:color w:val="000000"/>
          <w:sz w:val="18"/>
          <w:szCs w:val="18"/>
        </w:rPr>
        <w:t xml:space="preserve"> of stereoselective bioaccumulation.</w:t>
      </w:r>
    </w:p>
    <w:p w14:paraId="4D2CFF12" w14:textId="77777777" w:rsidR="0023247D" w:rsidRPr="000C7CFA" w:rsidRDefault="0023247D" w:rsidP="0023247D">
      <w:pPr>
        <w:pStyle w:val="NoSpacing"/>
        <w:ind w:left="426" w:right="374"/>
        <w:jc w:val="both"/>
        <w:rPr>
          <w:rFonts w:ascii="Verdana" w:hAnsi="Verdana"/>
          <w:sz w:val="18"/>
          <w:szCs w:val="18"/>
        </w:rPr>
      </w:pPr>
      <w:r w:rsidRPr="000C7CFA">
        <w:rPr>
          <w:rFonts w:ascii="Verdana" w:hAnsi="Verdana" w:cs="Times New Roman"/>
          <w:sz w:val="18"/>
          <w:szCs w:val="18"/>
        </w:rPr>
        <w:t>This study is not included in the registration dossier.</w:t>
      </w:r>
    </w:p>
    <w:p w14:paraId="5694823B" w14:textId="77777777" w:rsidR="00015B3F" w:rsidRPr="000C7CFA" w:rsidRDefault="00015B3F" w:rsidP="000153B8">
      <w:pPr>
        <w:pStyle w:val="BodyText"/>
        <w:ind w:right="-52"/>
        <w:jc w:val="left"/>
        <w:rPr>
          <w:rFonts w:ascii="Verdana" w:hAnsi="Verdana"/>
          <w:sz w:val="18"/>
          <w:szCs w:val="18"/>
        </w:rPr>
      </w:pPr>
    </w:p>
    <w:bookmarkEnd w:id="81"/>
    <w:p w14:paraId="33A6E791" w14:textId="77777777" w:rsidR="00ED4213" w:rsidRPr="000C7CFA" w:rsidRDefault="00ED4213" w:rsidP="009B3556">
      <w:pPr>
        <w:pStyle w:val="BodyText"/>
        <w:rPr>
          <w:rFonts w:ascii="Verdana" w:hAnsi="Verdana"/>
          <w:sz w:val="18"/>
          <w:szCs w:val="18"/>
        </w:rPr>
      </w:pPr>
    </w:p>
    <w:p w14:paraId="250E6571" w14:textId="75F159DB" w:rsidR="00B96773" w:rsidRPr="000C7CFA" w:rsidRDefault="00BA0ECA" w:rsidP="00B96773">
      <w:pPr>
        <w:pStyle w:val="Heading1"/>
        <w:rPr>
          <w:rFonts w:ascii="Verdana" w:hAnsi="Verdana"/>
          <w:sz w:val="18"/>
          <w:szCs w:val="18"/>
        </w:rPr>
      </w:pPr>
      <w:bookmarkStart w:id="86" w:name="_Toc491862771"/>
      <w:r w:rsidRPr="000C7CFA">
        <w:rPr>
          <w:rFonts w:ascii="Verdana" w:hAnsi="Verdana"/>
          <w:sz w:val="18"/>
          <w:szCs w:val="18"/>
        </w:rPr>
        <w:lastRenderedPageBreak/>
        <w:t>Human health hazard assessment relevant for the PBT assessment</w:t>
      </w:r>
      <w:bookmarkEnd w:id="86"/>
    </w:p>
    <w:p w14:paraId="345669A2" w14:textId="3FD6E9D2" w:rsidR="00865648" w:rsidRPr="000C7CFA" w:rsidRDefault="00865648" w:rsidP="00865648">
      <w:pPr>
        <w:pStyle w:val="Heading2"/>
        <w:rPr>
          <w:rFonts w:ascii="Verdana" w:hAnsi="Verdana"/>
          <w:sz w:val="18"/>
          <w:szCs w:val="18"/>
        </w:rPr>
      </w:pPr>
      <w:bookmarkStart w:id="87" w:name="_Toc491862772"/>
      <w:r w:rsidRPr="000C7CFA">
        <w:rPr>
          <w:rFonts w:ascii="Verdana" w:hAnsi="Verdana"/>
          <w:sz w:val="18"/>
          <w:szCs w:val="18"/>
        </w:rPr>
        <w:t>Toxicokinetics</w:t>
      </w:r>
      <w:bookmarkEnd w:id="87"/>
    </w:p>
    <w:p w14:paraId="0870B33E" w14:textId="145F562A" w:rsidR="00677B0F" w:rsidRPr="000C7CFA" w:rsidRDefault="00BA0ECA" w:rsidP="00677B0F">
      <w:pPr>
        <w:pStyle w:val="Heading2"/>
        <w:rPr>
          <w:rFonts w:ascii="Verdana" w:hAnsi="Verdana"/>
          <w:sz w:val="18"/>
          <w:szCs w:val="18"/>
        </w:rPr>
      </w:pPr>
      <w:bookmarkStart w:id="88" w:name="_Toc491862773"/>
      <w:r w:rsidRPr="000C7CFA">
        <w:rPr>
          <w:rFonts w:ascii="Verdana" w:hAnsi="Verdana"/>
          <w:sz w:val="18"/>
          <w:szCs w:val="18"/>
        </w:rPr>
        <w:t>Repeated dose toxicity</w:t>
      </w:r>
      <w:bookmarkEnd w:id="88"/>
    </w:p>
    <w:p w14:paraId="66991794" w14:textId="54A4FBA6" w:rsidR="00677B0F" w:rsidRPr="000C7CFA" w:rsidRDefault="00BA0ECA" w:rsidP="00795AF6">
      <w:pPr>
        <w:pStyle w:val="Heading3"/>
        <w:rPr>
          <w:rFonts w:ascii="Verdana" w:hAnsi="Verdana"/>
          <w:sz w:val="18"/>
          <w:szCs w:val="18"/>
        </w:rPr>
      </w:pPr>
      <w:bookmarkStart w:id="89" w:name="_Toc491862774"/>
      <w:r w:rsidRPr="000C7CFA">
        <w:rPr>
          <w:rFonts w:ascii="Verdana" w:hAnsi="Verdana"/>
          <w:sz w:val="18"/>
          <w:szCs w:val="18"/>
        </w:rPr>
        <w:t>Repeated dose toxicity: oral</w:t>
      </w:r>
      <w:bookmarkEnd w:id="89"/>
    </w:p>
    <w:p w14:paraId="1A2A829A" w14:textId="1E2FD071" w:rsidR="001C312D" w:rsidRPr="000C7CFA" w:rsidRDefault="00BA0ECA" w:rsidP="00795AF6">
      <w:pPr>
        <w:pStyle w:val="BodyText"/>
        <w:rPr>
          <w:rFonts w:ascii="Verdana" w:hAnsi="Verdana"/>
          <w:sz w:val="18"/>
          <w:szCs w:val="18"/>
        </w:rPr>
      </w:pPr>
      <w:r w:rsidRPr="000C7CFA">
        <w:rPr>
          <w:rFonts w:ascii="Verdana" w:hAnsi="Verdana"/>
          <w:sz w:val="18"/>
          <w:szCs w:val="18"/>
        </w:rPr>
        <w:t>The data included in the</w:t>
      </w:r>
      <w:r w:rsidR="006E6BE9" w:rsidRPr="000C7CFA">
        <w:rPr>
          <w:rFonts w:ascii="Verdana" w:hAnsi="Verdana"/>
          <w:sz w:val="18"/>
          <w:szCs w:val="18"/>
        </w:rPr>
        <w:t xml:space="preserve"> registration dossier</w:t>
      </w:r>
      <w:r w:rsidRPr="000C7CFA">
        <w:rPr>
          <w:rFonts w:ascii="Verdana" w:hAnsi="Verdana"/>
          <w:sz w:val="18"/>
          <w:szCs w:val="18"/>
        </w:rPr>
        <w:t xml:space="preserve"> by the </w:t>
      </w:r>
      <w:r w:rsidR="007666BB" w:rsidRPr="000C7CFA">
        <w:rPr>
          <w:rFonts w:ascii="Verdana" w:hAnsi="Verdana"/>
          <w:sz w:val="18"/>
          <w:szCs w:val="18"/>
        </w:rPr>
        <w:t>Registrant</w:t>
      </w:r>
      <w:r w:rsidRPr="000C7CFA">
        <w:rPr>
          <w:rFonts w:ascii="Verdana" w:hAnsi="Verdana"/>
          <w:sz w:val="18"/>
          <w:szCs w:val="18"/>
        </w:rPr>
        <w:t xml:space="preserve"> for repeated dose toxicity via the oral route are summarised as follows: </w:t>
      </w:r>
    </w:p>
    <w:p w14:paraId="6BE10EC2" w14:textId="3C573A3A" w:rsidR="007A156A" w:rsidRPr="000C7CFA" w:rsidRDefault="007A156A" w:rsidP="00DC3658">
      <w:pPr>
        <w:pStyle w:val="BodyText"/>
        <w:numPr>
          <w:ilvl w:val="0"/>
          <w:numId w:val="9"/>
        </w:numPr>
        <w:ind w:left="284" w:right="232" w:hanging="284"/>
        <w:rPr>
          <w:rFonts w:ascii="Verdana" w:hAnsi="Verdana"/>
          <w:sz w:val="18"/>
          <w:szCs w:val="18"/>
        </w:rPr>
      </w:pPr>
      <w:r w:rsidRPr="000C7CFA">
        <w:rPr>
          <w:rFonts w:ascii="Verdana" w:hAnsi="Verdana"/>
          <w:sz w:val="18"/>
          <w:szCs w:val="18"/>
        </w:rPr>
        <w:t>A 90-day study in Brown Rat (</w:t>
      </w:r>
      <w:r w:rsidRPr="000C7CFA">
        <w:rPr>
          <w:rFonts w:ascii="Verdana" w:hAnsi="Verdana"/>
          <w:i/>
          <w:sz w:val="18"/>
          <w:szCs w:val="18"/>
        </w:rPr>
        <w:t>Rattus norvegicus</w:t>
      </w:r>
      <w:r w:rsidRPr="000C7CFA">
        <w:rPr>
          <w:rFonts w:ascii="Verdana" w:hAnsi="Verdana"/>
          <w:sz w:val="18"/>
          <w:szCs w:val="18"/>
        </w:rPr>
        <w:t>) (</w:t>
      </w:r>
      <w:r w:rsidRPr="000C7CFA">
        <w:rPr>
          <w:rFonts w:ascii="Verdana" w:hAnsi="Verdana"/>
          <w:sz w:val="18"/>
          <w:szCs w:val="18"/>
          <w:u w:val="single"/>
        </w:rPr>
        <w:t xml:space="preserve">Oscarson </w:t>
      </w:r>
      <w:r w:rsidRPr="000C7CFA">
        <w:rPr>
          <w:rFonts w:ascii="Verdana" w:hAnsi="Verdana"/>
          <w:i/>
          <w:sz w:val="18"/>
          <w:szCs w:val="18"/>
          <w:u w:val="single"/>
        </w:rPr>
        <w:t>et al</w:t>
      </w:r>
      <w:r w:rsidRPr="000C7CFA">
        <w:rPr>
          <w:rFonts w:ascii="Verdana" w:hAnsi="Verdana"/>
          <w:sz w:val="18"/>
          <w:szCs w:val="18"/>
          <w:u w:val="single"/>
        </w:rPr>
        <w:t>., 1975</w:t>
      </w:r>
      <w:r w:rsidRPr="000C7CFA">
        <w:rPr>
          <w:rFonts w:ascii="Verdana" w:hAnsi="Verdana"/>
          <w:sz w:val="18"/>
          <w:szCs w:val="18"/>
        </w:rPr>
        <w:t xml:space="preserve">) </w:t>
      </w:r>
      <w:r w:rsidR="00982A15" w:rsidRPr="000C7CFA">
        <w:rPr>
          <w:rFonts w:ascii="Verdana" w:hAnsi="Verdana"/>
          <w:sz w:val="18"/>
          <w:szCs w:val="18"/>
        </w:rPr>
        <w:t xml:space="preserve">is available, and considered reliable by the Registrant. It was </w:t>
      </w:r>
      <w:r w:rsidRPr="000C7CFA">
        <w:rPr>
          <w:rFonts w:ascii="Verdana" w:hAnsi="Verdana"/>
          <w:sz w:val="18"/>
          <w:szCs w:val="18"/>
        </w:rPr>
        <w:t>conducted according to a protocol equivalent to OECD TG 408 in which the test material was administered to rats in feed</w:t>
      </w:r>
      <w:r w:rsidR="00982A15" w:rsidRPr="000C7CFA">
        <w:rPr>
          <w:rFonts w:ascii="Verdana" w:hAnsi="Verdana"/>
          <w:sz w:val="18"/>
          <w:szCs w:val="18"/>
        </w:rPr>
        <w:t>. The</w:t>
      </w:r>
      <w:r w:rsidRPr="000C7CFA">
        <w:rPr>
          <w:rFonts w:ascii="Verdana" w:hAnsi="Verdana"/>
          <w:sz w:val="18"/>
          <w:szCs w:val="18"/>
        </w:rPr>
        <w:t xml:space="preserve"> NOAEL </w:t>
      </w:r>
      <w:r w:rsidR="00982A15" w:rsidRPr="000C7CFA">
        <w:rPr>
          <w:rFonts w:ascii="Verdana" w:hAnsi="Verdana"/>
          <w:sz w:val="18"/>
          <w:szCs w:val="18"/>
        </w:rPr>
        <w:t>was</w:t>
      </w:r>
      <w:r w:rsidRPr="000C7CFA">
        <w:rPr>
          <w:rFonts w:ascii="Verdana" w:hAnsi="Verdana"/>
          <w:sz w:val="18"/>
          <w:szCs w:val="18"/>
        </w:rPr>
        <w:t xml:space="preserve"> ≥100</w:t>
      </w:r>
      <w:r w:rsidR="002D4EB9" w:rsidRPr="000C7CFA">
        <w:rPr>
          <w:rFonts w:ascii="Verdana" w:hAnsi="Verdana"/>
          <w:sz w:val="18"/>
          <w:szCs w:val="18"/>
        </w:rPr>
        <w:t> </w:t>
      </w:r>
      <w:r w:rsidRPr="000C7CFA">
        <w:rPr>
          <w:rFonts w:ascii="Verdana" w:hAnsi="Verdana"/>
          <w:sz w:val="18"/>
          <w:szCs w:val="18"/>
        </w:rPr>
        <w:t>000 ppm based on the lack of substance related effects. The NOAEL was based on the highest dose tested. No further details were available on substance purity.</w:t>
      </w:r>
    </w:p>
    <w:p w14:paraId="340006E3" w14:textId="0C026B99" w:rsidR="007A156A" w:rsidRPr="000C7CFA" w:rsidRDefault="007A156A" w:rsidP="00DC3658">
      <w:pPr>
        <w:pStyle w:val="BodyText"/>
        <w:numPr>
          <w:ilvl w:val="0"/>
          <w:numId w:val="9"/>
        </w:numPr>
        <w:ind w:left="284" w:right="232" w:hanging="284"/>
        <w:rPr>
          <w:rFonts w:ascii="Verdana" w:hAnsi="Verdana"/>
          <w:sz w:val="18"/>
          <w:szCs w:val="18"/>
        </w:rPr>
      </w:pPr>
      <w:r w:rsidRPr="000C7CFA">
        <w:rPr>
          <w:rFonts w:ascii="Verdana" w:hAnsi="Verdana"/>
          <w:sz w:val="18"/>
          <w:szCs w:val="18"/>
        </w:rPr>
        <w:t xml:space="preserve">A reliable 28-day oral (gavage) study in rats conducted according to the OECD TG 422 reports no test substance-related effects at any dose level </w:t>
      </w:r>
      <w:r w:rsidR="002D4EB9" w:rsidRPr="000C7CFA">
        <w:rPr>
          <w:rFonts w:ascii="Verdana" w:hAnsi="Verdana"/>
          <w:sz w:val="18"/>
          <w:szCs w:val="18"/>
        </w:rPr>
        <w:t>(</w:t>
      </w:r>
      <w:r w:rsidR="002D4EB9" w:rsidRPr="000C7CFA">
        <w:rPr>
          <w:rFonts w:ascii="Verdana" w:hAnsi="Verdana"/>
          <w:sz w:val="18"/>
          <w:szCs w:val="18"/>
          <w:u w:val="single"/>
        </w:rPr>
        <w:t>Schroeder, 2008</w:t>
      </w:r>
      <w:r w:rsidR="002D4EB9" w:rsidRPr="000C7CFA">
        <w:rPr>
          <w:rFonts w:ascii="Verdana" w:hAnsi="Verdana"/>
          <w:sz w:val="18"/>
          <w:szCs w:val="18"/>
        </w:rPr>
        <w:t>). A NOEL of ≥5 </w:t>
      </w:r>
      <w:r w:rsidRPr="000C7CFA">
        <w:rPr>
          <w:rFonts w:ascii="Verdana" w:hAnsi="Verdana"/>
          <w:sz w:val="18"/>
          <w:szCs w:val="18"/>
        </w:rPr>
        <w:t>000 mg/kg bw/day is reported, based on the highest dose tested. The</w:t>
      </w:r>
      <w:r w:rsidR="006E6BE9" w:rsidRPr="000C7CFA">
        <w:rPr>
          <w:rFonts w:ascii="Verdana" w:hAnsi="Verdana"/>
          <w:sz w:val="18"/>
          <w:szCs w:val="18"/>
        </w:rPr>
        <w:t xml:space="preserve"> registration dossier</w:t>
      </w:r>
      <w:r w:rsidRPr="000C7CFA">
        <w:rPr>
          <w:rFonts w:ascii="Verdana" w:hAnsi="Verdana"/>
          <w:sz w:val="18"/>
          <w:szCs w:val="18"/>
        </w:rPr>
        <w:t xml:space="preserve"> states that an analytical certificate on substance purity was included in the original report. No further detail is included in the IUCLID robust study summary, although based on the available information (expressed as a percentage, but without detailed information on composition) the purity appears to be the same as the registered substance. </w:t>
      </w:r>
    </w:p>
    <w:p w14:paraId="00150737" w14:textId="77777777" w:rsidR="007A156A" w:rsidRPr="000C7CFA" w:rsidRDefault="007A156A" w:rsidP="00DC3658">
      <w:pPr>
        <w:pStyle w:val="BodyText"/>
        <w:numPr>
          <w:ilvl w:val="0"/>
          <w:numId w:val="9"/>
        </w:numPr>
        <w:ind w:left="284" w:right="232" w:hanging="284"/>
        <w:rPr>
          <w:rFonts w:ascii="Verdana" w:hAnsi="Verdana"/>
          <w:sz w:val="18"/>
          <w:szCs w:val="18"/>
        </w:rPr>
      </w:pPr>
      <w:r w:rsidRPr="000C7CFA">
        <w:rPr>
          <w:rFonts w:ascii="Verdana" w:hAnsi="Verdana"/>
          <w:sz w:val="18"/>
          <w:szCs w:val="18"/>
          <w:u w:val="single"/>
        </w:rPr>
        <w:t xml:space="preserve">Li </w:t>
      </w:r>
      <w:r w:rsidRPr="000C7CFA">
        <w:rPr>
          <w:rFonts w:ascii="Verdana" w:hAnsi="Verdana"/>
          <w:i/>
          <w:sz w:val="18"/>
          <w:szCs w:val="18"/>
          <w:u w:val="single"/>
        </w:rPr>
        <w:t>et al</w:t>
      </w:r>
      <w:r w:rsidRPr="000C7CFA">
        <w:rPr>
          <w:rFonts w:ascii="Verdana" w:hAnsi="Verdana"/>
          <w:sz w:val="18"/>
          <w:szCs w:val="18"/>
          <w:u w:val="single"/>
        </w:rPr>
        <w:t>. (2013b)</w:t>
      </w:r>
      <w:r w:rsidRPr="000C7CFA">
        <w:rPr>
          <w:rFonts w:ascii="Verdana" w:hAnsi="Verdana"/>
          <w:sz w:val="18"/>
          <w:szCs w:val="18"/>
        </w:rPr>
        <w:t xml:space="preserve"> performed a non-standard 90-day oral study with rats. Dechlorane Plus was administered mixed in corn oil by oral gavage for 90 days, and its distribution to different tissues, gene expression, clinical chemistry parameters and enzyme activity in liver were investigated. The results relevant to repeated dose toxicity include a significant (</w:t>
      </w:r>
      <w:r w:rsidRPr="000C7CFA">
        <w:rPr>
          <w:rFonts w:ascii="Verdana" w:hAnsi="Verdana"/>
          <w:i/>
          <w:sz w:val="18"/>
          <w:szCs w:val="18"/>
        </w:rPr>
        <w:t xml:space="preserve">p </w:t>
      </w:r>
      <w:r w:rsidRPr="000C7CFA">
        <w:rPr>
          <w:rFonts w:ascii="Verdana" w:hAnsi="Verdana"/>
          <w:sz w:val="18"/>
          <w:szCs w:val="18"/>
        </w:rPr>
        <w:t xml:space="preserve">&lt; 0.05) decrease in alanine amino transferase (ALT), alkaline phosphatase (ALP), total bile acids (TBA) and glucose levels. No effect on measured serum thyroid hormone levels was detected. The study does not give full detail on observations, but states that no systemic toxicity was evident. The study includes endpoints (gene expression, enzyme activity, distribution) not included in a standard OECD TG 408 study, but does not report full histopathology or observations, and the group size per dose is less than that specified in OECD TG 408. The </w:t>
      </w:r>
      <w:r w:rsidR="007666BB" w:rsidRPr="000C7CFA">
        <w:rPr>
          <w:rFonts w:ascii="Verdana" w:hAnsi="Verdana"/>
          <w:sz w:val="18"/>
          <w:szCs w:val="18"/>
        </w:rPr>
        <w:t>Registrant</w:t>
      </w:r>
      <w:r w:rsidRPr="000C7CFA">
        <w:rPr>
          <w:rFonts w:ascii="Verdana" w:hAnsi="Verdana"/>
          <w:sz w:val="18"/>
          <w:szCs w:val="18"/>
        </w:rPr>
        <w:t xml:space="preserve"> considers this study to be reliable with restrictions (shortcomings compared to OECD 408 guideline include limited number of animals, maximum dose of 100 mg/kg bw/d and it remains unclear whether no effects were seen or whether such further observations and endpoints on histopathology were not made).</w:t>
      </w:r>
    </w:p>
    <w:p w14:paraId="41C266CD" w14:textId="016ED72A" w:rsidR="00567173" w:rsidRPr="000C7CFA" w:rsidRDefault="0060361F" w:rsidP="00567173">
      <w:pPr>
        <w:pStyle w:val="BodyText"/>
        <w:rPr>
          <w:rFonts w:ascii="Verdana" w:hAnsi="Verdana"/>
          <w:sz w:val="18"/>
          <w:szCs w:val="18"/>
        </w:rPr>
      </w:pPr>
      <w:r w:rsidRPr="000C7CFA">
        <w:rPr>
          <w:rFonts w:ascii="Verdana" w:hAnsi="Verdana"/>
          <w:sz w:val="18"/>
          <w:szCs w:val="18"/>
        </w:rPr>
        <w:t>A</w:t>
      </w:r>
      <w:r w:rsidR="00567173" w:rsidRPr="000C7CFA">
        <w:rPr>
          <w:rFonts w:ascii="Verdana" w:hAnsi="Verdana"/>
          <w:sz w:val="18"/>
          <w:szCs w:val="18"/>
        </w:rPr>
        <w:t xml:space="preserve">nother study </w:t>
      </w:r>
      <w:r w:rsidRPr="000C7CFA">
        <w:rPr>
          <w:rFonts w:ascii="Verdana" w:hAnsi="Verdana"/>
          <w:sz w:val="18"/>
          <w:szCs w:val="18"/>
        </w:rPr>
        <w:t xml:space="preserve">is available </w:t>
      </w:r>
      <w:r w:rsidR="00567173" w:rsidRPr="000C7CFA">
        <w:rPr>
          <w:rFonts w:ascii="Verdana" w:hAnsi="Verdana"/>
          <w:sz w:val="18"/>
          <w:szCs w:val="18"/>
        </w:rPr>
        <w:t xml:space="preserve">in the open literature that has not been considered by the </w:t>
      </w:r>
      <w:r w:rsidR="00A43C45" w:rsidRPr="000C7CFA">
        <w:rPr>
          <w:rFonts w:ascii="Verdana" w:hAnsi="Verdana"/>
          <w:sz w:val="18"/>
          <w:szCs w:val="18"/>
        </w:rPr>
        <w:t>Registrant</w:t>
      </w:r>
      <w:r w:rsidR="00567173" w:rsidRPr="000C7CFA">
        <w:rPr>
          <w:rFonts w:ascii="Verdana" w:hAnsi="Verdana"/>
          <w:sz w:val="18"/>
          <w:szCs w:val="18"/>
        </w:rPr>
        <w:t>:</w:t>
      </w:r>
    </w:p>
    <w:p w14:paraId="59EEAB8D" w14:textId="241E09EB" w:rsidR="00567173" w:rsidRPr="000C7CFA" w:rsidRDefault="00F12A6F" w:rsidP="00DC3658">
      <w:pPr>
        <w:pStyle w:val="BodyText"/>
        <w:numPr>
          <w:ilvl w:val="0"/>
          <w:numId w:val="9"/>
        </w:numPr>
        <w:autoSpaceDE w:val="0"/>
        <w:autoSpaceDN w:val="0"/>
        <w:adjustRightInd w:val="0"/>
        <w:spacing w:after="120"/>
        <w:ind w:left="284" w:right="232" w:hanging="284"/>
        <w:rPr>
          <w:rFonts w:ascii="Verdana" w:hAnsi="Verdana"/>
          <w:sz w:val="18"/>
          <w:szCs w:val="18"/>
        </w:rPr>
      </w:pPr>
      <w:r w:rsidRPr="000C7CFA">
        <w:rPr>
          <w:rFonts w:ascii="Verdana" w:hAnsi="Verdana"/>
          <w:sz w:val="18"/>
          <w:szCs w:val="18"/>
          <w:u w:val="single"/>
        </w:rPr>
        <w:t xml:space="preserve">Wu </w:t>
      </w:r>
      <w:r w:rsidRPr="000C7CFA">
        <w:rPr>
          <w:rFonts w:ascii="Verdana" w:hAnsi="Verdana"/>
          <w:i/>
          <w:sz w:val="18"/>
          <w:szCs w:val="18"/>
          <w:u w:val="single"/>
        </w:rPr>
        <w:t>et al</w:t>
      </w:r>
      <w:r w:rsidRPr="000C7CFA">
        <w:rPr>
          <w:rFonts w:ascii="Verdana" w:hAnsi="Verdana"/>
          <w:sz w:val="18"/>
          <w:szCs w:val="18"/>
          <w:u w:val="single"/>
        </w:rPr>
        <w:t>. (2012)</w:t>
      </w:r>
      <w:r w:rsidRPr="000C7CFA">
        <w:rPr>
          <w:rFonts w:ascii="Verdana" w:hAnsi="Verdana"/>
          <w:sz w:val="18"/>
          <w:szCs w:val="18"/>
        </w:rPr>
        <w:t xml:space="preserve"> exposed mice (</w:t>
      </w:r>
      <w:r w:rsidRPr="000C7CFA">
        <w:rPr>
          <w:rFonts w:ascii="Verdana" w:hAnsi="Verdana"/>
          <w:i/>
          <w:sz w:val="18"/>
          <w:szCs w:val="18"/>
        </w:rPr>
        <w:t>Mus musculus</w:t>
      </w:r>
      <w:r w:rsidRPr="000C7CFA">
        <w:rPr>
          <w:rFonts w:ascii="Verdana" w:hAnsi="Verdana"/>
          <w:sz w:val="18"/>
          <w:szCs w:val="18"/>
        </w:rPr>
        <w:t>) to Dechlorane Plus to assess its effects on biomolecular parameters in the liver. Twenty-four six-week-old male mice were randomly allocated to four equal groups, which were then exposed by gavage daily to either corn oil (the control) or Dechlorane Plus in corn oil at 500, 2</w:t>
      </w:r>
      <w:r w:rsidR="002D4EB9" w:rsidRPr="000C7CFA">
        <w:rPr>
          <w:rFonts w:ascii="Verdana" w:hAnsi="Verdana"/>
          <w:sz w:val="18"/>
          <w:szCs w:val="18"/>
        </w:rPr>
        <w:t> </w:t>
      </w:r>
      <w:r w:rsidRPr="000C7CFA">
        <w:rPr>
          <w:rFonts w:ascii="Verdana" w:hAnsi="Verdana"/>
          <w:sz w:val="18"/>
          <w:szCs w:val="18"/>
        </w:rPr>
        <w:t>000 or 5</w:t>
      </w:r>
      <w:r w:rsidR="002D4EB9" w:rsidRPr="000C7CFA">
        <w:rPr>
          <w:rFonts w:ascii="Verdana" w:hAnsi="Verdana"/>
          <w:sz w:val="18"/>
          <w:szCs w:val="18"/>
        </w:rPr>
        <w:t> </w:t>
      </w:r>
      <w:r w:rsidRPr="000C7CFA">
        <w:rPr>
          <w:rFonts w:ascii="Verdana" w:hAnsi="Verdana"/>
          <w:sz w:val="18"/>
          <w:szCs w:val="18"/>
        </w:rPr>
        <w:t>000 mg/kg bw for a period of 10 days. Livers were removed after sacrifice and analys</w:t>
      </w:r>
      <w:r w:rsidR="00BC58D9" w:rsidRPr="000C7CFA">
        <w:rPr>
          <w:rFonts w:ascii="Verdana" w:hAnsi="Verdana"/>
          <w:sz w:val="18"/>
          <w:szCs w:val="18"/>
        </w:rPr>
        <w:t xml:space="preserve">ed for signs of </w:t>
      </w:r>
      <w:r w:rsidRPr="000C7CFA">
        <w:rPr>
          <w:rFonts w:ascii="Verdana" w:hAnsi="Verdana"/>
          <w:sz w:val="18"/>
          <w:szCs w:val="18"/>
        </w:rPr>
        <w:t>oxidative stress</w:t>
      </w:r>
      <w:r w:rsidR="00BC58D9" w:rsidRPr="000C7CFA">
        <w:rPr>
          <w:rFonts w:ascii="Verdana" w:hAnsi="Verdana"/>
          <w:sz w:val="18"/>
          <w:szCs w:val="18"/>
        </w:rPr>
        <w:t xml:space="preserve">, </w:t>
      </w:r>
      <w:r w:rsidRPr="000C7CFA">
        <w:rPr>
          <w:rFonts w:ascii="Verdana" w:hAnsi="Verdana"/>
          <w:color w:val="000000"/>
          <w:sz w:val="18"/>
          <w:szCs w:val="18"/>
        </w:rPr>
        <w:t>DNA adduct formation and oxidative DNA damage</w:t>
      </w:r>
      <w:r w:rsidR="00BC58D9" w:rsidRPr="000C7CFA">
        <w:rPr>
          <w:rFonts w:ascii="Verdana" w:hAnsi="Verdana"/>
          <w:color w:val="000000"/>
          <w:sz w:val="18"/>
          <w:szCs w:val="18"/>
        </w:rPr>
        <w:t xml:space="preserve">, </w:t>
      </w:r>
      <w:r w:rsidRPr="000C7CFA">
        <w:rPr>
          <w:rFonts w:ascii="Verdana" w:hAnsi="Verdana"/>
          <w:sz w:val="18"/>
          <w:szCs w:val="18"/>
        </w:rPr>
        <w:t>DNA</w:t>
      </w:r>
      <w:r w:rsidR="00BC58D9" w:rsidRPr="000C7CFA">
        <w:rPr>
          <w:rFonts w:ascii="Verdana" w:hAnsi="Verdana"/>
          <w:sz w:val="18"/>
          <w:szCs w:val="18"/>
        </w:rPr>
        <w:t xml:space="preserve"> strand breaks, gene expression and hepatic metabolites.</w:t>
      </w:r>
    </w:p>
    <w:p w14:paraId="343828F9" w14:textId="04ED038C" w:rsidR="000B6ED0" w:rsidRPr="000C7CFA" w:rsidRDefault="00BC58D9" w:rsidP="00567173">
      <w:pPr>
        <w:pStyle w:val="BodyText"/>
        <w:autoSpaceDE w:val="0"/>
        <w:autoSpaceDN w:val="0"/>
        <w:adjustRightInd w:val="0"/>
        <w:spacing w:after="120"/>
        <w:ind w:left="284" w:right="232"/>
        <w:rPr>
          <w:rFonts w:ascii="Verdana" w:hAnsi="Verdana"/>
          <w:sz w:val="18"/>
          <w:szCs w:val="18"/>
        </w:rPr>
      </w:pPr>
      <w:r w:rsidRPr="000C7CFA">
        <w:rPr>
          <w:rFonts w:ascii="Verdana" w:hAnsi="Verdana"/>
          <w:color w:val="000000"/>
          <w:sz w:val="18"/>
          <w:szCs w:val="18"/>
        </w:rPr>
        <w:t>There w</w:t>
      </w:r>
      <w:r w:rsidR="007F0AFE" w:rsidRPr="000C7CFA">
        <w:rPr>
          <w:rFonts w:ascii="Verdana" w:hAnsi="Verdana"/>
          <w:color w:val="000000"/>
          <w:sz w:val="18"/>
          <w:szCs w:val="18"/>
        </w:rPr>
        <w:t>ere</w:t>
      </w:r>
      <w:r w:rsidRPr="000C7CFA">
        <w:rPr>
          <w:rFonts w:ascii="Verdana" w:hAnsi="Verdana"/>
          <w:color w:val="000000"/>
          <w:sz w:val="18"/>
          <w:szCs w:val="18"/>
        </w:rPr>
        <w:t xml:space="preserve"> n</w:t>
      </w:r>
      <w:r w:rsidR="00F12A6F" w:rsidRPr="000C7CFA">
        <w:rPr>
          <w:rFonts w:ascii="Verdana" w:hAnsi="Verdana"/>
          <w:color w:val="000000"/>
          <w:sz w:val="18"/>
          <w:szCs w:val="18"/>
        </w:rPr>
        <w:t>o significant treatment-related changes in body weight or relative weight of kidneys and testicles</w:t>
      </w:r>
      <w:r w:rsidRPr="000C7CFA">
        <w:rPr>
          <w:rFonts w:ascii="Verdana" w:hAnsi="Verdana"/>
          <w:color w:val="000000"/>
          <w:sz w:val="18"/>
          <w:szCs w:val="18"/>
        </w:rPr>
        <w:t>, but a</w:t>
      </w:r>
      <w:r w:rsidR="006320F3" w:rsidRPr="000C7CFA">
        <w:rPr>
          <w:rFonts w:ascii="Verdana" w:hAnsi="Verdana"/>
          <w:color w:val="000000"/>
          <w:sz w:val="18"/>
          <w:szCs w:val="18"/>
        </w:rPr>
        <w:t>n increase in relative liver weight was observed, which was statistically significant for the 2</w:t>
      </w:r>
      <w:r w:rsidR="002D4EB9" w:rsidRPr="000C7CFA">
        <w:rPr>
          <w:rFonts w:ascii="Verdana" w:hAnsi="Verdana"/>
          <w:color w:val="000000"/>
          <w:sz w:val="18"/>
          <w:szCs w:val="18"/>
        </w:rPr>
        <w:t> </w:t>
      </w:r>
      <w:r w:rsidR="006320F3" w:rsidRPr="000C7CFA">
        <w:rPr>
          <w:rFonts w:ascii="Verdana" w:hAnsi="Verdana"/>
          <w:color w:val="000000"/>
          <w:sz w:val="18"/>
          <w:szCs w:val="18"/>
        </w:rPr>
        <w:t>000 mg/kg treatment group (</w:t>
      </w:r>
      <w:r w:rsidR="006320F3" w:rsidRPr="000C7CFA">
        <w:rPr>
          <w:rFonts w:ascii="Verdana" w:hAnsi="Verdana"/>
          <w:i/>
          <w:color w:val="000000"/>
          <w:sz w:val="18"/>
          <w:szCs w:val="18"/>
        </w:rPr>
        <w:t>p</w:t>
      </w:r>
      <w:r w:rsidR="006320F3" w:rsidRPr="000C7CFA">
        <w:rPr>
          <w:rFonts w:ascii="Verdana" w:hAnsi="Verdana"/>
          <w:color w:val="000000"/>
          <w:sz w:val="18"/>
          <w:szCs w:val="18"/>
        </w:rPr>
        <w:t xml:space="preserve"> &lt; 0.05). </w:t>
      </w:r>
      <w:r w:rsidR="00F12A6F" w:rsidRPr="000C7CFA">
        <w:rPr>
          <w:rFonts w:ascii="Verdana" w:hAnsi="Verdana"/>
          <w:sz w:val="18"/>
          <w:szCs w:val="18"/>
        </w:rPr>
        <w:t xml:space="preserve">The results indicate that after 10 days’ oral exposure, oxidative stress and damage was induced in male mouse livers at 500 mg/kg bw and above, with altered hepatic </w:t>
      </w:r>
      <w:r w:rsidR="00F12A6F" w:rsidRPr="000C7CFA">
        <w:rPr>
          <w:rFonts w:ascii="Verdana" w:hAnsi="Verdana"/>
          <w:sz w:val="18"/>
          <w:szCs w:val="18"/>
        </w:rPr>
        <w:lastRenderedPageBreak/>
        <w:t xml:space="preserve">carbohydrate, lipid, nucleotide and energy metabolism as well as signal transduction processes.  </w:t>
      </w:r>
      <w:r w:rsidRPr="000C7CFA">
        <w:rPr>
          <w:rFonts w:ascii="Verdana" w:hAnsi="Verdana"/>
          <w:color w:val="000000"/>
          <w:sz w:val="18"/>
          <w:szCs w:val="18"/>
        </w:rPr>
        <w:t xml:space="preserve">However, DNA strand breaks did not occur. </w:t>
      </w:r>
      <w:r w:rsidR="00F12A6F" w:rsidRPr="000C7CFA">
        <w:rPr>
          <w:rFonts w:ascii="Verdana" w:hAnsi="Verdana"/>
          <w:sz w:val="18"/>
          <w:szCs w:val="18"/>
        </w:rPr>
        <w:t xml:space="preserve">The study authors concluded that Dechlorane Plus </w:t>
      </w:r>
      <w:r w:rsidR="00C04396" w:rsidRPr="000C7CFA">
        <w:rPr>
          <w:rFonts w:ascii="Verdana" w:hAnsi="Verdana"/>
          <w:sz w:val="18"/>
          <w:szCs w:val="18"/>
        </w:rPr>
        <w:t>may</w:t>
      </w:r>
      <w:r w:rsidR="006320F3" w:rsidRPr="000C7CFA">
        <w:rPr>
          <w:rFonts w:ascii="Verdana" w:hAnsi="Verdana"/>
          <w:sz w:val="18"/>
          <w:szCs w:val="18"/>
        </w:rPr>
        <w:t xml:space="preserve"> cause liver impairment. </w:t>
      </w:r>
      <w:r w:rsidR="00F12A6F" w:rsidRPr="000C7CFA">
        <w:rPr>
          <w:rFonts w:ascii="Verdana" w:hAnsi="Verdana"/>
          <w:sz w:val="18"/>
          <w:szCs w:val="18"/>
        </w:rPr>
        <w:t>There is no framework to assess the significance of these findings in relation to the Annex XIII criteria, but the results</w:t>
      </w:r>
      <w:r w:rsidR="005B6B2B" w:rsidRPr="000C7CFA">
        <w:rPr>
          <w:rFonts w:ascii="Verdana" w:hAnsi="Verdana"/>
          <w:sz w:val="18"/>
          <w:szCs w:val="18"/>
        </w:rPr>
        <w:t xml:space="preserve"> are interpreted</w:t>
      </w:r>
      <w:r w:rsidR="00F12A6F" w:rsidRPr="000C7CFA">
        <w:rPr>
          <w:rFonts w:ascii="Verdana" w:hAnsi="Verdana"/>
          <w:sz w:val="18"/>
          <w:szCs w:val="18"/>
        </w:rPr>
        <w:t xml:space="preserve"> to mean that a toxic effect cannot be excluded</w:t>
      </w:r>
      <w:r w:rsidR="007F0AFE" w:rsidRPr="000C7CFA">
        <w:rPr>
          <w:rFonts w:ascii="Verdana" w:hAnsi="Verdana"/>
          <w:sz w:val="18"/>
          <w:szCs w:val="18"/>
        </w:rPr>
        <w:t xml:space="preserve"> over longer timescales</w:t>
      </w:r>
      <w:r w:rsidR="00F12A6F" w:rsidRPr="000C7CFA">
        <w:rPr>
          <w:rFonts w:ascii="Verdana" w:hAnsi="Verdana"/>
          <w:sz w:val="18"/>
          <w:szCs w:val="18"/>
        </w:rPr>
        <w:t>.</w:t>
      </w:r>
    </w:p>
    <w:p w14:paraId="3BCB23AE" w14:textId="1E9E23F2" w:rsidR="001B58C1" w:rsidRPr="000C7CFA" w:rsidRDefault="00BA0ECA" w:rsidP="001B58C1">
      <w:pPr>
        <w:pStyle w:val="Heading3"/>
        <w:rPr>
          <w:rFonts w:ascii="Verdana" w:hAnsi="Verdana"/>
          <w:sz w:val="18"/>
          <w:szCs w:val="18"/>
        </w:rPr>
      </w:pPr>
      <w:bookmarkStart w:id="90" w:name="_Toc491862775"/>
      <w:r w:rsidRPr="000C7CFA">
        <w:rPr>
          <w:rFonts w:ascii="Verdana" w:hAnsi="Verdana"/>
          <w:sz w:val="18"/>
          <w:szCs w:val="18"/>
        </w:rPr>
        <w:t>Repeated dose toxicity: inhalation</w:t>
      </w:r>
      <w:bookmarkEnd w:id="90"/>
    </w:p>
    <w:p w14:paraId="7B249643" w14:textId="4B5BA1AD" w:rsidR="00164AAA" w:rsidRPr="000C7CFA" w:rsidRDefault="00BA0ECA" w:rsidP="00795AF6">
      <w:pPr>
        <w:pStyle w:val="BodyText"/>
        <w:rPr>
          <w:rFonts w:ascii="Verdana" w:hAnsi="Verdana"/>
          <w:sz w:val="18"/>
          <w:szCs w:val="18"/>
        </w:rPr>
      </w:pPr>
      <w:r w:rsidRPr="000C7CFA">
        <w:rPr>
          <w:rFonts w:ascii="Verdana" w:hAnsi="Verdana"/>
          <w:sz w:val="18"/>
          <w:szCs w:val="18"/>
        </w:rPr>
        <w:t>A 28-day study, conducted according to a protocol equivalent to OECD TG 412, is included in the</w:t>
      </w:r>
      <w:r w:rsidR="006E6BE9" w:rsidRPr="000C7CFA">
        <w:rPr>
          <w:rFonts w:ascii="Verdana" w:hAnsi="Verdana"/>
          <w:sz w:val="18"/>
          <w:szCs w:val="18"/>
        </w:rPr>
        <w:t xml:space="preserve"> registration dossier</w:t>
      </w:r>
      <w:r w:rsidR="00982A15" w:rsidRPr="000C7CFA">
        <w:rPr>
          <w:rFonts w:ascii="Verdana" w:hAnsi="Verdana"/>
          <w:sz w:val="18"/>
          <w:szCs w:val="18"/>
        </w:rPr>
        <w:t xml:space="preserve"> and considered reliable by the Registrant</w:t>
      </w:r>
      <w:r w:rsidRPr="000C7CFA">
        <w:rPr>
          <w:rFonts w:ascii="Verdana" w:hAnsi="Verdana"/>
          <w:sz w:val="18"/>
          <w:szCs w:val="18"/>
        </w:rPr>
        <w:t xml:space="preserve"> (</w:t>
      </w:r>
      <w:r w:rsidRPr="000C7CFA">
        <w:rPr>
          <w:rFonts w:ascii="Verdana" w:hAnsi="Verdana"/>
          <w:sz w:val="18"/>
          <w:szCs w:val="18"/>
          <w:u w:val="single"/>
        </w:rPr>
        <w:t>Hooker Chemical Corporation, 1975</w:t>
      </w:r>
      <w:r w:rsidRPr="000C7CFA">
        <w:rPr>
          <w:rFonts w:ascii="Verdana" w:hAnsi="Verdana"/>
          <w:sz w:val="18"/>
          <w:szCs w:val="18"/>
        </w:rPr>
        <w:t>). No details are available on substance purity or composition. Analytical verification of test concentrations was carried out. A NOAEC of 1.524</w:t>
      </w:r>
      <w:r w:rsidR="00982A15" w:rsidRPr="000C7CFA">
        <w:rPr>
          <w:rFonts w:ascii="Verdana" w:hAnsi="Verdana"/>
          <w:sz w:val="18"/>
          <w:szCs w:val="18"/>
        </w:rPr>
        <w:t> </w:t>
      </w:r>
      <w:r w:rsidR="001C7584" w:rsidRPr="000C7CFA">
        <w:rPr>
          <w:rFonts w:ascii="Verdana" w:hAnsi="Verdana"/>
          <w:sz w:val="18"/>
          <w:szCs w:val="18"/>
        </w:rPr>
        <w:t>mg/L</w:t>
      </w:r>
      <w:r w:rsidRPr="000C7CFA">
        <w:rPr>
          <w:rFonts w:ascii="Verdana" w:hAnsi="Verdana"/>
          <w:sz w:val="18"/>
          <w:szCs w:val="18"/>
        </w:rPr>
        <w:t xml:space="preserve"> air (dust, highest concentration tested) is reported in male and female animals based on increased liver weights due to hepatocellular hypertrophy, increased lung weights and slight diuresis. The observed effects are described by study authors to be due to functional adaptation. </w:t>
      </w:r>
    </w:p>
    <w:p w14:paraId="45A57031" w14:textId="2FBC3695" w:rsidR="007E5F5F" w:rsidRPr="000C7CFA" w:rsidRDefault="00BA0ECA" w:rsidP="00795AF6">
      <w:pPr>
        <w:pStyle w:val="Heading3"/>
        <w:rPr>
          <w:rFonts w:ascii="Verdana" w:hAnsi="Verdana"/>
          <w:sz w:val="18"/>
          <w:szCs w:val="18"/>
        </w:rPr>
      </w:pPr>
      <w:bookmarkStart w:id="91" w:name="_Toc491862776"/>
      <w:r w:rsidRPr="000C7CFA">
        <w:rPr>
          <w:rFonts w:ascii="Verdana" w:hAnsi="Verdana"/>
          <w:sz w:val="18"/>
          <w:szCs w:val="18"/>
        </w:rPr>
        <w:t>Repeated dose toxicity: dermal</w:t>
      </w:r>
      <w:bookmarkEnd w:id="91"/>
    </w:p>
    <w:p w14:paraId="76CDD858" w14:textId="49166BF2" w:rsidR="007E5F5F" w:rsidRPr="000C7CFA" w:rsidRDefault="00BA0ECA" w:rsidP="00795AF6">
      <w:pPr>
        <w:pStyle w:val="BodyText"/>
        <w:rPr>
          <w:rFonts w:ascii="Verdana" w:hAnsi="Verdana"/>
          <w:sz w:val="18"/>
          <w:szCs w:val="18"/>
        </w:rPr>
      </w:pPr>
      <w:r w:rsidRPr="000C7CFA">
        <w:rPr>
          <w:rFonts w:ascii="Verdana" w:hAnsi="Verdana"/>
          <w:sz w:val="18"/>
          <w:szCs w:val="18"/>
        </w:rPr>
        <w:t xml:space="preserve">A </w:t>
      </w:r>
      <w:r w:rsidR="00C04396" w:rsidRPr="000C7CFA">
        <w:rPr>
          <w:rFonts w:ascii="Verdana" w:hAnsi="Verdana"/>
          <w:sz w:val="18"/>
          <w:szCs w:val="18"/>
        </w:rPr>
        <w:t xml:space="preserve">28-d </w:t>
      </w:r>
      <w:r w:rsidRPr="000C7CFA">
        <w:rPr>
          <w:rFonts w:ascii="Verdana" w:hAnsi="Verdana"/>
          <w:sz w:val="18"/>
          <w:szCs w:val="18"/>
        </w:rPr>
        <w:t xml:space="preserve">repeated dose toxicity study </w:t>
      </w:r>
      <w:r w:rsidR="00C04396" w:rsidRPr="000C7CFA">
        <w:rPr>
          <w:rFonts w:ascii="Verdana" w:hAnsi="Verdana"/>
          <w:sz w:val="18"/>
          <w:szCs w:val="18"/>
        </w:rPr>
        <w:t xml:space="preserve">in rabbits was </w:t>
      </w:r>
      <w:r w:rsidRPr="000C7CFA">
        <w:rPr>
          <w:rFonts w:ascii="Verdana" w:hAnsi="Verdana"/>
          <w:sz w:val="18"/>
          <w:szCs w:val="18"/>
        </w:rPr>
        <w:t>conducted according to a protocol equivalent to OECD TG 410 (</w:t>
      </w:r>
      <w:r w:rsidRPr="000C7CFA">
        <w:rPr>
          <w:rFonts w:ascii="Verdana" w:hAnsi="Verdana"/>
          <w:sz w:val="18"/>
          <w:szCs w:val="18"/>
          <w:u w:val="single"/>
        </w:rPr>
        <w:t xml:space="preserve">Tryzna </w:t>
      </w:r>
      <w:r w:rsidRPr="000C7CFA">
        <w:rPr>
          <w:rFonts w:ascii="Verdana" w:hAnsi="Verdana"/>
          <w:i/>
          <w:sz w:val="18"/>
          <w:szCs w:val="18"/>
          <w:u w:val="single"/>
        </w:rPr>
        <w:t>et al</w:t>
      </w:r>
      <w:r w:rsidRPr="000C7CFA">
        <w:rPr>
          <w:rFonts w:ascii="Verdana" w:hAnsi="Verdana"/>
          <w:sz w:val="18"/>
          <w:szCs w:val="18"/>
          <w:u w:val="single"/>
        </w:rPr>
        <w:t>., 1975</w:t>
      </w:r>
      <w:r w:rsidRPr="000C7CFA">
        <w:rPr>
          <w:rFonts w:ascii="Verdana" w:hAnsi="Verdana"/>
          <w:sz w:val="18"/>
          <w:szCs w:val="18"/>
        </w:rPr>
        <w:t>). The NOAEL is reported to be &gt;2</w:t>
      </w:r>
      <w:r w:rsidR="002D4EB9" w:rsidRPr="000C7CFA">
        <w:rPr>
          <w:rFonts w:ascii="Verdana" w:hAnsi="Verdana"/>
          <w:sz w:val="18"/>
          <w:szCs w:val="18"/>
        </w:rPr>
        <w:t> </w:t>
      </w:r>
      <w:r w:rsidRPr="000C7CFA">
        <w:rPr>
          <w:rFonts w:ascii="Verdana" w:hAnsi="Verdana"/>
          <w:sz w:val="18"/>
          <w:szCs w:val="18"/>
        </w:rPr>
        <w:t xml:space="preserve">000 mg/kg bw/day </w:t>
      </w:r>
      <w:r w:rsidR="00302E75" w:rsidRPr="000C7CFA">
        <w:rPr>
          <w:rFonts w:ascii="Verdana" w:hAnsi="Verdana"/>
          <w:sz w:val="18"/>
          <w:szCs w:val="18"/>
        </w:rPr>
        <w:t>based on the observation of</w:t>
      </w:r>
      <w:r w:rsidRPr="000C7CFA">
        <w:rPr>
          <w:rFonts w:ascii="Verdana" w:hAnsi="Verdana"/>
          <w:sz w:val="18"/>
          <w:szCs w:val="18"/>
        </w:rPr>
        <w:t xml:space="preserve"> no evident systemic effects </w:t>
      </w:r>
      <w:r w:rsidR="00302E75" w:rsidRPr="000C7CFA">
        <w:rPr>
          <w:rFonts w:ascii="Verdana" w:hAnsi="Verdana"/>
          <w:sz w:val="18"/>
          <w:szCs w:val="18"/>
        </w:rPr>
        <w:t xml:space="preserve">(including on organ weights) </w:t>
      </w:r>
      <w:r w:rsidRPr="000C7CFA">
        <w:rPr>
          <w:rFonts w:ascii="Verdana" w:hAnsi="Verdana"/>
          <w:sz w:val="18"/>
          <w:szCs w:val="18"/>
        </w:rPr>
        <w:t>and minimal, barely perceptible local irritation in the animals</w:t>
      </w:r>
      <w:r w:rsidR="00302E75" w:rsidRPr="000C7CFA">
        <w:rPr>
          <w:rFonts w:ascii="Verdana" w:hAnsi="Verdana"/>
          <w:sz w:val="18"/>
          <w:szCs w:val="18"/>
        </w:rPr>
        <w:t>, at the highest dose tested</w:t>
      </w:r>
      <w:r w:rsidRPr="000C7CFA">
        <w:rPr>
          <w:rFonts w:ascii="Verdana" w:hAnsi="Verdana"/>
          <w:sz w:val="18"/>
          <w:szCs w:val="18"/>
        </w:rPr>
        <w:t>. No information is available on the purity or composition of the test material.</w:t>
      </w:r>
    </w:p>
    <w:p w14:paraId="51F1B249" w14:textId="0AF18AFB" w:rsidR="00164AAA" w:rsidRPr="000C7CFA" w:rsidRDefault="00BA0ECA" w:rsidP="00164AAA">
      <w:pPr>
        <w:pStyle w:val="Heading3"/>
        <w:rPr>
          <w:rFonts w:ascii="Verdana" w:hAnsi="Verdana"/>
          <w:sz w:val="18"/>
          <w:szCs w:val="18"/>
        </w:rPr>
      </w:pPr>
      <w:bookmarkStart w:id="92" w:name="_Toc491862777"/>
      <w:r w:rsidRPr="000C7CFA">
        <w:rPr>
          <w:rFonts w:ascii="Verdana" w:hAnsi="Verdana"/>
          <w:sz w:val="18"/>
          <w:szCs w:val="18"/>
        </w:rPr>
        <w:t>Summary and discussion of repeated dose toxicity</w:t>
      </w:r>
      <w:bookmarkEnd w:id="92"/>
    </w:p>
    <w:p w14:paraId="40518059" w14:textId="0C3C67C7" w:rsidR="00567173" w:rsidRPr="000C7CFA" w:rsidRDefault="00BA0ECA" w:rsidP="00795AF6">
      <w:pPr>
        <w:pStyle w:val="BodyText"/>
        <w:rPr>
          <w:rFonts w:ascii="Verdana" w:hAnsi="Verdana"/>
          <w:sz w:val="18"/>
          <w:szCs w:val="18"/>
        </w:rPr>
      </w:pPr>
      <w:r w:rsidRPr="000C7CFA">
        <w:rPr>
          <w:rFonts w:ascii="Verdana" w:hAnsi="Verdana"/>
          <w:sz w:val="18"/>
          <w:szCs w:val="18"/>
        </w:rPr>
        <w:t>Reliable data are available via the oral, inhalation and dermal routes for repeated dose toxicity. No specific target organ toxicity is reported in any of the available studies, and clinical signs are described as minimal.</w:t>
      </w:r>
      <w:r w:rsidR="00F678F1" w:rsidRPr="000C7CFA">
        <w:rPr>
          <w:rFonts w:ascii="Verdana" w:hAnsi="Verdana"/>
          <w:sz w:val="18"/>
          <w:szCs w:val="18"/>
        </w:rPr>
        <w:t xml:space="preserve"> Some changes in biochemical parameters in liver tissue in both rats and mice </w:t>
      </w:r>
      <w:r w:rsidR="00567173" w:rsidRPr="000C7CFA">
        <w:rPr>
          <w:rFonts w:ascii="Verdana" w:hAnsi="Verdana"/>
          <w:sz w:val="18"/>
          <w:szCs w:val="18"/>
        </w:rPr>
        <w:t>have been</w:t>
      </w:r>
      <w:r w:rsidR="00F678F1" w:rsidRPr="000C7CFA">
        <w:rPr>
          <w:rFonts w:ascii="Verdana" w:hAnsi="Verdana"/>
          <w:sz w:val="18"/>
          <w:szCs w:val="18"/>
        </w:rPr>
        <w:t xml:space="preserve"> reported</w:t>
      </w:r>
      <w:r w:rsidR="00567173" w:rsidRPr="000C7CFA">
        <w:rPr>
          <w:rFonts w:ascii="Verdana" w:hAnsi="Verdana"/>
          <w:sz w:val="18"/>
          <w:szCs w:val="18"/>
        </w:rPr>
        <w:t xml:space="preserve"> following oral exposure, and although these might not be adverse, a toxic effect cannot be excluded over longer timescales</w:t>
      </w:r>
      <w:r w:rsidR="00F678F1" w:rsidRPr="000C7CFA">
        <w:rPr>
          <w:rFonts w:ascii="Verdana" w:hAnsi="Verdana"/>
          <w:sz w:val="18"/>
          <w:szCs w:val="18"/>
        </w:rPr>
        <w:t>.</w:t>
      </w:r>
      <w:r w:rsidRPr="000C7CFA">
        <w:rPr>
          <w:rFonts w:ascii="Verdana" w:hAnsi="Verdana"/>
          <w:sz w:val="18"/>
          <w:szCs w:val="18"/>
        </w:rPr>
        <w:t xml:space="preserve"> </w:t>
      </w:r>
      <w:r w:rsidR="0060361F" w:rsidRPr="000C7CFA">
        <w:rPr>
          <w:rFonts w:ascii="Verdana" w:hAnsi="Verdana"/>
          <w:sz w:val="18"/>
          <w:szCs w:val="18"/>
        </w:rPr>
        <w:t>I</w:t>
      </w:r>
      <w:r w:rsidR="00567173" w:rsidRPr="000C7CFA">
        <w:rPr>
          <w:rFonts w:ascii="Verdana" w:hAnsi="Verdana"/>
          <w:sz w:val="18"/>
          <w:szCs w:val="18"/>
        </w:rPr>
        <w:t xml:space="preserve">t is not known whether the substance is completely soluble in the corn oil vehicle. If the substance was present as microcrystals, then actual exposure to dissolved substance might have been more similar across the dose range. </w:t>
      </w:r>
    </w:p>
    <w:p w14:paraId="11B5AA68" w14:textId="77777777" w:rsidR="007E5F5F" w:rsidRPr="000C7CFA" w:rsidRDefault="00BA0ECA" w:rsidP="00795AF6">
      <w:pPr>
        <w:pStyle w:val="BodyText"/>
        <w:rPr>
          <w:rFonts w:ascii="Verdana" w:hAnsi="Verdana"/>
          <w:sz w:val="18"/>
          <w:szCs w:val="18"/>
        </w:rPr>
      </w:pPr>
      <w:r w:rsidRPr="000C7CFA">
        <w:rPr>
          <w:rFonts w:ascii="Verdana" w:hAnsi="Verdana"/>
          <w:sz w:val="18"/>
          <w:szCs w:val="18"/>
        </w:rPr>
        <w:t xml:space="preserve">The substance is not classified for repeated dose toxicity by the </w:t>
      </w:r>
      <w:r w:rsidR="007666BB" w:rsidRPr="000C7CFA">
        <w:rPr>
          <w:rFonts w:ascii="Verdana" w:hAnsi="Verdana"/>
          <w:sz w:val="18"/>
          <w:szCs w:val="18"/>
        </w:rPr>
        <w:t>Registrant</w:t>
      </w:r>
      <w:r w:rsidRPr="000C7CFA">
        <w:rPr>
          <w:rFonts w:ascii="Verdana" w:hAnsi="Verdana"/>
          <w:sz w:val="18"/>
          <w:szCs w:val="18"/>
        </w:rPr>
        <w:t>.</w:t>
      </w:r>
    </w:p>
    <w:p w14:paraId="0157039E" w14:textId="2C8EA95A" w:rsidR="00882BEB" w:rsidRPr="000C7CFA" w:rsidRDefault="00BA0ECA" w:rsidP="00882BEB">
      <w:pPr>
        <w:pStyle w:val="Heading2"/>
        <w:rPr>
          <w:rFonts w:ascii="Verdana" w:hAnsi="Verdana"/>
          <w:sz w:val="18"/>
          <w:szCs w:val="18"/>
        </w:rPr>
      </w:pPr>
      <w:bookmarkStart w:id="93" w:name="_Toc491862778"/>
      <w:r w:rsidRPr="000C7CFA">
        <w:rPr>
          <w:rFonts w:ascii="Verdana" w:hAnsi="Verdana"/>
          <w:sz w:val="18"/>
          <w:szCs w:val="18"/>
        </w:rPr>
        <w:t>Mutagenicity</w:t>
      </w:r>
      <w:bookmarkEnd w:id="93"/>
    </w:p>
    <w:p w14:paraId="023281D8" w14:textId="7642AD31" w:rsidR="00882BEB" w:rsidRPr="000C7CFA" w:rsidRDefault="00BA0ECA" w:rsidP="00882BEB">
      <w:pPr>
        <w:pStyle w:val="Heading3"/>
        <w:rPr>
          <w:rFonts w:ascii="Verdana" w:hAnsi="Verdana"/>
          <w:sz w:val="18"/>
          <w:szCs w:val="18"/>
        </w:rPr>
      </w:pPr>
      <w:bookmarkStart w:id="94" w:name="_Toc491862779"/>
      <w:r w:rsidRPr="000C7CFA">
        <w:rPr>
          <w:rFonts w:ascii="Verdana" w:hAnsi="Verdana"/>
          <w:i/>
          <w:sz w:val="18"/>
          <w:szCs w:val="18"/>
        </w:rPr>
        <w:t>In vitro</w:t>
      </w:r>
      <w:r w:rsidRPr="000C7CFA">
        <w:rPr>
          <w:rFonts w:ascii="Verdana" w:hAnsi="Verdana"/>
          <w:sz w:val="18"/>
          <w:szCs w:val="18"/>
        </w:rPr>
        <w:t xml:space="preserve"> data</w:t>
      </w:r>
      <w:bookmarkEnd w:id="94"/>
    </w:p>
    <w:p w14:paraId="66ABECD8" w14:textId="77777777" w:rsidR="00882BEB" w:rsidRPr="000C7CFA" w:rsidRDefault="00BA0ECA" w:rsidP="00882BEB">
      <w:pPr>
        <w:pStyle w:val="BodyText"/>
        <w:rPr>
          <w:rFonts w:ascii="Verdana" w:hAnsi="Verdana"/>
          <w:sz w:val="18"/>
          <w:szCs w:val="18"/>
        </w:rPr>
      </w:pPr>
      <w:r w:rsidRPr="000C7CFA">
        <w:rPr>
          <w:rFonts w:ascii="Verdana" w:hAnsi="Verdana"/>
          <w:sz w:val="18"/>
          <w:szCs w:val="18"/>
        </w:rPr>
        <w:t xml:space="preserve">The </w:t>
      </w:r>
      <w:r w:rsidR="007666BB" w:rsidRPr="000C7CFA">
        <w:rPr>
          <w:rFonts w:ascii="Verdana" w:hAnsi="Verdana"/>
          <w:sz w:val="18"/>
          <w:szCs w:val="18"/>
        </w:rPr>
        <w:t>Registrant</w:t>
      </w:r>
      <w:r w:rsidRPr="000C7CFA">
        <w:rPr>
          <w:rFonts w:ascii="Verdana" w:hAnsi="Verdana"/>
          <w:sz w:val="18"/>
          <w:szCs w:val="18"/>
        </w:rPr>
        <w:t xml:space="preserve"> reports two reliable studies, which are stated to have been conducted according to protocols equivalent to the current OECD test guidelines 471 and 476 for the genotoxicity endpoint. </w:t>
      </w:r>
    </w:p>
    <w:p w14:paraId="6CAA1AB4" w14:textId="2A2A4A82" w:rsidR="00031F5F" w:rsidRPr="000C7CFA" w:rsidRDefault="00BA0ECA" w:rsidP="00882BEB">
      <w:pPr>
        <w:pStyle w:val="BodyText"/>
        <w:rPr>
          <w:rFonts w:ascii="Verdana" w:hAnsi="Verdana"/>
          <w:sz w:val="18"/>
          <w:szCs w:val="18"/>
        </w:rPr>
      </w:pPr>
      <w:r w:rsidRPr="000C7CFA">
        <w:rPr>
          <w:rFonts w:ascii="Verdana" w:hAnsi="Verdana"/>
          <w:sz w:val="18"/>
          <w:szCs w:val="18"/>
        </w:rPr>
        <w:t xml:space="preserve">Dechlorane Plus was tested in a reverse bacterial mutation assay with </w:t>
      </w:r>
      <w:r w:rsidRPr="000C7CFA">
        <w:rPr>
          <w:rFonts w:ascii="Verdana" w:hAnsi="Verdana"/>
          <w:i/>
          <w:sz w:val="18"/>
          <w:szCs w:val="18"/>
        </w:rPr>
        <w:t>S. typhimurium</w:t>
      </w:r>
      <w:r w:rsidRPr="000C7CFA">
        <w:rPr>
          <w:rFonts w:ascii="Verdana" w:hAnsi="Verdana"/>
          <w:sz w:val="18"/>
          <w:szCs w:val="18"/>
        </w:rPr>
        <w:t xml:space="preserve"> strains TA 98, TA 100, TA 1535, TA 1537 and TA 1538, in the presence and absence of metabolic activation (</w:t>
      </w:r>
      <w:r w:rsidRPr="000C7CFA">
        <w:rPr>
          <w:rFonts w:ascii="Verdana" w:hAnsi="Verdana"/>
          <w:sz w:val="18"/>
          <w:szCs w:val="18"/>
          <w:u w:val="single"/>
        </w:rPr>
        <w:t xml:space="preserve">Mortelmans </w:t>
      </w:r>
      <w:r w:rsidRPr="000C7CFA">
        <w:rPr>
          <w:rFonts w:ascii="Verdana" w:hAnsi="Verdana"/>
          <w:i/>
          <w:sz w:val="18"/>
          <w:szCs w:val="18"/>
          <w:u w:val="single"/>
        </w:rPr>
        <w:t>et al</w:t>
      </w:r>
      <w:r w:rsidRPr="000C7CFA">
        <w:rPr>
          <w:rFonts w:ascii="Verdana" w:hAnsi="Verdana"/>
          <w:sz w:val="18"/>
          <w:szCs w:val="18"/>
          <w:u w:val="single"/>
        </w:rPr>
        <w:t>., 1980</w:t>
      </w:r>
      <w:r w:rsidRPr="000C7CFA">
        <w:rPr>
          <w:rFonts w:ascii="Verdana" w:hAnsi="Verdana"/>
          <w:sz w:val="18"/>
          <w:szCs w:val="18"/>
        </w:rPr>
        <w:t>). No evidence of mutagenicity is reported. No precipitation is reported at any of the dose concentrations up to 5</w:t>
      </w:r>
      <w:r w:rsidR="00982A15" w:rsidRPr="000C7CFA">
        <w:rPr>
          <w:rFonts w:ascii="Verdana" w:hAnsi="Verdana"/>
          <w:sz w:val="18"/>
          <w:szCs w:val="18"/>
        </w:rPr>
        <w:t xml:space="preserve"> </w:t>
      </w:r>
      <w:r w:rsidRPr="000C7CFA">
        <w:rPr>
          <w:rFonts w:ascii="Verdana" w:hAnsi="Verdana"/>
          <w:sz w:val="18"/>
          <w:szCs w:val="18"/>
        </w:rPr>
        <w:t>000 µg/plate with DMSO used as solvent. No information on the purity of the substance was available.</w:t>
      </w:r>
    </w:p>
    <w:p w14:paraId="54CF6320" w14:textId="4A093274" w:rsidR="00031F5F" w:rsidRPr="000C7CFA" w:rsidRDefault="00BA0ECA" w:rsidP="00031F5F">
      <w:pPr>
        <w:pStyle w:val="BodyText"/>
        <w:rPr>
          <w:rFonts w:ascii="Verdana" w:hAnsi="Verdana"/>
          <w:sz w:val="18"/>
          <w:szCs w:val="18"/>
        </w:rPr>
      </w:pPr>
      <w:r w:rsidRPr="000C7CFA">
        <w:rPr>
          <w:rFonts w:ascii="Verdana" w:hAnsi="Verdana"/>
          <w:sz w:val="18"/>
          <w:szCs w:val="18"/>
        </w:rPr>
        <w:t>A study of mammalian mutagenicity is also available. Dechlorane Plus was tested in a mouse lymphoma assay using L5178Y cells, in the presence and absence of metabolic activation at dose concentrations up to 10 and 20 µg/m</w:t>
      </w:r>
      <w:r w:rsidR="00982A15" w:rsidRPr="000C7CFA">
        <w:rPr>
          <w:rFonts w:ascii="Verdana" w:hAnsi="Verdana"/>
          <w:sz w:val="18"/>
          <w:szCs w:val="18"/>
        </w:rPr>
        <w:t>L</w:t>
      </w:r>
      <w:r w:rsidRPr="000C7CFA">
        <w:rPr>
          <w:rFonts w:ascii="Verdana" w:hAnsi="Verdana"/>
          <w:sz w:val="18"/>
          <w:szCs w:val="18"/>
        </w:rPr>
        <w:t xml:space="preserve"> respectively, with no higher concentrations included due to precipitation (</w:t>
      </w:r>
      <w:r w:rsidRPr="000C7CFA">
        <w:rPr>
          <w:rFonts w:ascii="Verdana" w:hAnsi="Verdana"/>
          <w:sz w:val="18"/>
          <w:szCs w:val="18"/>
          <w:u w:val="single"/>
        </w:rPr>
        <w:t xml:space="preserve">Jotz </w:t>
      </w:r>
      <w:r w:rsidRPr="000C7CFA">
        <w:rPr>
          <w:rFonts w:ascii="Verdana" w:hAnsi="Verdana"/>
          <w:i/>
          <w:sz w:val="18"/>
          <w:szCs w:val="18"/>
          <w:u w:val="single"/>
        </w:rPr>
        <w:t>et al</w:t>
      </w:r>
      <w:r w:rsidRPr="000C7CFA">
        <w:rPr>
          <w:rFonts w:ascii="Verdana" w:hAnsi="Verdana"/>
          <w:sz w:val="18"/>
          <w:szCs w:val="18"/>
          <w:u w:val="single"/>
        </w:rPr>
        <w:t>., 1980</w:t>
      </w:r>
      <w:r w:rsidRPr="000C7CFA">
        <w:rPr>
          <w:rFonts w:ascii="Verdana" w:hAnsi="Verdana"/>
          <w:sz w:val="18"/>
          <w:szCs w:val="18"/>
        </w:rPr>
        <w:t>). DMSO was used as a solvent. The test found Dechlorane Plus negative for mutagenicity in the presence and the absence of metabolic activation, with appropriate negative and positive controls in place. No information on the purity of the substance was available.</w:t>
      </w:r>
    </w:p>
    <w:p w14:paraId="331AA6A8" w14:textId="25F8E1AA" w:rsidR="006C7B1E" w:rsidRPr="000C7CFA" w:rsidRDefault="00BA0ECA" w:rsidP="006C7B1E">
      <w:pPr>
        <w:pStyle w:val="BodyText"/>
        <w:rPr>
          <w:rFonts w:ascii="Verdana" w:hAnsi="Verdana"/>
          <w:b/>
          <w:sz w:val="18"/>
          <w:szCs w:val="18"/>
        </w:rPr>
      </w:pPr>
      <w:r w:rsidRPr="000C7CFA">
        <w:rPr>
          <w:rFonts w:ascii="Verdana" w:hAnsi="Verdana"/>
          <w:sz w:val="18"/>
          <w:szCs w:val="18"/>
        </w:rPr>
        <w:lastRenderedPageBreak/>
        <w:t>In addition, a non-standard study on DNA damage and repair in bacteria is available which yielded ambiguous results and from which it was not possible to draw a conclusion (</w:t>
      </w:r>
      <w:r w:rsidRPr="000C7CFA">
        <w:rPr>
          <w:rFonts w:ascii="Verdana" w:hAnsi="Verdana"/>
          <w:sz w:val="18"/>
          <w:szCs w:val="18"/>
          <w:u w:val="single"/>
        </w:rPr>
        <w:t xml:space="preserve">Mortelmans </w:t>
      </w:r>
      <w:r w:rsidRPr="000C7CFA">
        <w:rPr>
          <w:rFonts w:ascii="Verdana" w:hAnsi="Verdana"/>
          <w:i/>
          <w:sz w:val="18"/>
          <w:szCs w:val="18"/>
          <w:u w:val="single"/>
        </w:rPr>
        <w:t>et al</w:t>
      </w:r>
      <w:r w:rsidRPr="000C7CFA">
        <w:rPr>
          <w:rFonts w:ascii="Verdana" w:hAnsi="Verdana"/>
          <w:sz w:val="18"/>
          <w:szCs w:val="18"/>
          <w:u w:val="single"/>
        </w:rPr>
        <w:t>., 1980</w:t>
      </w:r>
      <w:r w:rsidRPr="000C7CFA">
        <w:rPr>
          <w:rFonts w:ascii="Verdana" w:hAnsi="Verdana"/>
          <w:sz w:val="18"/>
          <w:szCs w:val="18"/>
        </w:rPr>
        <w:t xml:space="preserve">). The study </w:t>
      </w:r>
      <w:r w:rsidR="00BA5B0B" w:rsidRPr="000C7CFA">
        <w:rPr>
          <w:rFonts w:ascii="Verdana" w:hAnsi="Verdana"/>
          <w:sz w:val="18"/>
          <w:szCs w:val="18"/>
        </w:rPr>
        <w:t>use</w:t>
      </w:r>
      <w:r w:rsidRPr="000C7CFA">
        <w:rPr>
          <w:rFonts w:ascii="Verdana" w:hAnsi="Verdana"/>
          <w:sz w:val="18"/>
          <w:szCs w:val="18"/>
        </w:rPr>
        <w:t xml:space="preserve">d </w:t>
      </w:r>
      <w:r w:rsidRPr="000C7CFA">
        <w:rPr>
          <w:rFonts w:ascii="Verdana" w:hAnsi="Verdana"/>
          <w:i/>
          <w:sz w:val="18"/>
          <w:szCs w:val="18"/>
        </w:rPr>
        <w:t xml:space="preserve">S. typhimurium </w:t>
      </w:r>
      <w:r w:rsidRPr="000C7CFA">
        <w:rPr>
          <w:rFonts w:ascii="Verdana" w:hAnsi="Verdana"/>
          <w:sz w:val="18"/>
          <w:szCs w:val="18"/>
        </w:rPr>
        <w:t xml:space="preserve">strains SL4700/SL4525 and TA 1538 / TA 1978 in order to detect a difference between growth inhibition zones in repair deficient and repair proficient strains. No growth inhibition was detected in either, for which reason the results are ambiguous. </w:t>
      </w:r>
    </w:p>
    <w:p w14:paraId="20784151" w14:textId="22EA0FCA" w:rsidR="006A6A00" w:rsidRPr="000C7CFA" w:rsidRDefault="00BA0ECA" w:rsidP="006A6A00">
      <w:pPr>
        <w:pStyle w:val="Heading3"/>
        <w:rPr>
          <w:rFonts w:ascii="Verdana" w:hAnsi="Verdana"/>
          <w:sz w:val="18"/>
          <w:szCs w:val="18"/>
        </w:rPr>
      </w:pPr>
      <w:bookmarkStart w:id="95" w:name="_Toc491862780"/>
      <w:r w:rsidRPr="000C7CFA">
        <w:rPr>
          <w:rFonts w:ascii="Verdana" w:hAnsi="Verdana"/>
          <w:i/>
          <w:sz w:val="18"/>
          <w:szCs w:val="18"/>
        </w:rPr>
        <w:t>In vivo</w:t>
      </w:r>
      <w:r w:rsidRPr="000C7CFA">
        <w:rPr>
          <w:rFonts w:ascii="Verdana" w:hAnsi="Verdana"/>
          <w:sz w:val="18"/>
          <w:szCs w:val="18"/>
        </w:rPr>
        <w:t xml:space="preserve"> data</w:t>
      </w:r>
      <w:bookmarkEnd w:id="95"/>
    </w:p>
    <w:p w14:paraId="406E8270" w14:textId="77777777" w:rsidR="00882BEB" w:rsidRPr="000C7CFA" w:rsidRDefault="00BA0ECA" w:rsidP="00350707">
      <w:pPr>
        <w:pStyle w:val="NormalWeb"/>
        <w:spacing w:before="0" w:beforeAutospacing="0"/>
        <w:jc w:val="both"/>
        <w:rPr>
          <w:rFonts w:ascii="Verdana" w:hAnsi="Verdana"/>
          <w:sz w:val="18"/>
          <w:szCs w:val="18"/>
        </w:rPr>
      </w:pPr>
      <w:r w:rsidRPr="000C7CFA">
        <w:rPr>
          <w:rFonts w:ascii="Verdana" w:hAnsi="Verdana"/>
          <w:sz w:val="18"/>
          <w:szCs w:val="18"/>
        </w:rPr>
        <w:t>A ‘reliability 3’</w:t>
      </w:r>
      <w:r w:rsidR="00567173" w:rsidRPr="000C7CFA">
        <w:rPr>
          <w:rFonts w:ascii="Verdana" w:hAnsi="Verdana"/>
          <w:sz w:val="18"/>
          <w:szCs w:val="18"/>
        </w:rPr>
        <w:t xml:space="preserve"> (unreliable)</w:t>
      </w:r>
      <w:r w:rsidRPr="000C7CFA">
        <w:rPr>
          <w:rFonts w:ascii="Verdana" w:hAnsi="Verdana"/>
          <w:sz w:val="18"/>
          <w:szCs w:val="18"/>
        </w:rPr>
        <w:t xml:space="preserve"> </w:t>
      </w:r>
      <w:r w:rsidRPr="000C7CFA">
        <w:rPr>
          <w:rFonts w:ascii="Verdana" w:hAnsi="Verdana"/>
          <w:i/>
          <w:sz w:val="18"/>
          <w:szCs w:val="18"/>
        </w:rPr>
        <w:t>in vivo</w:t>
      </w:r>
      <w:r w:rsidRPr="000C7CFA">
        <w:rPr>
          <w:rFonts w:ascii="Verdana" w:hAnsi="Verdana"/>
          <w:sz w:val="18"/>
          <w:szCs w:val="18"/>
        </w:rPr>
        <w:t xml:space="preserve"> study is included in the data set, which is not suitable for assessment of genotoxicity due to ambiguous results (</w:t>
      </w:r>
      <w:r w:rsidRPr="000C7CFA">
        <w:rPr>
          <w:rFonts w:ascii="Verdana" w:hAnsi="Verdana"/>
          <w:sz w:val="18"/>
          <w:szCs w:val="18"/>
          <w:u w:val="single"/>
        </w:rPr>
        <w:t xml:space="preserve">Mortelmans </w:t>
      </w:r>
      <w:r w:rsidRPr="000C7CFA">
        <w:rPr>
          <w:rFonts w:ascii="Verdana" w:hAnsi="Verdana"/>
          <w:i/>
          <w:sz w:val="18"/>
          <w:szCs w:val="18"/>
          <w:u w:val="single"/>
        </w:rPr>
        <w:t>et al</w:t>
      </w:r>
      <w:r w:rsidRPr="000C7CFA">
        <w:rPr>
          <w:rFonts w:ascii="Verdana" w:hAnsi="Verdana"/>
          <w:sz w:val="18"/>
          <w:szCs w:val="18"/>
          <w:u w:val="single"/>
        </w:rPr>
        <w:t>., 1980</w:t>
      </w:r>
      <w:r w:rsidRPr="000C7CFA">
        <w:rPr>
          <w:rFonts w:ascii="Verdana" w:hAnsi="Verdana"/>
          <w:sz w:val="18"/>
          <w:szCs w:val="18"/>
        </w:rPr>
        <w:t xml:space="preserve">). The method used the Ames test for gene mutation, with the urine of treated rats. No increase in mutant frequency was observed in response to urine from rats treated with the test material in any strain (TA 98, TA 100, TA 1535, TA 1537, </w:t>
      </w:r>
      <w:proofErr w:type="gramStart"/>
      <w:r w:rsidRPr="000C7CFA">
        <w:rPr>
          <w:rFonts w:ascii="Verdana" w:hAnsi="Verdana"/>
          <w:sz w:val="18"/>
          <w:szCs w:val="18"/>
        </w:rPr>
        <w:t>TA</w:t>
      </w:r>
      <w:proofErr w:type="gramEnd"/>
      <w:r w:rsidRPr="000C7CFA">
        <w:rPr>
          <w:rFonts w:ascii="Verdana" w:hAnsi="Verdana"/>
          <w:sz w:val="18"/>
          <w:szCs w:val="18"/>
        </w:rPr>
        <w:t xml:space="preserve"> 1538) at any concentration with or without metabolic activation. Negative controls were clearly negative, but positive controls were only partly and moderately positive. It was not demonstrated whether the urine of treated rats contained the test substance or its metabolites.</w:t>
      </w:r>
    </w:p>
    <w:p w14:paraId="6A8EDD80" w14:textId="483200FC" w:rsidR="00164AAA" w:rsidRPr="000C7CFA" w:rsidRDefault="00BA0ECA" w:rsidP="00164AAA">
      <w:pPr>
        <w:pStyle w:val="Heading3"/>
        <w:rPr>
          <w:rFonts w:ascii="Verdana" w:hAnsi="Verdana"/>
          <w:sz w:val="18"/>
          <w:szCs w:val="18"/>
        </w:rPr>
      </w:pPr>
      <w:bookmarkStart w:id="96" w:name="_Toc491862781"/>
      <w:r w:rsidRPr="000C7CFA">
        <w:rPr>
          <w:rFonts w:ascii="Verdana" w:hAnsi="Verdana"/>
          <w:sz w:val="18"/>
          <w:szCs w:val="18"/>
        </w:rPr>
        <w:t>Summary and discussion of mutagenicity</w:t>
      </w:r>
      <w:bookmarkEnd w:id="96"/>
    </w:p>
    <w:p w14:paraId="05D4570A" w14:textId="77777777" w:rsidR="00567173" w:rsidRPr="000C7CFA" w:rsidRDefault="00BA0ECA" w:rsidP="008D3D99">
      <w:pPr>
        <w:pStyle w:val="BodyText"/>
        <w:rPr>
          <w:rFonts w:ascii="Verdana" w:hAnsi="Verdana"/>
          <w:sz w:val="18"/>
          <w:szCs w:val="18"/>
        </w:rPr>
      </w:pPr>
      <w:r w:rsidRPr="000C7CFA">
        <w:rPr>
          <w:rFonts w:ascii="Verdana" w:hAnsi="Verdana"/>
          <w:sz w:val="18"/>
          <w:szCs w:val="18"/>
        </w:rPr>
        <w:t xml:space="preserve">Reliable bacterial and mammalian mutagenicity studies, both conducted according to protocols equivalent to current guidelines, are included in the dataset for genotoxicity. The substance is not mutagenic in either the presence or the absence of metabolic activation (Mortelmans </w:t>
      </w:r>
      <w:r w:rsidRPr="000C7CFA">
        <w:rPr>
          <w:rFonts w:ascii="Verdana" w:hAnsi="Verdana"/>
          <w:i/>
          <w:sz w:val="18"/>
          <w:szCs w:val="18"/>
        </w:rPr>
        <w:t>et al</w:t>
      </w:r>
      <w:r w:rsidRPr="000C7CFA">
        <w:rPr>
          <w:rFonts w:ascii="Verdana" w:hAnsi="Verdana"/>
          <w:sz w:val="18"/>
          <w:szCs w:val="18"/>
        </w:rPr>
        <w:t xml:space="preserve">., 1980; Jotz </w:t>
      </w:r>
      <w:r w:rsidRPr="000C7CFA">
        <w:rPr>
          <w:rFonts w:ascii="Verdana" w:hAnsi="Verdana"/>
          <w:i/>
          <w:sz w:val="18"/>
          <w:szCs w:val="18"/>
        </w:rPr>
        <w:t>et al</w:t>
      </w:r>
      <w:r w:rsidRPr="000C7CFA">
        <w:rPr>
          <w:rFonts w:ascii="Verdana" w:hAnsi="Verdana"/>
          <w:sz w:val="18"/>
          <w:szCs w:val="18"/>
        </w:rPr>
        <w:t xml:space="preserve">., 1980). The studies form the basis of the chemical safety assessment for genotoxicity. A disregarded </w:t>
      </w:r>
      <w:r w:rsidRPr="000C7CFA">
        <w:rPr>
          <w:rFonts w:ascii="Verdana" w:hAnsi="Verdana"/>
          <w:i/>
          <w:sz w:val="18"/>
          <w:szCs w:val="18"/>
        </w:rPr>
        <w:t>in vivo</w:t>
      </w:r>
      <w:r w:rsidRPr="000C7CFA">
        <w:rPr>
          <w:rFonts w:ascii="Verdana" w:hAnsi="Verdana"/>
          <w:sz w:val="18"/>
          <w:szCs w:val="18"/>
        </w:rPr>
        <w:t xml:space="preserve"> study is also included in the data set, as well as a second non-standard bacterial study with ambiguous results which do not contribute to the assessment (Mortelmans </w:t>
      </w:r>
      <w:r w:rsidRPr="000C7CFA">
        <w:rPr>
          <w:rFonts w:ascii="Verdana" w:hAnsi="Verdana"/>
          <w:i/>
          <w:sz w:val="18"/>
          <w:szCs w:val="18"/>
        </w:rPr>
        <w:t>et al</w:t>
      </w:r>
      <w:r w:rsidRPr="000C7CFA">
        <w:rPr>
          <w:rFonts w:ascii="Verdana" w:hAnsi="Verdana"/>
          <w:sz w:val="18"/>
          <w:szCs w:val="18"/>
        </w:rPr>
        <w:t xml:space="preserve">., 1980). </w:t>
      </w:r>
    </w:p>
    <w:p w14:paraId="3E1BBE73" w14:textId="77777777" w:rsidR="00863DF7" w:rsidRPr="000C7CFA" w:rsidRDefault="00BA0ECA" w:rsidP="008D3D99">
      <w:pPr>
        <w:pStyle w:val="BodyText"/>
        <w:rPr>
          <w:rFonts w:ascii="Verdana" w:hAnsi="Verdana"/>
          <w:b/>
          <w:sz w:val="18"/>
          <w:szCs w:val="18"/>
        </w:rPr>
      </w:pPr>
      <w:r w:rsidRPr="000C7CFA">
        <w:rPr>
          <w:rFonts w:ascii="Verdana" w:hAnsi="Verdana"/>
          <w:sz w:val="18"/>
          <w:szCs w:val="18"/>
        </w:rPr>
        <w:t xml:space="preserve">The substance is classified by the </w:t>
      </w:r>
      <w:r w:rsidR="007666BB" w:rsidRPr="000C7CFA">
        <w:rPr>
          <w:rFonts w:ascii="Verdana" w:hAnsi="Verdana"/>
          <w:sz w:val="18"/>
          <w:szCs w:val="18"/>
        </w:rPr>
        <w:t>Registrant</w:t>
      </w:r>
      <w:r w:rsidRPr="000C7CFA">
        <w:rPr>
          <w:rFonts w:ascii="Verdana" w:hAnsi="Verdana"/>
          <w:sz w:val="18"/>
          <w:szCs w:val="18"/>
        </w:rPr>
        <w:t xml:space="preserve"> as not mutagenic based on the available data. </w:t>
      </w:r>
    </w:p>
    <w:p w14:paraId="496614DF" w14:textId="3DFE7EFA" w:rsidR="00D46F84" w:rsidRPr="000C7CFA" w:rsidRDefault="00BA0ECA" w:rsidP="00D46F84">
      <w:pPr>
        <w:pStyle w:val="Heading2"/>
        <w:rPr>
          <w:rFonts w:ascii="Verdana" w:hAnsi="Verdana"/>
          <w:sz w:val="18"/>
          <w:szCs w:val="18"/>
        </w:rPr>
      </w:pPr>
      <w:bookmarkStart w:id="97" w:name="_Toc491862782"/>
      <w:r w:rsidRPr="000C7CFA">
        <w:rPr>
          <w:rFonts w:ascii="Verdana" w:hAnsi="Verdana"/>
          <w:sz w:val="18"/>
          <w:szCs w:val="18"/>
        </w:rPr>
        <w:t>Carcinogenicity</w:t>
      </w:r>
      <w:bookmarkEnd w:id="97"/>
    </w:p>
    <w:p w14:paraId="6C3B99B5" w14:textId="511D15C7" w:rsidR="00D46F84" w:rsidRPr="000C7CFA" w:rsidRDefault="00BA0ECA" w:rsidP="00766B96">
      <w:pPr>
        <w:pStyle w:val="Heading3"/>
        <w:rPr>
          <w:rFonts w:ascii="Verdana" w:hAnsi="Verdana"/>
          <w:sz w:val="18"/>
          <w:szCs w:val="18"/>
        </w:rPr>
      </w:pPr>
      <w:bookmarkStart w:id="98" w:name="_Toc491862783"/>
      <w:r w:rsidRPr="000C7CFA">
        <w:rPr>
          <w:rFonts w:ascii="Verdana" w:hAnsi="Verdana"/>
          <w:sz w:val="18"/>
          <w:szCs w:val="18"/>
        </w:rPr>
        <w:t>Summary and discussion of carcinogenicity</w:t>
      </w:r>
      <w:bookmarkEnd w:id="98"/>
    </w:p>
    <w:p w14:paraId="4584A7C5" w14:textId="27EE59F1" w:rsidR="00677B0F" w:rsidRPr="000C7CFA" w:rsidRDefault="00BA0ECA" w:rsidP="00882BEB">
      <w:pPr>
        <w:pStyle w:val="BodyText"/>
        <w:rPr>
          <w:rFonts w:ascii="Verdana" w:hAnsi="Verdana"/>
          <w:sz w:val="18"/>
          <w:szCs w:val="18"/>
        </w:rPr>
      </w:pPr>
      <w:r w:rsidRPr="000C7CFA">
        <w:rPr>
          <w:rFonts w:ascii="Verdana" w:hAnsi="Verdana"/>
          <w:sz w:val="18"/>
          <w:szCs w:val="18"/>
        </w:rPr>
        <w:t xml:space="preserve">In accordance with Annex IX requirements the </w:t>
      </w:r>
      <w:r w:rsidR="007666BB" w:rsidRPr="000C7CFA">
        <w:rPr>
          <w:rFonts w:ascii="Verdana" w:hAnsi="Verdana"/>
          <w:sz w:val="18"/>
          <w:szCs w:val="18"/>
        </w:rPr>
        <w:t>Registrant</w:t>
      </w:r>
      <w:r w:rsidRPr="000C7CFA">
        <w:rPr>
          <w:rFonts w:ascii="Verdana" w:hAnsi="Verdana"/>
          <w:sz w:val="18"/>
          <w:szCs w:val="18"/>
        </w:rPr>
        <w:t xml:space="preserve"> has not included data for carcinogenicity in the</w:t>
      </w:r>
      <w:r w:rsidR="006E6BE9" w:rsidRPr="000C7CFA">
        <w:rPr>
          <w:rFonts w:ascii="Verdana" w:hAnsi="Verdana"/>
          <w:sz w:val="18"/>
          <w:szCs w:val="18"/>
        </w:rPr>
        <w:t xml:space="preserve"> registration dossier</w:t>
      </w:r>
      <w:r w:rsidRPr="000C7CFA">
        <w:rPr>
          <w:rFonts w:ascii="Verdana" w:hAnsi="Verdana"/>
          <w:sz w:val="18"/>
          <w:szCs w:val="18"/>
        </w:rPr>
        <w:t>.</w:t>
      </w:r>
    </w:p>
    <w:p w14:paraId="0D250384" w14:textId="0E2117A5" w:rsidR="00677B0F" w:rsidRPr="000C7CFA" w:rsidRDefault="00BA0ECA" w:rsidP="00677B0F">
      <w:pPr>
        <w:pStyle w:val="Heading2"/>
        <w:rPr>
          <w:rFonts w:ascii="Verdana" w:hAnsi="Verdana"/>
          <w:sz w:val="18"/>
          <w:szCs w:val="18"/>
        </w:rPr>
      </w:pPr>
      <w:bookmarkStart w:id="99" w:name="_Toc491862784"/>
      <w:r w:rsidRPr="000C7CFA">
        <w:rPr>
          <w:rFonts w:ascii="Verdana" w:hAnsi="Verdana"/>
          <w:sz w:val="18"/>
          <w:szCs w:val="18"/>
        </w:rPr>
        <w:t>Toxicity to reproduction</w:t>
      </w:r>
      <w:bookmarkEnd w:id="99"/>
    </w:p>
    <w:p w14:paraId="60049559" w14:textId="6FF1B3D6" w:rsidR="00677B0F" w:rsidRPr="000C7CFA" w:rsidRDefault="00BA0ECA" w:rsidP="00677B0F">
      <w:pPr>
        <w:pStyle w:val="Heading3"/>
        <w:rPr>
          <w:rFonts w:ascii="Verdana" w:hAnsi="Verdana"/>
          <w:sz w:val="18"/>
          <w:szCs w:val="18"/>
        </w:rPr>
      </w:pPr>
      <w:bookmarkStart w:id="100" w:name="_Toc491862785"/>
      <w:r w:rsidRPr="000C7CFA">
        <w:rPr>
          <w:rFonts w:ascii="Verdana" w:hAnsi="Verdana"/>
          <w:sz w:val="18"/>
          <w:szCs w:val="18"/>
        </w:rPr>
        <w:t>Effects on fertility and development</w:t>
      </w:r>
      <w:bookmarkEnd w:id="100"/>
    </w:p>
    <w:p w14:paraId="2AE27297" w14:textId="75DC12DD" w:rsidR="00AF1030" w:rsidRPr="000C7CFA" w:rsidRDefault="00BA0ECA" w:rsidP="00882BEB">
      <w:pPr>
        <w:pStyle w:val="BodyText"/>
        <w:rPr>
          <w:rFonts w:ascii="Verdana" w:hAnsi="Verdana"/>
          <w:sz w:val="18"/>
          <w:szCs w:val="18"/>
        </w:rPr>
      </w:pPr>
      <w:r w:rsidRPr="000C7CFA">
        <w:rPr>
          <w:rFonts w:ascii="Verdana" w:hAnsi="Verdana"/>
          <w:sz w:val="18"/>
          <w:szCs w:val="18"/>
        </w:rPr>
        <w:t>A combined repeated dose and reproductive/developmental toxicity screening study was included in the</w:t>
      </w:r>
      <w:r w:rsidR="006E6BE9" w:rsidRPr="000C7CFA">
        <w:rPr>
          <w:rFonts w:ascii="Verdana" w:hAnsi="Verdana"/>
          <w:sz w:val="18"/>
          <w:szCs w:val="18"/>
        </w:rPr>
        <w:t xml:space="preserve"> registration dossier</w:t>
      </w:r>
      <w:r w:rsidRPr="000C7CFA">
        <w:rPr>
          <w:rFonts w:ascii="Verdana" w:hAnsi="Verdana"/>
          <w:sz w:val="18"/>
          <w:szCs w:val="18"/>
        </w:rPr>
        <w:t xml:space="preserve"> by the </w:t>
      </w:r>
      <w:r w:rsidR="007666BB" w:rsidRPr="000C7CFA">
        <w:rPr>
          <w:rFonts w:ascii="Verdana" w:hAnsi="Verdana"/>
          <w:sz w:val="18"/>
          <w:szCs w:val="18"/>
        </w:rPr>
        <w:t>Registrant</w:t>
      </w:r>
      <w:r w:rsidRPr="000C7CFA">
        <w:rPr>
          <w:rFonts w:ascii="Verdana" w:hAnsi="Verdana"/>
          <w:sz w:val="18"/>
          <w:szCs w:val="18"/>
        </w:rPr>
        <w:t xml:space="preserve"> (</w:t>
      </w:r>
      <w:r w:rsidRPr="000C7CFA">
        <w:rPr>
          <w:rFonts w:ascii="Verdana" w:hAnsi="Verdana"/>
          <w:sz w:val="18"/>
          <w:szCs w:val="18"/>
          <w:u w:val="single"/>
        </w:rPr>
        <w:t>Schroeder</w:t>
      </w:r>
      <w:r w:rsidR="00531AA6" w:rsidRPr="000C7CFA">
        <w:rPr>
          <w:rFonts w:ascii="Verdana" w:hAnsi="Verdana"/>
          <w:sz w:val="18"/>
          <w:szCs w:val="18"/>
          <w:u w:val="single"/>
        </w:rPr>
        <w:t>,</w:t>
      </w:r>
      <w:r w:rsidRPr="000C7CFA">
        <w:rPr>
          <w:rFonts w:ascii="Verdana" w:hAnsi="Verdana"/>
          <w:sz w:val="18"/>
          <w:szCs w:val="18"/>
          <w:u w:val="single"/>
        </w:rPr>
        <w:t xml:space="preserve"> 2008</w:t>
      </w:r>
      <w:r w:rsidRPr="000C7CFA">
        <w:rPr>
          <w:rFonts w:ascii="Verdana" w:hAnsi="Verdana"/>
          <w:sz w:val="18"/>
          <w:szCs w:val="18"/>
        </w:rPr>
        <w:t xml:space="preserve">). </w:t>
      </w:r>
      <w:r w:rsidR="00531AA6" w:rsidRPr="000C7CFA">
        <w:rPr>
          <w:rFonts w:ascii="Verdana" w:hAnsi="Verdana"/>
          <w:sz w:val="18"/>
          <w:szCs w:val="18"/>
        </w:rPr>
        <w:t xml:space="preserve">This study appears to have been published by </w:t>
      </w:r>
      <w:r w:rsidR="00531AA6" w:rsidRPr="000C7CFA">
        <w:rPr>
          <w:rFonts w:ascii="Verdana" w:hAnsi="Verdana"/>
          <w:sz w:val="18"/>
          <w:szCs w:val="18"/>
          <w:u w:val="single"/>
        </w:rPr>
        <w:t xml:space="preserve">Brock </w:t>
      </w:r>
      <w:r w:rsidR="00531AA6" w:rsidRPr="000C7CFA">
        <w:rPr>
          <w:rFonts w:ascii="Verdana" w:hAnsi="Verdana"/>
          <w:i/>
          <w:sz w:val="18"/>
          <w:szCs w:val="18"/>
          <w:u w:val="single"/>
        </w:rPr>
        <w:t>et al</w:t>
      </w:r>
      <w:r w:rsidR="00531AA6" w:rsidRPr="000C7CFA">
        <w:rPr>
          <w:rFonts w:ascii="Verdana" w:hAnsi="Verdana"/>
          <w:sz w:val="18"/>
          <w:szCs w:val="18"/>
          <w:u w:val="single"/>
        </w:rPr>
        <w:t>. (2010)</w:t>
      </w:r>
      <w:r w:rsidR="00531AA6" w:rsidRPr="000C7CFA">
        <w:rPr>
          <w:rFonts w:ascii="Verdana" w:hAnsi="Verdana"/>
          <w:sz w:val="18"/>
          <w:szCs w:val="18"/>
        </w:rPr>
        <w:t xml:space="preserve">. </w:t>
      </w:r>
      <w:r w:rsidRPr="000C7CFA">
        <w:rPr>
          <w:rFonts w:ascii="Verdana" w:hAnsi="Verdana"/>
          <w:sz w:val="18"/>
          <w:szCs w:val="18"/>
        </w:rPr>
        <w:t>The study was conducted according to OECD TG 422. The test material was administered in corn oil to rats by oral gavage. No further detail is included in the IUCLID robust study summary on substance purity, although based on the available information (expressed as a percentage, but without detailed information on composition) the purity appears to be the same as the registered substance.</w:t>
      </w:r>
    </w:p>
    <w:p w14:paraId="4C52DCFA" w14:textId="67806610" w:rsidR="00965351" w:rsidRPr="000C7CFA" w:rsidRDefault="00BA0ECA" w:rsidP="00965351">
      <w:pPr>
        <w:pStyle w:val="BodyText"/>
        <w:rPr>
          <w:rFonts w:ascii="Verdana" w:hAnsi="Verdana"/>
          <w:sz w:val="18"/>
          <w:szCs w:val="18"/>
        </w:rPr>
      </w:pPr>
      <w:r w:rsidRPr="000C7CFA">
        <w:rPr>
          <w:rFonts w:ascii="Verdana" w:hAnsi="Verdana"/>
          <w:sz w:val="18"/>
          <w:szCs w:val="18"/>
        </w:rPr>
        <w:t xml:space="preserve">The reproductive indices assessed included viable and non-viable foetuses, late and early resorptions, number of corpora lutea, body weights and sex of foetuses, gross and visceral malformations and variations. The offspring were also observed for litter size, the number of stillborn and live pups, sex, bodyweights, daily behaviour and survival. </w:t>
      </w:r>
      <w:r w:rsidR="001135EA" w:rsidRPr="000C7CFA">
        <w:rPr>
          <w:rFonts w:ascii="Verdana" w:hAnsi="Verdana"/>
          <w:sz w:val="18"/>
          <w:szCs w:val="18"/>
        </w:rPr>
        <w:t>Post-natal</w:t>
      </w:r>
      <w:r w:rsidRPr="000C7CFA">
        <w:rPr>
          <w:rFonts w:ascii="Verdana" w:hAnsi="Verdana"/>
          <w:sz w:val="18"/>
          <w:szCs w:val="18"/>
        </w:rPr>
        <w:t xml:space="preserve"> observation was carried out up until day 4 after birth. The parental animals were observed and examined in detail for clinical signs, body weights and food consumption, and copulation and oestrus cycle assessment were made for females. Sperm parameters were not examined in males. The parental and F</w:t>
      </w:r>
      <w:r w:rsidRPr="000C7CFA">
        <w:rPr>
          <w:rFonts w:ascii="Verdana" w:hAnsi="Verdana"/>
          <w:sz w:val="18"/>
          <w:szCs w:val="18"/>
          <w:vertAlign w:val="subscript"/>
        </w:rPr>
        <w:t>1</w:t>
      </w:r>
      <w:r w:rsidRPr="000C7CFA">
        <w:rPr>
          <w:rFonts w:ascii="Verdana" w:hAnsi="Verdana"/>
          <w:sz w:val="18"/>
          <w:szCs w:val="18"/>
        </w:rPr>
        <w:t xml:space="preserve"> NOEL were both determined to be ≥ 5</w:t>
      </w:r>
      <w:r w:rsidR="002D4EB9" w:rsidRPr="000C7CFA">
        <w:rPr>
          <w:rFonts w:ascii="Verdana" w:hAnsi="Verdana"/>
          <w:sz w:val="18"/>
          <w:szCs w:val="18"/>
        </w:rPr>
        <w:t> </w:t>
      </w:r>
      <w:r w:rsidRPr="000C7CFA">
        <w:rPr>
          <w:rFonts w:ascii="Verdana" w:hAnsi="Verdana"/>
          <w:sz w:val="18"/>
          <w:szCs w:val="18"/>
        </w:rPr>
        <w:t xml:space="preserve">000 mg/kg bw/day, </w:t>
      </w:r>
      <w:r w:rsidRPr="000C7CFA">
        <w:rPr>
          <w:rFonts w:ascii="Verdana" w:hAnsi="Verdana"/>
          <w:sz w:val="18"/>
          <w:szCs w:val="18"/>
        </w:rPr>
        <w:lastRenderedPageBreak/>
        <w:t xml:space="preserve">with no evident treatment-related effects in any examined parameters for repeated dose or reproductive/developmental toxicity. </w:t>
      </w:r>
    </w:p>
    <w:p w14:paraId="21F43FA9" w14:textId="5B36C457" w:rsidR="00E715D2" w:rsidRPr="000C7CFA" w:rsidRDefault="00BA0ECA" w:rsidP="00882BEB">
      <w:pPr>
        <w:pStyle w:val="BodyText"/>
        <w:rPr>
          <w:rFonts w:ascii="Verdana" w:hAnsi="Verdana"/>
          <w:sz w:val="18"/>
          <w:szCs w:val="18"/>
        </w:rPr>
      </w:pPr>
      <w:r w:rsidRPr="000C7CFA">
        <w:rPr>
          <w:rFonts w:ascii="Verdana" w:hAnsi="Verdana"/>
          <w:sz w:val="18"/>
          <w:szCs w:val="18"/>
        </w:rPr>
        <w:t xml:space="preserve">The study for developmental toxicity / teratogenicity is waived by the </w:t>
      </w:r>
      <w:r w:rsidR="007666BB" w:rsidRPr="000C7CFA">
        <w:rPr>
          <w:rFonts w:ascii="Verdana" w:hAnsi="Verdana"/>
          <w:sz w:val="18"/>
          <w:szCs w:val="18"/>
        </w:rPr>
        <w:t>Registrant</w:t>
      </w:r>
      <w:r w:rsidR="00855A6C" w:rsidRPr="000C7CFA">
        <w:rPr>
          <w:rFonts w:ascii="Verdana" w:hAnsi="Verdana"/>
          <w:sz w:val="18"/>
          <w:szCs w:val="18"/>
        </w:rPr>
        <w:t xml:space="preserve"> as being</w:t>
      </w:r>
      <w:r w:rsidRPr="000C7CFA">
        <w:rPr>
          <w:rFonts w:ascii="Verdana" w:hAnsi="Verdana"/>
          <w:sz w:val="18"/>
          <w:szCs w:val="18"/>
        </w:rPr>
        <w:t xml:space="preserve"> scientifically unjustified</w:t>
      </w:r>
      <w:r w:rsidR="00855A6C" w:rsidRPr="000C7CFA">
        <w:rPr>
          <w:rFonts w:ascii="Verdana" w:hAnsi="Verdana"/>
          <w:sz w:val="18"/>
          <w:szCs w:val="18"/>
        </w:rPr>
        <w:t>, because t</w:t>
      </w:r>
      <w:r w:rsidRPr="000C7CFA">
        <w:rPr>
          <w:rFonts w:ascii="Verdana" w:hAnsi="Verdana"/>
          <w:sz w:val="18"/>
          <w:szCs w:val="18"/>
        </w:rPr>
        <w:t>he developmental screening study meets the requirements of OECD</w:t>
      </w:r>
      <w:r w:rsidR="00AA487A" w:rsidRPr="000C7CFA">
        <w:rPr>
          <w:rFonts w:ascii="Verdana" w:hAnsi="Verdana"/>
          <w:sz w:val="18"/>
          <w:szCs w:val="18"/>
        </w:rPr>
        <w:t xml:space="preserve"> TG</w:t>
      </w:r>
      <w:r w:rsidRPr="000C7CFA">
        <w:rPr>
          <w:rFonts w:ascii="Verdana" w:hAnsi="Verdana"/>
          <w:sz w:val="18"/>
          <w:szCs w:val="18"/>
        </w:rPr>
        <w:t xml:space="preserve"> 414</w:t>
      </w:r>
      <w:r w:rsidR="00855A6C" w:rsidRPr="000C7CFA">
        <w:rPr>
          <w:rFonts w:ascii="Verdana" w:hAnsi="Verdana"/>
          <w:sz w:val="18"/>
          <w:szCs w:val="18"/>
        </w:rPr>
        <w:t>, and n</w:t>
      </w:r>
      <w:r w:rsidRPr="000C7CFA">
        <w:rPr>
          <w:rFonts w:ascii="Verdana" w:hAnsi="Verdana"/>
          <w:sz w:val="18"/>
          <w:szCs w:val="18"/>
        </w:rPr>
        <w:t>o toxic effects on embryo</w:t>
      </w:r>
      <w:r w:rsidR="0076237E" w:rsidRPr="000C7CFA">
        <w:rPr>
          <w:rFonts w:ascii="Verdana" w:hAnsi="Verdana"/>
          <w:sz w:val="18"/>
          <w:szCs w:val="18"/>
        </w:rPr>
        <w:t>-</w:t>
      </w:r>
      <w:r w:rsidRPr="000C7CFA">
        <w:rPr>
          <w:rFonts w:ascii="Verdana" w:hAnsi="Verdana"/>
          <w:sz w:val="18"/>
          <w:szCs w:val="18"/>
        </w:rPr>
        <w:t xml:space="preserve">foetal development </w:t>
      </w:r>
      <w:r w:rsidR="00AA487A" w:rsidRPr="000C7CFA">
        <w:rPr>
          <w:rFonts w:ascii="Verdana" w:hAnsi="Verdana"/>
          <w:sz w:val="18"/>
          <w:szCs w:val="18"/>
        </w:rPr>
        <w:t>or</w:t>
      </w:r>
      <w:r w:rsidRPr="000C7CFA">
        <w:rPr>
          <w:rFonts w:ascii="Verdana" w:hAnsi="Verdana"/>
          <w:sz w:val="18"/>
          <w:szCs w:val="18"/>
        </w:rPr>
        <w:t xml:space="preserve"> maternal function were observed up to 5</w:t>
      </w:r>
      <w:r w:rsidR="002D4EB9" w:rsidRPr="000C7CFA">
        <w:rPr>
          <w:rFonts w:ascii="Verdana" w:hAnsi="Verdana"/>
          <w:sz w:val="18"/>
          <w:szCs w:val="18"/>
        </w:rPr>
        <w:t> </w:t>
      </w:r>
      <w:r w:rsidRPr="000C7CFA">
        <w:rPr>
          <w:rFonts w:ascii="Verdana" w:hAnsi="Verdana"/>
          <w:sz w:val="18"/>
          <w:szCs w:val="18"/>
        </w:rPr>
        <w:t>000 mg/kg bw/day.</w:t>
      </w:r>
    </w:p>
    <w:p w14:paraId="323AEBE5" w14:textId="275F3C40" w:rsidR="00965351" w:rsidRPr="000C7CFA" w:rsidRDefault="00BA0ECA" w:rsidP="00965351">
      <w:pPr>
        <w:pStyle w:val="Heading3"/>
        <w:rPr>
          <w:rFonts w:ascii="Verdana" w:hAnsi="Verdana"/>
          <w:sz w:val="18"/>
          <w:szCs w:val="18"/>
        </w:rPr>
      </w:pPr>
      <w:bookmarkStart w:id="101" w:name="_Toc491862786"/>
      <w:r w:rsidRPr="000C7CFA">
        <w:rPr>
          <w:rFonts w:ascii="Verdana" w:hAnsi="Verdana"/>
          <w:sz w:val="18"/>
          <w:szCs w:val="18"/>
        </w:rPr>
        <w:t>Summary and discussion of toxicity to reproduction</w:t>
      </w:r>
      <w:bookmarkEnd w:id="101"/>
    </w:p>
    <w:p w14:paraId="2DF3BA75" w14:textId="77777777" w:rsidR="00AA487A" w:rsidRPr="000C7CFA" w:rsidRDefault="00BA0ECA" w:rsidP="00F678F1">
      <w:pPr>
        <w:spacing w:after="0"/>
        <w:jc w:val="both"/>
        <w:rPr>
          <w:rFonts w:ascii="Verdana" w:hAnsi="Verdana"/>
          <w:sz w:val="18"/>
          <w:szCs w:val="18"/>
        </w:rPr>
      </w:pPr>
      <w:r w:rsidRPr="000C7CFA">
        <w:rPr>
          <w:rFonts w:ascii="Verdana" w:hAnsi="Verdana"/>
          <w:sz w:val="18"/>
          <w:szCs w:val="18"/>
        </w:rPr>
        <w:t xml:space="preserve">A combined reproductive and developmental toxicity screening study is included in the dataset. The developmental toxicity/teratogenicity study is waived by the </w:t>
      </w:r>
      <w:r w:rsidR="007666BB" w:rsidRPr="000C7CFA">
        <w:rPr>
          <w:rFonts w:ascii="Verdana" w:hAnsi="Verdana"/>
          <w:sz w:val="18"/>
          <w:szCs w:val="18"/>
        </w:rPr>
        <w:t>Registrant</w:t>
      </w:r>
      <w:r w:rsidRPr="000C7CFA">
        <w:rPr>
          <w:rFonts w:ascii="Verdana" w:hAnsi="Verdana"/>
          <w:sz w:val="18"/>
          <w:szCs w:val="18"/>
        </w:rPr>
        <w:t xml:space="preserve"> on the grounds that the available OECD TG 422 screening study is sufficient to meet the requirements of the full OECD TG 414 study, required for Annex IX. </w:t>
      </w:r>
      <w:bookmarkStart w:id="102" w:name="_Toc265765544"/>
    </w:p>
    <w:p w14:paraId="42F13F0C" w14:textId="77777777" w:rsidR="00AA487A" w:rsidRPr="000C7CFA" w:rsidRDefault="00AA487A" w:rsidP="00F678F1">
      <w:pPr>
        <w:spacing w:after="0"/>
        <w:jc w:val="both"/>
        <w:rPr>
          <w:rFonts w:ascii="Verdana" w:hAnsi="Verdana"/>
          <w:sz w:val="18"/>
          <w:szCs w:val="18"/>
        </w:rPr>
      </w:pPr>
    </w:p>
    <w:p w14:paraId="3C0C7678" w14:textId="77777777" w:rsidR="00AA487A" w:rsidRPr="000C7CFA" w:rsidRDefault="00AA487A" w:rsidP="00AA487A">
      <w:pPr>
        <w:pStyle w:val="Heading2"/>
        <w:rPr>
          <w:rFonts w:ascii="Verdana" w:hAnsi="Verdana"/>
          <w:sz w:val="18"/>
          <w:szCs w:val="18"/>
        </w:rPr>
      </w:pPr>
      <w:bookmarkStart w:id="103" w:name="_Toc491862787"/>
      <w:r w:rsidRPr="000C7CFA">
        <w:rPr>
          <w:rFonts w:ascii="Verdana" w:hAnsi="Verdana"/>
          <w:sz w:val="18"/>
          <w:szCs w:val="18"/>
        </w:rPr>
        <w:t>Summary of mammalian toxicity</w:t>
      </w:r>
      <w:bookmarkEnd w:id="103"/>
    </w:p>
    <w:p w14:paraId="45299B88" w14:textId="77777777" w:rsidR="00AA487A" w:rsidRPr="000C7CFA" w:rsidRDefault="00AA487A" w:rsidP="00AA487A">
      <w:pPr>
        <w:jc w:val="both"/>
        <w:rPr>
          <w:rFonts w:ascii="Verdana" w:hAnsi="Verdana"/>
          <w:sz w:val="18"/>
          <w:szCs w:val="18"/>
        </w:rPr>
      </w:pPr>
      <w:r w:rsidRPr="000C7CFA">
        <w:rPr>
          <w:rFonts w:ascii="Verdana" w:hAnsi="Verdana"/>
          <w:sz w:val="18"/>
          <w:szCs w:val="18"/>
        </w:rPr>
        <w:t>Several of the mammalian tests were conducted by Industrial Bio-Test Laboratories many years ago. This test facility is known to have fabricated study results historically. U.S. EPA Certificates of Compliance for the submitted studies are required to fully validate the results. However, this does not affect the studies that are relevant for PBT assessment.</w:t>
      </w:r>
    </w:p>
    <w:p w14:paraId="1664FB31" w14:textId="77988882" w:rsidR="00AA3971" w:rsidRPr="000C7CFA" w:rsidRDefault="00AA3971" w:rsidP="00AA487A">
      <w:pPr>
        <w:pStyle w:val="BodyText"/>
        <w:rPr>
          <w:rFonts w:ascii="Verdana" w:hAnsi="Verdana"/>
          <w:sz w:val="18"/>
          <w:szCs w:val="18"/>
        </w:rPr>
      </w:pPr>
      <w:r w:rsidRPr="000C7CFA">
        <w:rPr>
          <w:rFonts w:ascii="Verdana" w:hAnsi="Verdana"/>
          <w:sz w:val="18"/>
          <w:szCs w:val="18"/>
        </w:rPr>
        <w:t>The substance does not appear to cause relevant adverse effects via oral or dietary exposure at concentrations above 1 000 mg/kg bw/d, although there are some data gaps (e.g. there are no long-term studies exceeding 90 days, which might be important given the apparently slow uptake of the substance). The dosing vehicles might also limit exposure (e.g. due to the presence of undissolved micro-crystals), such that the high “doses” might not truly reflect the degree of exposure of the organisms.</w:t>
      </w:r>
    </w:p>
    <w:p w14:paraId="68408440" w14:textId="43AFE0C6" w:rsidR="00AA487A" w:rsidRPr="000C7CFA" w:rsidRDefault="00AA3971" w:rsidP="00AA487A">
      <w:pPr>
        <w:pStyle w:val="BodyText"/>
        <w:rPr>
          <w:rFonts w:ascii="Verdana" w:hAnsi="Verdana"/>
          <w:sz w:val="18"/>
          <w:szCs w:val="18"/>
          <w:lang w:val="en-US"/>
        </w:rPr>
      </w:pPr>
      <w:r w:rsidRPr="000C7CFA">
        <w:rPr>
          <w:rFonts w:ascii="Verdana" w:hAnsi="Verdana"/>
          <w:sz w:val="18"/>
          <w:szCs w:val="18"/>
          <w:lang w:val="en-US"/>
        </w:rPr>
        <w:t>Nevertheless, b</w:t>
      </w:r>
      <w:r w:rsidR="00AA487A" w:rsidRPr="000C7CFA">
        <w:rPr>
          <w:rFonts w:ascii="Verdana" w:hAnsi="Verdana"/>
          <w:sz w:val="18"/>
          <w:szCs w:val="18"/>
          <w:lang w:val="en-US"/>
        </w:rPr>
        <w:t xml:space="preserve">ased on the available data, Dechlorane Plus does not meet the classification criteria for mutagenicity, toxicity to reproduction or specific target organ toxicity. The data are considered to be conclusive but not sufficient for classification for these endpoints. Carcinogenicity data are lacking (and are not required at the registration tonnage). There is some evidence for potential </w:t>
      </w:r>
      <w:r w:rsidR="00AA487A" w:rsidRPr="000C7CFA">
        <w:rPr>
          <w:rFonts w:ascii="Verdana" w:hAnsi="Verdana"/>
          <w:sz w:val="18"/>
          <w:szCs w:val="18"/>
        </w:rPr>
        <w:t xml:space="preserve">liver impairment in mice (Wu </w:t>
      </w:r>
      <w:r w:rsidR="00AA487A" w:rsidRPr="000C7CFA">
        <w:rPr>
          <w:rFonts w:ascii="Verdana" w:hAnsi="Verdana"/>
          <w:i/>
          <w:sz w:val="18"/>
          <w:szCs w:val="18"/>
        </w:rPr>
        <w:t>et al</w:t>
      </w:r>
      <w:r w:rsidR="00AA487A" w:rsidRPr="000C7CFA">
        <w:rPr>
          <w:rFonts w:ascii="Verdana" w:hAnsi="Verdana"/>
          <w:sz w:val="18"/>
          <w:szCs w:val="18"/>
        </w:rPr>
        <w:t>., 2012), but the significance of these findings is unclear.</w:t>
      </w:r>
    </w:p>
    <w:p w14:paraId="19787E32" w14:textId="7A44F829" w:rsidR="008D68A0" w:rsidRPr="000C7CFA" w:rsidRDefault="00BA0ECA" w:rsidP="00F678F1">
      <w:pPr>
        <w:spacing w:after="0"/>
        <w:jc w:val="both"/>
        <w:rPr>
          <w:rFonts w:ascii="Verdana" w:hAnsi="Verdana"/>
          <w:b/>
          <w:caps/>
          <w:sz w:val="18"/>
          <w:szCs w:val="18"/>
          <w:lang w:val="en-GB"/>
        </w:rPr>
      </w:pPr>
      <w:r w:rsidRPr="000C7CFA">
        <w:rPr>
          <w:rFonts w:ascii="Verdana" w:hAnsi="Verdana"/>
          <w:sz w:val="18"/>
          <w:szCs w:val="18"/>
          <w:lang w:val="en-GB"/>
        </w:rPr>
        <w:br w:type="page"/>
      </w:r>
    </w:p>
    <w:p w14:paraId="3E8DFB03" w14:textId="1A3444F6" w:rsidR="0089163D" w:rsidRPr="000C7CFA" w:rsidRDefault="0089163D" w:rsidP="0089163D">
      <w:pPr>
        <w:pStyle w:val="Heading1"/>
        <w:rPr>
          <w:rFonts w:ascii="Verdana" w:hAnsi="Verdana"/>
          <w:sz w:val="18"/>
          <w:szCs w:val="18"/>
        </w:rPr>
      </w:pPr>
      <w:bookmarkStart w:id="104" w:name="_Toc491862788"/>
      <w:r w:rsidRPr="000C7CFA">
        <w:rPr>
          <w:rFonts w:ascii="Verdana" w:hAnsi="Verdana"/>
          <w:sz w:val="18"/>
          <w:szCs w:val="18"/>
        </w:rPr>
        <w:lastRenderedPageBreak/>
        <w:t>Environmental hazard assessment</w:t>
      </w:r>
      <w:bookmarkEnd w:id="102"/>
      <w:bookmarkEnd w:id="104"/>
    </w:p>
    <w:p w14:paraId="67E37A6E" w14:textId="54D90AEB" w:rsidR="0089163D" w:rsidRPr="000C7CFA" w:rsidRDefault="0089163D" w:rsidP="00FE50E5">
      <w:pPr>
        <w:pStyle w:val="Heading2"/>
        <w:rPr>
          <w:rFonts w:ascii="Verdana" w:hAnsi="Verdana"/>
          <w:sz w:val="18"/>
          <w:szCs w:val="18"/>
        </w:rPr>
      </w:pPr>
      <w:bookmarkStart w:id="105" w:name="_Toc265765545"/>
      <w:bookmarkStart w:id="106" w:name="_Toc491862789"/>
      <w:r w:rsidRPr="000C7CFA">
        <w:rPr>
          <w:rFonts w:ascii="Verdana" w:hAnsi="Verdana"/>
          <w:sz w:val="18"/>
          <w:szCs w:val="18"/>
        </w:rPr>
        <w:t>Aquatic compartment (including sediment)</w:t>
      </w:r>
      <w:bookmarkEnd w:id="105"/>
      <w:bookmarkEnd w:id="106"/>
    </w:p>
    <w:p w14:paraId="1CDCADB9" w14:textId="578A7F84" w:rsidR="0089163D" w:rsidRPr="000C7CFA" w:rsidRDefault="004B5A90" w:rsidP="0089163D">
      <w:pPr>
        <w:pStyle w:val="Heading3"/>
        <w:keepNext w:val="0"/>
        <w:tabs>
          <w:tab w:val="clear" w:pos="839"/>
          <w:tab w:val="left" w:pos="960"/>
          <w:tab w:val="num" w:pos="1317"/>
        </w:tabs>
        <w:ind w:left="1317" w:hanging="1317"/>
        <w:rPr>
          <w:rFonts w:ascii="Verdana" w:hAnsi="Verdana"/>
          <w:sz w:val="18"/>
          <w:szCs w:val="18"/>
        </w:rPr>
      </w:pPr>
      <w:bookmarkStart w:id="107" w:name="_Toc202255562"/>
      <w:bookmarkStart w:id="108" w:name="_Toc265765546"/>
      <w:bookmarkStart w:id="109" w:name="_Toc491862790"/>
      <w:r w:rsidRPr="000C7CFA">
        <w:rPr>
          <w:rFonts w:ascii="Verdana" w:hAnsi="Verdana"/>
          <w:sz w:val="18"/>
          <w:szCs w:val="18"/>
        </w:rPr>
        <w:t>Pelagic toxicity</w:t>
      </w:r>
      <w:bookmarkEnd w:id="107"/>
      <w:bookmarkEnd w:id="108"/>
      <w:bookmarkEnd w:id="109"/>
    </w:p>
    <w:p w14:paraId="21A45332" w14:textId="4B2885E5" w:rsidR="0089163D" w:rsidRPr="000C7CFA" w:rsidRDefault="00893752" w:rsidP="0089163D">
      <w:pPr>
        <w:pStyle w:val="Heading4"/>
        <w:keepNext w:val="0"/>
        <w:tabs>
          <w:tab w:val="clear" w:pos="839"/>
          <w:tab w:val="left" w:pos="960"/>
          <w:tab w:val="num" w:pos="1317"/>
        </w:tabs>
        <w:ind w:left="1317" w:hanging="1317"/>
        <w:rPr>
          <w:rFonts w:ascii="Verdana" w:hAnsi="Verdana"/>
          <w:sz w:val="18"/>
          <w:szCs w:val="18"/>
        </w:rPr>
      </w:pPr>
      <w:bookmarkStart w:id="110" w:name="_Ref199911270"/>
      <w:bookmarkStart w:id="111" w:name="_Toc202255563"/>
      <w:bookmarkStart w:id="112" w:name="_Toc265765547"/>
      <w:r w:rsidRPr="000C7CFA">
        <w:rPr>
          <w:rFonts w:ascii="Verdana" w:hAnsi="Verdana"/>
          <w:sz w:val="18"/>
          <w:szCs w:val="18"/>
        </w:rPr>
        <w:t xml:space="preserve"> </w:t>
      </w:r>
      <w:r w:rsidR="0089163D" w:rsidRPr="000C7CFA">
        <w:rPr>
          <w:rFonts w:ascii="Verdana" w:hAnsi="Verdana"/>
          <w:sz w:val="18"/>
          <w:szCs w:val="18"/>
        </w:rPr>
        <w:t>Fish</w:t>
      </w:r>
      <w:bookmarkEnd w:id="110"/>
      <w:bookmarkEnd w:id="111"/>
      <w:bookmarkEnd w:id="112"/>
    </w:p>
    <w:p w14:paraId="38186AA0" w14:textId="0A96DB0E" w:rsidR="0089163D" w:rsidRPr="000C7CFA" w:rsidRDefault="0089163D" w:rsidP="0089163D">
      <w:pPr>
        <w:pStyle w:val="Heading5"/>
        <w:tabs>
          <w:tab w:val="left" w:pos="960"/>
          <w:tab w:val="num" w:pos="2083"/>
        </w:tabs>
        <w:spacing w:before="360" w:after="200"/>
        <w:ind w:left="2083" w:hanging="2083"/>
        <w:rPr>
          <w:rFonts w:ascii="Verdana" w:hAnsi="Verdana"/>
          <w:i w:val="0"/>
          <w:sz w:val="18"/>
          <w:szCs w:val="18"/>
          <w:lang w:val="en-GB"/>
        </w:rPr>
      </w:pPr>
      <w:bookmarkStart w:id="113" w:name="_Toc202255564"/>
      <w:bookmarkStart w:id="114" w:name="_Toc265765548"/>
      <w:r w:rsidRPr="000C7CFA">
        <w:rPr>
          <w:rFonts w:ascii="Verdana" w:hAnsi="Verdana"/>
          <w:i w:val="0"/>
          <w:sz w:val="18"/>
          <w:szCs w:val="18"/>
          <w:lang w:val="en-GB"/>
        </w:rPr>
        <w:t>Short-term toxicity to fish</w:t>
      </w:r>
      <w:bookmarkEnd w:id="113"/>
      <w:bookmarkEnd w:id="114"/>
    </w:p>
    <w:p w14:paraId="1BBF3E37" w14:textId="4BC755B1" w:rsidR="00A17B8C" w:rsidRPr="000C7CFA" w:rsidRDefault="00A17B8C" w:rsidP="00795AF6">
      <w:pPr>
        <w:jc w:val="both"/>
        <w:rPr>
          <w:rFonts w:ascii="Verdana" w:hAnsi="Verdana"/>
          <w:sz w:val="18"/>
          <w:szCs w:val="18"/>
          <w:lang w:val="en-GB"/>
        </w:rPr>
      </w:pPr>
      <w:r w:rsidRPr="000C7CFA">
        <w:rPr>
          <w:rFonts w:ascii="Verdana" w:hAnsi="Verdana"/>
          <w:sz w:val="18"/>
          <w:szCs w:val="18"/>
          <w:lang w:val="en-GB"/>
        </w:rPr>
        <w:t>A short</w:t>
      </w:r>
      <w:r w:rsidR="007C2AB3" w:rsidRPr="000C7CFA">
        <w:rPr>
          <w:rFonts w:ascii="Verdana" w:hAnsi="Verdana"/>
          <w:sz w:val="18"/>
          <w:szCs w:val="18"/>
          <w:lang w:val="en-GB"/>
        </w:rPr>
        <w:t>-</w:t>
      </w:r>
      <w:r w:rsidRPr="000C7CFA">
        <w:rPr>
          <w:rFonts w:ascii="Verdana" w:hAnsi="Verdana"/>
          <w:sz w:val="18"/>
          <w:szCs w:val="18"/>
          <w:lang w:val="en-GB"/>
        </w:rPr>
        <w:t xml:space="preserve">term </w:t>
      </w:r>
      <w:r w:rsidR="007C2AB3" w:rsidRPr="000C7CFA">
        <w:rPr>
          <w:rFonts w:ascii="Verdana" w:hAnsi="Verdana"/>
          <w:sz w:val="18"/>
          <w:szCs w:val="18"/>
          <w:lang w:val="en-GB"/>
        </w:rPr>
        <w:t xml:space="preserve">fish </w:t>
      </w:r>
      <w:r w:rsidRPr="000C7CFA">
        <w:rPr>
          <w:rFonts w:ascii="Verdana" w:hAnsi="Verdana"/>
          <w:sz w:val="18"/>
          <w:szCs w:val="18"/>
          <w:lang w:val="en-GB"/>
        </w:rPr>
        <w:t xml:space="preserve">toxicity study is available in </w:t>
      </w:r>
      <w:r w:rsidR="00D31FED" w:rsidRPr="000C7CFA">
        <w:rPr>
          <w:rFonts w:ascii="Verdana" w:hAnsi="Verdana"/>
          <w:sz w:val="18"/>
          <w:szCs w:val="18"/>
          <w:lang w:val="en-GB"/>
        </w:rPr>
        <w:t>the registration dossier</w:t>
      </w:r>
      <w:r w:rsidR="00796A66" w:rsidRPr="000C7CFA">
        <w:rPr>
          <w:rFonts w:ascii="Verdana" w:hAnsi="Verdana"/>
          <w:sz w:val="18"/>
          <w:szCs w:val="18"/>
          <w:lang w:val="en-GB"/>
        </w:rPr>
        <w:t xml:space="preserve"> (</w:t>
      </w:r>
      <w:r w:rsidR="00796A66" w:rsidRPr="000C7CFA">
        <w:rPr>
          <w:rFonts w:ascii="Verdana" w:hAnsi="Verdana"/>
          <w:sz w:val="18"/>
          <w:szCs w:val="18"/>
          <w:u w:val="single"/>
          <w:lang w:val="en-GB"/>
        </w:rPr>
        <w:t>Russell, 1973</w:t>
      </w:r>
      <w:r w:rsidR="00796A66" w:rsidRPr="000C7CFA">
        <w:rPr>
          <w:rFonts w:ascii="Verdana" w:hAnsi="Verdana"/>
          <w:sz w:val="18"/>
          <w:szCs w:val="18"/>
          <w:lang w:val="en-GB"/>
        </w:rPr>
        <w:t>)</w:t>
      </w:r>
      <w:r w:rsidR="00D31FED" w:rsidRPr="000C7CFA">
        <w:rPr>
          <w:rFonts w:ascii="Verdana" w:hAnsi="Verdana"/>
          <w:sz w:val="18"/>
          <w:szCs w:val="18"/>
          <w:lang w:val="en-GB"/>
        </w:rPr>
        <w:t>. B</w:t>
      </w:r>
      <w:r w:rsidRPr="000C7CFA">
        <w:rPr>
          <w:rFonts w:ascii="Verdana" w:hAnsi="Verdana"/>
          <w:sz w:val="18"/>
          <w:szCs w:val="18"/>
          <w:lang w:val="en-GB"/>
        </w:rPr>
        <w:t>luegill fingerlings (</w:t>
      </w:r>
      <w:r w:rsidR="00D850EC" w:rsidRPr="000C7CFA">
        <w:rPr>
          <w:rFonts w:ascii="Verdana" w:hAnsi="Verdana"/>
          <w:sz w:val="18"/>
          <w:szCs w:val="18"/>
          <w:lang w:val="en-GB"/>
        </w:rPr>
        <w:t xml:space="preserve">Latin </w:t>
      </w:r>
      <w:r w:rsidR="00BA0ECA" w:rsidRPr="000C7CFA">
        <w:rPr>
          <w:rFonts w:ascii="Verdana" w:hAnsi="Verdana"/>
          <w:sz w:val="18"/>
          <w:szCs w:val="18"/>
          <w:lang w:val="en-GB"/>
        </w:rPr>
        <w:t xml:space="preserve">name not given, </w:t>
      </w:r>
      <w:r w:rsidR="008D5628" w:rsidRPr="000C7CFA">
        <w:rPr>
          <w:rFonts w:ascii="Verdana" w:hAnsi="Verdana"/>
          <w:sz w:val="18"/>
          <w:szCs w:val="18"/>
          <w:lang w:val="en-GB"/>
        </w:rPr>
        <w:t>presumably</w:t>
      </w:r>
      <w:r w:rsidR="00BA0ECA" w:rsidRPr="000C7CFA">
        <w:rPr>
          <w:rFonts w:ascii="Verdana" w:hAnsi="Verdana"/>
          <w:sz w:val="18"/>
          <w:szCs w:val="18"/>
          <w:lang w:val="en-GB"/>
        </w:rPr>
        <w:t xml:space="preserve"> </w:t>
      </w:r>
      <w:r w:rsidR="00BA0ECA" w:rsidRPr="000C7CFA">
        <w:rPr>
          <w:rFonts w:ascii="Verdana" w:hAnsi="Verdana"/>
          <w:i/>
          <w:sz w:val="18"/>
          <w:szCs w:val="18"/>
          <w:lang w:val="en-GB"/>
        </w:rPr>
        <w:t>Lepomis macrochirus</w:t>
      </w:r>
      <w:r w:rsidR="00BA0ECA" w:rsidRPr="000C7CFA">
        <w:rPr>
          <w:rFonts w:ascii="Verdana" w:hAnsi="Verdana"/>
          <w:sz w:val="18"/>
          <w:szCs w:val="18"/>
          <w:lang w:val="en-GB"/>
        </w:rPr>
        <w:t xml:space="preserve">) were exposed to a range of nominal concentrations between 6.25 to 100 ppm </w:t>
      </w:r>
      <w:r w:rsidR="008E2672" w:rsidRPr="000C7CFA">
        <w:rPr>
          <w:rFonts w:ascii="Verdana" w:hAnsi="Verdana"/>
          <w:sz w:val="18"/>
          <w:szCs w:val="18"/>
          <w:lang w:val="en-GB"/>
        </w:rPr>
        <w:t xml:space="preserve">[mg/L] </w:t>
      </w:r>
      <w:r w:rsidR="00BA0ECA" w:rsidRPr="000C7CFA">
        <w:rPr>
          <w:rFonts w:ascii="Verdana" w:hAnsi="Verdana"/>
          <w:sz w:val="18"/>
          <w:szCs w:val="18"/>
          <w:lang w:val="en-GB"/>
        </w:rPr>
        <w:t xml:space="preserve">of commercial Dechlorane Plus, plus the control, for 96 hours in a flow-through regime. The study has been assigned reliability 2 by the </w:t>
      </w:r>
      <w:r w:rsidR="007666BB" w:rsidRPr="000C7CFA">
        <w:rPr>
          <w:rFonts w:ascii="Verdana" w:hAnsi="Verdana"/>
          <w:sz w:val="18"/>
          <w:szCs w:val="18"/>
          <w:lang w:val="en-GB"/>
        </w:rPr>
        <w:t>Registrant</w:t>
      </w:r>
      <w:r w:rsidR="00BA0ECA" w:rsidRPr="000C7CFA">
        <w:rPr>
          <w:rFonts w:ascii="Verdana" w:hAnsi="Verdana"/>
          <w:sz w:val="18"/>
          <w:szCs w:val="18"/>
          <w:lang w:val="en-GB"/>
        </w:rPr>
        <w:t xml:space="preserve"> </w:t>
      </w:r>
      <w:r w:rsidR="00311841" w:rsidRPr="000C7CFA">
        <w:rPr>
          <w:rFonts w:ascii="Verdana" w:hAnsi="Verdana"/>
          <w:sz w:val="18"/>
          <w:szCs w:val="18"/>
          <w:lang w:val="en-GB"/>
        </w:rPr>
        <w:t xml:space="preserve">(who indicates that the substance purity was comparable with the registered substance) </w:t>
      </w:r>
      <w:r w:rsidR="00BA0ECA" w:rsidRPr="000C7CFA">
        <w:rPr>
          <w:rFonts w:ascii="Verdana" w:hAnsi="Verdana"/>
          <w:sz w:val="18"/>
          <w:szCs w:val="18"/>
          <w:lang w:val="en-GB"/>
        </w:rPr>
        <w:t xml:space="preserve">and no guideline was followed. The test substance was administered by injecting a suspension up to </w:t>
      </w:r>
      <w:r w:rsidR="00AF7606" w:rsidRPr="000C7CFA">
        <w:rPr>
          <w:rFonts w:ascii="Verdana" w:hAnsi="Verdana"/>
          <w:sz w:val="18"/>
          <w:szCs w:val="18"/>
          <w:lang w:val="en-GB"/>
        </w:rPr>
        <w:t>2 %</w:t>
      </w:r>
      <w:r w:rsidR="00BA0ECA" w:rsidRPr="000C7CFA">
        <w:rPr>
          <w:rFonts w:ascii="Verdana" w:hAnsi="Verdana"/>
          <w:sz w:val="18"/>
          <w:szCs w:val="18"/>
          <w:lang w:val="en-GB"/>
        </w:rPr>
        <w:t xml:space="preserve"> acetone in the test medium. No analytical monitoring was carried out and visible precipitation was present at the bottom of the tanks. The pH of the test system was reported to be 9.4-9.5. There were no effects on behaviour or mortalities at any of the concentrations tested. The EC0 is said to be &gt;100 </w:t>
      </w:r>
      <w:r w:rsidR="001C7584" w:rsidRPr="000C7CFA">
        <w:rPr>
          <w:rFonts w:ascii="Verdana" w:hAnsi="Verdana"/>
          <w:sz w:val="18"/>
          <w:szCs w:val="18"/>
          <w:lang w:val="en-GB"/>
        </w:rPr>
        <w:t>mg/L</w:t>
      </w:r>
      <w:r w:rsidR="00BA0ECA" w:rsidRPr="000C7CFA">
        <w:rPr>
          <w:rFonts w:ascii="Verdana" w:hAnsi="Verdana"/>
          <w:sz w:val="18"/>
          <w:szCs w:val="18"/>
          <w:lang w:val="en-GB"/>
        </w:rPr>
        <w:t xml:space="preserve">. Although the study has been assigned reliability 2 by the </w:t>
      </w:r>
      <w:r w:rsidR="007666BB" w:rsidRPr="000C7CFA">
        <w:rPr>
          <w:rFonts w:ascii="Verdana" w:hAnsi="Verdana"/>
          <w:sz w:val="18"/>
          <w:szCs w:val="18"/>
          <w:lang w:val="en-GB"/>
        </w:rPr>
        <w:t>Registrant</w:t>
      </w:r>
      <w:r w:rsidR="00BA0ECA" w:rsidRPr="000C7CFA">
        <w:rPr>
          <w:rFonts w:ascii="Verdana" w:hAnsi="Verdana"/>
          <w:sz w:val="18"/>
          <w:szCs w:val="18"/>
          <w:lang w:val="en-GB"/>
        </w:rPr>
        <w:t xml:space="preserve"> they also state that the study is inconclusive due to the low water solubility of the test substance and the observed precipitation. </w:t>
      </w:r>
    </w:p>
    <w:p w14:paraId="12C27F67" w14:textId="183550B0" w:rsidR="00291B0C" w:rsidRPr="000C7CFA" w:rsidRDefault="00AA6C50" w:rsidP="00AA6C50">
      <w:pPr>
        <w:jc w:val="both"/>
        <w:rPr>
          <w:rFonts w:ascii="Verdana" w:hAnsi="Verdana"/>
          <w:sz w:val="18"/>
          <w:szCs w:val="18"/>
          <w:lang w:val="en-GB"/>
        </w:rPr>
      </w:pPr>
      <w:r w:rsidRPr="000C7CFA">
        <w:rPr>
          <w:rFonts w:ascii="Verdana" w:hAnsi="Verdana"/>
          <w:sz w:val="18"/>
          <w:szCs w:val="18"/>
        </w:rPr>
        <w:t xml:space="preserve">No significant adverse effects on hatchability, survival or malformations were reported at concentrations up to around </w:t>
      </w:r>
      <w:r w:rsidR="002B685B" w:rsidRPr="000C7CFA">
        <w:rPr>
          <w:rFonts w:ascii="Verdana" w:hAnsi="Verdana"/>
          <w:sz w:val="18"/>
          <w:szCs w:val="18"/>
        </w:rPr>
        <w:t>0.3 mg/L (30</w:t>
      </w:r>
      <w:r w:rsidRPr="000C7CFA">
        <w:rPr>
          <w:rFonts w:ascii="Verdana" w:hAnsi="Verdana"/>
          <w:sz w:val="18"/>
          <w:szCs w:val="18"/>
        </w:rPr>
        <w:t>0 µg/L</w:t>
      </w:r>
      <w:r w:rsidR="002B685B" w:rsidRPr="000C7CFA">
        <w:rPr>
          <w:rFonts w:ascii="Verdana" w:hAnsi="Verdana"/>
          <w:sz w:val="18"/>
          <w:szCs w:val="18"/>
        </w:rPr>
        <w:t>)</w:t>
      </w:r>
      <w:r w:rsidRPr="000C7CFA">
        <w:rPr>
          <w:rFonts w:ascii="Verdana" w:hAnsi="Verdana"/>
          <w:sz w:val="18"/>
          <w:szCs w:val="18"/>
        </w:rPr>
        <w:t xml:space="preserve"> in three non-standard Zebrafish (</w:t>
      </w:r>
      <w:r w:rsidRPr="000C7CFA">
        <w:rPr>
          <w:rFonts w:ascii="Verdana" w:hAnsi="Verdana"/>
          <w:i/>
          <w:sz w:val="18"/>
          <w:szCs w:val="18"/>
        </w:rPr>
        <w:t>Danio rerio</w:t>
      </w:r>
      <w:r w:rsidRPr="000C7CFA">
        <w:rPr>
          <w:rFonts w:ascii="Verdana" w:hAnsi="Verdana"/>
          <w:sz w:val="18"/>
          <w:szCs w:val="18"/>
        </w:rPr>
        <w:t xml:space="preserve">) embryo toxicity studies that had similarities to OECD TG 236 (Noyes </w:t>
      </w:r>
      <w:r w:rsidRPr="000C7CFA">
        <w:rPr>
          <w:rFonts w:ascii="Verdana" w:hAnsi="Verdana"/>
          <w:i/>
          <w:sz w:val="18"/>
          <w:szCs w:val="18"/>
        </w:rPr>
        <w:t>et al</w:t>
      </w:r>
      <w:r w:rsidRPr="000C7CFA">
        <w:rPr>
          <w:rFonts w:ascii="Verdana" w:hAnsi="Verdana"/>
          <w:sz w:val="18"/>
          <w:szCs w:val="18"/>
        </w:rPr>
        <w:t xml:space="preserve">., 2015; Kang </w:t>
      </w:r>
      <w:r w:rsidRPr="000C7CFA">
        <w:rPr>
          <w:rFonts w:ascii="Verdana" w:hAnsi="Verdana"/>
          <w:i/>
          <w:sz w:val="18"/>
          <w:szCs w:val="18"/>
        </w:rPr>
        <w:t>et al</w:t>
      </w:r>
      <w:r w:rsidRPr="000C7CFA">
        <w:rPr>
          <w:rFonts w:ascii="Verdana" w:hAnsi="Verdana"/>
          <w:sz w:val="18"/>
          <w:szCs w:val="18"/>
        </w:rPr>
        <w:t xml:space="preserve">., 2016; Chen </w:t>
      </w:r>
      <w:r w:rsidRPr="000C7CFA">
        <w:rPr>
          <w:rFonts w:ascii="Verdana" w:hAnsi="Verdana"/>
          <w:i/>
          <w:sz w:val="18"/>
          <w:szCs w:val="18"/>
        </w:rPr>
        <w:t>et al</w:t>
      </w:r>
      <w:r w:rsidRPr="000C7CFA">
        <w:rPr>
          <w:rFonts w:ascii="Verdana" w:hAnsi="Verdana"/>
          <w:sz w:val="18"/>
          <w:szCs w:val="18"/>
        </w:rPr>
        <w:t>., 2017) (see Section 5.1.1.1.2</w:t>
      </w:r>
      <w:r w:rsidR="00336A05" w:rsidRPr="000C7CFA">
        <w:rPr>
          <w:rFonts w:ascii="Verdana" w:hAnsi="Verdana"/>
          <w:sz w:val="18"/>
          <w:szCs w:val="18"/>
        </w:rPr>
        <w:t xml:space="preserve"> for full details</w:t>
      </w:r>
      <w:r w:rsidRPr="000C7CFA">
        <w:rPr>
          <w:rFonts w:ascii="Verdana" w:hAnsi="Verdana"/>
          <w:sz w:val="18"/>
          <w:szCs w:val="18"/>
        </w:rPr>
        <w:t>). It is possible that the egg membrane presents a barrier to the passage of Dechlorane Plus given its low water solubility and high log K</w:t>
      </w:r>
      <w:r w:rsidRPr="000C7CFA">
        <w:rPr>
          <w:rFonts w:ascii="Verdana" w:hAnsi="Verdana"/>
          <w:sz w:val="18"/>
          <w:szCs w:val="18"/>
          <w:vertAlign w:val="subscript"/>
        </w:rPr>
        <w:t>ow</w:t>
      </w:r>
      <w:r w:rsidRPr="000C7CFA">
        <w:rPr>
          <w:rFonts w:ascii="Verdana" w:hAnsi="Verdana"/>
          <w:sz w:val="18"/>
          <w:szCs w:val="18"/>
        </w:rPr>
        <w:t xml:space="preserve">, although one of the studies did report uptake as well as biological responses in the fish 6 days after </w:t>
      </w:r>
      <w:r w:rsidR="0076237E" w:rsidRPr="000C7CFA">
        <w:rPr>
          <w:rFonts w:ascii="Verdana" w:hAnsi="Verdana"/>
          <w:sz w:val="18"/>
          <w:szCs w:val="18"/>
        </w:rPr>
        <w:t>fertilization</w:t>
      </w:r>
      <w:r w:rsidRPr="000C7CFA">
        <w:rPr>
          <w:rFonts w:ascii="Verdana" w:hAnsi="Verdana"/>
          <w:sz w:val="18"/>
          <w:szCs w:val="18"/>
        </w:rPr>
        <w:t>. A fourth study</w:t>
      </w:r>
      <w:r w:rsidR="00336A05" w:rsidRPr="000C7CFA">
        <w:rPr>
          <w:rFonts w:ascii="Verdana" w:hAnsi="Verdana"/>
          <w:sz w:val="18"/>
          <w:szCs w:val="18"/>
        </w:rPr>
        <w:t xml:space="preserve"> (Hang </w:t>
      </w:r>
      <w:r w:rsidR="00336A05" w:rsidRPr="000C7CFA">
        <w:rPr>
          <w:rFonts w:ascii="Verdana" w:hAnsi="Verdana"/>
          <w:i/>
          <w:sz w:val="18"/>
          <w:szCs w:val="18"/>
        </w:rPr>
        <w:t>et al</w:t>
      </w:r>
      <w:r w:rsidR="00336A05" w:rsidRPr="000C7CFA">
        <w:rPr>
          <w:rFonts w:ascii="Verdana" w:hAnsi="Verdana"/>
          <w:sz w:val="18"/>
          <w:szCs w:val="18"/>
        </w:rPr>
        <w:t>., 2013 [ABST])</w:t>
      </w:r>
      <w:r w:rsidRPr="000C7CFA">
        <w:rPr>
          <w:rFonts w:ascii="Verdana" w:hAnsi="Verdana"/>
          <w:sz w:val="18"/>
          <w:szCs w:val="18"/>
        </w:rPr>
        <w:t xml:space="preserve"> reported malformations, but few details are available</w:t>
      </w:r>
      <w:r w:rsidR="00336A05" w:rsidRPr="000C7CFA">
        <w:rPr>
          <w:rFonts w:ascii="Verdana" w:hAnsi="Verdana"/>
          <w:sz w:val="18"/>
          <w:szCs w:val="18"/>
        </w:rPr>
        <w:t xml:space="preserve"> so its reliability cannot be assessed</w:t>
      </w:r>
      <w:r w:rsidRPr="000C7CFA">
        <w:rPr>
          <w:rFonts w:ascii="Verdana" w:hAnsi="Verdana"/>
          <w:sz w:val="18"/>
          <w:szCs w:val="18"/>
        </w:rPr>
        <w:t>.</w:t>
      </w:r>
    </w:p>
    <w:p w14:paraId="4A9E4778" w14:textId="375EAF4E" w:rsidR="00291B0C" w:rsidRPr="000C7CFA" w:rsidRDefault="00222120" w:rsidP="00291B0C">
      <w:pPr>
        <w:pStyle w:val="BodyText"/>
        <w:rPr>
          <w:rFonts w:ascii="Verdana" w:hAnsi="Verdana"/>
          <w:sz w:val="18"/>
          <w:szCs w:val="18"/>
        </w:rPr>
      </w:pPr>
      <w:r w:rsidRPr="000C7CFA">
        <w:rPr>
          <w:rFonts w:ascii="Verdana" w:hAnsi="Verdana"/>
          <w:sz w:val="18"/>
          <w:szCs w:val="18"/>
        </w:rPr>
        <w:t>A</w:t>
      </w:r>
      <w:r w:rsidR="00291B0C" w:rsidRPr="000C7CFA">
        <w:rPr>
          <w:rFonts w:ascii="Verdana" w:hAnsi="Verdana"/>
          <w:sz w:val="18"/>
          <w:szCs w:val="18"/>
        </w:rPr>
        <w:t xml:space="preserve"> 96-h LC</w:t>
      </w:r>
      <w:r w:rsidR="00291B0C" w:rsidRPr="000C7CFA">
        <w:rPr>
          <w:rFonts w:ascii="Verdana" w:hAnsi="Verdana"/>
          <w:sz w:val="18"/>
          <w:szCs w:val="18"/>
          <w:vertAlign w:val="subscript"/>
        </w:rPr>
        <w:t>50</w:t>
      </w:r>
      <w:r w:rsidR="00291B0C" w:rsidRPr="000C7CFA">
        <w:rPr>
          <w:rFonts w:ascii="Verdana" w:hAnsi="Verdana"/>
          <w:sz w:val="18"/>
          <w:szCs w:val="18"/>
        </w:rPr>
        <w:t xml:space="preserve"> &gt;1.3 mg/L and a 14-d LC</w:t>
      </w:r>
      <w:r w:rsidR="00291B0C" w:rsidRPr="000C7CFA">
        <w:rPr>
          <w:rFonts w:ascii="Verdana" w:hAnsi="Verdana"/>
          <w:sz w:val="18"/>
          <w:szCs w:val="18"/>
          <w:vertAlign w:val="subscript"/>
        </w:rPr>
        <w:t>50</w:t>
      </w:r>
      <w:r w:rsidR="00291B0C" w:rsidRPr="000C7CFA">
        <w:rPr>
          <w:rFonts w:ascii="Verdana" w:hAnsi="Verdana"/>
          <w:sz w:val="18"/>
          <w:szCs w:val="18"/>
        </w:rPr>
        <w:t xml:space="preserve"> &gt;1.2 mg/L have been reported for Medaka </w:t>
      </w:r>
      <w:r w:rsidR="00291B0C" w:rsidRPr="000C7CFA">
        <w:rPr>
          <w:rFonts w:ascii="Verdana" w:hAnsi="Verdana"/>
          <w:i/>
          <w:sz w:val="18"/>
          <w:szCs w:val="18"/>
        </w:rPr>
        <w:t>Oryzias latipes</w:t>
      </w:r>
      <w:r w:rsidR="00291B0C" w:rsidRPr="000C7CFA">
        <w:rPr>
          <w:rStyle w:val="st1"/>
          <w:rFonts w:ascii="Verdana" w:hAnsi="Verdana" w:cs="Arial"/>
          <w:color w:val="545454"/>
          <w:sz w:val="18"/>
          <w:szCs w:val="18"/>
        </w:rPr>
        <w:t xml:space="preserve"> </w:t>
      </w:r>
      <w:r w:rsidR="00291B0C" w:rsidRPr="000C7CFA">
        <w:rPr>
          <w:rFonts w:ascii="Verdana" w:hAnsi="Verdana"/>
          <w:sz w:val="18"/>
          <w:szCs w:val="18"/>
        </w:rPr>
        <w:t>by the Japanese Ministry of Environment (</w:t>
      </w:r>
      <w:r w:rsidR="00291B0C" w:rsidRPr="000C7CFA">
        <w:rPr>
          <w:rFonts w:ascii="Verdana" w:hAnsi="Verdana"/>
          <w:sz w:val="18"/>
          <w:szCs w:val="18"/>
          <w:u w:val="single"/>
        </w:rPr>
        <w:t>MoE, 2013</w:t>
      </w:r>
      <w:r w:rsidR="00291B0C" w:rsidRPr="000C7CFA">
        <w:rPr>
          <w:rStyle w:val="FootnoteReference"/>
          <w:rFonts w:ascii="Verdana" w:hAnsi="Verdana"/>
          <w:sz w:val="18"/>
          <w:szCs w:val="18"/>
        </w:rPr>
        <w:footnoteReference w:id="37"/>
      </w:r>
      <w:r w:rsidR="00291B0C" w:rsidRPr="000C7CFA">
        <w:rPr>
          <w:rFonts w:ascii="Verdana" w:hAnsi="Verdana"/>
          <w:sz w:val="18"/>
          <w:szCs w:val="18"/>
        </w:rPr>
        <w:t>), following OECD TG 203 and 204 respectively. Only a summary of the results are available. The studies were conducted in 1995 and it is likely that dispersants were used. Ideally, the original study reports should be reviewed to confirm the validity of the study results, but as the studies were conducted at concentrations far exceeding the solubility limit of the test substance (&lt; 2 ng/L) they suggest no effects over short-term exposures. This study is not mentioned in the registration dossier.</w:t>
      </w:r>
    </w:p>
    <w:p w14:paraId="75ABF308" w14:textId="77777777" w:rsidR="00222120" w:rsidRPr="000C7CFA" w:rsidRDefault="00222120" w:rsidP="00291B0C">
      <w:pPr>
        <w:pStyle w:val="BodyText"/>
        <w:rPr>
          <w:rFonts w:ascii="Verdana" w:hAnsi="Verdana"/>
          <w:i/>
          <w:sz w:val="18"/>
          <w:szCs w:val="18"/>
          <w:u w:val="single"/>
        </w:rPr>
      </w:pPr>
      <w:r w:rsidRPr="000C7CFA">
        <w:rPr>
          <w:rFonts w:ascii="Verdana" w:hAnsi="Verdana"/>
          <w:i/>
          <w:sz w:val="18"/>
          <w:szCs w:val="18"/>
          <w:u w:val="single"/>
        </w:rPr>
        <w:t>Non-test data</w:t>
      </w:r>
    </w:p>
    <w:p w14:paraId="7A293886" w14:textId="2D373AFD" w:rsidR="00F460AB" w:rsidRPr="000C7CFA" w:rsidRDefault="00291B0C" w:rsidP="00222120">
      <w:pPr>
        <w:pStyle w:val="BodyText"/>
        <w:rPr>
          <w:rFonts w:ascii="Verdana" w:hAnsi="Verdana"/>
          <w:sz w:val="18"/>
          <w:szCs w:val="18"/>
        </w:rPr>
      </w:pPr>
      <w:r w:rsidRPr="000C7CFA">
        <w:rPr>
          <w:rFonts w:ascii="Verdana" w:hAnsi="Verdana"/>
          <w:sz w:val="18"/>
          <w:szCs w:val="18"/>
        </w:rPr>
        <w:t xml:space="preserve">Predictions of short-term toxicity to fish using ECOSAR v.1.1 </w:t>
      </w:r>
      <w:r w:rsidR="00222120" w:rsidRPr="000C7CFA">
        <w:rPr>
          <w:rFonts w:ascii="Verdana" w:hAnsi="Verdana"/>
          <w:sz w:val="18"/>
          <w:szCs w:val="18"/>
        </w:rPr>
        <w:t xml:space="preserve">(Mayo-Bean, 2012) </w:t>
      </w:r>
      <w:r w:rsidRPr="000C7CFA">
        <w:rPr>
          <w:rFonts w:ascii="Verdana" w:hAnsi="Verdana"/>
          <w:sz w:val="18"/>
          <w:szCs w:val="18"/>
        </w:rPr>
        <w:t>are valid for substances with a log K</w:t>
      </w:r>
      <w:r w:rsidRPr="000C7CFA">
        <w:rPr>
          <w:rFonts w:ascii="Verdana" w:hAnsi="Verdana"/>
          <w:sz w:val="18"/>
          <w:szCs w:val="18"/>
          <w:vertAlign w:val="subscript"/>
        </w:rPr>
        <w:t>OW</w:t>
      </w:r>
      <w:r w:rsidRPr="000C7CFA">
        <w:rPr>
          <w:rFonts w:ascii="Verdana" w:hAnsi="Verdana"/>
          <w:sz w:val="18"/>
          <w:szCs w:val="18"/>
        </w:rPr>
        <w:t xml:space="preserve"> up to 5</w:t>
      </w:r>
      <w:r w:rsidR="00F460AB" w:rsidRPr="000C7CFA">
        <w:rPr>
          <w:rFonts w:ascii="Verdana" w:hAnsi="Verdana"/>
          <w:sz w:val="18"/>
          <w:szCs w:val="18"/>
        </w:rPr>
        <w:t xml:space="preserve"> (neutral organics model) or 6 (vinyl/allyl halides model)</w:t>
      </w:r>
      <w:r w:rsidRPr="000C7CFA">
        <w:rPr>
          <w:rFonts w:ascii="Verdana" w:hAnsi="Verdana"/>
          <w:sz w:val="18"/>
          <w:szCs w:val="18"/>
        </w:rPr>
        <w:t xml:space="preserve">. </w:t>
      </w:r>
      <w:r w:rsidR="00F460AB" w:rsidRPr="000C7CFA">
        <w:rPr>
          <w:rFonts w:ascii="Verdana" w:hAnsi="Verdana"/>
          <w:sz w:val="18"/>
          <w:szCs w:val="18"/>
        </w:rPr>
        <w:t>As Dechlorane Plus has a log K</w:t>
      </w:r>
      <w:r w:rsidR="00F460AB" w:rsidRPr="000C7CFA">
        <w:rPr>
          <w:rFonts w:ascii="Verdana" w:hAnsi="Verdana"/>
          <w:sz w:val="18"/>
          <w:szCs w:val="18"/>
          <w:vertAlign w:val="subscript"/>
        </w:rPr>
        <w:t>OW</w:t>
      </w:r>
      <w:r w:rsidR="00F460AB" w:rsidRPr="000C7CFA">
        <w:rPr>
          <w:rFonts w:ascii="Verdana" w:hAnsi="Verdana"/>
          <w:sz w:val="18"/>
          <w:szCs w:val="18"/>
        </w:rPr>
        <w:t xml:space="preserve"> of </w:t>
      </w:r>
      <w:r w:rsidR="00A14CBF" w:rsidRPr="000C7CFA">
        <w:rPr>
          <w:rFonts w:ascii="Verdana" w:hAnsi="Verdana"/>
          <w:sz w:val="18"/>
          <w:szCs w:val="18"/>
        </w:rPr>
        <w:t>≥</w:t>
      </w:r>
      <w:r w:rsidR="00F460AB" w:rsidRPr="000C7CFA">
        <w:rPr>
          <w:rFonts w:ascii="Verdana" w:hAnsi="Verdana"/>
          <w:sz w:val="18"/>
          <w:szCs w:val="18"/>
        </w:rPr>
        <w:t>9</w:t>
      </w:r>
      <w:r w:rsidRPr="000C7CFA">
        <w:rPr>
          <w:rFonts w:ascii="Verdana" w:hAnsi="Verdana"/>
          <w:sz w:val="18"/>
          <w:szCs w:val="18"/>
        </w:rPr>
        <w:t xml:space="preserve">, </w:t>
      </w:r>
      <w:r w:rsidR="00F460AB" w:rsidRPr="000C7CFA">
        <w:rPr>
          <w:rFonts w:ascii="Verdana" w:hAnsi="Verdana"/>
          <w:sz w:val="18"/>
          <w:szCs w:val="18"/>
        </w:rPr>
        <w:t>it falls outside of the prediction domain of the models, and</w:t>
      </w:r>
      <w:r w:rsidRPr="000C7CFA">
        <w:rPr>
          <w:rFonts w:ascii="Verdana" w:hAnsi="Verdana"/>
          <w:sz w:val="18"/>
          <w:szCs w:val="18"/>
        </w:rPr>
        <w:t xml:space="preserve"> no toxicity is expected at saturation.</w:t>
      </w:r>
    </w:p>
    <w:p w14:paraId="4667914D" w14:textId="3808F140" w:rsidR="00240728" w:rsidRPr="000C7CFA" w:rsidRDefault="00F460AB" w:rsidP="00240728">
      <w:pPr>
        <w:pStyle w:val="BodyText"/>
        <w:rPr>
          <w:rFonts w:ascii="Verdana" w:hAnsi="Verdana"/>
          <w:sz w:val="18"/>
          <w:szCs w:val="18"/>
        </w:rPr>
      </w:pPr>
      <w:r w:rsidRPr="000C7CFA">
        <w:rPr>
          <w:rFonts w:ascii="Verdana" w:hAnsi="Verdana"/>
          <w:sz w:val="18"/>
          <w:szCs w:val="18"/>
        </w:rPr>
        <w:t xml:space="preserve">Appendix </w:t>
      </w:r>
      <w:r w:rsidR="00E626D2" w:rsidRPr="000C7CFA">
        <w:rPr>
          <w:rFonts w:ascii="Verdana" w:hAnsi="Verdana"/>
          <w:sz w:val="18"/>
          <w:szCs w:val="18"/>
        </w:rPr>
        <w:t>8</w:t>
      </w:r>
      <w:r w:rsidRPr="000C7CFA">
        <w:rPr>
          <w:rFonts w:ascii="Verdana" w:hAnsi="Verdana"/>
          <w:sz w:val="18"/>
          <w:szCs w:val="18"/>
        </w:rPr>
        <w:t xml:space="preserve"> summarises aquatic toxicity data for four structural analogues. Neither of the closest analogues (Dechlorane 603 and Chlordene Plus) are predicted to be acutely toxic to fish up the limit of their water solubilities. Two further analogues </w:t>
      </w:r>
      <w:r w:rsidR="00A14CBF" w:rsidRPr="000C7CFA">
        <w:rPr>
          <w:rFonts w:ascii="Verdana" w:hAnsi="Verdana"/>
          <w:sz w:val="18"/>
          <w:szCs w:val="18"/>
        </w:rPr>
        <w:t xml:space="preserve">(chlordane and heptachlor) </w:t>
      </w:r>
      <w:r w:rsidRPr="000C7CFA">
        <w:rPr>
          <w:rFonts w:ascii="Verdana" w:hAnsi="Verdana"/>
          <w:sz w:val="18"/>
          <w:szCs w:val="18"/>
        </w:rPr>
        <w:t xml:space="preserve">are acutely toxic to fish, but </w:t>
      </w:r>
      <w:r w:rsidR="00222120" w:rsidRPr="000C7CFA">
        <w:rPr>
          <w:rFonts w:ascii="Verdana" w:hAnsi="Verdana"/>
          <w:sz w:val="18"/>
          <w:szCs w:val="18"/>
        </w:rPr>
        <w:t>are much less hydrophobic</w:t>
      </w:r>
      <w:r w:rsidRPr="000C7CFA">
        <w:rPr>
          <w:rFonts w:ascii="Verdana" w:hAnsi="Verdana"/>
          <w:sz w:val="18"/>
          <w:szCs w:val="18"/>
        </w:rPr>
        <w:t xml:space="preserve"> than Dechlorane Plus</w:t>
      </w:r>
      <w:r w:rsidR="00222120" w:rsidRPr="000C7CFA">
        <w:rPr>
          <w:rFonts w:ascii="Verdana" w:hAnsi="Verdana"/>
          <w:sz w:val="18"/>
          <w:szCs w:val="18"/>
        </w:rPr>
        <w:t>.</w:t>
      </w:r>
      <w:r w:rsidRPr="000C7CFA">
        <w:rPr>
          <w:rFonts w:ascii="Verdana" w:hAnsi="Verdana"/>
          <w:sz w:val="18"/>
          <w:szCs w:val="18"/>
        </w:rPr>
        <w:t xml:space="preserve"> </w:t>
      </w:r>
      <w:r w:rsidR="00240728" w:rsidRPr="000C7CFA">
        <w:rPr>
          <w:rFonts w:ascii="Verdana" w:hAnsi="Verdana"/>
          <w:sz w:val="18"/>
          <w:szCs w:val="18"/>
        </w:rPr>
        <w:t>Their log K</w:t>
      </w:r>
      <w:r w:rsidR="00240728" w:rsidRPr="000C7CFA">
        <w:rPr>
          <w:rFonts w:ascii="Verdana" w:hAnsi="Verdana"/>
          <w:sz w:val="18"/>
          <w:szCs w:val="18"/>
          <w:vertAlign w:val="subscript"/>
        </w:rPr>
        <w:t>OW</w:t>
      </w:r>
      <w:r w:rsidR="00240728" w:rsidRPr="000C7CFA">
        <w:rPr>
          <w:rFonts w:ascii="Verdana" w:hAnsi="Verdana"/>
          <w:sz w:val="18"/>
          <w:szCs w:val="18"/>
        </w:rPr>
        <w:t xml:space="preserve"> values exceed the prediction domain for the baseline fish acute model by about an order of </w:t>
      </w:r>
      <w:r w:rsidR="00240728" w:rsidRPr="000C7CFA">
        <w:rPr>
          <w:rFonts w:ascii="Verdana" w:hAnsi="Verdana"/>
          <w:sz w:val="18"/>
          <w:szCs w:val="18"/>
        </w:rPr>
        <w:lastRenderedPageBreak/>
        <w:t>magnitude. As neurotoxic pesticides, their mode of action may be very different too. They therefore cannot be used for direct read across purposes.</w:t>
      </w:r>
    </w:p>
    <w:p w14:paraId="3B22EAD2" w14:textId="47B5C396" w:rsidR="00F460AB" w:rsidRPr="000C7CFA" w:rsidRDefault="00F460AB" w:rsidP="00F460AB">
      <w:pPr>
        <w:pStyle w:val="BodyText"/>
        <w:rPr>
          <w:rFonts w:ascii="Verdana" w:hAnsi="Verdana"/>
          <w:sz w:val="18"/>
          <w:szCs w:val="18"/>
        </w:rPr>
      </w:pPr>
      <w:r w:rsidRPr="000C7CFA">
        <w:rPr>
          <w:rFonts w:ascii="Verdana" w:hAnsi="Verdana"/>
          <w:sz w:val="18"/>
          <w:szCs w:val="18"/>
        </w:rPr>
        <w:t>As neurotoxic pesticides, their mode of action may be very different too.</w:t>
      </w:r>
      <w:r w:rsidR="00222120" w:rsidRPr="000C7CFA">
        <w:rPr>
          <w:rFonts w:ascii="Verdana" w:hAnsi="Verdana"/>
          <w:sz w:val="18"/>
          <w:szCs w:val="18"/>
        </w:rPr>
        <w:t xml:space="preserve"> They therefore cannot be used for direct read across purposes</w:t>
      </w:r>
      <w:r w:rsidRPr="000C7CFA">
        <w:rPr>
          <w:rFonts w:ascii="Verdana" w:hAnsi="Verdana"/>
          <w:sz w:val="18"/>
          <w:szCs w:val="18"/>
        </w:rPr>
        <w:t>.</w:t>
      </w:r>
    </w:p>
    <w:p w14:paraId="55D751F3" w14:textId="77777777" w:rsidR="00F460AB" w:rsidRPr="000C7CFA" w:rsidRDefault="00F460AB" w:rsidP="00F460AB">
      <w:pPr>
        <w:pStyle w:val="BodyText"/>
        <w:rPr>
          <w:rFonts w:ascii="Verdana" w:hAnsi="Verdana"/>
          <w:sz w:val="18"/>
          <w:szCs w:val="18"/>
        </w:rPr>
      </w:pPr>
    </w:p>
    <w:p w14:paraId="70552E60" w14:textId="77777777" w:rsidR="00285819" w:rsidRPr="000C7CFA" w:rsidRDefault="00285819" w:rsidP="00285819">
      <w:pPr>
        <w:pStyle w:val="BodyText"/>
        <w:keepNext/>
        <w:tabs>
          <w:tab w:val="left" w:pos="2905"/>
        </w:tabs>
        <w:rPr>
          <w:rFonts w:ascii="Verdana" w:hAnsi="Verdana"/>
          <w:b/>
          <w:i/>
          <w:sz w:val="18"/>
          <w:szCs w:val="18"/>
        </w:rPr>
      </w:pPr>
      <w:r w:rsidRPr="000C7CFA">
        <w:rPr>
          <w:rFonts w:ascii="Verdana" w:hAnsi="Verdana"/>
          <w:b/>
          <w:i/>
          <w:sz w:val="18"/>
          <w:szCs w:val="18"/>
        </w:rPr>
        <w:t>Discussion</w:t>
      </w:r>
    </w:p>
    <w:p w14:paraId="0EE11556" w14:textId="77777777" w:rsidR="00E23497" w:rsidRPr="000C7CFA" w:rsidRDefault="00BA0ECA" w:rsidP="00795AF6">
      <w:pPr>
        <w:jc w:val="both"/>
        <w:rPr>
          <w:rFonts w:ascii="Verdana" w:hAnsi="Verdana"/>
          <w:sz w:val="18"/>
          <w:szCs w:val="18"/>
          <w:lang w:val="en-GB"/>
        </w:rPr>
      </w:pPr>
      <w:r w:rsidRPr="000C7CFA">
        <w:rPr>
          <w:rFonts w:ascii="Verdana" w:hAnsi="Verdana"/>
          <w:sz w:val="18"/>
          <w:szCs w:val="18"/>
          <w:lang w:val="en-GB"/>
        </w:rPr>
        <w:t xml:space="preserve">The study </w:t>
      </w:r>
      <w:r w:rsidR="00291B0C" w:rsidRPr="000C7CFA">
        <w:rPr>
          <w:rFonts w:ascii="Verdana" w:hAnsi="Verdana"/>
          <w:sz w:val="18"/>
          <w:szCs w:val="18"/>
          <w:lang w:val="en-GB"/>
        </w:rPr>
        <w:t xml:space="preserve">in the registration dossier </w:t>
      </w:r>
      <w:r w:rsidRPr="000C7CFA">
        <w:rPr>
          <w:rFonts w:ascii="Verdana" w:hAnsi="Verdana"/>
          <w:sz w:val="18"/>
          <w:szCs w:val="18"/>
          <w:lang w:val="en-GB"/>
        </w:rPr>
        <w:t xml:space="preserve">pre-dates OECD test guidelines and the methodology is not considered to follow current guidelines because the test concentrations are above the limit of solubility by at least three orders of magnitude and no analytical monitoring was carried out. The observed precipitation is likely to be due to the exposure concentrations of the study exceeding the limit of solubility at all test concentrations. The pH of the test system (9.4 to 9.5) was above the recommended range (pH 6.0-8.5 according to OECD TG 201). </w:t>
      </w:r>
    </w:p>
    <w:p w14:paraId="6BFC2C7A" w14:textId="1F693129" w:rsidR="00656591" w:rsidRPr="000C7CFA" w:rsidRDefault="00BA0ECA" w:rsidP="00656591">
      <w:pPr>
        <w:jc w:val="both"/>
        <w:rPr>
          <w:rFonts w:ascii="Verdana" w:hAnsi="Verdana"/>
          <w:sz w:val="18"/>
          <w:szCs w:val="18"/>
          <w:lang w:val="en-GB"/>
        </w:rPr>
      </w:pPr>
      <w:r w:rsidRPr="000C7CFA">
        <w:rPr>
          <w:rFonts w:ascii="Verdana" w:hAnsi="Verdana"/>
          <w:sz w:val="18"/>
          <w:szCs w:val="18"/>
          <w:lang w:val="en-GB"/>
        </w:rPr>
        <w:t>Overall, the study of short-term toxicity to fish reported</w:t>
      </w:r>
      <w:r w:rsidR="008D5628" w:rsidRPr="000C7CFA">
        <w:rPr>
          <w:rFonts w:ascii="Verdana" w:hAnsi="Verdana"/>
          <w:sz w:val="18"/>
          <w:szCs w:val="18"/>
          <w:lang w:val="en-GB"/>
        </w:rPr>
        <w:t xml:space="preserve"> in the registration dossier</w:t>
      </w:r>
      <w:r w:rsidRPr="000C7CFA">
        <w:rPr>
          <w:rFonts w:ascii="Verdana" w:hAnsi="Verdana"/>
          <w:sz w:val="18"/>
          <w:szCs w:val="18"/>
          <w:lang w:val="en-GB"/>
        </w:rPr>
        <w:t xml:space="preserve"> is not reliable</w:t>
      </w:r>
      <w:r w:rsidR="00291B0C" w:rsidRPr="000C7CFA">
        <w:rPr>
          <w:rFonts w:ascii="Verdana" w:hAnsi="Verdana"/>
          <w:sz w:val="18"/>
          <w:szCs w:val="18"/>
          <w:lang w:val="en-GB"/>
        </w:rPr>
        <w:t xml:space="preserve">, but </w:t>
      </w:r>
      <w:r w:rsidR="008D5628" w:rsidRPr="000C7CFA">
        <w:rPr>
          <w:rFonts w:ascii="Verdana" w:hAnsi="Verdana"/>
          <w:sz w:val="18"/>
          <w:szCs w:val="18"/>
          <w:lang w:val="en-GB"/>
        </w:rPr>
        <w:t>the findings</w:t>
      </w:r>
      <w:r w:rsidR="00F460AB" w:rsidRPr="000C7CFA">
        <w:rPr>
          <w:rFonts w:ascii="Verdana" w:hAnsi="Verdana"/>
          <w:sz w:val="18"/>
          <w:szCs w:val="18"/>
          <w:lang w:val="en-GB"/>
        </w:rPr>
        <w:t xml:space="preserve"> (i.e. no acute toxicity up to the water solubility limit)</w:t>
      </w:r>
      <w:r w:rsidR="008D5628" w:rsidRPr="000C7CFA">
        <w:rPr>
          <w:rFonts w:ascii="Verdana" w:hAnsi="Verdana"/>
          <w:sz w:val="18"/>
          <w:szCs w:val="18"/>
          <w:lang w:val="en-GB"/>
        </w:rPr>
        <w:t xml:space="preserve"> are supported by</w:t>
      </w:r>
      <w:r w:rsidR="00656591" w:rsidRPr="000C7CFA">
        <w:rPr>
          <w:rFonts w:ascii="Verdana" w:hAnsi="Verdana"/>
          <w:sz w:val="18"/>
          <w:szCs w:val="18"/>
          <w:lang w:val="en-GB"/>
        </w:rPr>
        <w:t xml:space="preserve"> a</w:t>
      </w:r>
      <w:r w:rsidR="008D5628" w:rsidRPr="000C7CFA">
        <w:rPr>
          <w:rFonts w:ascii="Verdana" w:hAnsi="Verdana"/>
          <w:sz w:val="18"/>
          <w:szCs w:val="18"/>
          <w:lang w:val="en-GB"/>
        </w:rPr>
        <w:t xml:space="preserve"> Japanese regulatory </w:t>
      </w:r>
      <w:r w:rsidR="00656591" w:rsidRPr="000C7CFA">
        <w:rPr>
          <w:rFonts w:ascii="Verdana" w:hAnsi="Verdana"/>
          <w:sz w:val="18"/>
          <w:szCs w:val="18"/>
          <w:lang w:val="en-GB"/>
        </w:rPr>
        <w:t>study</w:t>
      </w:r>
      <w:r w:rsidR="00336A05" w:rsidRPr="000C7CFA">
        <w:rPr>
          <w:rFonts w:ascii="Verdana" w:hAnsi="Verdana"/>
          <w:sz w:val="18"/>
          <w:szCs w:val="18"/>
          <w:lang w:val="en-GB"/>
        </w:rPr>
        <w:t>, lack of significant effects in three non-standard Zebrafish embryo studies</w:t>
      </w:r>
      <w:r w:rsidR="008D5628" w:rsidRPr="000C7CFA">
        <w:rPr>
          <w:rFonts w:ascii="Verdana" w:hAnsi="Verdana"/>
          <w:sz w:val="18"/>
          <w:szCs w:val="18"/>
          <w:lang w:val="en-GB"/>
        </w:rPr>
        <w:t xml:space="preserve"> and from QSAR</w:t>
      </w:r>
      <w:r w:rsidR="00F460AB" w:rsidRPr="000C7CFA">
        <w:rPr>
          <w:rFonts w:ascii="Verdana" w:hAnsi="Verdana"/>
          <w:sz w:val="18"/>
          <w:szCs w:val="18"/>
          <w:lang w:val="en-GB"/>
        </w:rPr>
        <w:t>/analogue read across</w:t>
      </w:r>
      <w:r w:rsidR="008D5628" w:rsidRPr="000C7CFA">
        <w:rPr>
          <w:rFonts w:ascii="Verdana" w:hAnsi="Verdana"/>
          <w:sz w:val="18"/>
          <w:szCs w:val="18"/>
          <w:lang w:val="en-GB"/>
        </w:rPr>
        <w:t xml:space="preserve"> considerations</w:t>
      </w:r>
      <w:r w:rsidR="00656591" w:rsidRPr="000C7CFA">
        <w:rPr>
          <w:rFonts w:ascii="Verdana" w:hAnsi="Verdana"/>
          <w:sz w:val="18"/>
          <w:szCs w:val="18"/>
          <w:lang w:val="en-GB"/>
        </w:rPr>
        <w:t>. It is not necessary to conduct a new short-term toxicity study with fish based on the very low water solubility of Dechlorane Plus and its limited bioavailability. Low water solubility is a REACH Annex VIII Column 2 adaptation for this endpoint.</w:t>
      </w:r>
    </w:p>
    <w:tbl>
      <w:tblPr>
        <w:tblW w:w="10500" w:type="dxa"/>
        <w:tblCellSpacing w:w="0" w:type="dxa"/>
        <w:shd w:val="clear" w:color="auto" w:fill="FFFFFF"/>
        <w:tblCellMar>
          <w:left w:w="0" w:type="dxa"/>
          <w:right w:w="0" w:type="dxa"/>
        </w:tblCellMar>
        <w:tblLook w:val="04A0" w:firstRow="1" w:lastRow="0" w:firstColumn="1" w:lastColumn="0" w:noHBand="0" w:noVBand="1"/>
      </w:tblPr>
      <w:tblGrid>
        <w:gridCol w:w="10500"/>
      </w:tblGrid>
      <w:tr w:rsidR="00DC6E32" w:rsidRPr="000C7CFA" w14:paraId="610518BE" w14:textId="77777777" w:rsidTr="00DC6E32">
        <w:trPr>
          <w:tblCellSpacing w:w="0" w:type="dxa"/>
        </w:trPr>
        <w:tc>
          <w:tcPr>
            <w:tcW w:w="0" w:type="auto"/>
            <w:shd w:val="clear" w:color="auto" w:fill="FFFFFF"/>
            <w:vAlign w:val="center"/>
            <w:hideMark/>
          </w:tcPr>
          <w:p w14:paraId="444332EA" w14:textId="77777777" w:rsidR="00DC6E32" w:rsidRPr="000C7CFA" w:rsidRDefault="00DC6E32" w:rsidP="00DC6E32">
            <w:pPr>
              <w:rPr>
                <w:rFonts w:ascii="Verdana" w:eastAsia="MS UI Gothic" w:hAnsi="Verdana"/>
                <w:sz w:val="18"/>
                <w:szCs w:val="18"/>
                <w:lang w:val="en-GB" w:eastAsia="en-GB"/>
              </w:rPr>
            </w:pPr>
          </w:p>
        </w:tc>
      </w:tr>
    </w:tbl>
    <w:p w14:paraId="746AA290" w14:textId="3816D1FD" w:rsidR="0089163D" w:rsidRPr="000C7CFA" w:rsidRDefault="0089163D" w:rsidP="00AF3514">
      <w:pPr>
        <w:pStyle w:val="Heading5"/>
        <w:keepNext/>
        <w:tabs>
          <w:tab w:val="left" w:pos="960"/>
          <w:tab w:val="num" w:pos="2083"/>
        </w:tabs>
        <w:spacing w:before="360" w:after="200"/>
        <w:ind w:left="2081" w:hanging="2081"/>
        <w:rPr>
          <w:rFonts w:ascii="Verdana" w:hAnsi="Verdana"/>
          <w:i w:val="0"/>
          <w:sz w:val="18"/>
          <w:szCs w:val="18"/>
          <w:lang w:val="en-GB"/>
        </w:rPr>
      </w:pPr>
      <w:bookmarkStart w:id="115" w:name="_Toc195026694"/>
      <w:bookmarkStart w:id="116" w:name="_Toc195598776"/>
      <w:bookmarkStart w:id="117" w:name="_Ref199910821"/>
      <w:bookmarkStart w:id="118" w:name="_Toc202255565"/>
      <w:bookmarkStart w:id="119" w:name="_Toc265765549"/>
      <w:r w:rsidRPr="000C7CFA">
        <w:rPr>
          <w:rFonts w:ascii="Verdana" w:hAnsi="Verdana"/>
          <w:i w:val="0"/>
          <w:sz w:val="18"/>
          <w:szCs w:val="18"/>
          <w:lang w:val="en-GB"/>
        </w:rPr>
        <w:t>Long-term toxicity to fish</w:t>
      </w:r>
      <w:bookmarkEnd w:id="115"/>
      <w:bookmarkEnd w:id="116"/>
      <w:bookmarkEnd w:id="117"/>
      <w:bookmarkEnd w:id="118"/>
      <w:bookmarkEnd w:id="119"/>
    </w:p>
    <w:p w14:paraId="39EB7662" w14:textId="440C994C" w:rsidR="007F2334" w:rsidRPr="000C7CFA" w:rsidRDefault="000550CC" w:rsidP="00795AF6">
      <w:pPr>
        <w:jc w:val="both"/>
        <w:rPr>
          <w:rFonts w:ascii="Verdana" w:hAnsi="Verdana"/>
          <w:sz w:val="18"/>
          <w:szCs w:val="18"/>
          <w:lang w:val="en-GB"/>
        </w:rPr>
      </w:pPr>
      <w:r w:rsidRPr="000C7CFA">
        <w:rPr>
          <w:rFonts w:ascii="Verdana" w:hAnsi="Verdana"/>
          <w:sz w:val="18"/>
          <w:szCs w:val="18"/>
          <w:lang w:val="en-GB"/>
        </w:rPr>
        <w:t xml:space="preserve">Two studies are </w:t>
      </w:r>
      <w:r w:rsidR="006D3971" w:rsidRPr="000C7CFA">
        <w:rPr>
          <w:rFonts w:ascii="Verdana" w:hAnsi="Verdana"/>
          <w:sz w:val="18"/>
          <w:szCs w:val="18"/>
          <w:lang w:val="en-GB"/>
        </w:rPr>
        <w:t xml:space="preserve">included </w:t>
      </w:r>
      <w:r w:rsidR="00947A95" w:rsidRPr="000C7CFA">
        <w:rPr>
          <w:rFonts w:ascii="Verdana" w:hAnsi="Verdana"/>
          <w:sz w:val="18"/>
          <w:szCs w:val="18"/>
          <w:lang w:val="en-GB"/>
        </w:rPr>
        <w:t xml:space="preserve">for this endpoint </w:t>
      </w:r>
      <w:r w:rsidR="006D3971" w:rsidRPr="000C7CFA">
        <w:rPr>
          <w:rFonts w:ascii="Verdana" w:hAnsi="Verdana"/>
          <w:sz w:val="18"/>
          <w:szCs w:val="18"/>
          <w:lang w:val="en-GB"/>
        </w:rPr>
        <w:t>in the</w:t>
      </w:r>
      <w:r w:rsidR="006E6BE9" w:rsidRPr="000C7CFA">
        <w:rPr>
          <w:rFonts w:ascii="Verdana" w:hAnsi="Verdana"/>
          <w:sz w:val="18"/>
          <w:szCs w:val="18"/>
          <w:lang w:val="en-GB"/>
        </w:rPr>
        <w:t xml:space="preserve"> registration dossier</w:t>
      </w:r>
      <w:r w:rsidR="006D3971" w:rsidRPr="000C7CFA">
        <w:rPr>
          <w:rFonts w:ascii="Verdana" w:hAnsi="Verdana"/>
          <w:sz w:val="18"/>
          <w:szCs w:val="18"/>
          <w:lang w:val="en-GB"/>
        </w:rPr>
        <w:t xml:space="preserve"> by the </w:t>
      </w:r>
      <w:r w:rsidR="007666BB" w:rsidRPr="000C7CFA">
        <w:rPr>
          <w:rFonts w:ascii="Verdana" w:hAnsi="Verdana"/>
          <w:sz w:val="18"/>
          <w:szCs w:val="18"/>
          <w:lang w:val="en-GB"/>
        </w:rPr>
        <w:t>Registrant</w:t>
      </w:r>
      <w:r w:rsidRPr="000C7CFA">
        <w:rPr>
          <w:rFonts w:ascii="Verdana" w:hAnsi="Verdana"/>
          <w:sz w:val="18"/>
          <w:szCs w:val="18"/>
          <w:lang w:val="en-GB"/>
        </w:rPr>
        <w:t xml:space="preserve">. </w:t>
      </w:r>
    </w:p>
    <w:p w14:paraId="1929620C" w14:textId="20956121" w:rsidR="007C2AB3" w:rsidRPr="000C7CFA" w:rsidRDefault="007F2334" w:rsidP="00795AF6">
      <w:pPr>
        <w:jc w:val="both"/>
        <w:rPr>
          <w:rFonts w:ascii="Verdana" w:hAnsi="Verdana"/>
          <w:sz w:val="18"/>
          <w:szCs w:val="18"/>
          <w:lang w:val="en-GB"/>
        </w:rPr>
      </w:pPr>
      <w:r w:rsidRPr="000C7CFA">
        <w:rPr>
          <w:rFonts w:ascii="Verdana" w:hAnsi="Verdana"/>
          <w:sz w:val="18"/>
          <w:szCs w:val="18"/>
          <w:u w:val="single"/>
          <w:lang w:val="en-GB"/>
        </w:rPr>
        <w:t>Gara and Rawisina (1975)</w:t>
      </w:r>
      <w:r w:rsidRPr="000C7CFA">
        <w:rPr>
          <w:rFonts w:ascii="Verdana" w:hAnsi="Verdana"/>
          <w:sz w:val="18"/>
          <w:szCs w:val="18"/>
          <w:lang w:val="en-GB"/>
        </w:rPr>
        <w:t xml:space="preserve"> </w:t>
      </w:r>
      <w:r w:rsidR="00C724A6" w:rsidRPr="000C7CFA">
        <w:rPr>
          <w:rFonts w:ascii="Verdana" w:hAnsi="Verdana"/>
          <w:sz w:val="18"/>
          <w:szCs w:val="18"/>
          <w:lang w:val="en-GB"/>
        </w:rPr>
        <w:t xml:space="preserve">exposed </w:t>
      </w:r>
      <w:r w:rsidR="00725BCC" w:rsidRPr="000C7CFA">
        <w:rPr>
          <w:rFonts w:ascii="Verdana" w:hAnsi="Verdana"/>
          <w:sz w:val="18"/>
          <w:szCs w:val="18"/>
          <w:lang w:val="en-GB"/>
        </w:rPr>
        <w:t>B</w:t>
      </w:r>
      <w:r w:rsidR="00FA5064" w:rsidRPr="000C7CFA">
        <w:rPr>
          <w:rFonts w:ascii="Verdana" w:hAnsi="Verdana"/>
          <w:sz w:val="18"/>
          <w:szCs w:val="18"/>
          <w:lang w:val="en-GB"/>
        </w:rPr>
        <w:t xml:space="preserve">luegill </w:t>
      </w:r>
      <w:r w:rsidR="008D5628" w:rsidRPr="000C7CFA">
        <w:rPr>
          <w:rFonts w:ascii="Verdana" w:hAnsi="Verdana"/>
          <w:sz w:val="18"/>
          <w:szCs w:val="18"/>
          <w:lang w:val="en-GB"/>
        </w:rPr>
        <w:t>S</w:t>
      </w:r>
      <w:r w:rsidR="00FA5064" w:rsidRPr="000C7CFA">
        <w:rPr>
          <w:rFonts w:ascii="Verdana" w:hAnsi="Verdana"/>
          <w:sz w:val="18"/>
          <w:szCs w:val="18"/>
          <w:lang w:val="en-GB"/>
        </w:rPr>
        <w:t xml:space="preserve">unfish </w:t>
      </w:r>
      <w:r w:rsidR="00BA0ECA" w:rsidRPr="000C7CFA">
        <w:rPr>
          <w:rFonts w:ascii="Verdana" w:hAnsi="Verdana"/>
          <w:sz w:val="18"/>
          <w:szCs w:val="18"/>
          <w:lang w:val="en-GB"/>
        </w:rPr>
        <w:t xml:space="preserve">(Latin name not provided, </w:t>
      </w:r>
      <w:r w:rsidR="008D5628" w:rsidRPr="000C7CFA">
        <w:rPr>
          <w:rFonts w:ascii="Verdana" w:hAnsi="Verdana"/>
          <w:sz w:val="18"/>
          <w:szCs w:val="18"/>
          <w:lang w:val="en-GB"/>
        </w:rPr>
        <w:t>presumably</w:t>
      </w:r>
      <w:r w:rsidR="00BA0ECA" w:rsidRPr="000C7CFA">
        <w:rPr>
          <w:rFonts w:ascii="Verdana" w:hAnsi="Verdana"/>
          <w:sz w:val="18"/>
          <w:szCs w:val="18"/>
          <w:lang w:val="en-GB"/>
        </w:rPr>
        <w:t xml:space="preserve"> </w:t>
      </w:r>
      <w:r w:rsidR="00BA0ECA" w:rsidRPr="000C7CFA">
        <w:rPr>
          <w:rFonts w:ascii="Verdana" w:hAnsi="Verdana"/>
          <w:i/>
          <w:sz w:val="18"/>
          <w:szCs w:val="18"/>
          <w:lang w:val="en-GB"/>
        </w:rPr>
        <w:t>Lepomis macrochirus</w:t>
      </w:r>
      <w:r w:rsidR="00BA0ECA" w:rsidRPr="000C7CFA">
        <w:rPr>
          <w:rFonts w:ascii="Verdana" w:hAnsi="Verdana"/>
          <w:sz w:val="18"/>
          <w:szCs w:val="18"/>
          <w:lang w:val="en-GB"/>
        </w:rPr>
        <w:t>) to nominal concentration of 0.1 ppm commercial Dechlorane Plus (used as a 0.00</w:t>
      </w:r>
      <w:r w:rsidR="00AF7606" w:rsidRPr="000C7CFA">
        <w:rPr>
          <w:rFonts w:ascii="Verdana" w:hAnsi="Verdana"/>
          <w:sz w:val="18"/>
          <w:szCs w:val="18"/>
          <w:lang w:val="en-GB"/>
        </w:rPr>
        <w:t>1 %</w:t>
      </w:r>
      <w:r w:rsidR="00BA0ECA" w:rsidRPr="000C7CFA">
        <w:rPr>
          <w:rFonts w:ascii="Verdana" w:hAnsi="Verdana"/>
          <w:sz w:val="18"/>
          <w:szCs w:val="18"/>
          <w:lang w:val="en-GB"/>
        </w:rPr>
        <w:t xml:space="preserve"> solution in acetone) for 30 days in a flow-through test system</w:t>
      </w:r>
      <w:r w:rsidR="008E2672" w:rsidRPr="000C7CFA">
        <w:rPr>
          <w:rFonts w:ascii="Verdana" w:hAnsi="Verdana"/>
          <w:sz w:val="18"/>
          <w:szCs w:val="18"/>
          <w:lang w:val="en-GB"/>
        </w:rPr>
        <w:t xml:space="preserve"> (substance purity was not reported)</w:t>
      </w:r>
      <w:r w:rsidR="00BA0ECA" w:rsidRPr="000C7CFA">
        <w:rPr>
          <w:rFonts w:ascii="Verdana" w:hAnsi="Verdana"/>
          <w:sz w:val="18"/>
          <w:szCs w:val="18"/>
          <w:lang w:val="en-GB"/>
        </w:rPr>
        <w:t>. The study is not said to follow a guideline. No effects on behaviour or mortalities were observed. Analytical monitoring using Gas Chromatography (GC) was carried out on days 0, 6, 12, 18, 24 and 30. No details on the methods of the analysis are available and details on test methods are lacking (e.g. dosing system). The results are reported as a 30-day NOEC of &gt;0.102</w:t>
      </w:r>
      <w:r w:rsidR="00B51790" w:rsidRPr="000C7CFA">
        <w:rPr>
          <w:rFonts w:ascii="Verdana" w:hAnsi="Verdana"/>
          <w:sz w:val="18"/>
          <w:szCs w:val="18"/>
          <w:lang w:val="en-GB"/>
        </w:rPr>
        <w:t> </w:t>
      </w:r>
      <w:r w:rsidR="001C7584" w:rsidRPr="000C7CFA">
        <w:rPr>
          <w:rFonts w:ascii="Verdana" w:hAnsi="Verdana"/>
          <w:sz w:val="18"/>
          <w:szCs w:val="18"/>
          <w:lang w:val="en-GB"/>
        </w:rPr>
        <w:t>mg/L</w:t>
      </w:r>
      <w:r w:rsidR="00BA0ECA" w:rsidRPr="000C7CFA">
        <w:rPr>
          <w:rFonts w:ascii="Verdana" w:hAnsi="Verdana"/>
          <w:sz w:val="18"/>
          <w:szCs w:val="18"/>
          <w:lang w:val="en-GB"/>
        </w:rPr>
        <w:t xml:space="preserve">, based on initial measured concentrations. A BCF value of 5.58 has been determined in the study based on measured concentrations of Dechlorane Plus in fish tissue. The </w:t>
      </w:r>
      <w:r w:rsidR="007666BB" w:rsidRPr="000C7CFA">
        <w:rPr>
          <w:rFonts w:ascii="Verdana" w:hAnsi="Verdana"/>
          <w:sz w:val="18"/>
          <w:szCs w:val="18"/>
          <w:lang w:val="en-GB"/>
        </w:rPr>
        <w:t>Registrant</w:t>
      </w:r>
      <w:r w:rsidR="00BA0ECA" w:rsidRPr="000C7CFA">
        <w:rPr>
          <w:rFonts w:ascii="Verdana" w:hAnsi="Verdana"/>
          <w:sz w:val="18"/>
          <w:szCs w:val="18"/>
          <w:lang w:val="en-GB"/>
        </w:rPr>
        <w:t xml:space="preserve"> has assigned the study reliability 2 and identified this as the key study for long-term fish toxicity, although it is described as a bioaccumulation study.</w:t>
      </w:r>
    </w:p>
    <w:p w14:paraId="63A33508" w14:textId="27B52410" w:rsidR="000550CC" w:rsidRPr="000C7CFA" w:rsidRDefault="00BA0ECA" w:rsidP="00795AF6">
      <w:pPr>
        <w:jc w:val="both"/>
        <w:rPr>
          <w:rFonts w:ascii="Verdana" w:hAnsi="Verdana"/>
          <w:sz w:val="18"/>
          <w:szCs w:val="18"/>
          <w:lang w:val="en-GB"/>
        </w:rPr>
      </w:pPr>
      <w:r w:rsidRPr="000C7CFA">
        <w:rPr>
          <w:rFonts w:ascii="Verdana" w:hAnsi="Verdana"/>
          <w:sz w:val="18"/>
          <w:szCs w:val="18"/>
          <w:lang w:val="en-GB"/>
        </w:rPr>
        <w:t>The second study (</w:t>
      </w:r>
      <w:r w:rsidRPr="000C7CFA">
        <w:rPr>
          <w:rFonts w:ascii="Verdana" w:hAnsi="Verdana"/>
          <w:sz w:val="18"/>
          <w:szCs w:val="18"/>
          <w:u w:val="single"/>
          <w:lang w:val="en-GB"/>
        </w:rPr>
        <w:t>Boudreau and Rausina, 1973</w:t>
      </w:r>
      <w:r w:rsidRPr="000C7CFA">
        <w:rPr>
          <w:rFonts w:ascii="Verdana" w:hAnsi="Verdana"/>
          <w:sz w:val="18"/>
          <w:szCs w:val="18"/>
          <w:lang w:val="en-GB"/>
        </w:rPr>
        <w:t xml:space="preserve">) is a 30-day static bioaccumulation study with Bluegill </w:t>
      </w:r>
      <w:r w:rsidR="00DA0FC5" w:rsidRPr="000C7CFA">
        <w:rPr>
          <w:rFonts w:ascii="Verdana" w:hAnsi="Verdana"/>
          <w:sz w:val="18"/>
          <w:szCs w:val="18"/>
          <w:lang w:val="en-GB"/>
        </w:rPr>
        <w:t>S</w:t>
      </w:r>
      <w:r w:rsidRPr="000C7CFA">
        <w:rPr>
          <w:rFonts w:ascii="Verdana" w:hAnsi="Verdana"/>
          <w:sz w:val="18"/>
          <w:szCs w:val="18"/>
          <w:lang w:val="en-GB"/>
        </w:rPr>
        <w:t xml:space="preserve">unfish (Latin name not provided, </w:t>
      </w:r>
      <w:r w:rsidR="00DA0FC5" w:rsidRPr="000C7CFA">
        <w:rPr>
          <w:rFonts w:ascii="Verdana" w:hAnsi="Verdana"/>
          <w:sz w:val="18"/>
          <w:szCs w:val="18"/>
          <w:lang w:val="en-GB"/>
        </w:rPr>
        <w:t>presumably</w:t>
      </w:r>
      <w:r w:rsidRPr="000C7CFA">
        <w:rPr>
          <w:rFonts w:ascii="Verdana" w:hAnsi="Verdana"/>
          <w:sz w:val="18"/>
          <w:szCs w:val="18"/>
          <w:lang w:val="en-GB"/>
        </w:rPr>
        <w:t xml:space="preserve"> </w:t>
      </w:r>
      <w:r w:rsidRPr="000C7CFA">
        <w:rPr>
          <w:rFonts w:ascii="Verdana" w:hAnsi="Verdana"/>
          <w:i/>
          <w:sz w:val="18"/>
          <w:szCs w:val="18"/>
          <w:lang w:val="en-GB"/>
        </w:rPr>
        <w:t>Lepomis macrochirus</w:t>
      </w:r>
      <w:r w:rsidRPr="000C7CFA">
        <w:rPr>
          <w:rFonts w:ascii="Verdana" w:hAnsi="Verdana"/>
          <w:sz w:val="18"/>
          <w:szCs w:val="18"/>
          <w:lang w:val="en-GB"/>
        </w:rPr>
        <w:t>) exposed to 1</w:t>
      </w:r>
      <w:r w:rsidR="00AC0489" w:rsidRPr="000C7CFA">
        <w:rPr>
          <w:rFonts w:ascii="Verdana" w:hAnsi="Verdana"/>
          <w:sz w:val="18"/>
          <w:szCs w:val="18"/>
          <w:lang w:val="en-GB"/>
        </w:rPr>
        <w:t xml:space="preserve"> </w:t>
      </w:r>
      <w:r w:rsidRPr="000C7CFA">
        <w:rPr>
          <w:rFonts w:ascii="Verdana" w:hAnsi="Verdana"/>
          <w:sz w:val="18"/>
          <w:szCs w:val="18"/>
          <w:lang w:val="en-GB"/>
        </w:rPr>
        <w:t xml:space="preserve">% suspension of commercial Dechlorane Plus dissolved in acetone. The study has been determined to be non-reliable (reliability 3) by the </w:t>
      </w:r>
      <w:r w:rsidR="007666BB" w:rsidRPr="000C7CFA">
        <w:rPr>
          <w:rFonts w:ascii="Verdana" w:hAnsi="Verdana"/>
          <w:sz w:val="18"/>
          <w:szCs w:val="18"/>
          <w:lang w:val="en-GB"/>
        </w:rPr>
        <w:t>Registrant</w:t>
      </w:r>
      <w:r w:rsidRPr="000C7CFA">
        <w:rPr>
          <w:rFonts w:ascii="Verdana" w:hAnsi="Verdana"/>
          <w:sz w:val="18"/>
          <w:szCs w:val="18"/>
          <w:lang w:val="en-GB"/>
        </w:rPr>
        <w:t xml:space="preserve"> because the test substance purity was not reported, the measured concentrations were significantly lower than nominal concentrations and there was likely to be precipitation of the substance and subsequent ingestion by the fish. No mortalities and no effects on behaviour are reported in the study.</w:t>
      </w:r>
    </w:p>
    <w:p w14:paraId="07366979" w14:textId="4F5FBA12" w:rsidR="002923FD" w:rsidRPr="000C7CFA" w:rsidRDefault="002923FD" w:rsidP="002923FD">
      <w:pPr>
        <w:jc w:val="both"/>
        <w:rPr>
          <w:rFonts w:ascii="Verdana" w:hAnsi="Verdana" w:cs="Utopia-Regular"/>
          <w:sz w:val="18"/>
          <w:szCs w:val="18"/>
        </w:rPr>
      </w:pPr>
      <w:r w:rsidRPr="000C7CFA">
        <w:rPr>
          <w:rFonts w:ascii="Verdana" w:hAnsi="Verdana" w:cs="Utopia-Regular"/>
          <w:sz w:val="18"/>
          <w:szCs w:val="18"/>
        </w:rPr>
        <w:t>In</w:t>
      </w:r>
      <w:r w:rsidR="008D5628" w:rsidRPr="000C7CFA">
        <w:rPr>
          <w:rFonts w:ascii="Verdana" w:hAnsi="Verdana" w:cs="Utopia-Regular"/>
          <w:sz w:val="18"/>
          <w:szCs w:val="18"/>
        </w:rPr>
        <w:t xml:space="preserve"> addition,</w:t>
      </w:r>
      <w:r w:rsidRPr="000C7CFA">
        <w:rPr>
          <w:rFonts w:ascii="Verdana" w:hAnsi="Verdana" w:cs="Utopia-Regular"/>
          <w:sz w:val="18"/>
          <w:szCs w:val="18"/>
        </w:rPr>
        <w:t xml:space="preserve"> </w:t>
      </w:r>
      <w:r w:rsidRPr="000C7CFA">
        <w:rPr>
          <w:rFonts w:ascii="Verdana" w:hAnsi="Verdana"/>
          <w:sz w:val="18"/>
          <w:szCs w:val="18"/>
        </w:rPr>
        <w:t>a dietary bioaccumulation laboratory test</w:t>
      </w:r>
      <w:r w:rsidR="008D5628" w:rsidRPr="000C7CFA">
        <w:rPr>
          <w:rFonts w:ascii="Verdana" w:hAnsi="Verdana"/>
          <w:sz w:val="18"/>
          <w:szCs w:val="18"/>
        </w:rPr>
        <w:t xml:space="preserve"> by</w:t>
      </w:r>
      <w:r w:rsidRPr="000C7CFA">
        <w:rPr>
          <w:rFonts w:ascii="Verdana" w:hAnsi="Verdana"/>
          <w:sz w:val="18"/>
          <w:szCs w:val="18"/>
        </w:rPr>
        <w:t xml:space="preserve"> </w:t>
      </w:r>
      <w:r w:rsidRPr="000C7CFA">
        <w:rPr>
          <w:rFonts w:ascii="Verdana" w:hAnsi="Verdana" w:cs="Utopia-Regular"/>
          <w:sz w:val="18"/>
          <w:szCs w:val="18"/>
          <w:u w:val="single"/>
        </w:rPr>
        <w:t>Tomy</w:t>
      </w:r>
      <w:r w:rsidRPr="000C7CFA">
        <w:rPr>
          <w:rFonts w:ascii="Verdana" w:hAnsi="Verdana"/>
          <w:sz w:val="18"/>
          <w:szCs w:val="18"/>
          <w:u w:val="single"/>
        </w:rPr>
        <w:t xml:space="preserve"> </w:t>
      </w:r>
      <w:r w:rsidRPr="000C7CFA">
        <w:rPr>
          <w:rFonts w:ascii="Verdana" w:hAnsi="Verdana"/>
          <w:i/>
          <w:sz w:val="18"/>
          <w:szCs w:val="18"/>
          <w:u w:val="single"/>
        </w:rPr>
        <w:t>et al</w:t>
      </w:r>
      <w:r w:rsidRPr="000C7CFA">
        <w:rPr>
          <w:rFonts w:ascii="Verdana" w:hAnsi="Verdana"/>
          <w:sz w:val="18"/>
          <w:szCs w:val="18"/>
          <w:u w:val="single"/>
        </w:rPr>
        <w:t>. (2008)</w:t>
      </w:r>
      <w:r w:rsidRPr="000C7CFA">
        <w:rPr>
          <w:rFonts w:ascii="Verdana" w:hAnsi="Verdana"/>
          <w:sz w:val="18"/>
          <w:szCs w:val="18"/>
        </w:rPr>
        <w:t xml:space="preserve"> found that exposure of juvenile Rainbow Trout (</w:t>
      </w:r>
      <w:r w:rsidRPr="000C7CFA">
        <w:rPr>
          <w:rFonts w:ascii="Verdana" w:hAnsi="Verdana"/>
          <w:i/>
          <w:sz w:val="18"/>
          <w:szCs w:val="18"/>
        </w:rPr>
        <w:t>Oncorhynchus mykiss</w:t>
      </w:r>
      <w:r w:rsidRPr="000C7CFA">
        <w:rPr>
          <w:rFonts w:ascii="Verdana" w:hAnsi="Verdana"/>
          <w:sz w:val="18"/>
          <w:szCs w:val="18"/>
        </w:rPr>
        <w:t>) to food dosed with either 0.79 µg/g lipid w</w:t>
      </w:r>
      <w:r w:rsidR="0047043A" w:rsidRPr="000C7CFA">
        <w:rPr>
          <w:rFonts w:ascii="Verdana" w:hAnsi="Verdana"/>
          <w:sz w:val="18"/>
          <w:szCs w:val="18"/>
        </w:rPr>
        <w:t>eigh</w:t>
      </w:r>
      <w:r w:rsidRPr="000C7CFA">
        <w:rPr>
          <w:rFonts w:ascii="Verdana" w:hAnsi="Verdana"/>
          <w:sz w:val="18"/>
          <w:szCs w:val="18"/>
        </w:rPr>
        <w:t>t</w:t>
      </w:r>
      <w:r w:rsidR="0047043A" w:rsidRPr="000C7CFA">
        <w:rPr>
          <w:rFonts w:ascii="Verdana" w:hAnsi="Verdana"/>
          <w:sz w:val="18"/>
          <w:szCs w:val="18"/>
        </w:rPr>
        <w:t xml:space="preserve"> (lw)</w:t>
      </w:r>
      <w:r w:rsidRPr="000C7CFA">
        <w:rPr>
          <w:rFonts w:ascii="Verdana" w:hAnsi="Verdana"/>
          <w:sz w:val="18"/>
          <w:szCs w:val="18"/>
        </w:rPr>
        <w:t xml:space="preserve"> of the sy</w:t>
      </w:r>
      <w:r w:rsidR="00807CB2" w:rsidRPr="000C7CFA">
        <w:rPr>
          <w:rFonts w:ascii="Verdana" w:hAnsi="Verdana"/>
          <w:sz w:val="18"/>
          <w:szCs w:val="18"/>
        </w:rPr>
        <w:t>n- is</w:t>
      </w:r>
      <w:r w:rsidRPr="000C7CFA">
        <w:rPr>
          <w:rFonts w:ascii="Verdana" w:hAnsi="Verdana"/>
          <w:sz w:val="18"/>
          <w:szCs w:val="18"/>
        </w:rPr>
        <w:t xml:space="preserve">omer or 1.17 µg/g </w:t>
      </w:r>
      <w:r w:rsidR="0047043A" w:rsidRPr="000C7CFA">
        <w:rPr>
          <w:rFonts w:ascii="Verdana" w:hAnsi="Verdana"/>
          <w:sz w:val="18"/>
          <w:szCs w:val="18"/>
        </w:rPr>
        <w:t>lw</w:t>
      </w:r>
      <w:r w:rsidRPr="000C7CFA">
        <w:rPr>
          <w:rFonts w:ascii="Verdana" w:hAnsi="Verdana"/>
          <w:sz w:val="18"/>
          <w:szCs w:val="18"/>
        </w:rPr>
        <w:t xml:space="preserve"> of the ant</w:t>
      </w:r>
      <w:r w:rsidR="00807CB2" w:rsidRPr="000C7CFA">
        <w:rPr>
          <w:rFonts w:ascii="Verdana" w:hAnsi="Verdana"/>
          <w:sz w:val="18"/>
          <w:szCs w:val="18"/>
        </w:rPr>
        <w:t>i- is</w:t>
      </w:r>
      <w:r w:rsidRPr="000C7CFA">
        <w:rPr>
          <w:rFonts w:ascii="Verdana" w:hAnsi="Verdana"/>
          <w:sz w:val="18"/>
          <w:szCs w:val="18"/>
        </w:rPr>
        <w:t>omer for 49 days caused</w:t>
      </w:r>
      <w:r w:rsidRPr="000C7CFA">
        <w:rPr>
          <w:rFonts w:ascii="Verdana" w:hAnsi="Verdana" w:cs="Utopia-Regular"/>
          <w:sz w:val="18"/>
          <w:szCs w:val="18"/>
        </w:rPr>
        <w:t xml:space="preserve"> no effect on growth rate, liver somatic index or mortality (see Section </w:t>
      </w:r>
      <w:r w:rsidR="008C3195" w:rsidRPr="000C7CFA">
        <w:rPr>
          <w:rFonts w:ascii="Verdana" w:hAnsi="Verdana" w:cs="Utopia-Regular"/>
          <w:sz w:val="18"/>
          <w:szCs w:val="18"/>
        </w:rPr>
        <w:fldChar w:fldCharType="begin"/>
      </w:r>
      <w:r w:rsidR="00CC634B" w:rsidRPr="000C7CFA">
        <w:rPr>
          <w:rFonts w:ascii="Verdana" w:hAnsi="Verdana" w:cs="Utopia-Regular"/>
          <w:sz w:val="18"/>
          <w:szCs w:val="18"/>
        </w:rPr>
        <w:instrText xml:space="preserve"> REF _Ref427766234 \r \h </w:instrText>
      </w:r>
      <w:r w:rsidR="008640CB" w:rsidRPr="000C7CFA">
        <w:rPr>
          <w:rFonts w:ascii="Verdana" w:hAnsi="Verdana" w:cs="Utopia-Regular"/>
          <w:sz w:val="18"/>
          <w:szCs w:val="18"/>
        </w:rPr>
        <w:instrText xml:space="preserve"> \* MERGEFORMAT </w:instrText>
      </w:r>
      <w:r w:rsidR="008C3195" w:rsidRPr="000C7CFA">
        <w:rPr>
          <w:rFonts w:ascii="Verdana" w:hAnsi="Verdana" w:cs="Utopia-Regular"/>
          <w:sz w:val="18"/>
          <w:szCs w:val="18"/>
        </w:rPr>
      </w:r>
      <w:r w:rsidR="008C3195" w:rsidRPr="000C7CFA">
        <w:rPr>
          <w:rFonts w:ascii="Verdana" w:hAnsi="Verdana" w:cs="Utopia-Regular"/>
          <w:sz w:val="18"/>
          <w:szCs w:val="18"/>
        </w:rPr>
        <w:fldChar w:fldCharType="separate"/>
      </w:r>
      <w:r w:rsidR="00BA2885" w:rsidRPr="000C7CFA">
        <w:rPr>
          <w:rFonts w:ascii="Verdana" w:hAnsi="Verdana" w:cs="Utopia-Regular"/>
          <w:sz w:val="18"/>
          <w:szCs w:val="18"/>
        </w:rPr>
        <w:t>3.4.1.2.2</w:t>
      </w:r>
      <w:r w:rsidR="008C3195" w:rsidRPr="000C7CFA">
        <w:rPr>
          <w:rFonts w:ascii="Verdana" w:hAnsi="Verdana" w:cs="Utopia-Regular"/>
          <w:sz w:val="18"/>
          <w:szCs w:val="18"/>
        </w:rPr>
        <w:fldChar w:fldCharType="end"/>
      </w:r>
      <w:r w:rsidRPr="000C7CFA">
        <w:rPr>
          <w:rFonts w:ascii="Verdana" w:hAnsi="Verdana" w:cs="Utopia-Regular"/>
          <w:sz w:val="18"/>
          <w:szCs w:val="18"/>
        </w:rPr>
        <w:t>).</w:t>
      </w:r>
    </w:p>
    <w:p w14:paraId="3523A663" w14:textId="053A1359" w:rsidR="00125C56" w:rsidRPr="000C7CFA" w:rsidRDefault="00125C56" w:rsidP="00656591">
      <w:pPr>
        <w:pStyle w:val="NormalWeb"/>
        <w:shd w:val="clear" w:color="auto" w:fill="FFFFFF"/>
        <w:spacing w:after="120" w:afterAutospacing="0"/>
        <w:jc w:val="both"/>
        <w:rPr>
          <w:rFonts w:ascii="Verdana" w:hAnsi="Verdana"/>
          <w:sz w:val="18"/>
          <w:szCs w:val="18"/>
        </w:rPr>
      </w:pPr>
      <w:r w:rsidRPr="000C7CFA">
        <w:rPr>
          <w:rFonts w:ascii="Verdana" w:hAnsi="Verdana"/>
          <w:sz w:val="18"/>
          <w:szCs w:val="18"/>
        </w:rPr>
        <w:t xml:space="preserve">In a further study reported in the academic literature, </w:t>
      </w:r>
      <w:r w:rsidRPr="000C7CFA">
        <w:rPr>
          <w:rFonts w:ascii="Verdana" w:hAnsi="Verdana"/>
          <w:sz w:val="18"/>
          <w:szCs w:val="18"/>
          <w:u w:val="single"/>
        </w:rPr>
        <w:t xml:space="preserve">Liang </w:t>
      </w:r>
      <w:r w:rsidRPr="000C7CFA">
        <w:rPr>
          <w:rFonts w:ascii="Verdana" w:hAnsi="Verdana"/>
          <w:i/>
          <w:sz w:val="18"/>
          <w:szCs w:val="18"/>
          <w:u w:val="single"/>
        </w:rPr>
        <w:t>et al</w:t>
      </w:r>
      <w:r w:rsidRPr="000C7CFA">
        <w:rPr>
          <w:rFonts w:ascii="Verdana" w:hAnsi="Verdana"/>
          <w:sz w:val="18"/>
          <w:szCs w:val="18"/>
          <w:u w:val="single"/>
        </w:rPr>
        <w:t>. (2014)</w:t>
      </w:r>
      <w:r w:rsidRPr="000C7CFA">
        <w:rPr>
          <w:rFonts w:ascii="Verdana" w:hAnsi="Verdana"/>
          <w:sz w:val="18"/>
          <w:szCs w:val="18"/>
        </w:rPr>
        <w:t xml:space="preserve"> exposed juvenile Chinese Sturgeon (</w:t>
      </w:r>
      <w:r w:rsidRPr="000C7CFA">
        <w:rPr>
          <w:rFonts w:ascii="Verdana" w:hAnsi="Verdana"/>
          <w:i/>
          <w:sz w:val="18"/>
          <w:szCs w:val="18"/>
        </w:rPr>
        <w:t>Acipenser sinensis</w:t>
      </w:r>
      <w:r w:rsidRPr="000C7CFA">
        <w:rPr>
          <w:rFonts w:ascii="Verdana" w:hAnsi="Verdana"/>
          <w:sz w:val="18"/>
          <w:szCs w:val="18"/>
        </w:rPr>
        <w:t>) (around 1 kg in weight) via a single intraperitoneal injection to Dechlorane Plus (purity &gt; 9</w:t>
      </w:r>
      <w:r w:rsidR="00AF7606" w:rsidRPr="000C7CFA">
        <w:rPr>
          <w:rFonts w:ascii="Verdana" w:hAnsi="Verdana"/>
          <w:sz w:val="18"/>
          <w:szCs w:val="18"/>
        </w:rPr>
        <w:t>5 %</w:t>
      </w:r>
      <w:r w:rsidRPr="000C7CFA">
        <w:rPr>
          <w:rFonts w:ascii="Verdana" w:hAnsi="Verdana"/>
          <w:sz w:val="18"/>
          <w:szCs w:val="18"/>
        </w:rPr>
        <w:t>) at doses of 1, 10 and 100 mg/kg ww (</w:t>
      </w:r>
      <w:r w:rsidR="008E2672" w:rsidRPr="000C7CFA">
        <w:rPr>
          <w:rFonts w:ascii="Verdana" w:hAnsi="Verdana"/>
          <w:sz w:val="18"/>
          <w:szCs w:val="18"/>
        </w:rPr>
        <w:t>with</w:t>
      </w:r>
      <w:r w:rsidRPr="000C7CFA">
        <w:rPr>
          <w:rFonts w:ascii="Verdana" w:hAnsi="Verdana"/>
          <w:sz w:val="18"/>
          <w:szCs w:val="18"/>
        </w:rPr>
        <w:t xml:space="preserve"> a control) for 14 days. The test substance was dissolved in corn oil, and the fish were fed with tubificid worms twice a day. After 14 days, liver proteomes from three fish per treatment group were analyzed using two-dimensional electrophoresis coupled matrix-assisted laser desorption/ionization tandem time-of-flight mass spectrometry. Quantitative spot </w:t>
      </w:r>
      <w:r w:rsidRPr="000C7CFA">
        <w:rPr>
          <w:rFonts w:ascii="Verdana" w:hAnsi="Verdana"/>
          <w:sz w:val="18"/>
          <w:szCs w:val="18"/>
        </w:rPr>
        <w:lastRenderedPageBreak/>
        <w:t xml:space="preserve">comparisons were performed with image analysis software and approximately 740 spots were detected on each gel. Among these proteins, 39 protein spots were found to be altered in abundance (&gt;2-fold) in one or more treatment groups compared to that of the controls. According to the ratio value, there were 12, 24, and 15 significantly altered spots for the 1, 10 and 100 mg/kg ww groups, respectively. Of the 39 significantly altered proteins, 27 were successfully identified. Proteins related to the stress response that included heat shock cognate protein 70 and T-complex protein 1 were significantly increased and decreased in abundance, respectively. Moreover, Ras-related protein Rab-6B and GDP dissociation inhibitor 2, proteins that are involved in small G-protein signal cascades, were decreased in abundance </w:t>
      </w:r>
      <w:r w:rsidR="008E2672" w:rsidRPr="000C7CFA">
        <w:rPr>
          <w:rFonts w:ascii="Verdana" w:hAnsi="Verdana"/>
          <w:sz w:val="18"/>
          <w:szCs w:val="18"/>
        </w:rPr>
        <w:t>two</w:t>
      </w:r>
      <w:r w:rsidRPr="000C7CFA">
        <w:rPr>
          <w:rFonts w:ascii="Verdana" w:hAnsi="Verdana"/>
          <w:sz w:val="18"/>
          <w:szCs w:val="18"/>
        </w:rPr>
        <w:t xml:space="preserve">- to </w:t>
      </w:r>
      <w:r w:rsidR="008E2672" w:rsidRPr="000C7CFA">
        <w:rPr>
          <w:rFonts w:ascii="Verdana" w:hAnsi="Verdana"/>
          <w:sz w:val="18"/>
          <w:szCs w:val="18"/>
        </w:rPr>
        <w:t>five</w:t>
      </w:r>
      <w:r w:rsidRPr="000C7CFA">
        <w:rPr>
          <w:rFonts w:ascii="Verdana" w:hAnsi="Verdana"/>
          <w:sz w:val="18"/>
          <w:szCs w:val="18"/>
        </w:rPr>
        <w:t xml:space="preserve">-fold. Annexin A4, which is associated with calcium ion </w:t>
      </w:r>
      <w:r w:rsidR="0076237E" w:rsidRPr="000C7CFA">
        <w:rPr>
          <w:rFonts w:ascii="Verdana" w:hAnsi="Verdana"/>
          <w:sz w:val="18"/>
          <w:szCs w:val="18"/>
        </w:rPr>
        <w:t>signalling</w:t>
      </w:r>
      <w:r w:rsidRPr="000C7CFA">
        <w:rPr>
          <w:rFonts w:ascii="Verdana" w:hAnsi="Verdana"/>
          <w:sz w:val="18"/>
          <w:szCs w:val="18"/>
        </w:rPr>
        <w:t xml:space="preserve"> pathways, was also markedly decreased by </w:t>
      </w:r>
      <w:r w:rsidR="008E2672" w:rsidRPr="000C7CFA">
        <w:rPr>
          <w:rFonts w:ascii="Verdana" w:hAnsi="Verdana"/>
          <w:sz w:val="18"/>
          <w:szCs w:val="18"/>
        </w:rPr>
        <w:t>two</w:t>
      </w:r>
      <w:r w:rsidRPr="000C7CFA">
        <w:rPr>
          <w:rFonts w:ascii="Verdana" w:hAnsi="Verdana"/>
          <w:sz w:val="18"/>
          <w:szCs w:val="18"/>
        </w:rPr>
        <w:t xml:space="preserve">-fold in the liver. Pathway analysis of differentially regulated proteins revealed that Dechlorane Plus exposure may induce oxidative stress, cell proliferation and apoptosis, which may be mediated through the stress response, small G-protein </w:t>
      </w:r>
      <w:r w:rsidR="0076237E" w:rsidRPr="000C7CFA">
        <w:rPr>
          <w:rFonts w:ascii="Verdana" w:hAnsi="Verdana"/>
          <w:sz w:val="18"/>
          <w:szCs w:val="18"/>
        </w:rPr>
        <w:t>signalling</w:t>
      </w:r>
      <w:r w:rsidRPr="000C7CFA">
        <w:rPr>
          <w:rFonts w:ascii="Verdana" w:hAnsi="Verdana"/>
          <w:sz w:val="18"/>
          <w:szCs w:val="18"/>
        </w:rPr>
        <w:t xml:space="preserve"> cascades, calcium ion binding and carbohydrate metabolism.</w:t>
      </w:r>
    </w:p>
    <w:p w14:paraId="33B2E35B" w14:textId="79CC26FF" w:rsidR="00180A48" w:rsidRPr="000C7CFA" w:rsidRDefault="00180A48" w:rsidP="00656591">
      <w:pPr>
        <w:pStyle w:val="NormalWeb"/>
        <w:shd w:val="clear" w:color="auto" w:fill="FFFFFF"/>
        <w:spacing w:before="0" w:beforeAutospacing="0" w:after="0" w:afterAutospacing="0"/>
        <w:jc w:val="both"/>
        <w:rPr>
          <w:rFonts w:ascii="Verdana" w:hAnsi="Verdana"/>
          <w:sz w:val="18"/>
          <w:szCs w:val="18"/>
        </w:rPr>
      </w:pPr>
      <w:r w:rsidRPr="000C7CFA">
        <w:rPr>
          <w:rFonts w:ascii="Verdana" w:hAnsi="Verdana"/>
          <w:sz w:val="18"/>
          <w:szCs w:val="18"/>
        </w:rPr>
        <w:t xml:space="preserve">This study is included in the registration dossier and </w:t>
      </w:r>
      <w:r w:rsidR="00294709" w:rsidRPr="000C7CFA">
        <w:rPr>
          <w:rFonts w:ascii="Verdana" w:hAnsi="Verdana"/>
          <w:sz w:val="18"/>
          <w:szCs w:val="18"/>
        </w:rPr>
        <w:t xml:space="preserve">in the view of the DS </w:t>
      </w:r>
      <w:r w:rsidRPr="000C7CFA">
        <w:rPr>
          <w:rFonts w:ascii="Verdana" w:hAnsi="Verdana"/>
          <w:sz w:val="18"/>
          <w:szCs w:val="18"/>
        </w:rPr>
        <w:t xml:space="preserve">considered </w:t>
      </w:r>
      <w:r w:rsidR="00294709" w:rsidRPr="000C7CFA">
        <w:rPr>
          <w:rFonts w:ascii="Verdana" w:hAnsi="Verdana"/>
          <w:sz w:val="18"/>
          <w:szCs w:val="18"/>
        </w:rPr>
        <w:t xml:space="preserve">to be </w:t>
      </w:r>
      <w:r w:rsidRPr="000C7CFA">
        <w:rPr>
          <w:rFonts w:ascii="Verdana" w:hAnsi="Verdana"/>
          <w:sz w:val="18"/>
          <w:szCs w:val="18"/>
        </w:rPr>
        <w:t>reliable with restrictions.</w:t>
      </w:r>
    </w:p>
    <w:p w14:paraId="70C8E728" w14:textId="77777777" w:rsidR="00153F2D" w:rsidRPr="000C7CFA" w:rsidRDefault="00153F2D" w:rsidP="00153F2D">
      <w:pPr>
        <w:pStyle w:val="BodyText"/>
        <w:rPr>
          <w:rFonts w:ascii="Verdana" w:hAnsi="Verdana"/>
          <w:sz w:val="18"/>
          <w:szCs w:val="18"/>
        </w:rPr>
      </w:pPr>
    </w:p>
    <w:p w14:paraId="6658E636" w14:textId="44BF3C42" w:rsidR="00153F2D" w:rsidRPr="000C7CFA" w:rsidRDefault="00222120" w:rsidP="00153F2D">
      <w:pPr>
        <w:pStyle w:val="BodyText"/>
        <w:rPr>
          <w:rFonts w:ascii="Verdana" w:hAnsi="Verdana"/>
          <w:sz w:val="18"/>
          <w:szCs w:val="18"/>
        </w:rPr>
      </w:pPr>
      <w:r w:rsidRPr="000C7CFA">
        <w:rPr>
          <w:rFonts w:ascii="Verdana" w:hAnsi="Verdana"/>
          <w:sz w:val="18"/>
          <w:szCs w:val="18"/>
        </w:rPr>
        <w:t>A</w:t>
      </w:r>
      <w:r w:rsidR="00153F2D" w:rsidRPr="000C7CFA">
        <w:rPr>
          <w:rFonts w:ascii="Verdana" w:hAnsi="Verdana"/>
          <w:sz w:val="18"/>
          <w:szCs w:val="18"/>
        </w:rPr>
        <w:t xml:space="preserve"> 21-d NOEC &gt;1.2 mg/L for Medaka </w:t>
      </w:r>
      <w:r w:rsidR="00153F2D" w:rsidRPr="000C7CFA">
        <w:rPr>
          <w:rFonts w:ascii="Verdana" w:hAnsi="Verdana"/>
          <w:i/>
          <w:sz w:val="18"/>
          <w:szCs w:val="18"/>
        </w:rPr>
        <w:t xml:space="preserve">Or. </w:t>
      </w:r>
      <w:proofErr w:type="gramStart"/>
      <w:r w:rsidR="00153F2D" w:rsidRPr="000C7CFA">
        <w:rPr>
          <w:rFonts w:ascii="Verdana" w:hAnsi="Verdana"/>
          <w:i/>
          <w:sz w:val="18"/>
          <w:szCs w:val="18"/>
        </w:rPr>
        <w:t>latipes</w:t>
      </w:r>
      <w:proofErr w:type="gramEnd"/>
      <w:r w:rsidR="00153F2D" w:rsidRPr="000C7CFA">
        <w:rPr>
          <w:rFonts w:ascii="Verdana" w:hAnsi="Verdana"/>
          <w:sz w:val="18"/>
          <w:szCs w:val="18"/>
        </w:rPr>
        <w:t xml:space="preserve"> has </w:t>
      </w:r>
      <w:r w:rsidRPr="000C7CFA">
        <w:rPr>
          <w:rFonts w:ascii="Verdana" w:hAnsi="Verdana"/>
          <w:sz w:val="18"/>
          <w:szCs w:val="18"/>
        </w:rPr>
        <w:t xml:space="preserve">also </w:t>
      </w:r>
      <w:r w:rsidR="00153F2D" w:rsidRPr="000C7CFA">
        <w:rPr>
          <w:rFonts w:ascii="Verdana" w:hAnsi="Verdana"/>
          <w:sz w:val="18"/>
          <w:szCs w:val="18"/>
        </w:rPr>
        <w:t>been reported by the Japanese Ministry of Environment (</w:t>
      </w:r>
      <w:r w:rsidR="00153F2D" w:rsidRPr="000C7CFA">
        <w:rPr>
          <w:rFonts w:ascii="Verdana" w:hAnsi="Verdana"/>
          <w:sz w:val="18"/>
          <w:szCs w:val="18"/>
          <w:u w:val="single"/>
        </w:rPr>
        <w:t>MoE, 2013</w:t>
      </w:r>
      <w:r w:rsidR="00153F2D" w:rsidRPr="000C7CFA">
        <w:rPr>
          <w:rStyle w:val="FootnoteReference"/>
          <w:rFonts w:ascii="Verdana" w:hAnsi="Verdana"/>
          <w:sz w:val="18"/>
          <w:szCs w:val="18"/>
        </w:rPr>
        <w:footnoteReference w:id="38"/>
      </w:r>
      <w:r w:rsidR="00796A66" w:rsidRPr="000C7CFA">
        <w:rPr>
          <w:rFonts w:ascii="Verdana" w:hAnsi="Verdana"/>
          <w:sz w:val="18"/>
          <w:szCs w:val="18"/>
        </w:rPr>
        <w:t>). O</w:t>
      </w:r>
      <w:r w:rsidR="00153F2D" w:rsidRPr="000C7CFA">
        <w:rPr>
          <w:rFonts w:ascii="Verdana" w:hAnsi="Verdana"/>
          <w:sz w:val="18"/>
          <w:szCs w:val="18"/>
        </w:rPr>
        <w:t xml:space="preserve">nly a summary of the results </w:t>
      </w:r>
      <w:r w:rsidR="00796A66" w:rsidRPr="000C7CFA">
        <w:rPr>
          <w:rFonts w:ascii="Verdana" w:hAnsi="Verdana"/>
          <w:sz w:val="18"/>
          <w:szCs w:val="18"/>
        </w:rPr>
        <w:t>is</w:t>
      </w:r>
      <w:r w:rsidR="00153F2D" w:rsidRPr="000C7CFA">
        <w:rPr>
          <w:rFonts w:ascii="Verdana" w:hAnsi="Verdana"/>
          <w:sz w:val="18"/>
          <w:szCs w:val="18"/>
        </w:rPr>
        <w:t xml:space="preserve"> available. The study was conducted in 1995 and it is likely that dispersants were used. Ideally, the original study report should be reviewed to confirm the validity of the results and the test method. The study was conducted at concentrations far exceeding the solubility limit of the test substance (&lt;2</w:t>
      </w:r>
      <w:r w:rsidR="0013681A" w:rsidRPr="000C7CFA">
        <w:rPr>
          <w:rFonts w:ascii="Verdana" w:hAnsi="Verdana"/>
          <w:sz w:val="18"/>
          <w:szCs w:val="18"/>
        </w:rPr>
        <w:t> </w:t>
      </w:r>
      <w:r w:rsidR="00153F2D" w:rsidRPr="000C7CFA">
        <w:rPr>
          <w:rFonts w:ascii="Verdana" w:hAnsi="Verdana"/>
          <w:sz w:val="18"/>
          <w:szCs w:val="18"/>
        </w:rPr>
        <w:t>ng/L) and therefore should be treated with caution. This study is not mentioned in the registration dossier.</w:t>
      </w:r>
    </w:p>
    <w:p w14:paraId="0136B9BD" w14:textId="2C37B37C" w:rsidR="00224A6E" w:rsidRPr="000C7CFA" w:rsidRDefault="00224A6E">
      <w:pPr>
        <w:spacing w:after="0"/>
        <w:rPr>
          <w:rFonts w:ascii="Verdana" w:hAnsi="Verdana"/>
          <w:i/>
          <w:sz w:val="18"/>
          <w:szCs w:val="18"/>
          <w:u w:val="single"/>
          <w:lang w:val="en-GB"/>
        </w:rPr>
      </w:pPr>
    </w:p>
    <w:p w14:paraId="7B84890B" w14:textId="0CD92395" w:rsidR="00302E75" w:rsidRPr="000C7CFA" w:rsidRDefault="0013681A" w:rsidP="00153F2D">
      <w:pPr>
        <w:pStyle w:val="BodyText"/>
        <w:rPr>
          <w:rFonts w:ascii="Verdana" w:hAnsi="Verdana"/>
          <w:i/>
          <w:sz w:val="18"/>
          <w:szCs w:val="18"/>
          <w:u w:val="single"/>
        </w:rPr>
      </w:pPr>
      <w:r w:rsidRPr="000C7CFA">
        <w:rPr>
          <w:rFonts w:ascii="Verdana" w:hAnsi="Verdana"/>
          <w:i/>
          <w:sz w:val="18"/>
          <w:szCs w:val="18"/>
          <w:u w:val="single"/>
        </w:rPr>
        <w:t>Recent studies with Zebrafish</w:t>
      </w:r>
      <w:r w:rsidR="00D76678" w:rsidRPr="000C7CFA">
        <w:rPr>
          <w:rFonts w:ascii="Verdana" w:hAnsi="Verdana"/>
          <w:i/>
          <w:sz w:val="18"/>
          <w:szCs w:val="18"/>
          <w:u w:val="single"/>
        </w:rPr>
        <w:t xml:space="preserve"> (</w:t>
      </w:r>
      <w:r w:rsidR="00D76678" w:rsidRPr="000C7CFA">
        <w:rPr>
          <w:rFonts w:ascii="Verdana" w:hAnsi="Verdana"/>
          <w:sz w:val="18"/>
          <w:szCs w:val="18"/>
          <w:u w:val="single"/>
        </w:rPr>
        <w:t>Danio rerio</w:t>
      </w:r>
      <w:r w:rsidR="00D76678" w:rsidRPr="000C7CFA">
        <w:rPr>
          <w:rFonts w:ascii="Verdana" w:hAnsi="Verdana"/>
          <w:i/>
          <w:sz w:val="18"/>
          <w:szCs w:val="18"/>
          <w:u w:val="single"/>
        </w:rPr>
        <w:t>)</w:t>
      </w:r>
    </w:p>
    <w:p w14:paraId="268A6CA0" w14:textId="4C619B99" w:rsidR="00302E75" w:rsidRPr="000C7CFA" w:rsidRDefault="00D76678" w:rsidP="00DC3658">
      <w:pPr>
        <w:pStyle w:val="BodyText"/>
        <w:numPr>
          <w:ilvl w:val="0"/>
          <w:numId w:val="20"/>
        </w:numPr>
        <w:ind w:left="426" w:hanging="426"/>
        <w:rPr>
          <w:rFonts w:ascii="Verdana" w:hAnsi="Verdana"/>
          <w:sz w:val="18"/>
          <w:szCs w:val="18"/>
        </w:rPr>
      </w:pPr>
      <w:r w:rsidRPr="000C7CFA">
        <w:rPr>
          <w:rFonts w:ascii="Verdana" w:hAnsi="Verdana"/>
          <w:sz w:val="18"/>
          <w:szCs w:val="18"/>
          <w:u w:val="single"/>
        </w:rPr>
        <w:t xml:space="preserve">Hang </w:t>
      </w:r>
      <w:r w:rsidRPr="000C7CFA">
        <w:rPr>
          <w:rFonts w:ascii="Verdana" w:hAnsi="Verdana"/>
          <w:i/>
          <w:sz w:val="18"/>
          <w:szCs w:val="18"/>
          <w:u w:val="single"/>
        </w:rPr>
        <w:t>et al</w:t>
      </w:r>
      <w:r w:rsidRPr="000C7CFA">
        <w:rPr>
          <w:rFonts w:ascii="Verdana" w:hAnsi="Verdana"/>
          <w:sz w:val="18"/>
          <w:szCs w:val="18"/>
          <w:u w:val="single"/>
        </w:rPr>
        <w:t>. (2013)</w:t>
      </w:r>
      <w:r w:rsidRPr="000C7CFA">
        <w:rPr>
          <w:rFonts w:ascii="Verdana" w:hAnsi="Verdana"/>
          <w:sz w:val="18"/>
          <w:szCs w:val="18"/>
        </w:rPr>
        <w:t xml:space="preserve"> [ABST] reported t</w:t>
      </w:r>
      <w:r w:rsidR="00302E75" w:rsidRPr="000C7CFA">
        <w:rPr>
          <w:rFonts w:ascii="Verdana" w:hAnsi="Verdana"/>
          <w:sz w:val="18"/>
          <w:szCs w:val="18"/>
        </w:rPr>
        <w:t xml:space="preserve">he effects of Dechlorane Plus on Zebrafish embryos and adults. </w:t>
      </w:r>
      <w:r w:rsidRPr="000C7CFA">
        <w:rPr>
          <w:rFonts w:ascii="Verdana" w:hAnsi="Verdana"/>
          <w:sz w:val="18"/>
          <w:szCs w:val="18"/>
        </w:rPr>
        <w:t>This academic study is not mentioned in the registration dossier</w:t>
      </w:r>
      <w:r w:rsidR="00F00F6A" w:rsidRPr="000C7CFA">
        <w:rPr>
          <w:rFonts w:ascii="Verdana" w:hAnsi="Verdana"/>
          <w:sz w:val="18"/>
          <w:szCs w:val="18"/>
        </w:rPr>
        <w:t xml:space="preserve"> and has not subsequently been published</w:t>
      </w:r>
      <w:r w:rsidRPr="000C7CFA">
        <w:rPr>
          <w:rFonts w:ascii="Verdana" w:hAnsi="Verdana"/>
          <w:sz w:val="18"/>
          <w:szCs w:val="18"/>
        </w:rPr>
        <w:t xml:space="preserve">. </w:t>
      </w:r>
      <w:r w:rsidR="00302E75" w:rsidRPr="000C7CFA">
        <w:rPr>
          <w:rFonts w:ascii="Verdana" w:hAnsi="Verdana"/>
          <w:sz w:val="18"/>
          <w:szCs w:val="18"/>
        </w:rPr>
        <w:t>The tests were carried out at 28</w:t>
      </w:r>
      <w:r w:rsidR="00F00F6A" w:rsidRPr="000C7CFA">
        <w:rPr>
          <w:rFonts w:ascii="Verdana" w:hAnsi="Verdana"/>
          <w:sz w:val="18"/>
          <w:szCs w:val="18"/>
        </w:rPr>
        <w:t> </w:t>
      </w:r>
      <w:r w:rsidR="00302E75" w:rsidRPr="000C7CFA">
        <w:rPr>
          <w:rFonts w:ascii="Verdana" w:hAnsi="Verdana"/>
          <w:sz w:val="18"/>
          <w:szCs w:val="18"/>
        </w:rPr>
        <w:t>°C at a pH of 7.5. Groups of 20 embryos (&gt;8 hours post fertilisation</w:t>
      </w:r>
      <w:r w:rsidR="007C0AF7" w:rsidRPr="000C7CFA">
        <w:rPr>
          <w:rFonts w:ascii="Verdana" w:hAnsi="Verdana"/>
          <w:sz w:val="18"/>
          <w:szCs w:val="18"/>
        </w:rPr>
        <w:t xml:space="preserve"> (</w:t>
      </w:r>
      <w:proofErr w:type="gramStart"/>
      <w:r w:rsidR="007C0AF7" w:rsidRPr="000C7CFA">
        <w:rPr>
          <w:rFonts w:ascii="Verdana" w:hAnsi="Verdana"/>
          <w:sz w:val="18"/>
          <w:szCs w:val="18"/>
        </w:rPr>
        <w:t>hpf</w:t>
      </w:r>
      <w:proofErr w:type="gramEnd"/>
      <w:r w:rsidR="007C0AF7" w:rsidRPr="000C7CFA">
        <w:rPr>
          <w:rFonts w:ascii="Verdana" w:hAnsi="Verdana"/>
          <w:sz w:val="18"/>
          <w:szCs w:val="18"/>
        </w:rPr>
        <w:t>)</w:t>
      </w:r>
      <w:r w:rsidR="00302E75" w:rsidRPr="000C7CFA">
        <w:rPr>
          <w:rFonts w:ascii="Verdana" w:hAnsi="Verdana"/>
          <w:sz w:val="18"/>
          <w:szCs w:val="18"/>
        </w:rPr>
        <w:t>) were exposed to Dechlorane Plus for 7 days using a semi-static method. The exposure concentrations were 0.031, 0.074, 0.184 and 0.370 mg/L and acetone was used as a cosolvent (</w:t>
      </w:r>
      <w:r w:rsidR="00AF7606" w:rsidRPr="000C7CFA">
        <w:rPr>
          <w:rFonts w:ascii="Verdana" w:hAnsi="Verdana"/>
          <w:sz w:val="18"/>
          <w:szCs w:val="18"/>
        </w:rPr>
        <w:t>1 %</w:t>
      </w:r>
      <w:r w:rsidR="00302E75" w:rsidRPr="000C7CFA">
        <w:rPr>
          <w:rFonts w:ascii="Verdana" w:hAnsi="Verdana"/>
          <w:sz w:val="18"/>
          <w:szCs w:val="18"/>
        </w:rPr>
        <w:t xml:space="preserve"> v/v). The embryos were monitored daily for signs of malfunctions and mortality. Hang </w:t>
      </w:r>
      <w:r w:rsidR="00302E75" w:rsidRPr="000C7CFA">
        <w:rPr>
          <w:rFonts w:ascii="Verdana" w:hAnsi="Verdana"/>
          <w:i/>
          <w:sz w:val="18"/>
          <w:szCs w:val="18"/>
        </w:rPr>
        <w:t>et al</w:t>
      </w:r>
      <w:r w:rsidR="00302E75" w:rsidRPr="000C7CFA">
        <w:rPr>
          <w:rFonts w:ascii="Verdana" w:hAnsi="Verdana"/>
          <w:sz w:val="18"/>
          <w:szCs w:val="18"/>
        </w:rPr>
        <w:t xml:space="preserve">. (2013) </w:t>
      </w:r>
      <w:r w:rsidR="002576B7" w:rsidRPr="000C7CFA">
        <w:rPr>
          <w:rFonts w:ascii="Verdana" w:hAnsi="Verdana"/>
          <w:sz w:val="18"/>
          <w:szCs w:val="18"/>
        </w:rPr>
        <w:t xml:space="preserve">[ABST] </w:t>
      </w:r>
      <w:r w:rsidR="00302E75" w:rsidRPr="000C7CFA">
        <w:rPr>
          <w:rFonts w:ascii="Verdana" w:hAnsi="Verdana"/>
          <w:sz w:val="18"/>
          <w:szCs w:val="18"/>
        </w:rPr>
        <w:t>reported that the exposure resulted in the induction of observable spine side curve, cardiac adema and tail deformation in embryos and larvae and both dose-dependent and time-dependent effects on the total malformation rate were seen. Few other details of this part of the study are given</w:t>
      </w:r>
      <w:r w:rsidR="00336A05" w:rsidRPr="000C7CFA">
        <w:rPr>
          <w:rFonts w:ascii="Verdana" w:hAnsi="Verdana"/>
          <w:sz w:val="18"/>
          <w:szCs w:val="18"/>
        </w:rPr>
        <w:t xml:space="preserve"> so its overall reliability cannot be assessed</w:t>
      </w:r>
      <w:r w:rsidR="00302E75" w:rsidRPr="000C7CFA">
        <w:rPr>
          <w:rFonts w:ascii="Verdana" w:hAnsi="Verdana"/>
          <w:sz w:val="18"/>
          <w:szCs w:val="18"/>
        </w:rPr>
        <w:t>. It should be noted that the concentrations used in this test are well in excess of the water solubility of Dechlorane Plus and so the significance of the effects is unclear.</w:t>
      </w:r>
    </w:p>
    <w:p w14:paraId="2775F2E5" w14:textId="03B383E5" w:rsidR="00302E75" w:rsidRPr="000C7CFA" w:rsidRDefault="00302E75" w:rsidP="00D76678">
      <w:pPr>
        <w:pStyle w:val="BodyText"/>
        <w:ind w:left="426"/>
        <w:rPr>
          <w:rFonts w:ascii="Verdana" w:hAnsi="Verdana"/>
          <w:sz w:val="18"/>
          <w:szCs w:val="18"/>
        </w:rPr>
      </w:pPr>
      <w:r w:rsidRPr="000C7CFA">
        <w:rPr>
          <w:rFonts w:ascii="Verdana" w:hAnsi="Verdana"/>
          <w:sz w:val="18"/>
          <w:szCs w:val="18"/>
        </w:rPr>
        <w:t xml:space="preserve">The experiments with adults were carried out using dietary </w:t>
      </w:r>
      <w:r w:rsidR="00D76678" w:rsidRPr="000C7CFA">
        <w:rPr>
          <w:rFonts w:ascii="Verdana" w:hAnsi="Verdana"/>
          <w:sz w:val="18"/>
          <w:szCs w:val="18"/>
        </w:rPr>
        <w:t>exposure</w:t>
      </w:r>
      <w:r w:rsidRPr="000C7CFA">
        <w:rPr>
          <w:rFonts w:ascii="Verdana" w:hAnsi="Verdana"/>
          <w:sz w:val="18"/>
          <w:szCs w:val="18"/>
        </w:rPr>
        <w:t>. Six-month old adults were given doses of 250, 2</w:t>
      </w:r>
      <w:r w:rsidR="002D4EB9" w:rsidRPr="000C7CFA">
        <w:rPr>
          <w:rFonts w:ascii="Verdana" w:hAnsi="Verdana"/>
          <w:sz w:val="18"/>
          <w:szCs w:val="18"/>
        </w:rPr>
        <w:t> </w:t>
      </w:r>
      <w:r w:rsidRPr="000C7CFA">
        <w:rPr>
          <w:rFonts w:ascii="Verdana" w:hAnsi="Verdana"/>
          <w:sz w:val="18"/>
          <w:szCs w:val="18"/>
        </w:rPr>
        <w:t xml:space="preserve">500 and </w:t>
      </w:r>
      <w:r w:rsidR="00D76678" w:rsidRPr="000C7CFA">
        <w:rPr>
          <w:rFonts w:ascii="Verdana" w:hAnsi="Verdana"/>
          <w:sz w:val="18"/>
          <w:szCs w:val="18"/>
        </w:rPr>
        <w:t>7</w:t>
      </w:r>
      <w:r w:rsidR="002D4EB9" w:rsidRPr="000C7CFA">
        <w:rPr>
          <w:rFonts w:ascii="Verdana" w:hAnsi="Verdana"/>
          <w:sz w:val="18"/>
          <w:szCs w:val="18"/>
        </w:rPr>
        <w:t> </w:t>
      </w:r>
      <w:r w:rsidR="00D76678" w:rsidRPr="000C7CFA">
        <w:rPr>
          <w:rFonts w:ascii="Verdana" w:hAnsi="Verdana"/>
          <w:sz w:val="18"/>
          <w:szCs w:val="18"/>
        </w:rPr>
        <w:t>500 mg/kg bw/day for up to 28 </w:t>
      </w:r>
      <w:r w:rsidRPr="000C7CFA">
        <w:rPr>
          <w:rFonts w:ascii="Verdana" w:hAnsi="Verdana"/>
          <w:sz w:val="18"/>
          <w:szCs w:val="18"/>
        </w:rPr>
        <w:t>days. The food used in the test was prepared by mixing powdered Dechlorane Plus with brine shrimp and agar in water, heating in a microwave for 30 seconds and then allowing the mixture to cool and solidify. Two control groups were used, one fed with brine shrimp only and the other fed with a mixture of brine shrimp and agar. The accumulation of Dechlorane Plus i</w:t>
      </w:r>
      <w:r w:rsidR="00D76678" w:rsidRPr="000C7CFA">
        <w:rPr>
          <w:rFonts w:ascii="Verdana" w:hAnsi="Verdana"/>
          <w:sz w:val="18"/>
          <w:szCs w:val="18"/>
        </w:rPr>
        <w:t>n the fish was assessed after 7 </w:t>
      </w:r>
      <w:r w:rsidRPr="000C7CFA">
        <w:rPr>
          <w:rFonts w:ascii="Verdana" w:hAnsi="Verdana"/>
          <w:sz w:val="18"/>
          <w:szCs w:val="18"/>
        </w:rPr>
        <w:t>days’ exposure (additional exposure groups of 500 and 10,000 mg/kg bw/day appear to have been used). The concentrations measured in the fish at day 7 were 0.618, 0.587, 0.763, 1.823 and 1.879</w:t>
      </w:r>
      <w:r w:rsidR="002D4EB9" w:rsidRPr="000C7CFA">
        <w:rPr>
          <w:rFonts w:ascii="Verdana" w:hAnsi="Verdana"/>
          <w:sz w:val="18"/>
          <w:szCs w:val="18"/>
        </w:rPr>
        <w:t> </w:t>
      </w:r>
      <w:r w:rsidRPr="000C7CFA">
        <w:rPr>
          <w:rFonts w:ascii="Verdana" w:hAnsi="Verdana"/>
          <w:sz w:val="18"/>
          <w:szCs w:val="18"/>
        </w:rPr>
        <w:t>mg/kg for the 250, 500, 2</w:t>
      </w:r>
      <w:r w:rsidR="002D4EB9" w:rsidRPr="000C7CFA">
        <w:rPr>
          <w:rFonts w:ascii="Verdana" w:hAnsi="Verdana"/>
          <w:sz w:val="18"/>
          <w:szCs w:val="18"/>
        </w:rPr>
        <w:t> </w:t>
      </w:r>
      <w:r w:rsidRPr="000C7CFA">
        <w:rPr>
          <w:rFonts w:ascii="Verdana" w:hAnsi="Verdana"/>
          <w:sz w:val="18"/>
          <w:szCs w:val="18"/>
        </w:rPr>
        <w:t>500, 7</w:t>
      </w:r>
      <w:r w:rsidR="002D4EB9" w:rsidRPr="000C7CFA">
        <w:rPr>
          <w:rFonts w:ascii="Verdana" w:hAnsi="Verdana"/>
          <w:sz w:val="18"/>
          <w:szCs w:val="18"/>
        </w:rPr>
        <w:t> </w:t>
      </w:r>
      <w:r w:rsidRPr="000C7CFA">
        <w:rPr>
          <w:rFonts w:ascii="Verdana" w:hAnsi="Verdana"/>
          <w:sz w:val="18"/>
          <w:szCs w:val="18"/>
        </w:rPr>
        <w:t>500 and 10</w:t>
      </w:r>
      <w:r w:rsidR="002D4EB9" w:rsidRPr="000C7CFA">
        <w:rPr>
          <w:rFonts w:ascii="Verdana" w:hAnsi="Verdana"/>
          <w:sz w:val="18"/>
          <w:szCs w:val="18"/>
        </w:rPr>
        <w:t> </w:t>
      </w:r>
      <w:r w:rsidRPr="000C7CFA">
        <w:rPr>
          <w:rFonts w:ascii="Verdana" w:hAnsi="Verdana"/>
          <w:sz w:val="18"/>
          <w:szCs w:val="18"/>
        </w:rPr>
        <w:t xml:space="preserve">000 mg/kg </w:t>
      </w:r>
      <w:proofErr w:type="gramStart"/>
      <w:r w:rsidRPr="000C7CFA">
        <w:rPr>
          <w:rFonts w:ascii="Verdana" w:hAnsi="Verdana"/>
          <w:sz w:val="18"/>
          <w:szCs w:val="18"/>
        </w:rPr>
        <w:t>bw</w:t>
      </w:r>
      <w:proofErr w:type="gramEnd"/>
      <w:r w:rsidRPr="000C7CFA">
        <w:rPr>
          <w:rFonts w:ascii="Verdana" w:hAnsi="Verdana"/>
          <w:sz w:val="18"/>
          <w:szCs w:val="18"/>
        </w:rPr>
        <w:t xml:space="preserve"> day exposure groups, respectively. The fraction of the syn-isomer (f</w:t>
      </w:r>
      <w:r w:rsidRPr="000C7CFA">
        <w:rPr>
          <w:rFonts w:ascii="Verdana" w:hAnsi="Verdana"/>
          <w:sz w:val="18"/>
          <w:szCs w:val="18"/>
          <w:vertAlign w:val="subscript"/>
        </w:rPr>
        <w:t>syn</w:t>
      </w:r>
      <w:r w:rsidRPr="000C7CFA">
        <w:rPr>
          <w:rFonts w:ascii="Verdana" w:hAnsi="Verdana"/>
          <w:sz w:val="18"/>
          <w:szCs w:val="18"/>
        </w:rPr>
        <w:t xml:space="preserve">) was 0.36-0.49.  </w:t>
      </w:r>
    </w:p>
    <w:p w14:paraId="72F3FA94" w14:textId="77777777" w:rsidR="00302E75" w:rsidRPr="000C7CFA" w:rsidRDefault="00302E75" w:rsidP="00F87752">
      <w:pPr>
        <w:pStyle w:val="BodyText"/>
        <w:ind w:left="426"/>
        <w:rPr>
          <w:rFonts w:ascii="Verdana" w:hAnsi="Verdana"/>
          <w:sz w:val="18"/>
          <w:szCs w:val="18"/>
        </w:rPr>
      </w:pPr>
      <w:r w:rsidRPr="000C7CFA">
        <w:rPr>
          <w:rFonts w:ascii="Verdana" w:hAnsi="Verdana"/>
          <w:sz w:val="18"/>
          <w:szCs w:val="18"/>
        </w:rPr>
        <w:lastRenderedPageBreak/>
        <w:t>The toxicity of Dechlorane Plus to the adults was assessed using a superoxide dismutase (SOD) assay, an apoptosis assay, gene expression analysis and proteomic analysis (of livers and brains from three replicates):</w:t>
      </w:r>
    </w:p>
    <w:p w14:paraId="14E0F33C" w14:textId="06DFF569" w:rsidR="00302E75" w:rsidRPr="000C7CFA" w:rsidRDefault="00302E75" w:rsidP="00DC3658">
      <w:pPr>
        <w:pStyle w:val="BodyText"/>
        <w:numPr>
          <w:ilvl w:val="0"/>
          <w:numId w:val="9"/>
        </w:numPr>
        <w:ind w:left="709" w:right="515" w:hanging="283"/>
        <w:rPr>
          <w:rFonts w:ascii="Verdana" w:hAnsi="Verdana"/>
          <w:sz w:val="18"/>
          <w:szCs w:val="18"/>
        </w:rPr>
      </w:pPr>
      <w:r w:rsidRPr="000C7CFA">
        <w:rPr>
          <w:rFonts w:ascii="Verdana" w:hAnsi="Verdana"/>
          <w:sz w:val="18"/>
          <w:szCs w:val="18"/>
        </w:rPr>
        <w:t xml:space="preserve">SOD activity was significantly increased at 28 days compared to controls in a dose-dependent manner (the increase was statistically significant </w:t>
      </w:r>
      <w:r w:rsidRPr="000C7CFA">
        <w:rPr>
          <w:rFonts w:ascii="Verdana" w:hAnsi="Verdana"/>
          <w:i/>
          <w:sz w:val="18"/>
          <w:szCs w:val="18"/>
        </w:rPr>
        <w:t>p</w:t>
      </w:r>
      <w:r w:rsidRPr="000C7CFA">
        <w:rPr>
          <w:rFonts w:ascii="Verdana" w:hAnsi="Verdana"/>
          <w:sz w:val="18"/>
          <w:szCs w:val="18"/>
        </w:rPr>
        <w:t>&lt;0.01) at all three concentrations tested (250, 2</w:t>
      </w:r>
      <w:r w:rsidR="002D4EB9" w:rsidRPr="000C7CFA">
        <w:rPr>
          <w:rFonts w:ascii="Verdana" w:hAnsi="Verdana"/>
          <w:sz w:val="18"/>
          <w:szCs w:val="18"/>
        </w:rPr>
        <w:t> </w:t>
      </w:r>
      <w:r w:rsidRPr="000C7CFA">
        <w:rPr>
          <w:rFonts w:ascii="Verdana" w:hAnsi="Verdana"/>
          <w:sz w:val="18"/>
          <w:szCs w:val="18"/>
        </w:rPr>
        <w:t>500 and 7</w:t>
      </w:r>
      <w:r w:rsidR="002D4EB9" w:rsidRPr="000C7CFA">
        <w:rPr>
          <w:rFonts w:ascii="Verdana" w:hAnsi="Verdana"/>
          <w:sz w:val="18"/>
          <w:szCs w:val="18"/>
        </w:rPr>
        <w:t> </w:t>
      </w:r>
      <w:r w:rsidRPr="000C7CFA">
        <w:rPr>
          <w:rFonts w:ascii="Verdana" w:hAnsi="Verdana"/>
          <w:sz w:val="18"/>
          <w:szCs w:val="18"/>
        </w:rPr>
        <w:t xml:space="preserve">500 mg/kg bw/day). It was hypothesised that this increase was a result of accumulation of superoxide radicals and hence an increase in SOD activity to scavenge these radicals. </w:t>
      </w:r>
    </w:p>
    <w:p w14:paraId="14DFF4D4" w14:textId="2AC0FBBD" w:rsidR="00302E75" w:rsidRPr="000C7CFA" w:rsidRDefault="00302E75" w:rsidP="00DC3658">
      <w:pPr>
        <w:pStyle w:val="BodyText"/>
        <w:numPr>
          <w:ilvl w:val="0"/>
          <w:numId w:val="9"/>
        </w:numPr>
        <w:ind w:left="709" w:right="515" w:hanging="283"/>
        <w:rPr>
          <w:rFonts w:ascii="Verdana" w:hAnsi="Verdana"/>
          <w:sz w:val="18"/>
          <w:szCs w:val="18"/>
        </w:rPr>
      </w:pPr>
      <w:r w:rsidRPr="000C7CFA">
        <w:rPr>
          <w:rFonts w:ascii="Verdana" w:hAnsi="Verdana"/>
          <w:sz w:val="18"/>
          <w:szCs w:val="18"/>
        </w:rPr>
        <w:t>Cell apoptosis was investigated in intestinal tissue. Cell apoptosis was evident after 7, 14 and 28 days’ exposure to 7</w:t>
      </w:r>
      <w:r w:rsidR="002D4EB9" w:rsidRPr="000C7CFA">
        <w:rPr>
          <w:rFonts w:ascii="Verdana" w:hAnsi="Verdana"/>
          <w:sz w:val="18"/>
          <w:szCs w:val="18"/>
        </w:rPr>
        <w:t> </w:t>
      </w:r>
      <w:r w:rsidRPr="000C7CFA">
        <w:rPr>
          <w:rFonts w:ascii="Verdana" w:hAnsi="Verdana"/>
          <w:sz w:val="18"/>
          <w:szCs w:val="18"/>
        </w:rPr>
        <w:t>500 mg/kg bw/day with no detectable apoptosis evident at 250 and 2</w:t>
      </w:r>
      <w:r w:rsidR="002D4EB9" w:rsidRPr="000C7CFA">
        <w:rPr>
          <w:rFonts w:ascii="Verdana" w:hAnsi="Verdana"/>
          <w:sz w:val="18"/>
          <w:szCs w:val="18"/>
        </w:rPr>
        <w:t> </w:t>
      </w:r>
      <w:r w:rsidRPr="000C7CFA">
        <w:rPr>
          <w:rFonts w:ascii="Verdana" w:hAnsi="Verdana"/>
          <w:sz w:val="18"/>
          <w:szCs w:val="18"/>
        </w:rPr>
        <w:t>500 mg/kg bw/day.</w:t>
      </w:r>
    </w:p>
    <w:p w14:paraId="6EC02D0C" w14:textId="648839A5" w:rsidR="00302E75" w:rsidRPr="000C7CFA" w:rsidRDefault="00302E75" w:rsidP="00DC3658">
      <w:pPr>
        <w:pStyle w:val="BodyText"/>
        <w:numPr>
          <w:ilvl w:val="0"/>
          <w:numId w:val="9"/>
        </w:numPr>
        <w:ind w:left="709" w:right="515" w:hanging="283"/>
        <w:rPr>
          <w:rFonts w:ascii="Verdana" w:hAnsi="Verdana"/>
          <w:sz w:val="18"/>
          <w:szCs w:val="18"/>
        </w:rPr>
      </w:pPr>
      <w:r w:rsidRPr="000C7CFA">
        <w:rPr>
          <w:rFonts w:ascii="Verdana" w:hAnsi="Verdana"/>
          <w:sz w:val="18"/>
          <w:szCs w:val="18"/>
        </w:rPr>
        <w:t>For the gene expression assay, mRNA expression levels of SOD and p53 (apoptosis pathway-related) genes were significantly changed following Dechlorane Plus exposure compared to controls. Expression of SOD was down-regulated at low concentrations and short exposure periods, but up-regulated at high concentrations for longer periods. This was thought to be related to induction of superoxide radicals by Dechlorane Plus. In addition p53 expression decreased significantly after 28 days exposure to 7</w:t>
      </w:r>
      <w:r w:rsidR="002D4EB9" w:rsidRPr="000C7CFA">
        <w:rPr>
          <w:rFonts w:ascii="Verdana" w:hAnsi="Verdana"/>
          <w:sz w:val="18"/>
          <w:szCs w:val="18"/>
        </w:rPr>
        <w:t> </w:t>
      </w:r>
      <w:r w:rsidRPr="000C7CFA">
        <w:rPr>
          <w:rFonts w:ascii="Verdana" w:hAnsi="Verdana"/>
          <w:sz w:val="18"/>
          <w:szCs w:val="18"/>
        </w:rPr>
        <w:t xml:space="preserve">500 mg/kg bw/day. </w:t>
      </w:r>
    </w:p>
    <w:p w14:paraId="5D8D22DD" w14:textId="77777777" w:rsidR="00302E75" w:rsidRPr="000C7CFA" w:rsidRDefault="00302E75" w:rsidP="00DC3658">
      <w:pPr>
        <w:pStyle w:val="BodyText"/>
        <w:numPr>
          <w:ilvl w:val="0"/>
          <w:numId w:val="9"/>
        </w:numPr>
        <w:ind w:left="709" w:right="515" w:hanging="283"/>
        <w:rPr>
          <w:rFonts w:ascii="Verdana" w:hAnsi="Verdana"/>
          <w:sz w:val="18"/>
          <w:szCs w:val="18"/>
        </w:rPr>
      </w:pPr>
      <w:r w:rsidRPr="000C7CFA">
        <w:rPr>
          <w:rFonts w:ascii="Verdana" w:hAnsi="Verdana"/>
          <w:sz w:val="18"/>
          <w:szCs w:val="18"/>
        </w:rPr>
        <w:t>The proteomic profiles of zebrafish liver and brain were also found to have significant alternations after Dechlorane Plus exposure.</w:t>
      </w:r>
    </w:p>
    <w:p w14:paraId="0B87529C" w14:textId="77777777" w:rsidR="00B546B2" w:rsidRPr="000C7CFA" w:rsidRDefault="00B546B2" w:rsidP="00B546B2">
      <w:pPr>
        <w:pStyle w:val="BodyText"/>
        <w:spacing w:after="0"/>
        <w:ind w:left="425"/>
        <w:rPr>
          <w:rFonts w:ascii="Verdana" w:hAnsi="Verdana"/>
          <w:sz w:val="18"/>
          <w:szCs w:val="18"/>
        </w:rPr>
      </w:pPr>
    </w:p>
    <w:p w14:paraId="3DF31B67" w14:textId="4DB194F2" w:rsidR="00587977" w:rsidRPr="000C7CFA" w:rsidRDefault="002B685B" w:rsidP="00DC3658">
      <w:pPr>
        <w:pStyle w:val="BodyText"/>
        <w:numPr>
          <w:ilvl w:val="0"/>
          <w:numId w:val="20"/>
        </w:numPr>
        <w:ind w:left="426" w:hanging="426"/>
        <w:rPr>
          <w:rFonts w:ascii="Verdana" w:hAnsi="Verdana"/>
          <w:sz w:val="18"/>
          <w:szCs w:val="18"/>
        </w:rPr>
      </w:pPr>
      <w:r w:rsidRPr="000C7CFA">
        <w:rPr>
          <w:rFonts w:ascii="Verdana" w:hAnsi="Verdana"/>
          <w:sz w:val="18"/>
          <w:szCs w:val="18"/>
        </w:rPr>
        <w:t xml:space="preserve">As part of a </w:t>
      </w:r>
      <w:r w:rsidR="00B23C63" w:rsidRPr="000C7CFA">
        <w:rPr>
          <w:rFonts w:ascii="Verdana" w:hAnsi="Verdana"/>
          <w:sz w:val="18"/>
          <w:szCs w:val="18"/>
        </w:rPr>
        <w:t xml:space="preserve">study of 44 flame retardants, </w:t>
      </w:r>
      <w:r w:rsidR="00B23C63" w:rsidRPr="000C7CFA">
        <w:rPr>
          <w:rFonts w:ascii="Verdana" w:hAnsi="Verdana"/>
          <w:sz w:val="18"/>
          <w:szCs w:val="18"/>
          <w:u w:val="single"/>
        </w:rPr>
        <w:t xml:space="preserve">Noyes </w:t>
      </w:r>
      <w:r w:rsidR="00B23C63" w:rsidRPr="000C7CFA">
        <w:rPr>
          <w:rFonts w:ascii="Verdana" w:hAnsi="Verdana"/>
          <w:i/>
          <w:sz w:val="18"/>
          <w:szCs w:val="18"/>
          <w:u w:val="single"/>
        </w:rPr>
        <w:t>et al</w:t>
      </w:r>
      <w:r w:rsidR="00B23C63" w:rsidRPr="000C7CFA">
        <w:rPr>
          <w:rFonts w:ascii="Verdana" w:hAnsi="Verdana"/>
          <w:sz w:val="18"/>
          <w:szCs w:val="18"/>
          <w:u w:val="single"/>
        </w:rPr>
        <w:t>. (2015)</w:t>
      </w:r>
      <w:r w:rsidR="00B23C63" w:rsidRPr="000C7CFA">
        <w:rPr>
          <w:rFonts w:ascii="Verdana" w:hAnsi="Verdana"/>
          <w:sz w:val="18"/>
          <w:szCs w:val="18"/>
        </w:rPr>
        <w:t xml:space="preserve"> exposed </w:t>
      </w:r>
      <w:r w:rsidR="00B23C63" w:rsidRPr="000C7CFA">
        <w:rPr>
          <w:rFonts w:ascii="Verdana" w:hAnsi="Verdana" w:cs="AdvOTbf7bbdaa"/>
          <w:sz w:val="18"/>
          <w:szCs w:val="18"/>
          <w:lang w:eastAsia="en-GB"/>
        </w:rPr>
        <w:t xml:space="preserve">dechorionated </w:t>
      </w:r>
      <w:r w:rsidR="00B23C63" w:rsidRPr="000C7CFA">
        <w:rPr>
          <w:rFonts w:ascii="Verdana" w:hAnsi="Verdana"/>
          <w:sz w:val="18"/>
          <w:szCs w:val="18"/>
        </w:rPr>
        <w:t>Zebrafish embryos from 6 to 120</w:t>
      </w:r>
      <w:r w:rsidR="00B23C63" w:rsidRPr="000C7CFA">
        <w:rPr>
          <w:rFonts w:ascii="Arial" w:hAnsi="Arial" w:cs="Arial"/>
          <w:sz w:val="18"/>
          <w:szCs w:val="18"/>
        </w:rPr>
        <w:t> </w:t>
      </w:r>
      <w:r w:rsidR="00B23C63" w:rsidRPr="000C7CFA">
        <w:rPr>
          <w:rFonts w:ascii="Verdana" w:hAnsi="Verdana"/>
          <w:sz w:val="18"/>
          <w:szCs w:val="18"/>
        </w:rPr>
        <w:t xml:space="preserve">hpf to five aqueous concentrations of Dechlorane Plus spanning four orders of magnitude (nominally </w:t>
      </w:r>
      <w:r w:rsidR="00B23C63" w:rsidRPr="000C7CFA">
        <w:rPr>
          <w:rFonts w:ascii="Verdana" w:hAnsi="Verdana" w:cs="AdvOTbf7bbdaa"/>
          <w:sz w:val="18"/>
          <w:szCs w:val="18"/>
          <w:lang w:eastAsia="en-GB"/>
        </w:rPr>
        <w:t>0.0</w:t>
      </w:r>
      <w:r w:rsidR="00B23C63" w:rsidRPr="000C7CFA">
        <w:rPr>
          <w:rFonts w:ascii="Verdana" w:hAnsi="Verdana"/>
          <w:sz w:val="18"/>
          <w:szCs w:val="18"/>
        </w:rPr>
        <w:t>64</w:t>
      </w:r>
      <w:r w:rsidR="00B23C63" w:rsidRPr="000C7CFA">
        <w:rPr>
          <w:rFonts w:ascii="Arial" w:hAnsi="Arial" w:cs="Arial"/>
          <w:sz w:val="18"/>
          <w:szCs w:val="18"/>
        </w:rPr>
        <w:t> </w:t>
      </w:r>
      <w:r w:rsidR="00B23C63" w:rsidRPr="000C7CFA">
        <w:rPr>
          <w:rFonts w:ascii="Verdana" w:hAnsi="Verdana"/>
          <w:sz w:val="18"/>
          <w:szCs w:val="18"/>
        </w:rPr>
        <w:t>nM to 64</w:t>
      </w:r>
      <w:r w:rsidR="00B23C63" w:rsidRPr="000C7CFA">
        <w:rPr>
          <w:rFonts w:ascii="Arial" w:hAnsi="Arial" w:cs="Arial"/>
          <w:sz w:val="18"/>
          <w:szCs w:val="18"/>
        </w:rPr>
        <w:t> </w:t>
      </w:r>
      <w:r w:rsidR="00B23C63" w:rsidRPr="000C7CFA">
        <w:rPr>
          <w:rFonts w:ascii="Verdana" w:hAnsi="Verdana" w:cs="Verdana"/>
          <w:sz w:val="18"/>
          <w:szCs w:val="18"/>
        </w:rPr>
        <w:t>µ</w:t>
      </w:r>
      <w:r w:rsidR="00B23C63" w:rsidRPr="000C7CFA">
        <w:rPr>
          <w:rFonts w:ascii="Verdana" w:hAnsi="Verdana"/>
          <w:sz w:val="18"/>
          <w:szCs w:val="18"/>
        </w:rPr>
        <w:t>M) [equivalent to 0.42 –</w:t>
      </w:r>
      <w:r w:rsidR="00B23C63" w:rsidRPr="000C7CFA">
        <w:rPr>
          <w:rFonts w:ascii="Verdana" w:hAnsi="Verdana" w:cs="AdvOTbf7bbdaa"/>
          <w:sz w:val="18"/>
          <w:szCs w:val="18"/>
          <w:lang w:eastAsia="en-GB"/>
        </w:rPr>
        <w:t xml:space="preserve"> </w:t>
      </w:r>
      <w:r w:rsidR="00B23C63" w:rsidRPr="000C7CFA">
        <w:rPr>
          <w:rFonts w:ascii="Verdana" w:hAnsi="Verdana"/>
          <w:sz w:val="18"/>
          <w:szCs w:val="18"/>
        </w:rPr>
        <w:t>42</w:t>
      </w:r>
      <w:r w:rsidR="002D4EB9" w:rsidRPr="000C7CFA">
        <w:rPr>
          <w:rFonts w:ascii="Verdana" w:hAnsi="Verdana"/>
          <w:sz w:val="18"/>
          <w:szCs w:val="18"/>
        </w:rPr>
        <w:t> </w:t>
      </w:r>
      <w:r w:rsidR="00B23C63" w:rsidRPr="000C7CFA">
        <w:rPr>
          <w:rFonts w:ascii="Verdana" w:hAnsi="Verdana"/>
          <w:sz w:val="18"/>
          <w:szCs w:val="18"/>
        </w:rPr>
        <w:t>000 µg/L], plus a control.</w:t>
      </w:r>
      <w:r w:rsidR="00B23C63" w:rsidRPr="000C7CFA">
        <w:rPr>
          <w:rFonts w:ascii="Verdana" w:hAnsi="Verdana" w:cs="AdvOTbf7bbdaa"/>
          <w:sz w:val="18"/>
          <w:szCs w:val="18"/>
          <w:lang w:eastAsia="en-GB"/>
        </w:rPr>
        <w:t xml:space="preserve"> </w:t>
      </w:r>
      <w:r w:rsidR="00B546B2" w:rsidRPr="000C7CFA">
        <w:rPr>
          <w:rFonts w:ascii="Verdana" w:hAnsi="Verdana"/>
          <w:sz w:val="18"/>
          <w:szCs w:val="18"/>
        </w:rPr>
        <w:t xml:space="preserve">This academic study is not mentioned in the registration dossier. </w:t>
      </w:r>
      <w:r w:rsidR="00B23C63" w:rsidRPr="000C7CFA">
        <w:rPr>
          <w:rFonts w:ascii="Verdana" w:hAnsi="Verdana"/>
          <w:sz w:val="18"/>
          <w:szCs w:val="18"/>
        </w:rPr>
        <w:t xml:space="preserve">The test solution preparation method is not </w:t>
      </w:r>
      <w:r w:rsidR="00B23C63" w:rsidRPr="000C7CFA">
        <w:rPr>
          <w:rFonts w:ascii="Verdana" w:hAnsi="Verdana" w:cs="AdvOTbf7bbdaa"/>
          <w:sz w:val="18"/>
          <w:szCs w:val="18"/>
          <w:lang w:eastAsia="en-GB"/>
        </w:rPr>
        <w:t>described</w:t>
      </w:r>
      <w:r w:rsidR="00B23C63" w:rsidRPr="000C7CFA">
        <w:rPr>
          <w:rFonts w:ascii="Verdana" w:hAnsi="Verdana"/>
          <w:sz w:val="18"/>
          <w:szCs w:val="18"/>
        </w:rPr>
        <w:t xml:space="preserve"> in detail but </w:t>
      </w:r>
      <w:r w:rsidR="00B23C63" w:rsidRPr="000C7CFA">
        <w:rPr>
          <w:rFonts w:ascii="Verdana" w:hAnsi="Verdana" w:cs="AdvOTbf7bbdaa"/>
          <w:sz w:val="18"/>
          <w:szCs w:val="18"/>
          <w:lang w:eastAsia="en-GB"/>
        </w:rPr>
        <w:t>DMSO was used as a co-solvent</w:t>
      </w:r>
      <w:r w:rsidR="00BC59CB" w:rsidRPr="000C7CFA">
        <w:rPr>
          <w:rFonts w:ascii="Verdana" w:hAnsi="Verdana" w:cs="AdvOTbf7bbdaa"/>
          <w:sz w:val="18"/>
          <w:szCs w:val="18"/>
          <w:lang w:eastAsia="en-GB"/>
        </w:rPr>
        <w:t xml:space="preserve"> at 0.64 %</w:t>
      </w:r>
      <w:r w:rsidR="00B23C63" w:rsidRPr="000C7CFA">
        <w:rPr>
          <w:rFonts w:ascii="Verdana" w:hAnsi="Verdana" w:cs="AdvOTbf7bbdaa"/>
          <w:sz w:val="18"/>
          <w:szCs w:val="18"/>
          <w:lang w:eastAsia="en-GB"/>
        </w:rPr>
        <w:t>. It appears that the study used static exposure.</w:t>
      </w:r>
      <w:r w:rsidR="00A37B89" w:rsidRPr="000C7CFA">
        <w:rPr>
          <w:rFonts w:ascii="Verdana" w:hAnsi="Verdana" w:cs="AdvOTbf7bbdaa"/>
          <w:sz w:val="18"/>
          <w:szCs w:val="18"/>
          <w:lang w:eastAsia="en-GB"/>
        </w:rPr>
        <w:t xml:space="preserve"> </w:t>
      </w:r>
      <w:r w:rsidR="00BC59CB" w:rsidRPr="000C7CFA">
        <w:rPr>
          <w:rFonts w:ascii="Verdana" w:hAnsi="Verdana" w:cs="AdvOTbf7bbdaa"/>
          <w:sz w:val="18"/>
          <w:szCs w:val="18"/>
          <w:lang w:eastAsia="en-GB"/>
        </w:rPr>
        <w:t xml:space="preserve">The embryos were maintained at </w:t>
      </w:r>
      <w:r w:rsidR="00BC59CB" w:rsidRPr="000C7CFA">
        <w:rPr>
          <w:rFonts w:ascii="Verdana" w:hAnsi="Verdana"/>
          <w:color w:val="2A2A2A"/>
          <w:sz w:val="18"/>
          <w:szCs w:val="18"/>
          <w:lang w:val="en"/>
        </w:rPr>
        <w:t xml:space="preserve">at 28 °C but </w:t>
      </w:r>
      <w:r w:rsidR="0076237E" w:rsidRPr="000C7CFA">
        <w:rPr>
          <w:rFonts w:ascii="Verdana" w:hAnsi="Verdana"/>
          <w:color w:val="2A2A2A"/>
          <w:sz w:val="18"/>
          <w:szCs w:val="18"/>
          <w:lang w:val="en"/>
        </w:rPr>
        <w:t>water</w:t>
      </w:r>
      <w:r w:rsidR="00BC59CB" w:rsidRPr="000C7CFA">
        <w:rPr>
          <w:rFonts w:ascii="Verdana" w:hAnsi="Verdana" w:cs="AdvOTbf7bbdaa"/>
          <w:sz w:val="18"/>
          <w:szCs w:val="18"/>
          <w:lang w:eastAsia="en-GB"/>
        </w:rPr>
        <w:t xml:space="preserve"> quality parameters were not reported in the paper. </w:t>
      </w:r>
      <w:r w:rsidR="00A37B89" w:rsidRPr="000C7CFA">
        <w:rPr>
          <w:rFonts w:ascii="Verdana" w:hAnsi="Verdana" w:cs="AdvOTbf7bbdaa"/>
          <w:sz w:val="18"/>
          <w:szCs w:val="18"/>
          <w:lang w:eastAsia="en-GB"/>
        </w:rPr>
        <w:t>Thirty-two replicates (1</w:t>
      </w:r>
      <w:r w:rsidR="00B97DF8" w:rsidRPr="000C7CFA">
        <w:rPr>
          <w:rFonts w:ascii="Verdana" w:hAnsi="Verdana" w:cs="AdvOTbf7bbdaa"/>
          <w:sz w:val="18"/>
          <w:szCs w:val="18"/>
          <w:lang w:eastAsia="en-GB"/>
        </w:rPr>
        <w:t> </w:t>
      </w:r>
      <w:r w:rsidR="00A37B89" w:rsidRPr="000C7CFA">
        <w:rPr>
          <w:rFonts w:ascii="Verdana" w:hAnsi="Verdana" w:cs="AdvOTbf7bbdaa"/>
          <w:sz w:val="18"/>
          <w:szCs w:val="18"/>
          <w:lang w:eastAsia="en-GB"/>
        </w:rPr>
        <w:t>embryo/well) were used for each concentration</w:t>
      </w:r>
      <w:r w:rsidR="00587977" w:rsidRPr="000C7CFA">
        <w:rPr>
          <w:rFonts w:ascii="Verdana" w:hAnsi="Verdana" w:cs="AdvOTbf7bbdaa"/>
          <w:sz w:val="18"/>
          <w:szCs w:val="18"/>
          <w:lang w:eastAsia="en-GB"/>
        </w:rPr>
        <w:t>.</w:t>
      </w:r>
      <w:r w:rsidR="00587977" w:rsidRPr="000C7CFA">
        <w:rPr>
          <w:rFonts w:ascii="Verdana" w:hAnsi="Verdana"/>
          <w:sz w:val="18"/>
          <w:szCs w:val="18"/>
        </w:rPr>
        <w:t xml:space="preserve"> At 24 </w:t>
      </w:r>
      <w:proofErr w:type="gramStart"/>
      <w:r w:rsidR="00587977" w:rsidRPr="000C7CFA">
        <w:rPr>
          <w:rFonts w:ascii="Verdana" w:hAnsi="Verdana"/>
          <w:sz w:val="18"/>
          <w:szCs w:val="18"/>
        </w:rPr>
        <w:t>hpf</w:t>
      </w:r>
      <w:proofErr w:type="gramEnd"/>
      <w:r w:rsidR="00587977" w:rsidRPr="000C7CFA">
        <w:rPr>
          <w:rFonts w:ascii="Verdana" w:hAnsi="Verdana"/>
          <w:sz w:val="18"/>
          <w:szCs w:val="18"/>
        </w:rPr>
        <w:t xml:space="preserve">, embryos were evaluated for survival, delays in developmental progression, notochord deformities, and altered spontaneous movements. Embryos that did not move (no body flexions, tail contractions) after 60 s were scored as having altered spontaneous movements. At 120 hpf, larvae were evaluated for survival and </w:t>
      </w:r>
      <w:r w:rsidR="0010083D" w:rsidRPr="000C7CFA">
        <w:rPr>
          <w:rFonts w:ascii="Verdana" w:hAnsi="Verdana"/>
          <w:sz w:val="18"/>
          <w:szCs w:val="18"/>
        </w:rPr>
        <w:t>seventeen</w:t>
      </w:r>
      <w:r w:rsidR="00587977" w:rsidRPr="000C7CFA">
        <w:rPr>
          <w:rFonts w:ascii="Verdana" w:hAnsi="Verdana"/>
          <w:sz w:val="18"/>
          <w:szCs w:val="18"/>
        </w:rPr>
        <w:t xml:space="preserve"> developmental malformations, including yolk sac edema and pericardial edema; body axis, trunk length, caudal fin, pectoral fin, pigmentation, and somite deformities; eye, snout, jaw, and otolith malformations; gross brain development; notochord and circulatory deformities; swim bladder presence and inflation; and touch responses (to test for normal rapid swimming and touch-escape responses). </w:t>
      </w:r>
    </w:p>
    <w:p w14:paraId="7CE3E0FD" w14:textId="715CE55F" w:rsidR="0010083D" w:rsidRPr="000C7CFA" w:rsidRDefault="00B97DF8" w:rsidP="00B546B2">
      <w:pPr>
        <w:pStyle w:val="BodyText"/>
        <w:ind w:left="426"/>
        <w:rPr>
          <w:rFonts w:ascii="Verdana" w:hAnsi="Verdana"/>
          <w:sz w:val="18"/>
          <w:szCs w:val="18"/>
        </w:rPr>
      </w:pPr>
      <w:r w:rsidRPr="000C7CFA">
        <w:rPr>
          <w:rFonts w:ascii="Verdana" w:hAnsi="Verdana"/>
          <w:sz w:val="18"/>
          <w:szCs w:val="18"/>
        </w:rPr>
        <w:t>Neurobehavioral changes were measured using two p</w:t>
      </w:r>
      <w:r w:rsidR="002F1704" w:rsidRPr="000C7CFA">
        <w:rPr>
          <w:rFonts w:ascii="Verdana" w:hAnsi="Verdana"/>
          <w:sz w:val="18"/>
          <w:szCs w:val="18"/>
        </w:rPr>
        <w:t>hotomotor response assays with embryos</w:t>
      </w:r>
      <w:r w:rsidR="0010083D" w:rsidRPr="000C7CFA">
        <w:rPr>
          <w:rFonts w:ascii="Verdana" w:hAnsi="Verdana"/>
          <w:sz w:val="18"/>
          <w:szCs w:val="18"/>
        </w:rPr>
        <w:t xml:space="preserve"> </w:t>
      </w:r>
      <w:r w:rsidR="00B546B2" w:rsidRPr="000C7CFA">
        <w:rPr>
          <w:rFonts w:ascii="Verdana" w:hAnsi="Verdana"/>
          <w:sz w:val="18"/>
          <w:szCs w:val="18"/>
        </w:rPr>
        <w:t xml:space="preserve">at </w:t>
      </w:r>
      <w:r w:rsidR="0010083D" w:rsidRPr="000C7CFA">
        <w:rPr>
          <w:rFonts w:ascii="Verdana" w:hAnsi="Verdana"/>
          <w:sz w:val="18"/>
          <w:szCs w:val="18"/>
        </w:rPr>
        <w:t xml:space="preserve">24 </w:t>
      </w:r>
      <w:proofErr w:type="gramStart"/>
      <w:r w:rsidR="0010083D" w:rsidRPr="000C7CFA">
        <w:rPr>
          <w:rFonts w:ascii="Verdana" w:hAnsi="Verdana"/>
          <w:sz w:val="18"/>
          <w:szCs w:val="18"/>
        </w:rPr>
        <w:t>hpf</w:t>
      </w:r>
      <w:proofErr w:type="gramEnd"/>
      <w:r w:rsidR="0010083D" w:rsidRPr="000C7CFA">
        <w:rPr>
          <w:rFonts w:ascii="Verdana" w:hAnsi="Verdana"/>
          <w:sz w:val="18"/>
          <w:szCs w:val="18"/>
        </w:rPr>
        <w:t xml:space="preserve"> </w:t>
      </w:r>
      <w:r w:rsidR="00B546B2" w:rsidRPr="000C7CFA">
        <w:rPr>
          <w:rFonts w:ascii="Verdana" w:hAnsi="Verdana"/>
          <w:sz w:val="18"/>
          <w:szCs w:val="18"/>
        </w:rPr>
        <w:t>(spontaneous body flexions/tail contractions) and larvae at 120 hpf (total movement)</w:t>
      </w:r>
      <w:r w:rsidR="0010083D" w:rsidRPr="000C7CFA">
        <w:rPr>
          <w:rFonts w:ascii="Verdana" w:hAnsi="Verdana"/>
          <w:sz w:val="18"/>
          <w:szCs w:val="18"/>
        </w:rPr>
        <w:t xml:space="preserve">. </w:t>
      </w:r>
      <w:r w:rsidR="00B546B2" w:rsidRPr="000C7CFA">
        <w:rPr>
          <w:rFonts w:ascii="Verdana" w:hAnsi="Verdana"/>
          <w:sz w:val="18"/>
          <w:szCs w:val="18"/>
        </w:rPr>
        <w:t>O</w:t>
      </w:r>
      <w:r w:rsidR="0010083D" w:rsidRPr="000C7CFA">
        <w:rPr>
          <w:rFonts w:ascii="Verdana" w:hAnsi="Verdana"/>
          <w:sz w:val="18"/>
          <w:szCs w:val="18"/>
        </w:rPr>
        <w:t>verall patterns of activity</w:t>
      </w:r>
      <w:r w:rsidR="00B546B2" w:rsidRPr="000C7CFA">
        <w:rPr>
          <w:rFonts w:ascii="Verdana" w:hAnsi="Verdana"/>
          <w:sz w:val="18"/>
          <w:szCs w:val="18"/>
        </w:rPr>
        <w:t xml:space="preserve"> </w:t>
      </w:r>
      <w:r w:rsidR="0010083D" w:rsidRPr="000C7CFA">
        <w:rPr>
          <w:rFonts w:ascii="Verdana" w:hAnsi="Verdana"/>
          <w:sz w:val="18"/>
          <w:szCs w:val="18"/>
        </w:rPr>
        <w:t xml:space="preserve">within each </w:t>
      </w:r>
      <w:r w:rsidR="00B546B2" w:rsidRPr="000C7CFA">
        <w:rPr>
          <w:rFonts w:ascii="Verdana" w:hAnsi="Verdana"/>
          <w:sz w:val="18"/>
          <w:szCs w:val="18"/>
        </w:rPr>
        <w:t>light</w:t>
      </w:r>
      <w:r w:rsidR="0010083D" w:rsidRPr="000C7CFA">
        <w:rPr>
          <w:rFonts w:ascii="Verdana" w:hAnsi="Verdana"/>
          <w:sz w:val="18"/>
          <w:szCs w:val="18"/>
        </w:rPr>
        <w:t xml:space="preserve"> interval were compared with </w:t>
      </w:r>
      <w:r w:rsidR="00B546B2" w:rsidRPr="000C7CFA">
        <w:rPr>
          <w:rFonts w:ascii="Verdana" w:hAnsi="Verdana"/>
          <w:sz w:val="18"/>
          <w:szCs w:val="18"/>
        </w:rPr>
        <w:t>those in vehicle controls</w:t>
      </w:r>
      <w:r w:rsidR="0010083D" w:rsidRPr="000C7CFA">
        <w:rPr>
          <w:rFonts w:ascii="Verdana" w:hAnsi="Verdana"/>
          <w:sz w:val="18"/>
          <w:szCs w:val="18"/>
        </w:rPr>
        <w:t>. Embryos that were dead or malformed,</w:t>
      </w:r>
      <w:r w:rsidR="00B546B2" w:rsidRPr="000C7CFA">
        <w:rPr>
          <w:rFonts w:ascii="Verdana" w:hAnsi="Verdana"/>
          <w:sz w:val="18"/>
          <w:szCs w:val="18"/>
        </w:rPr>
        <w:t xml:space="preserve"> </w:t>
      </w:r>
      <w:r w:rsidR="0010083D" w:rsidRPr="000C7CFA">
        <w:rPr>
          <w:rFonts w:ascii="Verdana" w:hAnsi="Verdana"/>
          <w:sz w:val="18"/>
          <w:szCs w:val="18"/>
        </w:rPr>
        <w:t>including those with altered spontaneous movements, were not</w:t>
      </w:r>
      <w:r w:rsidR="00B546B2" w:rsidRPr="000C7CFA">
        <w:rPr>
          <w:rFonts w:ascii="Verdana" w:hAnsi="Verdana"/>
          <w:sz w:val="18"/>
          <w:szCs w:val="18"/>
        </w:rPr>
        <w:t xml:space="preserve"> </w:t>
      </w:r>
      <w:r w:rsidR="0010083D" w:rsidRPr="000C7CFA">
        <w:rPr>
          <w:rFonts w:ascii="Verdana" w:hAnsi="Verdana"/>
          <w:sz w:val="18"/>
          <w:szCs w:val="18"/>
        </w:rPr>
        <w:t xml:space="preserve">included. Sample sizes </w:t>
      </w:r>
      <w:r w:rsidRPr="000C7CFA">
        <w:rPr>
          <w:rFonts w:ascii="Verdana" w:hAnsi="Verdana"/>
          <w:sz w:val="18"/>
          <w:szCs w:val="18"/>
        </w:rPr>
        <w:t xml:space="preserve">were 27 – 31 per concentration for the 24 </w:t>
      </w:r>
      <w:proofErr w:type="gramStart"/>
      <w:r w:rsidRPr="000C7CFA">
        <w:rPr>
          <w:rFonts w:ascii="Verdana" w:hAnsi="Verdana"/>
          <w:sz w:val="18"/>
          <w:szCs w:val="18"/>
        </w:rPr>
        <w:t>hpf</w:t>
      </w:r>
      <w:proofErr w:type="gramEnd"/>
      <w:r w:rsidRPr="000C7CFA">
        <w:rPr>
          <w:rFonts w:ascii="Verdana" w:hAnsi="Verdana"/>
          <w:sz w:val="18"/>
          <w:szCs w:val="18"/>
        </w:rPr>
        <w:t xml:space="preserve"> assay and 26 – 30 for the 120 hpf assay (there was no obvious dose-response relationship for mortality, with the highest test concentration achieving the highest survival rate).</w:t>
      </w:r>
    </w:p>
    <w:p w14:paraId="4D08DE57" w14:textId="5426E2FC" w:rsidR="00E7238A" w:rsidRPr="000C7CFA" w:rsidRDefault="00B97DF8" w:rsidP="008A4CD5">
      <w:pPr>
        <w:pStyle w:val="BodyText"/>
        <w:ind w:left="426"/>
        <w:rPr>
          <w:rFonts w:ascii="Verdana" w:hAnsi="Verdana"/>
          <w:sz w:val="18"/>
          <w:szCs w:val="18"/>
        </w:rPr>
      </w:pPr>
      <w:r w:rsidRPr="000C7CFA">
        <w:rPr>
          <w:rFonts w:ascii="Verdana" w:hAnsi="Verdana"/>
          <w:sz w:val="18"/>
          <w:szCs w:val="18"/>
        </w:rPr>
        <w:t>No</w:t>
      </w:r>
      <w:r w:rsidR="008A4CD5" w:rsidRPr="000C7CFA">
        <w:rPr>
          <w:rFonts w:ascii="Verdana" w:hAnsi="Verdana"/>
          <w:sz w:val="18"/>
          <w:szCs w:val="18"/>
        </w:rPr>
        <w:t xml:space="preserve"> significant</w:t>
      </w:r>
      <w:r w:rsidRPr="000C7CFA">
        <w:rPr>
          <w:rFonts w:ascii="Verdana" w:hAnsi="Verdana"/>
          <w:sz w:val="18"/>
          <w:szCs w:val="18"/>
        </w:rPr>
        <w:t xml:space="preserve"> developmental malformations were reported and there were negligible effects on survival </w:t>
      </w:r>
      <w:r w:rsidR="008A4CD5" w:rsidRPr="000C7CFA">
        <w:rPr>
          <w:rFonts w:ascii="Verdana" w:hAnsi="Verdana"/>
          <w:sz w:val="18"/>
          <w:szCs w:val="18"/>
        </w:rPr>
        <w:t>in this study</w:t>
      </w:r>
      <w:r w:rsidRPr="000C7CFA">
        <w:rPr>
          <w:rFonts w:ascii="Verdana" w:hAnsi="Verdana"/>
          <w:sz w:val="18"/>
          <w:szCs w:val="18"/>
        </w:rPr>
        <w:t>.</w:t>
      </w:r>
      <w:r w:rsidR="008E0BC4" w:rsidRPr="000C7CFA">
        <w:rPr>
          <w:rFonts w:ascii="Verdana" w:hAnsi="Verdana"/>
          <w:sz w:val="18"/>
          <w:szCs w:val="18"/>
        </w:rPr>
        <w:t xml:space="preserve"> No effects on </w:t>
      </w:r>
      <w:r w:rsidR="002B685B" w:rsidRPr="000C7CFA">
        <w:rPr>
          <w:rFonts w:ascii="Verdana" w:hAnsi="Verdana"/>
          <w:sz w:val="18"/>
          <w:szCs w:val="18"/>
        </w:rPr>
        <w:t>photomotor response were observed</w:t>
      </w:r>
      <w:r w:rsidR="008E0BC4" w:rsidRPr="000C7CFA">
        <w:rPr>
          <w:rFonts w:ascii="Verdana" w:hAnsi="Verdana"/>
          <w:sz w:val="18"/>
          <w:szCs w:val="18"/>
        </w:rPr>
        <w:t xml:space="preserve"> </w:t>
      </w:r>
      <w:r w:rsidR="008A4CD5" w:rsidRPr="000C7CFA">
        <w:rPr>
          <w:rFonts w:ascii="Verdana" w:hAnsi="Verdana"/>
          <w:sz w:val="18"/>
          <w:szCs w:val="18"/>
        </w:rPr>
        <w:t>at 24 </w:t>
      </w:r>
      <w:proofErr w:type="gramStart"/>
      <w:r w:rsidR="008E0BC4" w:rsidRPr="000C7CFA">
        <w:rPr>
          <w:rFonts w:ascii="Verdana" w:hAnsi="Verdana"/>
          <w:sz w:val="18"/>
          <w:szCs w:val="18"/>
        </w:rPr>
        <w:t>hpf</w:t>
      </w:r>
      <w:proofErr w:type="gramEnd"/>
      <w:r w:rsidR="008E0BC4" w:rsidRPr="000C7CFA">
        <w:rPr>
          <w:rFonts w:ascii="Verdana" w:hAnsi="Verdana"/>
          <w:sz w:val="18"/>
          <w:szCs w:val="18"/>
        </w:rPr>
        <w:t>.</w:t>
      </w:r>
      <w:r w:rsidR="008A4CD5" w:rsidRPr="000C7CFA">
        <w:rPr>
          <w:rFonts w:ascii="Verdana" w:hAnsi="Verdana"/>
          <w:sz w:val="18"/>
          <w:szCs w:val="18"/>
        </w:rPr>
        <w:t xml:space="preserve"> At 120 </w:t>
      </w:r>
      <w:proofErr w:type="gramStart"/>
      <w:r w:rsidR="008A4CD5" w:rsidRPr="000C7CFA">
        <w:rPr>
          <w:rFonts w:ascii="Verdana" w:hAnsi="Verdana"/>
          <w:sz w:val="18"/>
          <w:szCs w:val="18"/>
        </w:rPr>
        <w:t>hpf</w:t>
      </w:r>
      <w:proofErr w:type="gramEnd"/>
      <w:r w:rsidR="008A4CD5" w:rsidRPr="000C7CFA">
        <w:rPr>
          <w:rFonts w:ascii="Verdana" w:hAnsi="Verdana"/>
          <w:sz w:val="18"/>
          <w:szCs w:val="18"/>
        </w:rPr>
        <w:t xml:space="preserve">, a significant hyperactive response was measured in the dark startle phase compared with controls at the highest </w:t>
      </w:r>
      <w:r w:rsidR="00F931D7" w:rsidRPr="000C7CFA">
        <w:rPr>
          <w:rFonts w:ascii="Verdana" w:hAnsi="Verdana"/>
          <w:sz w:val="18"/>
          <w:szCs w:val="18"/>
        </w:rPr>
        <w:t xml:space="preserve">Dechlorane Plus test </w:t>
      </w:r>
      <w:r w:rsidR="008A4CD5" w:rsidRPr="000C7CFA">
        <w:rPr>
          <w:rFonts w:ascii="Verdana" w:hAnsi="Verdana"/>
          <w:sz w:val="18"/>
          <w:szCs w:val="18"/>
        </w:rPr>
        <w:t>concentration</w:t>
      </w:r>
      <w:r w:rsidR="00F931D7" w:rsidRPr="000C7CFA">
        <w:rPr>
          <w:rFonts w:ascii="Verdana" w:hAnsi="Verdana"/>
          <w:sz w:val="18"/>
          <w:szCs w:val="18"/>
        </w:rPr>
        <w:t xml:space="preserve"> (which was several orders of magnitude higher than the solubility limit in pure water)</w:t>
      </w:r>
      <w:r w:rsidR="008A4CD5" w:rsidRPr="000C7CFA">
        <w:rPr>
          <w:rFonts w:ascii="Verdana" w:hAnsi="Verdana"/>
          <w:sz w:val="18"/>
          <w:szCs w:val="18"/>
        </w:rPr>
        <w:t xml:space="preserve">. The </w:t>
      </w:r>
      <w:r w:rsidR="00F931D7" w:rsidRPr="000C7CFA">
        <w:rPr>
          <w:rFonts w:ascii="Verdana" w:hAnsi="Verdana"/>
          <w:sz w:val="18"/>
          <w:szCs w:val="18"/>
        </w:rPr>
        <w:t xml:space="preserve">level of </w:t>
      </w:r>
      <w:r w:rsidR="008A4CD5" w:rsidRPr="000C7CFA">
        <w:rPr>
          <w:rFonts w:ascii="Verdana" w:hAnsi="Verdana"/>
          <w:sz w:val="18"/>
          <w:szCs w:val="18"/>
        </w:rPr>
        <w:t>response was much lower than phosphate ester and chlorinated phosphate ester flame retardants in the same test system.</w:t>
      </w:r>
    </w:p>
    <w:p w14:paraId="01062A57" w14:textId="77777777" w:rsidR="0010083D" w:rsidRPr="000C7CFA" w:rsidRDefault="0010083D" w:rsidP="00B546B2">
      <w:pPr>
        <w:autoSpaceDE w:val="0"/>
        <w:autoSpaceDN w:val="0"/>
        <w:adjustRightInd w:val="0"/>
        <w:spacing w:after="0"/>
        <w:rPr>
          <w:rFonts w:ascii="Verdana" w:hAnsi="Verdana"/>
          <w:sz w:val="18"/>
          <w:szCs w:val="18"/>
        </w:rPr>
      </w:pPr>
    </w:p>
    <w:p w14:paraId="768A19FB" w14:textId="6AA12CA4" w:rsidR="0067319D" w:rsidRPr="000C7CFA" w:rsidRDefault="00D011F1" w:rsidP="00DC3658">
      <w:pPr>
        <w:pStyle w:val="BodyText"/>
        <w:numPr>
          <w:ilvl w:val="0"/>
          <w:numId w:val="20"/>
        </w:numPr>
        <w:ind w:left="426" w:hanging="426"/>
        <w:rPr>
          <w:rFonts w:ascii="Verdana" w:hAnsi="Verdana"/>
          <w:sz w:val="18"/>
          <w:szCs w:val="18"/>
        </w:rPr>
      </w:pPr>
      <w:r w:rsidRPr="000C7CFA">
        <w:rPr>
          <w:rFonts w:ascii="Verdana" w:eastAsiaTheme="minorHAnsi" w:hAnsi="Verdana"/>
          <w:sz w:val="18"/>
          <w:szCs w:val="18"/>
          <w:u w:val="single"/>
        </w:rPr>
        <w:t xml:space="preserve">Kang </w:t>
      </w:r>
      <w:r w:rsidRPr="000C7CFA">
        <w:rPr>
          <w:rFonts w:ascii="Verdana" w:eastAsiaTheme="minorHAnsi" w:hAnsi="Verdana"/>
          <w:i/>
          <w:sz w:val="18"/>
          <w:szCs w:val="18"/>
          <w:u w:val="single"/>
        </w:rPr>
        <w:t>et al</w:t>
      </w:r>
      <w:r w:rsidRPr="000C7CFA">
        <w:rPr>
          <w:rFonts w:ascii="Verdana" w:eastAsiaTheme="minorHAnsi" w:hAnsi="Verdana"/>
          <w:sz w:val="18"/>
          <w:szCs w:val="18"/>
          <w:u w:val="single"/>
        </w:rPr>
        <w:t>. (2016)</w:t>
      </w:r>
      <w:r w:rsidR="007621C9" w:rsidRPr="000C7CFA">
        <w:rPr>
          <w:rFonts w:ascii="Verdana" w:eastAsiaTheme="minorHAnsi" w:hAnsi="Verdana"/>
          <w:sz w:val="18"/>
          <w:szCs w:val="18"/>
        </w:rPr>
        <w:t xml:space="preserve"> </w:t>
      </w:r>
      <w:r w:rsidR="00EC709E" w:rsidRPr="000C7CFA">
        <w:rPr>
          <w:rFonts w:ascii="Verdana" w:hAnsi="Verdana"/>
          <w:sz w:val="18"/>
          <w:szCs w:val="18"/>
        </w:rPr>
        <w:t xml:space="preserve">exposed adult male Zebrafish to Dechlorane Plus dissolved in corn oil at concentrations of 0, 0.02, 0.07 or 0.20 µg/µL [g/L] over 6 days. </w:t>
      </w:r>
      <w:r w:rsidR="00EC709E" w:rsidRPr="000C7CFA">
        <w:rPr>
          <w:rFonts w:ascii="Verdana" w:eastAsiaTheme="minorHAnsi" w:hAnsi="Verdana"/>
          <w:sz w:val="18"/>
          <w:szCs w:val="18"/>
        </w:rPr>
        <w:t xml:space="preserve">This academic </w:t>
      </w:r>
      <w:r w:rsidR="00EC709E" w:rsidRPr="000C7CFA">
        <w:rPr>
          <w:rFonts w:ascii="Verdana" w:eastAsiaTheme="minorHAnsi" w:hAnsi="Verdana"/>
          <w:sz w:val="18"/>
          <w:szCs w:val="18"/>
        </w:rPr>
        <w:lastRenderedPageBreak/>
        <w:t xml:space="preserve">study is not included in the registration dossier. </w:t>
      </w:r>
      <w:r w:rsidR="00AE36B7" w:rsidRPr="000C7CFA">
        <w:rPr>
          <w:rFonts w:ascii="Verdana" w:eastAsiaTheme="minorHAnsi" w:hAnsi="Verdana"/>
          <w:sz w:val="18"/>
          <w:szCs w:val="18"/>
        </w:rPr>
        <w:t>The actual number of fish and replication per treatment is not reported</w:t>
      </w:r>
      <w:r w:rsidR="00BB5EF8" w:rsidRPr="000C7CFA">
        <w:rPr>
          <w:rFonts w:ascii="Verdana" w:eastAsiaTheme="minorHAnsi" w:hAnsi="Verdana"/>
          <w:sz w:val="18"/>
          <w:szCs w:val="18"/>
        </w:rPr>
        <w:t xml:space="preserve"> so its reliability is unknown</w:t>
      </w:r>
      <w:r w:rsidR="00AE36B7" w:rsidRPr="000C7CFA">
        <w:rPr>
          <w:rFonts w:ascii="Verdana" w:eastAsiaTheme="minorHAnsi" w:hAnsi="Verdana"/>
          <w:sz w:val="18"/>
          <w:szCs w:val="18"/>
        </w:rPr>
        <w:t xml:space="preserve">. </w:t>
      </w:r>
      <w:r w:rsidR="00EC709E" w:rsidRPr="000C7CFA">
        <w:rPr>
          <w:rFonts w:ascii="Verdana" w:hAnsi="Verdana"/>
          <w:sz w:val="18"/>
          <w:szCs w:val="18"/>
        </w:rPr>
        <w:t>Delivery was via gavage feeding with a syringe and catheter on two occasions (on day 0 and 2), using cold water (10-15 °C) to reduce fish activity beforehand</w:t>
      </w:r>
      <w:r w:rsidR="00E665BE" w:rsidRPr="000C7CFA">
        <w:rPr>
          <w:rFonts w:ascii="Verdana" w:hAnsi="Verdana"/>
          <w:sz w:val="18"/>
          <w:szCs w:val="18"/>
        </w:rPr>
        <w:t xml:space="preserve"> and placing the fish in a groove within a sponge to keep it still</w:t>
      </w:r>
      <w:r w:rsidR="00EC709E" w:rsidRPr="000C7CFA">
        <w:rPr>
          <w:rFonts w:ascii="Verdana" w:hAnsi="Verdana"/>
          <w:sz w:val="18"/>
          <w:szCs w:val="18"/>
        </w:rPr>
        <w:t xml:space="preserve">. </w:t>
      </w:r>
      <w:r w:rsidR="00FE5782" w:rsidRPr="000C7CFA">
        <w:rPr>
          <w:rFonts w:ascii="Verdana" w:hAnsi="Verdana"/>
          <w:sz w:val="18"/>
          <w:szCs w:val="18"/>
        </w:rPr>
        <w:t>Nominal f</w:t>
      </w:r>
      <w:r w:rsidR="00EC709E" w:rsidRPr="000C7CFA">
        <w:rPr>
          <w:rFonts w:ascii="Verdana" w:hAnsi="Verdana"/>
          <w:sz w:val="18"/>
          <w:szCs w:val="18"/>
        </w:rPr>
        <w:t>ish doses corresponded to 0, 0.3, 1 or 3 µg/g [mg/kg] ww. I</w:t>
      </w:r>
      <w:r w:rsidR="00BB377E" w:rsidRPr="000C7CFA">
        <w:rPr>
          <w:rFonts w:ascii="Verdana" w:hAnsi="Verdana"/>
          <w:sz w:val="18"/>
          <w:szCs w:val="18"/>
        </w:rPr>
        <w:t>f</w:t>
      </w:r>
      <w:r w:rsidR="00EC709E" w:rsidRPr="000C7CFA">
        <w:rPr>
          <w:rFonts w:ascii="Verdana" w:hAnsi="Verdana"/>
          <w:sz w:val="18"/>
          <w:szCs w:val="18"/>
        </w:rPr>
        <w:t xml:space="preserve"> corn oil leaked from the mouth or gill, the gavage feeding was repeated. While there is a possibility of overdosing for these fish, effects on the experimental results were considered minimal as the proportion was</w:t>
      </w:r>
      <w:r w:rsidR="00BB377E" w:rsidRPr="000C7CFA">
        <w:rPr>
          <w:rFonts w:ascii="Verdana" w:hAnsi="Verdana"/>
          <w:sz w:val="18"/>
          <w:szCs w:val="18"/>
        </w:rPr>
        <w:t xml:space="preserve"> low (9</w:t>
      </w:r>
      <w:r w:rsidR="00EC709E" w:rsidRPr="000C7CFA">
        <w:rPr>
          <w:rFonts w:ascii="Verdana" w:hAnsi="Verdana"/>
          <w:sz w:val="18"/>
          <w:szCs w:val="18"/>
        </w:rPr>
        <w:t xml:space="preserve"> %</w:t>
      </w:r>
      <w:r w:rsidR="00BB377E" w:rsidRPr="000C7CFA">
        <w:rPr>
          <w:rFonts w:ascii="Verdana" w:hAnsi="Verdana"/>
          <w:sz w:val="18"/>
          <w:szCs w:val="18"/>
        </w:rPr>
        <w:t>)</w:t>
      </w:r>
      <w:r w:rsidR="00EC709E" w:rsidRPr="000C7CFA">
        <w:rPr>
          <w:rFonts w:ascii="Verdana" w:hAnsi="Verdana"/>
          <w:sz w:val="18"/>
          <w:szCs w:val="18"/>
        </w:rPr>
        <w:t xml:space="preserve">. After dosing, the fish were placed in 10 L of dechlorinated tap water and fed with </w:t>
      </w:r>
      <w:r w:rsidR="00EC709E" w:rsidRPr="000C7CFA">
        <w:rPr>
          <w:rFonts w:ascii="Verdana" w:hAnsi="Verdana"/>
          <w:i/>
          <w:sz w:val="18"/>
          <w:szCs w:val="18"/>
        </w:rPr>
        <w:t>Artemia</w:t>
      </w:r>
      <w:r w:rsidR="00EC709E" w:rsidRPr="000C7CFA">
        <w:rPr>
          <w:rFonts w:ascii="Verdana" w:hAnsi="Verdana"/>
          <w:sz w:val="18"/>
          <w:szCs w:val="18"/>
        </w:rPr>
        <w:t xml:space="preserve"> nauplii twice a day and kept at 26 °C under a 15:9 h light</w:t>
      </w:r>
      <w:proofErr w:type="gramStart"/>
      <w:r w:rsidR="00EC709E" w:rsidRPr="000C7CFA">
        <w:rPr>
          <w:rFonts w:ascii="Verdana" w:hAnsi="Verdana"/>
          <w:sz w:val="18"/>
          <w:szCs w:val="18"/>
        </w:rPr>
        <w:t>:dark</w:t>
      </w:r>
      <w:proofErr w:type="gramEnd"/>
      <w:r w:rsidR="00EC709E" w:rsidRPr="000C7CFA">
        <w:rPr>
          <w:rFonts w:ascii="Verdana" w:hAnsi="Verdana"/>
          <w:sz w:val="18"/>
          <w:szCs w:val="18"/>
        </w:rPr>
        <w:t xml:space="preserve"> photoperiod. Water was renewed every other day</w:t>
      </w:r>
      <w:r w:rsidR="009319A1" w:rsidRPr="000C7CFA">
        <w:rPr>
          <w:rFonts w:ascii="Verdana" w:hAnsi="Verdana"/>
          <w:sz w:val="18"/>
          <w:szCs w:val="18"/>
        </w:rPr>
        <w:t>.</w:t>
      </w:r>
      <w:r w:rsidR="00EC709E" w:rsidRPr="000C7CFA">
        <w:rPr>
          <w:rFonts w:ascii="Verdana" w:hAnsi="Verdana"/>
          <w:sz w:val="18"/>
          <w:szCs w:val="18"/>
        </w:rPr>
        <w:t xml:space="preserve"> </w:t>
      </w:r>
      <w:r w:rsidR="00DF3FB0" w:rsidRPr="000C7CFA">
        <w:rPr>
          <w:rFonts w:ascii="Verdana" w:hAnsi="Verdana"/>
          <w:sz w:val="18"/>
          <w:szCs w:val="18"/>
        </w:rPr>
        <w:t xml:space="preserve">On day 6, </w:t>
      </w:r>
      <w:r w:rsidR="007C0AF7" w:rsidRPr="000C7CFA">
        <w:rPr>
          <w:rFonts w:ascii="Verdana" w:hAnsi="Verdana"/>
          <w:sz w:val="18"/>
          <w:szCs w:val="18"/>
        </w:rPr>
        <w:t xml:space="preserve">brain </w:t>
      </w:r>
      <w:r w:rsidR="00DF3FB0" w:rsidRPr="000C7CFA">
        <w:rPr>
          <w:rFonts w:ascii="Verdana" w:hAnsi="Verdana"/>
          <w:sz w:val="18"/>
          <w:szCs w:val="18"/>
        </w:rPr>
        <w:t xml:space="preserve">and </w:t>
      </w:r>
      <w:r w:rsidR="007C0AF7" w:rsidRPr="000C7CFA">
        <w:rPr>
          <w:rFonts w:ascii="Verdana" w:hAnsi="Verdana"/>
          <w:sz w:val="18"/>
          <w:szCs w:val="18"/>
        </w:rPr>
        <w:t xml:space="preserve">testis </w:t>
      </w:r>
      <w:r w:rsidR="00DF3FB0" w:rsidRPr="000C7CFA">
        <w:rPr>
          <w:rFonts w:ascii="Verdana" w:hAnsi="Verdana"/>
          <w:sz w:val="18"/>
          <w:szCs w:val="18"/>
        </w:rPr>
        <w:t>were collected and evaluated for thyroid</w:t>
      </w:r>
      <w:r w:rsidR="004D496D" w:rsidRPr="000C7CFA">
        <w:rPr>
          <w:rFonts w:ascii="Verdana" w:hAnsi="Verdana"/>
          <w:sz w:val="18"/>
          <w:szCs w:val="18"/>
        </w:rPr>
        <w:t>-</w:t>
      </w:r>
      <w:r w:rsidR="00DF3FB0" w:rsidRPr="000C7CFA">
        <w:rPr>
          <w:rFonts w:ascii="Verdana" w:hAnsi="Verdana"/>
          <w:sz w:val="18"/>
          <w:szCs w:val="18"/>
        </w:rPr>
        <w:t xml:space="preserve"> and sex hormone</w:t>
      </w:r>
      <w:r w:rsidR="004D496D" w:rsidRPr="000C7CFA">
        <w:rPr>
          <w:rFonts w:ascii="Verdana" w:hAnsi="Verdana"/>
          <w:sz w:val="18"/>
          <w:szCs w:val="18"/>
        </w:rPr>
        <w:t>-</w:t>
      </w:r>
      <w:r w:rsidR="00DF3FB0" w:rsidRPr="000C7CFA">
        <w:rPr>
          <w:rFonts w:ascii="Verdana" w:hAnsi="Verdana"/>
          <w:sz w:val="18"/>
          <w:szCs w:val="18"/>
        </w:rPr>
        <w:t>related gene expression</w:t>
      </w:r>
      <w:r w:rsidR="004D496D" w:rsidRPr="000C7CFA">
        <w:rPr>
          <w:rFonts w:ascii="Verdana" w:hAnsi="Verdana"/>
          <w:sz w:val="18"/>
          <w:szCs w:val="18"/>
        </w:rPr>
        <w:t xml:space="preserve"> (one fish per</w:t>
      </w:r>
      <w:r w:rsidR="00AE36B7" w:rsidRPr="000C7CFA">
        <w:rPr>
          <w:rFonts w:ascii="Verdana" w:hAnsi="Verdana"/>
          <w:sz w:val="18"/>
          <w:szCs w:val="18"/>
        </w:rPr>
        <w:t xml:space="preserve"> replicate, five replicates per</w:t>
      </w:r>
      <w:r w:rsidR="004D496D" w:rsidRPr="000C7CFA">
        <w:rPr>
          <w:rFonts w:ascii="Verdana" w:hAnsi="Verdana"/>
          <w:sz w:val="18"/>
          <w:szCs w:val="18"/>
        </w:rPr>
        <w:t xml:space="preserve"> treatment)</w:t>
      </w:r>
      <w:r w:rsidR="00DF3FB0" w:rsidRPr="000C7CFA">
        <w:rPr>
          <w:rFonts w:ascii="Verdana" w:hAnsi="Verdana"/>
          <w:sz w:val="18"/>
          <w:szCs w:val="18"/>
        </w:rPr>
        <w:t>,</w:t>
      </w:r>
      <w:r w:rsidR="00AE36B7" w:rsidRPr="000C7CFA">
        <w:rPr>
          <w:rFonts w:ascii="Verdana" w:hAnsi="Verdana"/>
          <w:sz w:val="18"/>
          <w:szCs w:val="18"/>
        </w:rPr>
        <w:t xml:space="preserve"> and</w:t>
      </w:r>
      <w:r w:rsidR="00DF3FB0" w:rsidRPr="000C7CFA">
        <w:rPr>
          <w:rFonts w:ascii="Verdana" w:hAnsi="Verdana"/>
          <w:sz w:val="18"/>
          <w:szCs w:val="18"/>
        </w:rPr>
        <w:t xml:space="preserve"> thyroxine (T4) levels</w:t>
      </w:r>
      <w:r w:rsidR="00FE5782" w:rsidRPr="000C7CFA">
        <w:rPr>
          <w:rFonts w:ascii="Verdana" w:hAnsi="Verdana"/>
          <w:sz w:val="18"/>
          <w:szCs w:val="18"/>
        </w:rPr>
        <w:t xml:space="preserve"> were measured in blood</w:t>
      </w:r>
      <w:r w:rsidR="00BB377E" w:rsidRPr="000C7CFA">
        <w:rPr>
          <w:rFonts w:ascii="Verdana" w:hAnsi="Verdana"/>
          <w:sz w:val="18"/>
          <w:szCs w:val="18"/>
        </w:rPr>
        <w:t xml:space="preserve"> (3-4 fish per </w:t>
      </w:r>
      <w:r w:rsidR="00AE36B7" w:rsidRPr="000C7CFA">
        <w:rPr>
          <w:rFonts w:ascii="Verdana" w:hAnsi="Verdana"/>
          <w:sz w:val="18"/>
          <w:szCs w:val="18"/>
        </w:rPr>
        <w:t xml:space="preserve">replicate, three replicates per </w:t>
      </w:r>
      <w:r w:rsidR="00BB377E" w:rsidRPr="000C7CFA">
        <w:rPr>
          <w:rFonts w:ascii="Verdana" w:hAnsi="Verdana"/>
          <w:sz w:val="18"/>
          <w:szCs w:val="18"/>
        </w:rPr>
        <w:t>treatment)</w:t>
      </w:r>
      <w:r w:rsidR="00AE36B7" w:rsidRPr="000C7CFA">
        <w:rPr>
          <w:rFonts w:ascii="Verdana" w:hAnsi="Verdana"/>
          <w:sz w:val="18"/>
          <w:szCs w:val="18"/>
        </w:rPr>
        <w:t>. L</w:t>
      </w:r>
      <w:r w:rsidR="00FE5782" w:rsidRPr="000C7CFA">
        <w:rPr>
          <w:rFonts w:ascii="Verdana" w:hAnsi="Verdana"/>
          <w:sz w:val="18"/>
          <w:szCs w:val="18"/>
        </w:rPr>
        <w:t xml:space="preserve">iver </w:t>
      </w:r>
      <w:r w:rsidR="00DF3FB0" w:rsidRPr="000C7CFA">
        <w:rPr>
          <w:rFonts w:ascii="Verdana" w:hAnsi="Verdana"/>
          <w:sz w:val="18"/>
          <w:szCs w:val="18"/>
        </w:rPr>
        <w:t>antioxidant enzyme activit</w:t>
      </w:r>
      <w:r w:rsidR="004D496D" w:rsidRPr="000C7CFA">
        <w:rPr>
          <w:rFonts w:ascii="Verdana" w:hAnsi="Verdana"/>
          <w:sz w:val="18"/>
          <w:szCs w:val="18"/>
        </w:rPr>
        <w:t>ies</w:t>
      </w:r>
      <w:r w:rsidR="00DF3FB0" w:rsidRPr="000C7CFA">
        <w:rPr>
          <w:rFonts w:ascii="Verdana" w:hAnsi="Verdana"/>
          <w:sz w:val="18"/>
          <w:szCs w:val="18"/>
        </w:rPr>
        <w:t xml:space="preserve"> </w:t>
      </w:r>
      <w:r w:rsidR="004D496D" w:rsidRPr="000C7CFA">
        <w:rPr>
          <w:rFonts w:ascii="Verdana" w:hAnsi="Verdana"/>
          <w:sz w:val="18"/>
          <w:szCs w:val="18"/>
        </w:rPr>
        <w:t>(SOD (indirectly) and catalase) were</w:t>
      </w:r>
      <w:r w:rsidR="00DF3FB0" w:rsidRPr="000C7CFA">
        <w:rPr>
          <w:rFonts w:ascii="Verdana" w:hAnsi="Verdana"/>
          <w:sz w:val="18"/>
          <w:szCs w:val="18"/>
        </w:rPr>
        <w:t xml:space="preserve"> </w:t>
      </w:r>
      <w:r w:rsidR="00AE36B7" w:rsidRPr="000C7CFA">
        <w:rPr>
          <w:rFonts w:ascii="Verdana" w:hAnsi="Verdana"/>
          <w:sz w:val="18"/>
          <w:szCs w:val="18"/>
        </w:rPr>
        <w:t xml:space="preserve">also </w:t>
      </w:r>
      <w:r w:rsidR="00DF3FB0" w:rsidRPr="000C7CFA">
        <w:rPr>
          <w:rFonts w:ascii="Verdana" w:hAnsi="Verdana"/>
          <w:sz w:val="18"/>
          <w:szCs w:val="18"/>
        </w:rPr>
        <w:t>measured to assess oxidative stress.</w:t>
      </w:r>
    </w:p>
    <w:p w14:paraId="140634D7" w14:textId="333C14B9" w:rsidR="00AE36B7" w:rsidRPr="000C7CFA" w:rsidRDefault="00FE5782" w:rsidP="00B34767">
      <w:pPr>
        <w:pStyle w:val="BodyText"/>
        <w:ind w:left="426"/>
        <w:rPr>
          <w:rFonts w:ascii="Verdana" w:hAnsi="Verdana"/>
          <w:sz w:val="18"/>
          <w:szCs w:val="18"/>
        </w:rPr>
      </w:pPr>
      <w:r w:rsidRPr="000C7CFA">
        <w:rPr>
          <w:rFonts w:ascii="Verdana" w:hAnsi="Verdana"/>
          <w:sz w:val="18"/>
          <w:szCs w:val="18"/>
        </w:rPr>
        <w:t xml:space="preserve">Approximately </w:t>
      </w:r>
      <w:r w:rsidR="00A42CC4" w:rsidRPr="000C7CFA">
        <w:rPr>
          <w:rFonts w:ascii="Verdana" w:hAnsi="Verdana"/>
          <w:sz w:val="18"/>
          <w:szCs w:val="18"/>
        </w:rPr>
        <w:t>5</w:t>
      </w:r>
      <w:r w:rsidRPr="000C7CFA">
        <w:rPr>
          <w:rFonts w:ascii="Verdana" w:hAnsi="Verdana"/>
          <w:sz w:val="18"/>
          <w:szCs w:val="18"/>
        </w:rPr>
        <w:t xml:space="preserve"> % of the fish died</w:t>
      </w:r>
      <w:r w:rsidR="00AE36B7" w:rsidRPr="000C7CFA">
        <w:rPr>
          <w:rFonts w:ascii="Verdana" w:hAnsi="Verdana"/>
          <w:sz w:val="18"/>
          <w:szCs w:val="18"/>
        </w:rPr>
        <w:t xml:space="preserve">, </w:t>
      </w:r>
      <w:r w:rsidR="00F00F6A" w:rsidRPr="000C7CFA">
        <w:rPr>
          <w:rFonts w:ascii="Verdana" w:hAnsi="Verdana"/>
          <w:sz w:val="18"/>
          <w:szCs w:val="18"/>
        </w:rPr>
        <w:t>which</w:t>
      </w:r>
      <w:r w:rsidR="00AE36B7" w:rsidRPr="000C7CFA">
        <w:rPr>
          <w:rFonts w:ascii="Verdana" w:hAnsi="Verdana"/>
          <w:sz w:val="18"/>
          <w:szCs w:val="18"/>
        </w:rPr>
        <w:t xml:space="preserve"> was </w:t>
      </w:r>
      <w:r w:rsidRPr="000C7CFA">
        <w:rPr>
          <w:rFonts w:ascii="Verdana" w:hAnsi="Verdana"/>
          <w:sz w:val="18"/>
          <w:szCs w:val="18"/>
        </w:rPr>
        <w:t xml:space="preserve">considered to be a consequence of unsuccessful dosing. </w:t>
      </w:r>
      <w:r w:rsidR="00AE36B7" w:rsidRPr="000C7CFA">
        <w:rPr>
          <w:rFonts w:ascii="Verdana" w:hAnsi="Verdana" w:cs="AdvOT863180fb"/>
          <w:sz w:val="18"/>
          <w:szCs w:val="18"/>
          <w:lang w:eastAsia="en-GB"/>
        </w:rPr>
        <w:t>The outcome of water quality parameter</w:t>
      </w:r>
      <w:r w:rsidR="00422776" w:rsidRPr="000C7CFA">
        <w:rPr>
          <w:rFonts w:ascii="Verdana" w:hAnsi="Verdana" w:cs="AdvOT863180fb"/>
          <w:sz w:val="18"/>
          <w:szCs w:val="18"/>
          <w:lang w:eastAsia="en-GB"/>
        </w:rPr>
        <w:t xml:space="preserve"> </w:t>
      </w:r>
      <w:r w:rsidR="00AE36B7" w:rsidRPr="000C7CFA">
        <w:rPr>
          <w:rFonts w:ascii="Verdana" w:hAnsi="Verdana" w:cs="AdvOT863180fb"/>
          <w:sz w:val="18"/>
          <w:szCs w:val="18"/>
          <w:lang w:eastAsia="en-GB"/>
        </w:rPr>
        <w:t xml:space="preserve">monitoring </w:t>
      </w:r>
      <w:r w:rsidR="00422776" w:rsidRPr="000C7CFA">
        <w:rPr>
          <w:rFonts w:ascii="Verdana" w:hAnsi="Verdana" w:cs="AdvOT863180fb"/>
          <w:sz w:val="18"/>
          <w:szCs w:val="18"/>
          <w:lang w:eastAsia="en-GB"/>
        </w:rPr>
        <w:t xml:space="preserve">(dissolved oxygen, pH, temperature and conductivity) was not reported. </w:t>
      </w:r>
      <w:r w:rsidR="00DF3FB0" w:rsidRPr="000C7CFA">
        <w:rPr>
          <w:rFonts w:ascii="Verdana" w:hAnsi="Verdana"/>
          <w:sz w:val="18"/>
          <w:szCs w:val="18"/>
        </w:rPr>
        <w:t>Whole b</w:t>
      </w:r>
      <w:r w:rsidR="00FD64AE" w:rsidRPr="000C7CFA">
        <w:rPr>
          <w:rFonts w:ascii="Verdana" w:hAnsi="Verdana"/>
          <w:sz w:val="18"/>
          <w:szCs w:val="18"/>
        </w:rPr>
        <w:t xml:space="preserve">ody </w:t>
      </w:r>
      <w:r w:rsidR="00DF3FB0" w:rsidRPr="000C7CFA">
        <w:rPr>
          <w:rFonts w:ascii="Verdana" w:hAnsi="Verdana"/>
          <w:sz w:val="18"/>
          <w:szCs w:val="18"/>
        </w:rPr>
        <w:t xml:space="preserve">(minus major abdominal organs) </w:t>
      </w:r>
      <w:r w:rsidR="007C0AF7" w:rsidRPr="000C7CFA">
        <w:rPr>
          <w:rFonts w:ascii="Verdana" w:hAnsi="Verdana"/>
          <w:sz w:val="18"/>
          <w:szCs w:val="18"/>
        </w:rPr>
        <w:t xml:space="preserve">residue levels </w:t>
      </w:r>
      <w:r w:rsidR="00DF3FB0" w:rsidRPr="000C7CFA">
        <w:rPr>
          <w:rFonts w:ascii="Verdana" w:hAnsi="Verdana"/>
          <w:sz w:val="18"/>
          <w:szCs w:val="18"/>
        </w:rPr>
        <w:t>at the end of the study were</w:t>
      </w:r>
      <w:r w:rsidR="00FD64AE" w:rsidRPr="000C7CFA">
        <w:rPr>
          <w:rFonts w:ascii="Verdana" w:hAnsi="Verdana"/>
          <w:sz w:val="18"/>
          <w:szCs w:val="18"/>
        </w:rPr>
        <w:t xml:space="preserve"> </w:t>
      </w:r>
      <w:r w:rsidR="00B34767" w:rsidRPr="000C7CFA">
        <w:rPr>
          <w:rFonts w:ascii="Verdana" w:hAnsi="Verdana"/>
          <w:sz w:val="18"/>
          <w:szCs w:val="18"/>
        </w:rPr>
        <w:t>4.97 ± 0.06 (clean control), 30.0 ± 0</w:t>
      </w:r>
      <w:r w:rsidR="00A14CBF" w:rsidRPr="000C7CFA">
        <w:rPr>
          <w:rFonts w:ascii="Verdana" w:hAnsi="Verdana"/>
          <w:sz w:val="18"/>
          <w:szCs w:val="18"/>
        </w:rPr>
        <w:t>.40, 44.4 ± 0.46 and 420 ± 13.3 </w:t>
      </w:r>
      <w:r w:rsidR="00B34767" w:rsidRPr="000C7CFA">
        <w:rPr>
          <w:rFonts w:ascii="Verdana" w:hAnsi="Verdana"/>
          <w:sz w:val="18"/>
          <w:szCs w:val="18"/>
        </w:rPr>
        <w:t xml:space="preserve">ng/g [µg/kg] ww </w:t>
      </w:r>
      <w:r w:rsidR="00BB377E" w:rsidRPr="000C7CFA">
        <w:rPr>
          <w:rFonts w:ascii="Verdana" w:hAnsi="Verdana"/>
          <w:sz w:val="18"/>
          <w:szCs w:val="18"/>
        </w:rPr>
        <w:t>(based on pools of several fish)</w:t>
      </w:r>
      <w:r w:rsidR="00A42CC4" w:rsidRPr="000C7CFA">
        <w:rPr>
          <w:rFonts w:ascii="Verdana" w:hAnsi="Verdana"/>
          <w:sz w:val="18"/>
          <w:szCs w:val="18"/>
        </w:rPr>
        <w:t>, demonstrating that the fish had taken up the substance even though they had only been given two gavage doses over a 6-d period</w:t>
      </w:r>
      <w:r w:rsidR="00FD64AE" w:rsidRPr="000C7CFA">
        <w:rPr>
          <w:rFonts w:ascii="Verdana" w:hAnsi="Verdana"/>
          <w:sz w:val="18"/>
          <w:szCs w:val="18"/>
        </w:rPr>
        <w:t xml:space="preserve">. </w:t>
      </w:r>
    </w:p>
    <w:p w14:paraId="41D11FAF" w14:textId="445BE991" w:rsidR="00AE36B7" w:rsidRPr="000C7CFA" w:rsidRDefault="00FD64AE" w:rsidP="00093979">
      <w:pPr>
        <w:pStyle w:val="BodyText"/>
        <w:ind w:left="426"/>
        <w:rPr>
          <w:rFonts w:ascii="Verdana" w:hAnsi="Verdana"/>
          <w:sz w:val="18"/>
          <w:szCs w:val="18"/>
        </w:rPr>
      </w:pPr>
      <w:r w:rsidRPr="000C7CFA">
        <w:rPr>
          <w:rFonts w:ascii="Verdana" w:hAnsi="Verdana"/>
          <w:sz w:val="18"/>
          <w:szCs w:val="18"/>
        </w:rPr>
        <w:t>Hepatic catalase activity significantly increased</w:t>
      </w:r>
      <w:r w:rsidR="00B34767" w:rsidRPr="000C7CFA">
        <w:rPr>
          <w:rFonts w:ascii="Verdana" w:hAnsi="Verdana"/>
          <w:sz w:val="18"/>
          <w:szCs w:val="18"/>
        </w:rPr>
        <w:t xml:space="preserve"> at the highest </w:t>
      </w:r>
      <w:r w:rsidR="001C1340" w:rsidRPr="000C7CFA">
        <w:rPr>
          <w:rFonts w:ascii="Verdana" w:hAnsi="Verdana"/>
          <w:sz w:val="18"/>
          <w:szCs w:val="18"/>
        </w:rPr>
        <w:t>dose</w:t>
      </w:r>
      <w:r w:rsidR="00B34767" w:rsidRPr="000C7CFA">
        <w:rPr>
          <w:rFonts w:ascii="Verdana" w:hAnsi="Verdana"/>
          <w:sz w:val="18"/>
          <w:szCs w:val="18"/>
        </w:rPr>
        <w:t>, but there was no effect on SOD</w:t>
      </w:r>
      <w:r w:rsidRPr="000C7CFA">
        <w:rPr>
          <w:rFonts w:ascii="Verdana" w:hAnsi="Verdana"/>
          <w:sz w:val="18"/>
          <w:szCs w:val="18"/>
        </w:rPr>
        <w:t xml:space="preserve">. </w:t>
      </w:r>
      <w:r w:rsidR="00AE36B7" w:rsidRPr="000C7CFA">
        <w:rPr>
          <w:rFonts w:ascii="Verdana" w:hAnsi="Verdana"/>
          <w:sz w:val="18"/>
          <w:szCs w:val="18"/>
        </w:rPr>
        <w:t>Average p</w:t>
      </w:r>
      <w:r w:rsidRPr="000C7CFA">
        <w:rPr>
          <w:rFonts w:ascii="Verdana" w:hAnsi="Verdana"/>
          <w:sz w:val="18"/>
          <w:szCs w:val="18"/>
        </w:rPr>
        <w:t>lasma T4 concentrations</w:t>
      </w:r>
      <w:r w:rsidR="00AE36B7" w:rsidRPr="000C7CFA">
        <w:rPr>
          <w:rFonts w:ascii="Verdana" w:hAnsi="Verdana"/>
          <w:sz w:val="18"/>
          <w:szCs w:val="18"/>
        </w:rPr>
        <w:t xml:space="preserve"> appeared to increase in a dose-related manner, and</w:t>
      </w:r>
      <w:r w:rsidRPr="000C7CFA">
        <w:rPr>
          <w:rFonts w:ascii="Verdana" w:hAnsi="Verdana"/>
          <w:sz w:val="18"/>
          <w:szCs w:val="18"/>
        </w:rPr>
        <w:t xml:space="preserve"> </w:t>
      </w:r>
      <w:r w:rsidR="001C1340" w:rsidRPr="000C7CFA">
        <w:rPr>
          <w:rFonts w:ascii="Verdana" w:hAnsi="Verdana"/>
          <w:sz w:val="18"/>
          <w:szCs w:val="18"/>
        </w:rPr>
        <w:t xml:space="preserve">were 31 % higher than controls at the top dose, but </w:t>
      </w:r>
      <w:r w:rsidR="00AE36B7" w:rsidRPr="000C7CFA">
        <w:rPr>
          <w:rFonts w:ascii="Verdana" w:hAnsi="Verdana"/>
          <w:sz w:val="18"/>
          <w:szCs w:val="18"/>
        </w:rPr>
        <w:t>the change</w:t>
      </w:r>
      <w:r w:rsidR="001C1340" w:rsidRPr="000C7CFA">
        <w:rPr>
          <w:rFonts w:ascii="Verdana" w:hAnsi="Verdana"/>
          <w:sz w:val="18"/>
          <w:szCs w:val="18"/>
        </w:rPr>
        <w:t xml:space="preserve"> was not statistically significant. </w:t>
      </w:r>
      <w:r w:rsidR="00093979" w:rsidRPr="000C7CFA">
        <w:rPr>
          <w:rFonts w:ascii="Verdana" w:hAnsi="Verdana"/>
          <w:sz w:val="18"/>
          <w:szCs w:val="18"/>
        </w:rPr>
        <w:t>Up-regulation of corticotropin-releasing hormone</w:t>
      </w:r>
      <w:r w:rsidR="00A42CC4" w:rsidRPr="000C7CFA">
        <w:rPr>
          <w:rFonts w:ascii="Verdana" w:hAnsi="Verdana"/>
          <w:sz w:val="18"/>
          <w:szCs w:val="18"/>
        </w:rPr>
        <w:t xml:space="preserve"> (</w:t>
      </w:r>
      <w:r w:rsidR="00A42CC4" w:rsidRPr="000C7CFA">
        <w:rPr>
          <w:rFonts w:ascii="Verdana" w:hAnsi="Verdana"/>
          <w:i/>
          <w:sz w:val="18"/>
          <w:szCs w:val="18"/>
        </w:rPr>
        <w:t>crh</w:t>
      </w:r>
      <w:r w:rsidR="00A42CC4" w:rsidRPr="000C7CFA">
        <w:rPr>
          <w:rFonts w:ascii="Verdana" w:hAnsi="Verdana"/>
          <w:sz w:val="18"/>
          <w:szCs w:val="18"/>
        </w:rPr>
        <w:t>)</w:t>
      </w:r>
      <w:r w:rsidR="00093979" w:rsidRPr="000C7CFA">
        <w:rPr>
          <w:rFonts w:ascii="Verdana" w:hAnsi="Verdana"/>
          <w:sz w:val="18"/>
          <w:szCs w:val="18"/>
        </w:rPr>
        <w:t xml:space="preserve"> and thyroid stimulating hormone </w:t>
      </w:r>
      <w:r w:rsidR="00E665BE" w:rsidRPr="000C7CFA">
        <w:rPr>
          <w:rFonts w:ascii="Verdana" w:hAnsi="Verdana"/>
          <w:i/>
          <w:sz w:val="18"/>
          <w:szCs w:val="18"/>
        </w:rPr>
        <w:t>β</w:t>
      </w:r>
      <w:r w:rsidR="00093979" w:rsidRPr="000C7CFA">
        <w:rPr>
          <w:rFonts w:ascii="Verdana" w:hAnsi="Verdana"/>
          <w:sz w:val="18"/>
          <w:szCs w:val="18"/>
        </w:rPr>
        <w:t xml:space="preserve"> </w:t>
      </w:r>
      <w:r w:rsidR="009B5BC5" w:rsidRPr="000C7CFA">
        <w:rPr>
          <w:rFonts w:ascii="Verdana" w:hAnsi="Verdana"/>
          <w:sz w:val="18"/>
          <w:szCs w:val="18"/>
        </w:rPr>
        <w:t>(</w:t>
      </w:r>
      <w:r w:rsidR="009B5BC5" w:rsidRPr="000C7CFA">
        <w:rPr>
          <w:rFonts w:ascii="Verdana" w:hAnsi="Verdana"/>
          <w:bCs/>
          <w:i/>
          <w:sz w:val="18"/>
          <w:szCs w:val="18"/>
        </w:rPr>
        <w:t>tshβ</w:t>
      </w:r>
      <w:r w:rsidR="009B5BC5" w:rsidRPr="000C7CFA">
        <w:rPr>
          <w:rFonts w:ascii="Verdana" w:hAnsi="Verdana"/>
          <w:sz w:val="18"/>
          <w:szCs w:val="18"/>
        </w:rPr>
        <w:t xml:space="preserve">) </w:t>
      </w:r>
      <w:r w:rsidR="00093979" w:rsidRPr="000C7CFA">
        <w:rPr>
          <w:rFonts w:ascii="Verdana" w:hAnsi="Verdana"/>
          <w:sz w:val="18"/>
          <w:szCs w:val="18"/>
        </w:rPr>
        <w:t>genes (which regulate thyroid hormone synthesis) occurred in a dose-dependent manner in the brain, with a statistically significant change at the highest dose. However, tr</w:t>
      </w:r>
      <w:r w:rsidR="00AE36B7" w:rsidRPr="000C7CFA">
        <w:rPr>
          <w:rFonts w:ascii="Verdana" w:hAnsi="Verdana"/>
          <w:sz w:val="18"/>
          <w:szCs w:val="18"/>
        </w:rPr>
        <w:t>anscriptions of</w:t>
      </w:r>
      <w:r w:rsidR="00093979" w:rsidRPr="000C7CFA">
        <w:rPr>
          <w:rFonts w:ascii="Verdana" w:hAnsi="Verdana"/>
          <w:sz w:val="18"/>
          <w:szCs w:val="18"/>
        </w:rPr>
        <w:t xml:space="preserve"> </w:t>
      </w:r>
      <w:r w:rsidR="00AE36B7" w:rsidRPr="000C7CFA">
        <w:rPr>
          <w:rFonts w:ascii="Verdana" w:hAnsi="Verdana"/>
          <w:sz w:val="18"/>
          <w:szCs w:val="18"/>
        </w:rPr>
        <w:t xml:space="preserve">other thyroid hormone-related genes </w:t>
      </w:r>
      <w:r w:rsidR="00093979" w:rsidRPr="000C7CFA">
        <w:rPr>
          <w:rFonts w:ascii="Verdana" w:hAnsi="Verdana"/>
          <w:sz w:val="18"/>
          <w:szCs w:val="18"/>
        </w:rPr>
        <w:t>(</w:t>
      </w:r>
      <w:r w:rsidR="00E665BE" w:rsidRPr="000C7CFA">
        <w:rPr>
          <w:rFonts w:ascii="Verdana" w:hAnsi="Verdana"/>
          <w:sz w:val="18"/>
          <w:szCs w:val="18"/>
        </w:rPr>
        <w:t>deiodinase 1, deiodinase 2, thyroglobulin</w:t>
      </w:r>
      <w:r w:rsidR="009B5BC5" w:rsidRPr="000C7CFA">
        <w:rPr>
          <w:rFonts w:ascii="Verdana" w:hAnsi="Verdana"/>
          <w:sz w:val="18"/>
          <w:szCs w:val="18"/>
        </w:rPr>
        <w:t xml:space="preserve"> (</w:t>
      </w:r>
      <w:proofErr w:type="gramStart"/>
      <w:r w:rsidR="009B5BC5" w:rsidRPr="000C7CFA">
        <w:rPr>
          <w:rFonts w:ascii="Verdana" w:hAnsi="Verdana"/>
          <w:i/>
          <w:sz w:val="18"/>
          <w:szCs w:val="18"/>
        </w:rPr>
        <w:t>tg</w:t>
      </w:r>
      <w:proofErr w:type="gramEnd"/>
      <w:r w:rsidR="009B5BC5" w:rsidRPr="000C7CFA">
        <w:rPr>
          <w:rFonts w:ascii="Verdana" w:hAnsi="Verdana"/>
          <w:sz w:val="18"/>
          <w:szCs w:val="18"/>
        </w:rPr>
        <w:t>)</w:t>
      </w:r>
      <w:r w:rsidR="00E665BE" w:rsidRPr="000C7CFA">
        <w:rPr>
          <w:rFonts w:ascii="Verdana" w:hAnsi="Verdana"/>
          <w:sz w:val="18"/>
          <w:szCs w:val="18"/>
        </w:rPr>
        <w:t xml:space="preserve">, thyroid hormone receptor </w:t>
      </w:r>
      <w:r w:rsidR="00E665BE" w:rsidRPr="000C7CFA">
        <w:rPr>
          <w:rFonts w:ascii="Verdana" w:hAnsi="Verdana"/>
          <w:i/>
          <w:sz w:val="18"/>
          <w:szCs w:val="18"/>
        </w:rPr>
        <w:t>α</w:t>
      </w:r>
      <w:r w:rsidR="00E665BE" w:rsidRPr="000C7CFA">
        <w:rPr>
          <w:rFonts w:ascii="Verdana" w:hAnsi="Verdana"/>
          <w:sz w:val="18"/>
          <w:szCs w:val="18"/>
        </w:rPr>
        <w:t xml:space="preserve"> and </w:t>
      </w:r>
      <w:r w:rsidR="00E665BE" w:rsidRPr="000C7CFA">
        <w:rPr>
          <w:rFonts w:ascii="Verdana" w:hAnsi="Verdana"/>
          <w:i/>
          <w:sz w:val="18"/>
          <w:szCs w:val="18"/>
        </w:rPr>
        <w:t>β</w:t>
      </w:r>
      <w:r w:rsidR="00093979" w:rsidRPr="000C7CFA">
        <w:rPr>
          <w:rFonts w:ascii="Verdana" w:hAnsi="Verdana"/>
          <w:sz w:val="18"/>
          <w:szCs w:val="18"/>
        </w:rPr>
        <w:t xml:space="preserve">) </w:t>
      </w:r>
      <w:r w:rsidR="00AE36B7" w:rsidRPr="000C7CFA">
        <w:rPr>
          <w:rFonts w:ascii="Verdana" w:hAnsi="Verdana"/>
          <w:sz w:val="18"/>
          <w:szCs w:val="18"/>
        </w:rPr>
        <w:t>were not altered in brain</w:t>
      </w:r>
      <w:r w:rsidR="00E665BE" w:rsidRPr="000C7CFA">
        <w:rPr>
          <w:rFonts w:ascii="Verdana" w:hAnsi="Verdana"/>
          <w:sz w:val="18"/>
          <w:szCs w:val="18"/>
        </w:rPr>
        <w:t xml:space="preserve"> tissue</w:t>
      </w:r>
      <w:r w:rsidR="00AE36B7" w:rsidRPr="000C7CFA">
        <w:rPr>
          <w:rFonts w:ascii="Verdana" w:hAnsi="Verdana"/>
          <w:sz w:val="18"/>
          <w:szCs w:val="18"/>
        </w:rPr>
        <w:t>.</w:t>
      </w:r>
      <w:r w:rsidR="00093979" w:rsidRPr="000C7CFA">
        <w:rPr>
          <w:rFonts w:ascii="Verdana" w:hAnsi="Verdana"/>
          <w:sz w:val="18"/>
          <w:szCs w:val="18"/>
        </w:rPr>
        <w:t xml:space="preserve"> </w:t>
      </w:r>
    </w:p>
    <w:p w14:paraId="0C681F12" w14:textId="5EC1B04A" w:rsidR="00AA6C50" w:rsidRPr="000C7CFA" w:rsidRDefault="008D4ECD" w:rsidP="00AA6C50">
      <w:pPr>
        <w:pStyle w:val="BodyText"/>
        <w:ind w:left="426"/>
        <w:rPr>
          <w:rFonts w:ascii="Verdana" w:hAnsi="Verdana"/>
          <w:sz w:val="18"/>
          <w:szCs w:val="18"/>
        </w:rPr>
      </w:pPr>
      <w:r w:rsidRPr="000C7CFA">
        <w:rPr>
          <w:rFonts w:ascii="Verdana" w:hAnsi="Verdana"/>
          <w:sz w:val="18"/>
          <w:szCs w:val="18"/>
        </w:rPr>
        <w:t>Whilst some trends were apparent in up- or down-expression of g</w:t>
      </w:r>
      <w:r w:rsidR="00AE36B7" w:rsidRPr="000C7CFA">
        <w:rPr>
          <w:rFonts w:ascii="Verdana" w:hAnsi="Verdana"/>
          <w:sz w:val="18"/>
          <w:szCs w:val="18"/>
        </w:rPr>
        <w:t>ene</w:t>
      </w:r>
      <w:r w:rsidRPr="000C7CFA">
        <w:rPr>
          <w:rFonts w:ascii="Verdana" w:hAnsi="Verdana"/>
          <w:sz w:val="18"/>
          <w:szCs w:val="18"/>
        </w:rPr>
        <w:t>s</w:t>
      </w:r>
      <w:r w:rsidR="00AE36B7" w:rsidRPr="000C7CFA">
        <w:rPr>
          <w:rFonts w:ascii="Verdana" w:hAnsi="Verdana"/>
          <w:sz w:val="18"/>
          <w:szCs w:val="18"/>
        </w:rPr>
        <w:t xml:space="preserve"> related to sex hormone regulation</w:t>
      </w:r>
      <w:r w:rsidRPr="000C7CFA">
        <w:rPr>
          <w:rFonts w:ascii="Verdana" w:hAnsi="Verdana"/>
          <w:sz w:val="18"/>
          <w:szCs w:val="18"/>
        </w:rPr>
        <w:t xml:space="preserve"> in brain tissue, these </w:t>
      </w:r>
      <w:r w:rsidR="00AE36B7" w:rsidRPr="000C7CFA">
        <w:rPr>
          <w:rFonts w:ascii="Verdana" w:hAnsi="Verdana"/>
          <w:sz w:val="18"/>
          <w:szCs w:val="18"/>
        </w:rPr>
        <w:t>were</w:t>
      </w:r>
      <w:r w:rsidRPr="000C7CFA">
        <w:rPr>
          <w:rFonts w:ascii="Verdana" w:hAnsi="Verdana"/>
          <w:sz w:val="18"/>
          <w:szCs w:val="18"/>
        </w:rPr>
        <w:t xml:space="preserve"> either</w:t>
      </w:r>
      <w:r w:rsidR="00E665BE" w:rsidRPr="000C7CFA">
        <w:rPr>
          <w:rFonts w:ascii="Verdana" w:hAnsi="Verdana"/>
          <w:sz w:val="18"/>
          <w:szCs w:val="18"/>
        </w:rPr>
        <w:t xml:space="preserve"> </w:t>
      </w:r>
      <w:r w:rsidR="00AE36B7" w:rsidRPr="000C7CFA">
        <w:rPr>
          <w:rFonts w:ascii="Verdana" w:hAnsi="Verdana"/>
          <w:sz w:val="18"/>
          <w:szCs w:val="18"/>
        </w:rPr>
        <w:t xml:space="preserve">not </w:t>
      </w:r>
      <w:r w:rsidRPr="000C7CFA">
        <w:rPr>
          <w:rFonts w:ascii="Verdana" w:hAnsi="Verdana"/>
          <w:sz w:val="18"/>
          <w:szCs w:val="18"/>
        </w:rPr>
        <w:t>statistically significant (i.e. gonadotropin-releasing hormone 2 (</w:t>
      </w:r>
      <w:r w:rsidRPr="000C7CFA">
        <w:rPr>
          <w:rFonts w:ascii="Verdana" w:hAnsi="Verdana"/>
          <w:i/>
          <w:sz w:val="18"/>
          <w:szCs w:val="18"/>
        </w:rPr>
        <w:t>gnrh2</w:t>
      </w:r>
      <w:r w:rsidRPr="000C7CFA">
        <w:rPr>
          <w:rFonts w:ascii="Verdana" w:hAnsi="Verdana"/>
          <w:sz w:val="18"/>
          <w:szCs w:val="18"/>
        </w:rPr>
        <w:t>) and 3 (</w:t>
      </w:r>
      <w:r w:rsidRPr="000C7CFA">
        <w:rPr>
          <w:rFonts w:ascii="Verdana" w:hAnsi="Verdana"/>
          <w:i/>
          <w:sz w:val="18"/>
          <w:szCs w:val="18"/>
        </w:rPr>
        <w:t>gnrh3</w:t>
      </w:r>
      <w:r w:rsidRPr="000C7CFA">
        <w:rPr>
          <w:rFonts w:ascii="Verdana" w:hAnsi="Verdana"/>
          <w:sz w:val="18"/>
          <w:szCs w:val="18"/>
        </w:rPr>
        <w:t>), follicle stimulating hormone β (</w:t>
      </w:r>
      <w:r w:rsidRPr="000C7CFA">
        <w:rPr>
          <w:rFonts w:ascii="Verdana" w:hAnsi="Verdana"/>
          <w:i/>
          <w:sz w:val="18"/>
          <w:szCs w:val="18"/>
        </w:rPr>
        <w:t>fshβ</w:t>
      </w:r>
      <w:r w:rsidRPr="000C7CFA">
        <w:rPr>
          <w:rFonts w:ascii="Verdana" w:hAnsi="Verdana"/>
          <w:sz w:val="18"/>
          <w:szCs w:val="18"/>
        </w:rPr>
        <w:t>), luteinizing hormone β (</w:t>
      </w:r>
      <w:r w:rsidRPr="000C7CFA">
        <w:rPr>
          <w:rFonts w:ascii="Verdana" w:hAnsi="Verdana"/>
          <w:i/>
          <w:sz w:val="18"/>
          <w:szCs w:val="18"/>
        </w:rPr>
        <w:t>lhβ</w:t>
      </w:r>
      <w:r w:rsidRPr="000C7CFA">
        <w:rPr>
          <w:rFonts w:ascii="Verdana" w:hAnsi="Verdana"/>
          <w:sz w:val="18"/>
          <w:szCs w:val="18"/>
        </w:rPr>
        <w:t xml:space="preserve">), </w:t>
      </w:r>
      <w:r w:rsidR="0076237E" w:rsidRPr="000C7CFA">
        <w:rPr>
          <w:rFonts w:ascii="Verdana" w:hAnsi="Verdana"/>
          <w:sz w:val="18"/>
          <w:szCs w:val="18"/>
        </w:rPr>
        <w:t>oestrogen</w:t>
      </w:r>
      <w:r w:rsidRPr="000C7CFA">
        <w:rPr>
          <w:rFonts w:ascii="Verdana" w:hAnsi="Verdana"/>
          <w:sz w:val="18"/>
          <w:szCs w:val="18"/>
        </w:rPr>
        <w:t xml:space="preserve"> receptor 2β (</w:t>
      </w:r>
      <w:r w:rsidRPr="000C7CFA">
        <w:rPr>
          <w:rFonts w:ascii="Verdana" w:hAnsi="Verdana"/>
          <w:i/>
          <w:sz w:val="18"/>
          <w:szCs w:val="18"/>
        </w:rPr>
        <w:t>er2β</w:t>
      </w:r>
      <w:r w:rsidRPr="000C7CFA">
        <w:rPr>
          <w:rFonts w:ascii="Verdana" w:hAnsi="Verdana"/>
          <w:sz w:val="18"/>
          <w:szCs w:val="18"/>
        </w:rPr>
        <w:t>) and androgen receptor (</w:t>
      </w:r>
      <w:r w:rsidRPr="000C7CFA">
        <w:rPr>
          <w:rFonts w:ascii="Verdana" w:hAnsi="Verdana"/>
          <w:i/>
          <w:sz w:val="18"/>
          <w:szCs w:val="18"/>
        </w:rPr>
        <w:t>ar</w:t>
      </w:r>
      <w:r w:rsidRPr="000C7CFA">
        <w:rPr>
          <w:rFonts w:ascii="Verdana" w:hAnsi="Verdana"/>
          <w:sz w:val="18"/>
          <w:szCs w:val="18"/>
        </w:rPr>
        <w:t>)), or non-monotonic (</w:t>
      </w:r>
      <w:r w:rsidR="0076237E" w:rsidRPr="000C7CFA">
        <w:rPr>
          <w:rFonts w:ascii="Verdana" w:hAnsi="Verdana"/>
          <w:sz w:val="18"/>
          <w:szCs w:val="18"/>
        </w:rPr>
        <w:t>oestrogen</w:t>
      </w:r>
      <w:r w:rsidRPr="000C7CFA">
        <w:rPr>
          <w:rFonts w:ascii="Verdana" w:hAnsi="Verdana"/>
          <w:sz w:val="18"/>
          <w:szCs w:val="18"/>
        </w:rPr>
        <w:t xml:space="preserve"> receptor α (</w:t>
      </w:r>
      <w:r w:rsidRPr="000C7CFA">
        <w:rPr>
          <w:rFonts w:ascii="Verdana" w:hAnsi="Verdana"/>
          <w:i/>
          <w:sz w:val="18"/>
          <w:szCs w:val="18"/>
        </w:rPr>
        <w:t>erα</w:t>
      </w:r>
      <w:r w:rsidRPr="000C7CFA">
        <w:rPr>
          <w:rFonts w:ascii="Verdana" w:hAnsi="Verdana"/>
          <w:sz w:val="18"/>
          <w:szCs w:val="18"/>
        </w:rPr>
        <w:t>) was significantly up-regulated at the lowest exposure dose but not the other two). Cytochrome P450 19b (</w:t>
      </w:r>
      <w:r w:rsidRPr="000C7CFA">
        <w:rPr>
          <w:rFonts w:ascii="Verdana" w:hAnsi="Verdana"/>
          <w:i/>
          <w:sz w:val="18"/>
          <w:szCs w:val="18"/>
        </w:rPr>
        <w:t>cyp19b</w:t>
      </w:r>
      <w:r w:rsidRPr="000C7CFA">
        <w:rPr>
          <w:rFonts w:ascii="Verdana" w:hAnsi="Verdana"/>
          <w:sz w:val="18"/>
          <w:szCs w:val="18"/>
        </w:rPr>
        <w:t>) was significantly up-regulated at all exposure doses.</w:t>
      </w:r>
    </w:p>
    <w:p w14:paraId="5731D254" w14:textId="2EE1E36D" w:rsidR="00DF3FB0" w:rsidRPr="000C7CFA" w:rsidRDefault="0076237E" w:rsidP="00AA6C50">
      <w:pPr>
        <w:pStyle w:val="BodyText"/>
        <w:ind w:left="426"/>
        <w:rPr>
          <w:rFonts w:ascii="Verdana" w:hAnsi="Verdana"/>
          <w:sz w:val="18"/>
          <w:szCs w:val="18"/>
        </w:rPr>
      </w:pPr>
      <w:r w:rsidRPr="000C7CFA">
        <w:rPr>
          <w:rFonts w:ascii="Verdana" w:hAnsi="Verdana"/>
          <w:sz w:val="18"/>
          <w:szCs w:val="18"/>
        </w:rPr>
        <w:t>Oestrogen</w:t>
      </w:r>
      <w:r w:rsidR="008D4ECD" w:rsidRPr="000C7CFA">
        <w:rPr>
          <w:rFonts w:ascii="Verdana" w:hAnsi="Verdana"/>
          <w:sz w:val="18"/>
          <w:szCs w:val="18"/>
        </w:rPr>
        <w:t>/</w:t>
      </w:r>
      <w:r w:rsidR="00093979" w:rsidRPr="000C7CFA">
        <w:rPr>
          <w:rFonts w:ascii="Verdana" w:hAnsi="Verdana"/>
          <w:sz w:val="18"/>
          <w:szCs w:val="18"/>
        </w:rPr>
        <w:t xml:space="preserve">androgen receptor and steroidogenic genes </w:t>
      </w:r>
      <w:r w:rsidR="008D4ECD" w:rsidRPr="000C7CFA">
        <w:rPr>
          <w:rFonts w:ascii="Verdana" w:hAnsi="Verdana"/>
          <w:sz w:val="18"/>
          <w:szCs w:val="18"/>
        </w:rPr>
        <w:t>(</w:t>
      </w:r>
      <w:r w:rsidR="00AA6C50" w:rsidRPr="000C7CFA">
        <w:rPr>
          <w:rFonts w:ascii="Verdana" w:hAnsi="Verdana"/>
          <w:i/>
          <w:sz w:val="18"/>
          <w:szCs w:val="18"/>
        </w:rPr>
        <w:t>erα</w:t>
      </w:r>
      <w:r w:rsidR="00AA6C50" w:rsidRPr="000C7CFA">
        <w:rPr>
          <w:rFonts w:ascii="Verdana" w:hAnsi="Verdana"/>
          <w:sz w:val="18"/>
          <w:szCs w:val="18"/>
        </w:rPr>
        <w:t>,</w:t>
      </w:r>
      <w:r w:rsidR="00AA6C50" w:rsidRPr="000C7CFA">
        <w:rPr>
          <w:rFonts w:ascii="Verdana" w:hAnsi="Verdana"/>
          <w:i/>
          <w:sz w:val="18"/>
          <w:szCs w:val="18"/>
        </w:rPr>
        <w:t xml:space="preserve"> </w:t>
      </w:r>
      <w:r w:rsidR="008D4ECD" w:rsidRPr="000C7CFA">
        <w:rPr>
          <w:rFonts w:ascii="Verdana" w:hAnsi="Verdana"/>
          <w:i/>
          <w:sz w:val="18"/>
          <w:szCs w:val="18"/>
        </w:rPr>
        <w:t>er2β</w:t>
      </w:r>
      <w:r w:rsidR="00AA6C50" w:rsidRPr="000C7CFA">
        <w:rPr>
          <w:rFonts w:ascii="Verdana" w:hAnsi="Verdana"/>
          <w:sz w:val="18"/>
          <w:szCs w:val="18"/>
        </w:rPr>
        <w:t>,</w:t>
      </w:r>
      <w:r w:rsidR="008D4ECD" w:rsidRPr="000C7CFA">
        <w:rPr>
          <w:rFonts w:ascii="Verdana" w:hAnsi="Verdana"/>
          <w:sz w:val="18"/>
          <w:szCs w:val="18"/>
        </w:rPr>
        <w:t xml:space="preserve"> </w:t>
      </w:r>
      <w:r w:rsidR="008D4ECD" w:rsidRPr="000C7CFA">
        <w:rPr>
          <w:rFonts w:ascii="Verdana" w:hAnsi="Verdana"/>
          <w:i/>
          <w:sz w:val="18"/>
          <w:szCs w:val="18"/>
        </w:rPr>
        <w:t>ar</w:t>
      </w:r>
      <w:r w:rsidR="008D4ECD" w:rsidRPr="000C7CFA">
        <w:rPr>
          <w:rFonts w:ascii="Verdana" w:hAnsi="Verdana"/>
          <w:sz w:val="18"/>
          <w:szCs w:val="18"/>
        </w:rPr>
        <w:t xml:space="preserve">, </w:t>
      </w:r>
      <w:r w:rsidR="00AA6C50" w:rsidRPr="000C7CFA">
        <w:rPr>
          <w:rFonts w:ascii="Verdana" w:hAnsi="Verdana"/>
          <w:sz w:val="18"/>
          <w:szCs w:val="18"/>
        </w:rPr>
        <w:t>cytochrome P450 17 (</w:t>
      </w:r>
      <w:r w:rsidR="00AA6C50" w:rsidRPr="000C7CFA">
        <w:rPr>
          <w:rFonts w:ascii="Verdana" w:hAnsi="Verdana"/>
          <w:i/>
          <w:sz w:val="18"/>
          <w:szCs w:val="18"/>
        </w:rPr>
        <w:t>cyp17</w:t>
      </w:r>
      <w:r w:rsidR="00AA6C50" w:rsidRPr="000C7CFA">
        <w:rPr>
          <w:rFonts w:ascii="Verdana" w:hAnsi="Verdana"/>
          <w:sz w:val="18"/>
          <w:szCs w:val="18"/>
        </w:rPr>
        <w:t>) and 11a (</w:t>
      </w:r>
      <w:r w:rsidR="00AA6C50" w:rsidRPr="000C7CFA">
        <w:rPr>
          <w:rFonts w:ascii="Verdana" w:hAnsi="Verdana"/>
          <w:i/>
          <w:sz w:val="18"/>
          <w:szCs w:val="18"/>
        </w:rPr>
        <w:t>cyp11a</w:t>
      </w:r>
      <w:r w:rsidR="00AA6C50" w:rsidRPr="000C7CFA">
        <w:rPr>
          <w:rFonts w:ascii="Verdana" w:hAnsi="Verdana"/>
          <w:sz w:val="18"/>
          <w:szCs w:val="18"/>
        </w:rPr>
        <w:t xml:space="preserve">)) </w:t>
      </w:r>
      <w:r w:rsidR="00093979" w:rsidRPr="000C7CFA">
        <w:rPr>
          <w:rFonts w:ascii="Verdana" w:hAnsi="Verdana"/>
          <w:sz w:val="18"/>
          <w:szCs w:val="18"/>
        </w:rPr>
        <w:t>were evaluated</w:t>
      </w:r>
      <w:r w:rsidR="008D4ECD" w:rsidRPr="000C7CFA">
        <w:rPr>
          <w:rFonts w:ascii="Verdana" w:hAnsi="Verdana"/>
          <w:sz w:val="18"/>
          <w:szCs w:val="18"/>
        </w:rPr>
        <w:t xml:space="preserve"> </w:t>
      </w:r>
      <w:r w:rsidR="00093979" w:rsidRPr="000C7CFA">
        <w:rPr>
          <w:rFonts w:ascii="Verdana" w:hAnsi="Verdana"/>
          <w:sz w:val="18"/>
          <w:szCs w:val="18"/>
        </w:rPr>
        <w:t>in testis, but significant alteration in gene transcription was</w:t>
      </w:r>
      <w:r w:rsidR="008D4ECD" w:rsidRPr="000C7CFA">
        <w:rPr>
          <w:rFonts w:ascii="Verdana" w:hAnsi="Verdana"/>
          <w:sz w:val="18"/>
          <w:szCs w:val="18"/>
        </w:rPr>
        <w:t xml:space="preserve"> </w:t>
      </w:r>
      <w:r w:rsidR="00093979" w:rsidRPr="000C7CFA">
        <w:rPr>
          <w:rFonts w:ascii="Verdana" w:hAnsi="Verdana"/>
          <w:sz w:val="18"/>
          <w:szCs w:val="18"/>
        </w:rPr>
        <w:t>not detected</w:t>
      </w:r>
      <w:r w:rsidR="00FD64AE" w:rsidRPr="000C7CFA">
        <w:rPr>
          <w:rFonts w:ascii="Verdana" w:hAnsi="Verdana"/>
          <w:sz w:val="18"/>
          <w:szCs w:val="18"/>
        </w:rPr>
        <w:t xml:space="preserve">. </w:t>
      </w:r>
    </w:p>
    <w:p w14:paraId="3DA18E3A" w14:textId="232FAB8F" w:rsidR="00BB377E" w:rsidRPr="000C7CFA" w:rsidRDefault="007C0AF7" w:rsidP="00DC3658">
      <w:pPr>
        <w:pStyle w:val="BodyText"/>
        <w:numPr>
          <w:ilvl w:val="0"/>
          <w:numId w:val="20"/>
        </w:numPr>
        <w:autoSpaceDE w:val="0"/>
        <w:autoSpaceDN w:val="0"/>
        <w:adjustRightInd w:val="0"/>
        <w:spacing w:after="120"/>
        <w:ind w:left="425" w:hanging="425"/>
        <w:rPr>
          <w:rFonts w:ascii="Verdana" w:hAnsi="Verdana"/>
          <w:sz w:val="18"/>
          <w:szCs w:val="18"/>
        </w:rPr>
      </w:pPr>
      <w:r w:rsidRPr="000C7CFA">
        <w:rPr>
          <w:rFonts w:ascii="Verdana" w:eastAsiaTheme="minorHAnsi" w:hAnsi="Verdana"/>
          <w:sz w:val="18"/>
          <w:szCs w:val="18"/>
          <w:u w:val="single"/>
        </w:rPr>
        <w:t xml:space="preserve">Kang </w:t>
      </w:r>
      <w:r w:rsidRPr="000C7CFA">
        <w:rPr>
          <w:rFonts w:ascii="Verdana" w:eastAsiaTheme="minorHAnsi" w:hAnsi="Verdana"/>
          <w:i/>
          <w:sz w:val="18"/>
          <w:szCs w:val="18"/>
          <w:u w:val="single"/>
        </w:rPr>
        <w:t>et al</w:t>
      </w:r>
      <w:r w:rsidRPr="000C7CFA">
        <w:rPr>
          <w:rFonts w:ascii="Verdana" w:eastAsiaTheme="minorHAnsi" w:hAnsi="Verdana"/>
          <w:sz w:val="18"/>
          <w:szCs w:val="18"/>
          <w:u w:val="single"/>
        </w:rPr>
        <w:t>. (2016)</w:t>
      </w:r>
      <w:r w:rsidRPr="000C7CFA">
        <w:rPr>
          <w:rFonts w:ascii="Verdana" w:eastAsiaTheme="minorHAnsi" w:hAnsi="Verdana"/>
          <w:sz w:val="18"/>
          <w:szCs w:val="18"/>
        </w:rPr>
        <w:t xml:space="preserve"> also </w:t>
      </w:r>
      <w:r w:rsidRPr="000C7CFA">
        <w:rPr>
          <w:rFonts w:ascii="Verdana" w:hAnsi="Verdana"/>
          <w:sz w:val="18"/>
          <w:szCs w:val="18"/>
        </w:rPr>
        <w:t>exposed e</w:t>
      </w:r>
      <w:r w:rsidRPr="000C7CFA">
        <w:rPr>
          <w:rFonts w:ascii="Verdana" w:hAnsi="Verdana" w:cs="AdvOT863180fb"/>
          <w:color w:val="000000"/>
          <w:sz w:val="18"/>
          <w:szCs w:val="18"/>
          <w:lang w:eastAsia="en-GB"/>
        </w:rPr>
        <w:t xml:space="preserve">mbryo/larval </w:t>
      </w:r>
      <w:r w:rsidRPr="000C7CFA">
        <w:rPr>
          <w:rFonts w:ascii="Verdana" w:hAnsi="Verdana"/>
          <w:sz w:val="18"/>
          <w:szCs w:val="18"/>
        </w:rPr>
        <w:t xml:space="preserve">Zebrafish to Dechlorane Plus in water at nominal concentrations of </w:t>
      </w:r>
      <w:r w:rsidRPr="000C7CFA">
        <w:rPr>
          <w:rFonts w:ascii="Verdana" w:hAnsi="Verdana" w:cs="AdvOT863180fb"/>
          <w:color w:val="000000"/>
          <w:sz w:val="18"/>
          <w:szCs w:val="18"/>
          <w:lang w:eastAsia="en-GB"/>
        </w:rPr>
        <w:t>0.4, 0.8</w:t>
      </w:r>
      <w:r w:rsidR="004D496D" w:rsidRPr="000C7CFA">
        <w:rPr>
          <w:rFonts w:ascii="Verdana" w:hAnsi="Verdana" w:cs="AdvOT863180fb"/>
          <w:color w:val="000000"/>
          <w:sz w:val="18"/>
          <w:szCs w:val="18"/>
          <w:lang w:eastAsia="en-GB"/>
        </w:rPr>
        <w:t xml:space="preserve"> and</w:t>
      </w:r>
      <w:r w:rsidRPr="000C7CFA">
        <w:rPr>
          <w:rFonts w:ascii="Verdana" w:hAnsi="Verdana" w:cs="AdvOT863180fb"/>
          <w:color w:val="000000"/>
          <w:sz w:val="18"/>
          <w:szCs w:val="18"/>
          <w:lang w:eastAsia="en-GB"/>
        </w:rPr>
        <w:t xml:space="preserve"> 1.6 mg/L along with a clean water control and solvent control </w:t>
      </w:r>
      <w:r w:rsidRPr="000C7CFA">
        <w:rPr>
          <w:rFonts w:ascii="Verdana" w:hAnsi="Verdana"/>
          <w:sz w:val="18"/>
          <w:szCs w:val="18"/>
        </w:rPr>
        <w:t>(acetone (0.</w:t>
      </w:r>
      <w:r w:rsidR="00AF7606" w:rsidRPr="000C7CFA">
        <w:rPr>
          <w:rFonts w:ascii="Verdana" w:hAnsi="Verdana"/>
          <w:sz w:val="18"/>
          <w:szCs w:val="18"/>
        </w:rPr>
        <w:t>4 %</w:t>
      </w:r>
      <w:r w:rsidRPr="000C7CFA">
        <w:rPr>
          <w:rFonts w:ascii="Verdana" w:hAnsi="Verdana"/>
          <w:sz w:val="18"/>
          <w:szCs w:val="18"/>
        </w:rPr>
        <w:t xml:space="preserve"> v/v)). </w:t>
      </w:r>
      <w:r w:rsidR="004D496D" w:rsidRPr="000C7CFA">
        <w:rPr>
          <w:rFonts w:ascii="Verdana" w:hAnsi="Verdana" w:cs="AdvOT863180fb"/>
          <w:color w:val="000000"/>
          <w:sz w:val="18"/>
          <w:szCs w:val="18"/>
          <w:lang w:eastAsia="en-GB"/>
        </w:rPr>
        <w:t>Six</w:t>
      </w:r>
      <w:r w:rsidRPr="000C7CFA">
        <w:rPr>
          <w:rFonts w:ascii="Verdana" w:hAnsi="Verdana" w:cs="AdvOT863180fb"/>
          <w:color w:val="000000"/>
          <w:sz w:val="18"/>
          <w:szCs w:val="18"/>
          <w:lang w:eastAsia="en-GB"/>
        </w:rPr>
        <w:t xml:space="preserve"> </w:t>
      </w:r>
      <w:r w:rsidR="00DF3FB0" w:rsidRPr="000C7CFA">
        <w:rPr>
          <w:rFonts w:ascii="Verdana" w:hAnsi="Verdana" w:cs="AdvOT863180fb"/>
          <w:color w:val="000000"/>
          <w:sz w:val="18"/>
          <w:szCs w:val="18"/>
          <w:lang w:eastAsia="en-GB"/>
        </w:rPr>
        <w:t>replicates were used</w:t>
      </w:r>
      <w:r w:rsidR="004D496D" w:rsidRPr="000C7CFA">
        <w:rPr>
          <w:rFonts w:ascii="Verdana" w:hAnsi="Verdana" w:cs="AdvOT863180fb"/>
          <w:color w:val="000000"/>
          <w:sz w:val="18"/>
          <w:szCs w:val="18"/>
          <w:lang w:eastAsia="en-GB"/>
        </w:rPr>
        <w:t xml:space="preserve"> per treatment</w:t>
      </w:r>
      <w:r w:rsidR="00DF3FB0" w:rsidRPr="000C7CFA">
        <w:rPr>
          <w:rFonts w:ascii="Verdana" w:hAnsi="Verdana" w:cs="AdvOT863180fb"/>
          <w:color w:val="000000"/>
          <w:sz w:val="18"/>
          <w:szCs w:val="18"/>
          <w:lang w:eastAsia="en-GB"/>
        </w:rPr>
        <w:t xml:space="preserve">, </w:t>
      </w:r>
      <w:r w:rsidRPr="000C7CFA">
        <w:rPr>
          <w:rFonts w:ascii="Verdana" w:hAnsi="Verdana" w:cs="AdvOT863180fb"/>
          <w:color w:val="000000"/>
          <w:sz w:val="18"/>
          <w:szCs w:val="18"/>
          <w:lang w:eastAsia="en-GB"/>
        </w:rPr>
        <w:t>with</w:t>
      </w:r>
      <w:r w:rsidR="00BB377E" w:rsidRPr="000C7CFA">
        <w:rPr>
          <w:rFonts w:ascii="Verdana" w:hAnsi="Verdana" w:cs="AdvOT863180fb"/>
          <w:color w:val="000000"/>
          <w:sz w:val="18"/>
          <w:szCs w:val="18"/>
          <w:lang w:eastAsia="en-GB"/>
        </w:rPr>
        <w:t xml:space="preserve"> 20 </w:t>
      </w:r>
      <w:r w:rsidR="00DF3FB0" w:rsidRPr="000C7CFA">
        <w:rPr>
          <w:rFonts w:ascii="Verdana" w:hAnsi="Verdana" w:cs="AdvOT863180fb"/>
          <w:color w:val="000000"/>
          <w:sz w:val="18"/>
          <w:szCs w:val="18"/>
          <w:lang w:eastAsia="en-GB"/>
        </w:rPr>
        <w:t xml:space="preserve">eggs </w:t>
      </w:r>
      <w:r w:rsidR="004D496D" w:rsidRPr="000C7CFA">
        <w:rPr>
          <w:rFonts w:ascii="Verdana" w:hAnsi="Verdana" w:cs="AdvOT863180fb"/>
          <w:color w:val="000000"/>
          <w:sz w:val="18"/>
          <w:szCs w:val="18"/>
          <w:lang w:eastAsia="en-GB"/>
        </w:rPr>
        <w:t xml:space="preserve">within 4 </w:t>
      </w:r>
      <w:proofErr w:type="gramStart"/>
      <w:r w:rsidR="004D496D" w:rsidRPr="000C7CFA">
        <w:rPr>
          <w:rFonts w:ascii="Verdana" w:hAnsi="Verdana" w:cs="AdvOT863180fb"/>
          <w:color w:val="000000"/>
          <w:sz w:val="18"/>
          <w:szCs w:val="18"/>
          <w:lang w:eastAsia="en-GB"/>
        </w:rPr>
        <w:t>hpf</w:t>
      </w:r>
      <w:proofErr w:type="gramEnd"/>
      <w:r w:rsidR="004D496D" w:rsidRPr="000C7CFA">
        <w:rPr>
          <w:rFonts w:ascii="Verdana" w:hAnsi="Verdana" w:cs="AdvOT863180fb"/>
          <w:color w:val="000000"/>
          <w:sz w:val="18"/>
          <w:szCs w:val="18"/>
          <w:lang w:eastAsia="en-GB"/>
        </w:rPr>
        <w:t xml:space="preserve"> </w:t>
      </w:r>
      <w:r w:rsidRPr="000C7CFA">
        <w:rPr>
          <w:rFonts w:ascii="Verdana" w:hAnsi="Verdana" w:cs="AdvOT863180fb"/>
          <w:color w:val="000000"/>
          <w:sz w:val="18"/>
          <w:szCs w:val="18"/>
          <w:lang w:eastAsia="en-GB"/>
        </w:rPr>
        <w:t>for each replicate</w:t>
      </w:r>
      <w:r w:rsidR="00DF3FB0" w:rsidRPr="000C7CFA">
        <w:rPr>
          <w:rFonts w:ascii="Verdana" w:hAnsi="Verdana" w:cs="AdvOT863180fb"/>
          <w:color w:val="000000"/>
          <w:sz w:val="18"/>
          <w:szCs w:val="18"/>
          <w:lang w:eastAsia="en-GB"/>
        </w:rPr>
        <w:t xml:space="preserve">. </w:t>
      </w:r>
      <w:r w:rsidRPr="000C7CFA">
        <w:rPr>
          <w:rFonts w:ascii="Verdana" w:hAnsi="Verdana" w:cs="AdvOT863180fb"/>
          <w:color w:val="000000"/>
          <w:sz w:val="18"/>
          <w:szCs w:val="18"/>
          <w:lang w:eastAsia="en-GB"/>
        </w:rPr>
        <w:t xml:space="preserve">Test media were </w:t>
      </w:r>
      <w:r w:rsidR="00DF3FB0" w:rsidRPr="000C7CFA">
        <w:rPr>
          <w:rFonts w:ascii="Verdana" w:hAnsi="Verdana" w:cs="AdvOT863180fb"/>
          <w:color w:val="000000"/>
          <w:sz w:val="18"/>
          <w:szCs w:val="18"/>
          <w:lang w:eastAsia="en-GB"/>
        </w:rPr>
        <w:t>r</w:t>
      </w:r>
      <w:r w:rsidRPr="000C7CFA">
        <w:rPr>
          <w:rFonts w:ascii="Verdana" w:hAnsi="Verdana" w:cs="AdvOT863180fb"/>
          <w:color w:val="000000"/>
          <w:sz w:val="18"/>
          <w:szCs w:val="18"/>
          <w:lang w:eastAsia="en-GB"/>
        </w:rPr>
        <w:t>enewed</w:t>
      </w:r>
      <w:r w:rsidR="00DF3FB0" w:rsidRPr="000C7CFA">
        <w:rPr>
          <w:rFonts w:ascii="Verdana" w:hAnsi="Verdana" w:cs="AdvOT863180fb"/>
          <w:color w:val="000000"/>
          <w:sz w:val="18"/>
          <w:szCs w:val="18"/>
          <w:lang w:eastAsia="en-GB"/>
        </w:rPr>
        <w:t xml:space="preserve"> and water quality parameters</w:t>
      </w:r>
      <w:r w:rsidRPr="000C7CFA">
        <w:rPr>
          <w:rFonts w:ascii="Verdana" w:hAnsi="Verdana" w:cs="AdvOT863180fb"/>
          <w:color w:val="000000"/>
          <w:sz w:val="18"/>
          <w:szCs w:val="18"/>
          <w:lang w:eastAsia="en-GB"/>
        </w:rPr>
        <w:t xml:space="preserve"> </w:t>
      </w:r>
      <w:r w:rsidR="00DF3FB0" w:rsidRPr="000C7CFA">
        <w:rPr>
          <w:rFonts w:ascii="Verdana" w:hAnsi="Verdana" w:cs="AdvOT863180fb"/>
          <w:color w:val="000000"/>
          <w:sz w:val="18"/>
          <w:szCs w:val="18"/>
          <w:lang w:eastAsia="en-GB"/>
        </w:rPr>
        <w:t>(</w:t>
      </w:r>
      <w:r w:rsidR="00422776" w:rsidRPr="000C7CFA">
        <w:rPr>
          <w:rFonts w:ascii="Verdana" w:hAnsi="Verdana" w:cs="AdvOT863180fb"/>
          <w:color w:val="000000"/>
          <w:sz w:val="18"/>
          <w:szCs w:val="18"/>
          <w:lang w:eastAsia="en-GB"/>
        </w:rPr>
        <w:t>dissolved oxygen, pH, temperature</w:t>
      </w:r>
      <w:r w:rsidR="00DF3FB0" w:rsidRPr="000C7CFA">
        <w:rPr>
          <w:rFonts w:ascii="Verdana" w:hAnsi="Verdana" w:cs="AdvOT863180fb"/>
          <w:color w:val="000000"/>
          <w:sz w:val="18"/>
          <w:szCs w:val="18"/>
          <w:lang w:eastAsia="en-GB"/>
        </w:rPr>
        <w:t xml:space="preserve"> and conductivity) recorded every other</w:t>
      </w:r>
      <w:r w:rsidRPr="000C7CFA">
        <w:rPr>
          <w:rFonts w:ascii="Verdana" w:hAnsi="Verdana" w:cs="AdvOT863180fb"/>
          <w:color w:val="000000"/>
          <w:sz w:val="18"/>
          <w:szCs w:val="18"/>
          <w:lang w:eastAsia="en-GB"/>
        </w:rPr>
        <w:t xml:space="preserve"> </w:t>
      </w:r>
      <w:r w:rsidR="00DF3FB0" w:rsidRPr="000C7CFA">
        <w:rPr>
          <w:rFonts w:ascii="Verdana" w:hAnsi="Verdana" w:cs="AdvOT863180fb"/>
          <w:color w:val="000000"/>
          <w:sz w:val="18"/>
          <w:szCs w:val="18"/>
          <w:lang w:eastAsia="en-GB"/>
        </w:rPr>
        <w:t>day</w:t>
      </w:r>
      <w:r w:rsidR="00093979" w:rsidRPr="000C7CFA">
        <w:rPr>
          <w:rFonts w:ascii="Verdana" w:hAnsi="Verdana" w:cs="AdvOT863180fb"/>
          <w:color w:val="000000"/>
          <w:sz w:val="18"/>
          <w:szCs w:val="18"/>
          <w:lang w:eastAsia="en-GB"/>
        </w:rPr>
        <w:t xml:space="preserve"> (but not reported)</w:t>
      </w:r>
      <w:r w:rsidR="00DF3FB0" w:rsidRPr="000C7CFA">
        <w:rPr>
          <w:rFonts w:ascii="Verdana" w:hAnsi="Verdana" w:cs="AdvOT863180fb"/>
          <w:color w:val="000000"/>
          <w:sz w:val="18"/>
          <w:szCs w:val="18"/>
          <w:lang w:eastAsia="en-GB"/>
        </w:rPr>
        <w:t xml:space="preserve">. </w:t>
      </w:r>
      <w:r w:rsidR="009B6611" w:rsidRPr="000C7CFA">
        <w:rPr>
          <w:rFonts w:ascii="Verdana" w:hAnsi="Verdana"/>
          <w:sz w:val="18"/>
          <w:szCs w:val="18"/>
        </w:rPr>
        <w:t xml:space="preserve">Chemical analysis was performed on fresh and expired test media, indicating actual concentrations of 140 - 28.8, 248 - 70.5 and 267 - 71.7 µg/L over the 48-h renewal period (no substance was detected in the controls). </w:t>
      </w:r>
      <w:r w:rsidR="004D496D" w:rsidRPr="000C7CFA">
        <w:rPr>
          <w:rFonts w:ascii="Verdana" w:hAnsi="Verdana" w:cs="AdvOT863180fb"/>
          <w:color w:val="000000"/>
          <w:sz w:val="18"/>
          <w:szCs w:val="18"/>
          <w:lang w:eastAsia="en-GB"/>
        </w:rPr>
        <w:t>After</w:t>
      </w:r>
      <w:r w:rsidR="00DF3FB0" w:rsidRPr="000C7CFA">
        <w:rPr>
          <w:rFonts w:ascii="Verdana" w:hAnsi="Verdana" w:cs="AdvOT863180fb"/>
          <w:color w:val="000000"/>
          <w:sz w:val="18"/>
          <w:szCs w:val="18"/>
          <w:lang w:eastAsia="en-GB"/>
        </w:rPr>
        <w:t xml:space="preserve"> 6 day</w:t>
      </w:r>
      <w:r w:rsidRPr="000C7CFA">
        <w:rPr>
          <w:rFonts w:ascii="Verdana" w:hAnsi="Verdana" w:cs="AdvOT863180fb"/>
          <w:color w:val="000000"/>
          <w:sz w:val="18"/>
          <w:szCs w:val="18"/>
          <w:lang w:eastAsia="en-GB"/>
        </w:rPr>
        <w:t>s, time to hatch,</w:t>
      </w:r>
      <w:r w:rsidR="00DF3FB0" w:rsidRPr="000C7CFA">
        <w:rPr>
          <w:rFonts w:ascii="Verdana" w:hAnsi="Verdana" w:cs="AdvOT863180fb"/>
          <w:color w:val="000000"/>
          <w:sz w:val="18"/>
          <w:szCs w:val="18"/>
          <w:lang w:eastAsia="en-GB"/>
        </w:rPr>
        <w:t xml:space="preserve"> malformation</w:t>
      </w:r>
      <w:r w:rsidRPr="000C7CFA">
        <w:rPr>
          <w:rFonts w:ascii="Verdana" w:hAnsi="Verdana" w:cs="AdvOT863180fb"/>
          <w:color w:val="000000"/>
          <w:sz w:val="18"/>
          <w:szCs w:val="18"/>
          <w:lang w:eastAsia="en-GB"/>
        </w:rPr>
        <w:t xml:space="preserve"> </w:t>
      </w:r>
      <w:r w:rsidR="00DF3FB0" w:rsidRPr="000C7CFA">
        <w:rPr>
          <w:rFonts w:ascii="Verdana" w:hAnsi="Verdana" w:cs="AdvOT863180fb"/>
          <w:color w:val="000000"/>
          <w:sz w:val="18"/>
          <w:szCs w:val="18"/>
          <w:lang w:eastAsia="en-GB"/>
        </w:rPr>
        <w:t xml:space="preserve">rate </w:t>
      </w:r>
      <w:r w:rsidRPr="000C7CFA">
        <w:rPr>
          <w:rFonts w:ascii="Verdana" w:hAnsi="Verdana" w:cs="AdvOT863180fb"/>
          <w:color w:val="000000"/>
          <w:sz w:val="18"/>
          <w:szCs w:val="18"/>
          <w:lang w:eastAsia="en-GB"/>
        </w:rPr>
        <w:t xml:space="preserve">(yolk sac edema, </w:t>
      </w:r>
      <w:r w:rsidR="00BB377E" w:rsidRPr="000C7CFA">
        <w:rPr>
          <w:rFonts w:ascii="Verdana" w:hAnsi="Verdana" w:cs="AdvOT863180fb"/>
          <w:color w:val="000000"/>
          <w:sz w:val="18"/>
          <w:szCs w:val="18"/>
          <w:lang w:eastAsia="en-GB"/>
        </w:rPr>
        <w:t>bent spine</w:t>
      </w:r>
      <w:r w:rsidRPr="000C7CFA">
        <w:rPr>
          <w:rFonts w:ascii="Verdana" w:hAnsi="Verdana" w:cs="AdvOT863180fb"/>
          <w:color w:val="000000"/>
          <w:sz w:val="18"/>
          <w:szCs w:val="18"/>
          <w:lang w:eastAsia="en-GB"/>
        </w:rPr>
        <w:t xml:space="preserve"> and tail malformation) </w:t>
      </w:r>
      <w:r w:rsidR="00DF3FB0" w:rsidRPr="000C7CFA">
        <w:rPr>
          <w:rFonts w:ascii="Verdana" w:hAnsi="Verdana" w:cs="AdvOT863180fb"/>
          <w:color w:val="000000"/>
          <w:sz w:val="18"/>
          <w:szCs w:val="18"/>
          <w:lang w:eastAsia="en-GB"/>
        </w:rPr>
        <w:t xml:space="preserve">and survival were recorded. </w:t>
      </w:r>
      <w:r w:rsidR="00BB377E" w:rsidRPr="000C7CFA">
        <w:rPr>
          <w:rFonts w:ascii="Verdana" w:hAnsi="Verdana" w:cs="AdvOT863180fb"/>
          <w:color w:val="000000"/>
          <w:sz w:val="18"/>
          <w:szCs w:val="18"/>
          <w:lang w:eastAsia="en-GB"/>
        </w:rPr>
        <w:t xml:space="preserve">Fourteen pooled larvae were also analyzed for expression </w:t>
      </w:r>
      <w:r w:rsidR="00A42CC4" w:rsidRPr="000C7CFA">
        <w:rPr>
          <w:rFonts w:ascii="Verdana" w:hAnsi="Verdana" w:cs="AdvOT863180fb"/>
          <w:color w:val="000000"/>
          <w:sz w:val="18"/>
          <w:szCs w:val="18"/>
          <w:lang w:eastAsia="en-GB"/>
        </w:rPr>
        <w:t xml:space="preserve">of four genes </w:t>
      </w:r>
      <w:r w:rsidR="009B6611" w:rsidRPr="000C7CFA">
        <w:rPr>
          <w:rFonts w:ascii="Verdana" w:hAnsi="Verdana"/>
          <w:sz w:val="18"/>
          <w:szCs w:val="18"/>
        </w:rPr>
        <w:t>related to thyroid hormone regulation (</w:t>
      </w:r>
      <w:r w:rsidR="00A42CC4" w:rsidRPr="000C7CFA">
        <w:rPr>
          <w:rFonts w:ascii="Verdana" w:hAnsi="Verdana"/>
          <w:bCs/>
          <w:i/>
          <w:color w:val="000000"/>
          <w:sz w:val="18"/>
          <w:szCs w:val="18"/>
        </w:rPr>
        <w:t>crh</w:t>
      </w:r>
      <w:r w:rsidR="00A42CC4" w:rsidRPr="000C7CFA">
        <w:rPr>
          <w:rFonts w:ascii="Verdana" w:hAnsi="Verdana"/>
          <w:bCs/>
          <w:color w:val="000000"/>
          <w:sz w:val="18"/>
          <w:szCs w:val="18"/>
        </w:rPr>
        <w:t>,</w:t>
      </w:r>
      <w:r w:rsidR="00A42CC4" w:rsidRPr="000C7CFA">
        <w:rPr>
          <w:rFonts w:ascii="Verdana" w:hAnsi="Verdana"/>
          <w:bCs/>
          <w:i/>
          <w:color w:val="000000"/>
          <w:sz w:val="18"/>
          <w:szCs w:val="18"/>
        </w:rPr>
        <w:t xml:space="preserve"> tshβ</w:t>
      </w:r>
      <w:r w:rsidR="009B5BC5" w:rsidRPr="000C7CFA">
        <w:rPr>
          <w:rFonts w:ascii="Verdana" w:hAnsi="Verdana"/>
          <w:bCs/>
          <w:color w:val="000000"/>
          <w:sz w:val="18"/>
          <w:szCs w:val="18"/>
        </w:rPr>
        <w:t xml:space="preserve"> and</w:t>
      </w:r>
      <w:r w:rsidR="00A42CC4" w:rsidRPr="000C7CFA">
        <w:rPr>
          <w:rFonts w:ascii="Verdana" w:hAnsi="Verdana"/>
          <w:bCs/>
          <w:i/>
          <w:color w:val="000000"/>
          <w:sz w:val="18"/>
          <w:szCs w:val="18"/>
        </w:rPr>
        <w:t xml:space="preserve"> </w:t>
      </w:r>
      <w:proofErr w:type="gramStart"/>
      <w:r w:rsidR="009B5BC5" w:rsidRPr="000C7CFA">
        <w:rPr>
          <w:rFonts w:ascii="Verdana" w:hAnsi="Verdana"/>
          <w:bCs/>
          <w:i/>
          <w:color w:val="000000"/>
          <w:sz w:val="18"/>
          <w:szCs w:val="18"/>
        </w:rPr>
        <w:t>tg</w:t>
      </w:r>
      <w:proofErr w:type="gramEnd"/>
      <w:r w:rsidR="009B5BC5" w:rsidRPr="000C7CFA">
        <w:rPr>
          <w:rFonts w:ascii="Verdana" w:hAnsi="Verdana"/>
          <w:bCs/>
          <w:color w:val="000000"/>
          <w:sz w:val="18"/>
          <w:szCs w:val="18"/>
        </w:rPr>
        <w:t xml:space="preserve"> </w:t>
      </w:r>
      <w:r w:rsidR="009B5BC5" w:rsidRPr="000C7CFA">
        <w:rPr>
          <w:rFonts w:ascii="Verdana" w:hAnsi="Verdana"/>
          <w:sz w:val="18"/>
          <w:szCs w:val="18"/>
        </w:rPr>
        <w:t>as for the oral gavage test above</w:t>
      </w:r>
      <w:r w:rsidR="009B5BC5" w:rsidRPr="000C7CFA">
        <w:rPr>
          <w:rFonts w:ascii="Verdana" w:hAnsi="Verdana"/>
          <w:bCs/>
          <w:i/>
          <w:color w:val="000000"/>
          <w:sz w:val="18"/>
          <w:szCs w:val="18"/>
        </w:rPr>
        <w:t xml:space="preserve"> </w:t>
      </w:r>
      <w:r w:rsidR="009B5BC5" w:rsidRPr="000C7CFA">
        <w:rPr>
          <w:rFonts w:ascii="Verdana" w:hAnsi="Verdana"/>
          <w:bCs/>
          <w:color w:val="000000"/>
          <w:sz w:val="18"/>
          <w:szCs w:val="18"/>
        </w:rPr>
        <w:t xml:space="preserve">plus </w:t>
      </w:r>
      <w:r w:rsidR="009B5BC5" w:rsidRPr="000C7CFA">
        <w:rPr>
          <w:rFonts w:ascii="Verdana" w:hAnsi="Verdana"/>
          <w:color w:val="000000"/>
          <w:sz w:val="18"/>
          <w:szCs w:val="18"/>
        </w:rPr>
        <w:t>thyroid stimulating hormone receptor (</w:t>
      </w:r>
      <w:r w:rsidR="00A42CC4" w:rsidRPr="000C7CFA">
        <w:rPr>
          <w:rFonts w:ascii="Verdana" w:hAnsi="Verdana"/>
          <w:bCs/>
          <w:i/>
          <w:color w:val="000000"/>
          <w:sz w:val="18"/>
          <w:szCs w:val="18"/>
        </w:rPr>
        <w:t>tshr</w:t>
      </w:r>
      <w:r w:rsidR="009B5BC5" w:rsidRPr="000C7CFA">
        <w:rPr>
          <w:rFonts w:ascii="Verdana" w:hAnsi="Verdana"/>
          <w:bCs/>
          <w:color w:val="000000"/>
          <w:sz w:val="18"/>
          <w:szCs w:val="18"/>
        </w:rPr>
        <w:t>)</w:t>
      </w:r>
      <w:r w:rsidR="009B6611" w:rsidRPr="000C7CFA">
        <w:rPr>
          <w:rFonts w:ascii="Verdana" w:hAnsi="Verdana"/>
          <w:sz w:val="18"/>
          <w:szCs w:val="18"/>
        </w:rPr>
        <w:t xml:space="preserve">) </w:t>
      </w:r>
      <w:r w:rsidR="00BB377E" w:rsidRPr="000C7CFA">
        <w:rPr>
          <w:rFonts w:ascii="Verdana" w:hAnsi="Verdana" w:cs="AdvOT863180fb"/>
          <w:color w:val="000000"/>
          <w:sz w:val="18"/>
          <w:szCs w:val="18"/>
          <w:lang w:eastAsia="en-GB"/>
        </w:rPr>
        <w:t>for each treatment. Body residues could not be measured due to low sample mass.</w:t>
      </w:r>
    </w:p>
    <w:p w14:paraId="2E0BB601" w14:textId="30FEAED8" w:rsidR="00093979" w:rsidRPr="000C7CFA" w:rsidRDefault="00093979" w:rsidP="00E665BE">
      <w:pPr>
        <w:pStyle w:val="BodyText"/>
        <w:spacing w:after="0"/>
        <w:ind w:left="425"/>
        <w:rPr>
          <w:rFonts w:ascii="Verdana" w:hAnsi="Verdana"/>
          <w:sz w:val="18"/>
          <w:szCs w:val="18"/>
        </w:rPr>
      </w:pPr>
      <w:r w:rsidRPr="000C7CFA">
        <w:rPr>
          <w:rFonts w:ascii="Verdana" w:hAnsi="Verdana"/>
          <w:sz w:val="18"/>
          <w:szCs w:val="18"/>
        </w:rPr>
        <w:t xml:space="preserve">No significant effects </w:t>
      </w:r>
      <w:r w:rsidR="00371478" w:rsidRPr="000C7CFA">
        <w:rPr>
          <w:rFonts w:ascii="Verdana" w:hAnsi="Verdana"/>
          <w:sz w:val="18"/>
          <w:szCs w:val="18"/>
        </w:rPr>
        <w:t>on hatching time, survival or malformations</w:t>
      </w:r>
      <w:r w:rsidR="00E665BE" w:rsidRPr="000C7CFA">
        <w:rPr>
          <w:rFonts w:ascii="Verdana" w:hAnsi="Verdana"/>
          <w:sz w:val="18"/>
          <w:szCs w:val="18"/>
        </w:rPr>
        <w:t xml:space="preserve"> </w:t>
      </w:r>
      <w:r w:rsidRPr="000C7CFA">
        <w:rPr>
          <w:rFonts w:ascii="Verdana" w:hAnsi="Verdana"/>
          <w:sz w:val="18"/>
          <w:szCs w:val="18"/>
        </w:rPr>
        <w:t xml:space="preserve">were observed in any </w:t>
      </w:r>
      <w:r w:rsidR="00371478" w:rsidRPr="000C7CFA">
        <w:rPr>
          <w:rFonts w:ascii="Verdana" w:hAnsi="Verdana"/>
          <w:sz w:val="18"/>
          <w:szCs w:val="18"/>
        </w:rPr>
        <w:t xml:space="preserve">Dechlorane Plus </w:t>
      </w:r>
      <w:r w:rsidRPr="000C7CFA">
        <w:rPr>
          <w:rFonts w:ascii="Verdana" w:hAnsi="Verdana"/>
          <w:sz w:val="18"/>
          <w:szCs w:val="18"/>
        </w:rPr>
        <w:t xml:space="preserve">treatment group </w:t>
      </w:r>
      <w:r w:rsidR="00371478" w:rsidRPr="000C7CFA">
        <w:rPr>
          <w:rFonts w:ascii="Verdana" w:hAnsi="Verdana"/>
          <w:sz w:val="18"/>
          <w:szCs w:val="18"/>
        </w:rPr>
        <w:t xml:space="preserve">compared to the solvent control </w:t>
      </w:r>
      <w:r w:rsidRPr="000C7CFA">
        <w:rPr>
          <w:rFonts w:ascii="Verdana" w:hAnsi="Verdana"/>
          <w:sz w:val="18"/>
          <w:szCs w:val="18"/>
        </w:rPr>
        <w:t xml:space="preserve">(time to hatch was </w:t>
      </w:r>
      <w:r w:rsidRPr="000C7CFA">
        <w:rPr>
          <w:rFonts w:ascii="Verdana" w:hAnsi="Verdana"/>
          <w:sz w:val="18"/>
          <w:szCs w:val="18"/>
        </w:rPr>
        <w:lastRenderedPageBreak/>
        <w:t xml:space="preserve">significantly delayed in the </w:t>
      </w:r>
      <w:r w:rsidR="00E665BE" w:rsidRPr="000C7CFA">
        <w:rPr>
          <w:rFonts w:ascii="Verdana" w:hAnsi="Verdana"/>
          <w:sz w:val="18"/>
          <w:szCs w:val="18"/>
        </w:rPr>
        <w:t>solvent</w:t>
      </w:r>
      <w:r w:rsidRPr="000C7CFA">
        <w:rPr>
          <w:rFonts w:ascii="Verdana" w:hAnsi="Verdana"/>
          <w:sz w:val="18"/>
          <w:szCs w:val="18"/>
        </w:rPr>
        <w:t xml:space="preserve"> control compared to the water control group). Transcriptional changes related to thyroid hormone</w:t>
      </w:r>
      <w:r w:rsidR="00E665BE" w:rsidRPr="000C7CFA">
        <w:rPr>
          <w:rFonts w:ascii="Verdana" w:hAnsi="Verdana"/>
          <w:sz w:val="18"/>
          <w:szCs w:val="18"/>
        </w:rPr>
        <w:t xml:space="preserve"> regulation</w:t>
      </w:r>
      <w:r w:rsidRPr="000C7CFA">
        <w:rPr>
          <w:rFonts w:ascii="Verdana" w:hAnsi="Verdana"/>
          <w:sz w:val="18"/>
          <w:szCs w:val="18"/>
        </w:rPr>
        <w:t xml:space="preserve"> were not observed.</w:t>
      </w:r>
    </w:p>
    <w:p w14:paraId="3258A9A0" w14:textId="77777777" w:rsidR="004D496D" w:rsidRPr="000C7CFA" w:rsidRDefault="004D496D" w:rsidP="008369CB">
      <w:pPr>
        <w:autoSpaceDE w:val="0"/>
        <w:autoSpaceDN w:val="0"/>
        <w:adjustRightInd w:val="0"/>
        <w:spacing w:after="0"/>
        <w:rPr>
          <w:rFonts w:ascii="Verdana" w:eastAsiaTheme="minorHAnsi" w:hAnsi="Verdana"/>
          <w:sz w:val="18"/>
          <w:szCs w:val="18"/>
        </w:rPr>
      </w:pPr>
    </w:p>
    <w:p w14:paraId="0FA34B75" w14:textId="7713783C" w:rsidR="00D76678" w:rsidRPr="000C7CFA" w:rsidRDefault="00D76678" w:rsidP="00DC3658">
      <w:pPr>
        <w:pStyle w:val="BodyText"/>
        <w:numPr>
          <w:ilvl w:val="0"/>
          <w:numId w:val="20"/>
        </w:numPr>
        <w:ind w:left="426" w:hanging="426"/>
        <w:rPr>
          <w:rFonts w:ascii="Verdana" w:eastAsiaTheme="minorHAnsi" w:hAnsi="Verdana"/>
          <w:sz w:val="18"/>
          <w:szCs w:val="18"/>
        </w:rPr>
      </w:pPr>
      <w:r w:rsidRPr="000C7CFA">
        <w:rPr>
          <w:rFonts w:ascii="Verdana" w:eastAsiaTheme="minorHAnsi" w:hAnsi="Verdana"/>
          <w:sz w:val="18"/>
          <w:szCs w:val="18"/>
          <w:u w:val="single"/>
        </w:rPr>
        <w:t xml:space="preserve">Chen </w:t>
      </w:r>
      <w:r w:rsidRPr="000C7CFA">
        <w:rPr>
          <w:rFonts w:ascii="Verdana" w:eastAsiaTheme="minorHAnsi" w:hAnsi="Verdana"/>
          <w:i/>
          <w:sz w:val="18"/>
          <w:szCs w:val="18"/>
          <w:u w:val="single"/>
        </w:rPr>
        <w:t>et al</w:t>
      </w:r>
      <w:r w:rsidRPr="000C7CFA">
        <w:rPr>
          <w:rFonts w:ascii="Verdana" w:eastAsiaTheme="minorHAnsi" w:hAnsi="Verdana"/>
          <w:sz w:val="18"/>
          <w:szCs w:val="18"/>
          <w:u w:val="single"/>
        </w:rPr>
        <w:t>. (2017)</w:t>
      </w:r>
      <w:r w:rsidRPr="000C7CFA">
        <w:rPr>
          <w:rFonts w:ascii="Verdana" w:eastAsiaTheme="minorHAnsi" w:hAnsi="Verdana"/>
          <w:sz w:val="18"/>
          <w:szCs w:val="18"/>
        </w:rPr>
        <w:t xml:space="preserve"> investigated developmental neurobehavioral toxicity in embryo-larval stages of </w:t>
      </w:r>
      <w:r w:rsidR="0067319D" w:rsidRPr="000C7CFA">
        <w:rPr>
          <w:rFonts w:ascii="Verdana" w:hAnsi="Verdana"/>
          <w:sz w:val="18"/>
          <w:szCs w:val="18"/>
        </w:rPr>
        <w:t>Zebrafish</w:t>
      </w:r>
      <w:r w:rsidRPr="000C7CFA">
        <w:rPr>
          <w:rFonts w:ascii="Verdana" w:eastAsiaTheme="minorHAnsi" w:hAnsi="Verdana"/>
          <w:sz w:val="18"/>
          <w:szCs w:val="18"/>
        </w:rPr>
        <w:t>. This academic study is not included in the registration dossier. The tests were carried out at 28 °C and a pH of 7.0-7.5. Normal fertilized embryos (from 6 hpf) were exposed to nominal aqueous D</w:t>
      </w:r>
      <w:r w:rsidR="00F87752" w:rsidRPr="000C7CFA">
        <w:rPr>
          <w:rFonts w:ascii="Verdana" w:eastAsiaTheme="minorHAnsi" w:hAnsi="Verdana"/>
          <w:sz w:val="18"/>
          <w:szCs w:val="18"/>
        </w:rPr>
        <w:t xml:space="preserve">echlorane </w:t>
      </w:r>
      <w:r w:rsidRPr="000C7CFA">
        <w:rPr>
          <w:rFonts w:ascii="Verdana" w:eastAsiaTheme="minorHAnsi" w:hAnsi="Verdana"/>
          <w:sz w:val="18"/>
          <w:szCs w:val="18"/>
        </w:rPr>
        <w:t>P</w:t>
      </w:r>
      <w:r w:rsidR="00F87752" w:rsidRPr="000C7CFA">
        <w:rPr>
          <w:rFonts w:ascii="Verdana" w:eastAsiaTheme="minorHAnsi" w:hAnsi="Verdana"/>
          <w:sz w:val="18"/>
          <w:szCs w:val="18"/>
        </w:rPr>
        <w:t>lus</w:t>
      </w:r>
      <w:r w:rsidRPr="000C7CFA">
        <w:rPr>
          <w:rFonts w:ascii="Verdana" w:eastAsiaTheme="minorHAnsi" w:hAnsi="Verdana"/>
          <w:sz w:val="18"/>
          <w:szCs w:val="18"/>
        </w:rPr>
        <w:t xml:space="preserve"> concentrations of 15, 30 and 60 µg/L for up to 120 hpf (5 days) using a semi-static regime (solutions renewed every other day). Three replicates were used per treatment (the total number of embryos per treatment is not clearly stated, but appears to have been at least 120 based on the supplemental data for mortality and hatching rate). Dimethyl sulfoxide (DMSO) was used as a cosolvent (0.</w:t>
      </w:r>
      <w:r w:rsidR="00AF7606" w:rsidRPr="000C7CFA">
        <w:rPr>
          <w:rFonts w:ascii="Verdana" w:eastAsiaTheme="minorHAnsi" w:hAnsi="Verdana"/>
          <w:sz w:val="18"/>
          <w:szCs w:val="18"/>
        </w:rPr>
        <w:t>1 %</w:t>
      </w:r>
      <w:r w:rsidRPr="000C7CFA">
        <w:rPr>
          <w:rFonts w:ascii="Verdana" w:eastAsiaTheme="minorHAnsi" w:hAnsi="Verdana"/>
          <w:sz w:val="18"/>
          <w:szCs w:val="18"/>
        </w:rPr>
        <w:t xml:space="preserve"> v/v), and a solvent control was included. Larval teratology, motor activity (assessed between 25 and 96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using 60-72 embryos per treatment), motoneuron axonal growth (at 48 hpf and 10 embryos per replicate, n=3 replicates per treatment) and muscle morphology (at 120 hpf, 30 embryos per treatment) were assessed. Cell death (apoptosis) (12 embryos per treatment), reactive oxygen species (ROS), malondialdehyde (MDA) formation (a lipid peroxidation product) and axonal growth-related gene expression were also measured at 96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w:t>
      </w:r>
    </w:p>
    <w:p w14:paraId="010A03AC" w14:textId="52BAD529" w:rsidR="00F87752" w:rsidRPr="000C7CFA" w:rsidRDefault="00D76678" w:rsidP="00F87752">
      <w:pPr>
        <w:pStyle w:val="BodyText"/>
        <w:ind w:left="426"/>
        <w:rPr>
          <w:rFonts w:ascii="Verdana" w:eastAsiaTheme="minorHAnsi" w:hAnsi="Verdana"/>
          <w:sz w:val="18"/>
          <w:szCs w:val="18"/>
        </w:rPr>
      </w:pPr>
      <w:r w:rsidRPr="000C7CFA">
        <w:rPr>
          <w:rFonts w:ascii="Verdana" w:eastAsiaTheme="minorHAnsi" w:hAnsi="Verdana"/>
          <w:sz w:val="18"/>
          <w:szCs w:val="18"/>
        </w:rPr>
        <w:t xml:space="preserve">Chemical analysis included </w:t>
      </w:r>
      <w:r w:rsidRPr="000C7CFA">
        <w:rPr>
          <w:rFonts w:ascii="Verdana" w:hAnsi="Verdana"/>
          <w:sz w:val="18"/>
          <w:szCs w:val="18"/>
        </w:rPr>
        <w:t>spiking</w:t>
      </w:r>
      <w:r w:rsidRPr="000C7CFA">
        <w:rPr>
          <w:rFonts w:ascii="Verdana" w:eastAsiaTheme="minorHAnsi" w:hAnsi="Verdana"/>
          <w:sz w:val="18"/>
          <w:szCs w:val="18"/>
        </w:rPr>
        <w:t xml:space="preserve"> of samples with a recovery standard (PCB</w:t>
      </w:r>
      <w:r w:rsidR="00F87752" w:rsidRPr="000C7CFA">
        <w:rPr>
          <w:rFonts w:ascii="Verdana" w:eastAsiaTheme="minorHAnsi" w:hAnsi="Verdana"/>
          <w:sz w:val="18"/>
          <w:szCs w:val="18"/>
        </w:rPr>
        <w:noBreakHyphen/>
      </w:r>
      <w:r w:rsidRPr="000C7CFA">
        <w:rPr>
          <w:rFonts w:ascii="Verdana" w:eastAsiaTheme="minorHAnsi" w:hAnsi="Verdana"/>
          <w:sz w:val="18"/>
          <w:szCs w:val="18"/>
        </w:rPr>
        <w:t xml:space="preserve">209), with </w:t>
      </w:r>
      <w:r w:rsidRPr="000C7CFA">
        <w:rPr>
          <w:rFonts w:ascii="Verdana" w:eastAsiaTheme="minorHAnsi" w:hAnsi="Verdana"/>
          <w:sz w:val="18"/>
          <w:szCs w:val="18"/>
          <w:vertAlign w:val="superscript"/>
        </w:rPr>
        <w:t>13</w:t>
      </w:r>
      <w:r w:rsidRPr="000C7CFA">
        <w:rPr>
          <w:rFonts w:ascii="Verdana" w:eastAsiaTheme="minorHAnsi" w:hAnsi="Verdana"/>
          <w:sz w:val="18"/>
          <w:szCs w:val="18"/>
        </w:rPr>
        <w:t>C</w:t>
      </w:r>
      <w:r w:rsidRPr="000C7CFA">
        <w:rPr>
          <w:rFonts w:ascii="Verdana" w:eastAsiaTheme="minorHAnsi" w:hAnsi="Verdana"/>
          <w:sz w:val="18"/>
          <w:szCs w:val="18"/>
          <w:vertAlign w:val="subscript"/>
        </w:rPr>
        <w:t>12</w:t>
      </w:r>
      <w:r w:rsidRPr="000C7CFA">
        <w:rPr>
          <w:rFonts w:ascii="Verdana" w:eastAsiaTheme="minorHAnsi" w:hAnsi="Verdana"/>
          <w:sz w:val="18"/>
          <w:szCs w:val="18"/>
        </w:rPr>
        <w:t>-PCB-208 used</w:t>
      </w:r>
      <w:r w:rsidRPr="000C7CFA">
        <w:rPr>
          <w:rFonts w:ascii="Verdana" w:eastAsiaTheme="minorHAnsi" w:hAnsi="Verdana" w:cs="AdvOT863180fb"/>
          <w:color w:val="000000"/>
          <w:sz w:val="18"/>
          <w:szCs w:val="18"/>
        </w:rPr>
        <w:t xml:space="preserve"> </w:t>
      </w:r>
      <w:r w:rsidRPr="000C7CFA">
        <w:rPr>
          <w:rFonts w:ascii="Verdana" w:eastAsiaTheme="minorHAnsi" w:hAnsi="Verdana"/>
          <w:sz w:val="18"/>
          <w:szCs w:val="18"/>
        </w:rPr>
        <w:t xml:space="preserve">as an internal standard. Total </w:t>
      </w:r>
      <w:r w:rsidR="00F87752" w:rsidRPr="000C7CFA">
        <w:rPr>
          <w:rFonts w:ascii="Verdana" w:eastAsiaTheme="minorHAnsi" w:hAnsi="Verdana"/>
          <w:sz w:val="18"/>
          <w:szCs w:val="18"/>
        </w:rPr>
        <w:t>Dechlorane Plus</w:t>
      </w:r>
      <w:r w:rsidRPr="000C7CFA">
        <w:rPr>
          <w:rFonts w:ascii="Verdana" w:eastAsiaTheme="minorHAnsi" w:hAnsi="Verdana"/>
          <w:sz w:val="18"/>
          <w:szCs w:val="18"/>
        </w:rPr>
        <w:t xml:space="preserve"> concentrations in water were 12.3 ± 0.7, 27.1 ± 1.9 and 58.7 ± 1.8 </w:t>
      </w:r>
      <w:r w:rsidR="00E554F9" w:rsidRPr="000C7CFA">
        <w:rPr>
          <w:rFonts w:ascii="Verdana" w:eastAsiaTheme="minorHAnsi" w:hAnsi="Verdana"/>
          <w:sz w:val="18"/>
          <w:szCs w:val="18"/>
        </w:rPr>
        <w:t>µ</w:t>
      </w:r>
      <w:r w:rsidRPr="000C7CFA">
        <w:rPr>
          <w:rFonts w:ascii="Verdana" w:eastAsiaTheme="minorHAnsi" w:hAnsi="Verdana"/>
          <w:sz w:val="18"/>
          <w:szCs w:val="18"/>
        </w:rPr>
        <w:t xml:space="preserve">g/L in the three treatment groups (representing 82, 90 and 97.8 % of nominal, respectively); the time of analysis is not provided. Fish concentrations (100 fish, n=3 replicates) at 120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were 757.8 ± 29.2, 1</w:t>
      </w:r>
      <w:r w:rsidR="008610EB" w:rsidRPr="000C7CFA">
        <w:rPr>
          <w:rFonts w:ascii="Verdana" w:eastAsiaTheme="minorHAnsi" w:hAnsi="Verdana"/>
          <w:sz w:val="18"/>
          <w:szCs w:val="18"/>
        </w:rPr>
        <w:t> </w:t>
      </w:r>
      <w:r w:rsidRPr="000C7CFA">
        <w:rPr>
          <w:rFonts w:ascii="Verdana" w:eastAsiaTheme="minorHAnsi" w:hAnsi="Verdana"/>
          <w:sz w:val="18"/>
          <w:szCs w:val="18"/>
        </w:rPr>
        <w:t>319.3 ± 32.1 and 2</w:t>
      </w:r>
      <w:r w:rsidR="008610EB" w:rsidRPr="000C7CFA">
        <w:rPr>
          <w:rFonts w:ascii="Verdana" w:eastAsiaTheme="minorHAnsi" w:hAnsi="Verdana"/>
          <w:sz w:val="18"/>
          <w:szCs w:val="18"/>
        </w:rPr>
        <w:t> </w:t>
      </w:r>
      <w:r w:rsidRPr="000C7CFA">
        <w:rPr>
          <w:rFonts w:ascii="Verdana" w:eastAsiaTheme="minorHAnsi" w:hAnsi="Verdana"/>
          <w:sz w:val="18"/>
          <w:szCs w:val="18"/>
        </w:rPr>
        <w:t>148.6 ± 41.8 ng/g [µg/kg] dw in the three treatment groups.</w:t>
      </w:r>
      <w:r w:rsidRPr="000C7CFA">
        <w:rPr>
          <w:rStyle w:val="FootnoteReference"/>
          <w:rFonts w:ascii="Verdana" w:eastAsiaTheme="minorHAnsi" w:hAnsi="Verdana"/>
          <w:sz w:val="18"/>
          <w:szCs w:val="18"/>
        </w:rPr>
        <w:footnoteReference w:id="39"/>
      </w:r>
      <w:r w:rsidRPr="000C7CFA">
        <w:rPr>
          <w:rFonts w:ascii="Verdana" w:eastAsiaTheme="minorHAnsi" w:hAnsi="Verdana"/>
          <w:sz w:val="18"/>
          <w:szCs w:val="18"/>
        </w:rPr>
        <w:t xml:space="preserve"> </w:t>
      </w:r>
    </w:p>
    <w:p w14:paraId="4AE73977" w14:textId="452EF13E" w:rsidR="00D76678" w:rsidRPr="000C7CFA" w:rsidRDefault="00D76678" w:rsidP="00F87752">
      <w:pPr>
        <w:pStyle w:val="BodyText"/>
        <w:ind w:left="426"/>
        <w:rPr>
          <w:rFonts w:ascii="Verdana" w:eastAsiaTheme="minorHAnsi" w:hAnsi="Verdana"/>
          <w:sz w:val="18"/>
          <w:szCs w:val="18"/>
        </w:rPr>
      </w:pPr>
      <w:r w:rsidRPr="000C7CFA">
        <w:rPr>
          <w:rFonts w:ascii="Verdana" w:eastAsiaTheme="minorHAnsi" w:hAnsi="Verdana"/>
          <w:sz w:val="18"/>
          <w:szCs w:val="18"/>
        </w:rPr>
        <w:t xml:space="preserve">Malformations (e.g. yolk-sac edema, pericardial edema, axial spinal curvature and cyclops or absence of eyes) and effects on hatching rate and mortality were reported to be no different from controls at 120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However, </w:t>
      </w:r>
      <w:r w:rsidR="00F87752" w:rsidRPr="000C7CFA">
        <w:rPr>
          <w:rFonts w:ascii="Verdana" w:eastAsiaTheme="minorHAnsi" w:hAnsi="Verdana"/>
          <w:sz w:val="18"/>
          <w:szCs w:val="18"/>
        </w:rPr>
        <w:t>Dechlorane Plus</w:t>
      </w:r>
      <w:r w:rsidRPr="000C7CFA">
        <w:rPr>
          <w:rFonts w:ascii="Verdana" w:eastAsiaTheme="minorHAnsi" w:hAnsi="Verdana"/>
          <w:sz w:val="18"/>
          <w:szCs w:val="18"/>
        </w:rPr>
        <w:t xml:space="preserve"> exposure did induce a range of responses:</w:t>
      </w:r>
    </w:p>
    <w:p w14:paraId="23945CEA" w14:textId="5E111C66" w:rsidR="00D76678" w:rsidRPr="000C7CFA" w:rsidRDefault="00D76678" w:rsidP="00DC3658">
      <w:pPr>
        <w:pStyle w:val="ListParagraph"/>
        <w:numPr>
          <w:ilvl w:val="0"/>
          <w:numId w:val="19"/>
        </w:numPr>
        <w:autoSpaceDE w:val="0"/>
        <w:autoSpaceDN w:val="0"/>
        <w:adjustRightInd w:val="0"/>
        <w:spacing w:after="180" w:line="240" w:lineRule="auto"/>
        <w:ind w:left="709" w:right="289" w:hanging="284"/>
        <w:jc w:val="both"/>
        <w:rPr>
          <w:rFonts w:ascii="Verdana" w:eastAsiaTheme="minorHAnsi" w:hAnsi="Verdana"/>
          <w:sz w:val="18"/>
          <w:szCs w:val="18"/>
        </w:rPr>
      </w:pPr>
      <w:r w:rsidRPr="000C7CFA">
        <w:rPr>
          <w:rFonts w:ascii="Verdana" w:eastAsiaTheme="minorHAnsi" w:hAnsi="Verdana"/>
          <w:sz w:val="18"/>
          <w:szCs w:val="18"/>
        </w:rPr>
        <w:t xml:space="preserve">Control embryos initiated alternating side-to-side contractions at 22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gradually reaching a peak of 7 bends/min at 23 hpf, then fluctuated around this frequency for nearly 2 h. Embryos exposed to </w:t>
      </w:r>
      <w:r w:rsidR="00F87752" w:rsidRPr="000C7CFA">
        <w:rPr>
          <w:rFonts w:ascii="Verdana" w:eastAsiaTheme="minorHAnsi" w:hAnsi="Verdana"/>
          <w:sz w:val="18"/>
          <w:szCs w:val="18"/>
        </w:rPr>
        <w:t>Dechlorane Plus</w:t>
      </w:r>
      <w:r w:rsidRPr="000C7CFA">
        <w:rPr>
          <w:rFonts w:ascii="Verdana" w:eastAsiaTheme="minorHAnsi" w:hAnsi="Verdana"/>
          <w:sz w:val="18"/>
          <w:szCs w:val="18"/>
        </w:rPr>
        <w:t xml:space="preserve"> exhibited a similar pattern of spontaneous movement at the beginning but showed increased frequency of bending with time, peaking at 24 hpf. Statistically significant increases in spontaneous movement were observed at 24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in all </w:t>
      </w:r>
      <w:r w:rsidR="00F87752" w:rsidRPr="000C7CFA">
        <w:rPr>
          <w:rFonts w:ascii="Verdana" w:eastAsiaTheme="minorHAnsi" w:hAnsi="Verdana"/>
          <w:sz w:val="18"/>
          <w:szCs w:val="18"/>
        </w:rPr>
        <w:t>Dechlorane Plus</w:t>
      </w:r>
      <w:r w:rsidRPr="000C7CFA">
        <w:rPr>
          <w:rFonts w:ascii="Verdana" w:eastAsiaTheme="minorHAnsi" w:hAnsi="Verdana"/>
          <w:sz w:val="18"/>
          <w:szCs w:val="18"/>
        </w:rPr>
        <w:t xml:space="preserve"> treatments, with the highest peak frequency of 8.3 ± 0.4 bends/min occurring in the highest treatment.</w:t>
      </w:r>
    </w:p>
    <w:p w14:paraId="6D3BD53B" w14:textId="77777777" w:rsidR="00F87752" w:rsidRPr="000C7CFA" w:rsidRDefault="00F87752" w:rsidP="00F87752">
      <w:pPr>
        <w:pStyle w:val="ListParagraph"/>
        <w:autoSpaceDE w:val="0"/>
        <w:autoSpaceDN w:val="0"/>
        <w:adjustRightInd w:val="0"/>
        <w:spacing w:after="180" w:line="240" w:lineRule="auto"/>
        <w:ind w:left="709" w:right="289"/>
        <w:jc w:val="both"/>
        <w:rPr>
          <w:rFonts w:ascii="Verdana" w:eastAsiaTheme="minorHAnsi" w:hAnsi="Verdana"/>
          <w:sz w:val="18"/>
          <w:szCs w:val="18"/>
        </w:rPr>
      </w:pPr>
    </w:p>
    <w:p w14:paraId="2FF0E017" w14:textId="06402E52" w:rsidR="00D76678" w:rsidRPr="000C7CFA" w:rsidRDefault="00D76678" w:rsidP="00DC3658">
      <w:pPr>
        <w:pStyle w:val="ListParagraph"/>
        <w:numPr>
          <w:ilvl w:val="0"/>
          <w:numId w:val="19"/>
        </w:numPr>
        <w:autoSpaceDE w:val="0"/>
        <w:autoSpaceDN w:val="0"/>
        <w:adjustRightInd w:val="0"/>
        <w:spacing w:after="0" w:line="240" w:lineRule="auto"/>
        <w:ind w:left="709" w:right="288" w:hanging="283"/>
        <w:jc w:val="both"/>
        <w:rPr>
          <w:rFonts w:ascii="Verdana" w:eastAsiaTheme="minorHAnsi" w:hAnsi="Verdana"/>
          <w:sz w:val="18"/>
          <w:szCs w:val="18"/>
        </w:rPr>
      </w:pPr>
      <w:r w:rsidRPr="000C7CFA">
        <w:rPr>
          <w:rFonts w:ascii="Verdana" w:eastAsiaTheme="minorHAnsi" w:hAnsi="Verdana"/>
          <w:sz w:val="18"/>
          <w:szCs w:val="18"/>
        </w:rPr>
        <w:t xml:space="preserve">The average swimming distance of larvae (touch-induced movement) decreased in all </w:t>
      </w:r>
      <w:r w:rsidR="00F87752" w:rsidRPr="000C7CFA">
        <w:rPr>
          <w:rFonts w:ascii="Verdana" w:eastAsiaTheme="minorHAnsi" w:hAnsi="Verdana"/>
          <w:sz w:val="18"/>
          <w:szCs w:val="18"/>
        </w:rPr>
        <w:t>Dechlorane Plus</w:t>
      </w:r>
      <w:r w:rsidRPr="000C7CFA">
        <w:rPr>
          <w:rFonts w:ascii="Verdana" w:eastAsiaTheme="minorHAnsi" w:hAnsi="Verdana"/>
          <w:sz w:val="18"/>
          <w:szCs w:val="18"/>
        </w:rPr>
        <w:t xml:space="preserve"> treatment groups compared to the control in a dose-dependent manner, but this was only statistically significant for the highest concentration at 48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larvae, and the top two concentrations at 72 hpf.</w:t>
      </w:r>
    </w:p>
    <w:p w14:paraId="46D18D19" w14:textId="77777777" w:rsidR="00D76678" w:rsidRPr="000C7CFA" w:rsidRDefault="00D76678" w:rsidP="00F87752">
      <w:pPr>
        <w:pStyle w:val="ListParagraph"/>
        <w:ind w:left="709" w:hanging="283"/>
        <w:rPr>
          <w:rFonts w:ascii="Verdana" w:eastAsiaTheme="minorHAnsi" w:hAnsi="Verdana"/>
          <w:sz w:val="18"/>
          <w:szCs w:val="18"/>
        </w:rPr>
      </w:pPr>
    </w:p>
    <w:p w14:paraId="701EE181" w14:textId="2D0B8CE5" w:rsidR="00D76678" w:rsidRPr="000C7CFA" w:rsidRDefault="00D76678" w:rsidP="00DC3658">
      <w:pPr>
        <w:pStyle w:val="ListParagraph"/>
        <w:numPr>
          <w:ilvl w:val="0"/>
          <w:numId w:val="19"/>
        </w:numPr>
        <w:autoSpaceDE w:val="0"/>
        <w:autoSpaceDN w:val="0"/>
        <w:adjustRightInd w:val="0"/>
        <w:spacing w:after="0" w:line="240" w:lineRule="auto"/>
        <w:ind w:left="709" w:right="288" w:hanging="283"/>
        <w:jc w:val="both"/>
        <w:rPr>
          <w:rFonts w:ascii="Verdana" w:eastAsiaTheme="minorHAnsi" w:hAnsi="Verdana"/>
          <w:sz w:val="18"/>
          <w:szCs w:val="18"/>
        </w:rPr>
      </w:pPr>
      <w:r w:rsidRPr="000C7CFA">
        <w:rPr>
          <w:rFonts w:ascii="Verdana" w:eastAsiaTheme="minorHAnsi" w:hAnsi="Verdana"/>
          <w:sz w:val="18"/>
          <w:szCs w:val="18"/>
        </w:rPr>
        <w:t xml:space="preserve">Free-swimming activity was assessed at 120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following a 24-h period in untreated medium. Significant decreases in free swimming speed were observed in the top two treatment groups, suggesting the existence of motor defects. Locomotion activities of larvae were also evaluated using a 25-min alternating dark-to-light photoperiod stimulation. In controls, the swimming speed usually decreased rapidly in the light (increasing in the dark). Treated groups followed the same pattern, but the average swimming speed of larvae exposed to </w:t>
      </w:r>
      <w:r w:rsidR="00F87752" w:rsidRPr="000C7CFA">
        <w:rPr>
          <w:rFonts w:ascii="Verdana" w:eastAsiaTheme="minorHAnsi" w:hAnsi="Verdana"/>
          <w:sz w:val="18"/>
          <w:szCs w:val="18"/>
        </w:rPr>
        <w:t>Dechlorane Plus</w:t>
      </w:r>
      <w:r w:rsidRPr="000C7CFA">
        <w:rPr>
          <w:rFonts w:ascii="Verdana" w:eastAsiaTheme="minorHAnsi" w:hAnsi="Verdana"/>
          <w:sz w:val="18"/>
          <w:szCs w:val="18"/>
        </w:rPr>
        <w:t xml:space="preserve"> was significantly lower than that of controls during the first 5-min dark period. Exposure to the highest concentration significantly decreased the average swimming speed during every dark period and the first light period.</w:t>
      </w:r>
    </w:p>
    <w:p w14:paraId="21C74024" w14:textId="77777777" w:rsidR="00F87752" w:rsidRPr="000C7CFA" w:rsidRDefault="00F87752" w:rsidP="00F87752">
      <w:pPr>
        <w:pStyle w:val="BodyText"/>
        <w:spacing w:after="0"/>
        <w:ind w:left="425"/>
        <w:rPr>
          <w:rFonts w:ascii="Verdana" w:eastAsiaTheme="minorHAnsi" w:hAnsi="Verdana"/>
          <w:sz w:val="18"/>
          <w:szCs w:val="18"/>
        </w:rPr>
      </w:pPr>
    </w:p>
    <w:p w14:paraId="1893A11E" w14:textId="537F846E" w:rsidR="00F87752" w:rsidRPr="000C7CFA" w:rsidRDefault="00D76678" w:rsidP="00F87752">
      <w:pPr>
        <w:pStyle w:val="BodyText"/>
        <w:ind w:left="426"/>
        <w:rPr>
          <w:rFonts w:ascii="Verdana" w:eastAsiaTheme="minorHAnsi" w:hAnsi="Verdana"/>
          <w:sz w:val="18"/>
          <w:szCs w:val="18"/>
        </w:rPr>
      </w:pPr>
      <w:r w:rsidRPr="000C7CFA">
        <w:rPr>
          <w:rFonts w:ascii="Verdana" w:eastAsiaTheme="minorHAnsi" w:hAnsi="Verdana"/>
          <w:sz w:val="18"/>
          <w:szCs w:val="18"/>
        </w:rPr>
        <w:lastRenderedPageBreak/>
        <w:t xml:space="preserve">In line with these behavioural anomalies, </w:t>
      </w:r>
      <w:r w:rsidR="00F87752" w:rsidRPr="000C7CFA">
        <w:rPr>
          <w:rFonts w:ascii="Verdana" w:eastAsiaTheme="minorHAnsi" w:hAnsi="Verdana"/>
          <w:sz w:val="18"/>
          <w:szCs w:val="18"/>
        </w:rPr>
        <w:t>Dechlorane Plus</w:t>
      </w:r>
      <w:r w:rsidRPr="000C7CFA">
        <w:rPr>
          <w:rFonts w:ascii="Verdana" w:eastAsiaTheme="minorHAnsi" w:hAnsi="Verdana"/>
          <w:sz w:val="18"/>
          <w:szCs w:val="18"/>
        </w:rPr>
        <w:t xml:space="preserve"> significantly inhibited axonal growth of primary motoneurons in a dose-related way (with significant up-regulation of two nerve-related mRNA transcript levels at the highest concentration at 96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Apoptotic cell death in the tail region was observed in all treatments at 96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(but not in controls), and a significant increase in ROS content, MDA level and mRNA transcript levels of two apoptosis-related genes (</w:t>
      </w:r>
      <w:r w:rsidRPr="000C7CFA">
        <w:rPr>
          <w:rFonts w:ascii="Verdana" w:eastAsiaTheme="minorHAnsi" w:hAnsi="Verdana"/>
          <w:i/>
          <w:sz w:val="18"/>
          <w:szCs w:val="18"/>
        </w:rPr>
        <w:t>bax</w:t>
      </w:r>
      <w:r w:rsidRPr="000C7CFA">
        <w:rPr>
          <w:rFonts w:ascii="Verdana" w:eastAsiaTheme="minorHAnsi" w:hAnsi="Verdana"/>
          <w:sz w:val="18"/>
          <w:szCs w:val="18"/>
        </w:rPr>
        <w:t xml:space="preserve"> and </w:t>
      </w:r>
      <w:r w:rsidRPr="000C7CFA">
        <w:rPr>
          <w:rFonts w:ascii="Verdana" w:eastAsiaTheme="minorHAnsi" w:hAnsi="Verdana"/>
          <w:i/>
          <w:sz w:val="18"/>
          <w:szCs w:val="18"/>
        </w:rPr>
        <w:t>caspase-3</w:t>
      </w:r>
      <w:r w:rsidRPr="000C7CFA">
        <w:rPr>
          <w:rFonts w:ascii="Verdana" w:eastAsiaTheme="minorHAnsi" w:hAnsi="Verdana"/>
          <w:sz w:val="18"/>
          <w:szCs w:val="18"/>
        </w:rPr>
        <w:t xml:space="preserve">) were observed at the two highest treatments. Histological examination at 120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showed that larvae exposed to the two highest concentrations had looser and more disordered arrays of muscle fibres in the tail compared with control larvae.</w:t>
      </w:r>
    </w:p>
    <w:p w14:paraId="77779BF2" w14:textId="77777777" w:rsidR="00222120" w:rsidRPr="000C7CFA" w:rsidRDefault="00D76678" w:rsidP="00AC0489">
      <w:pPr>
        <w:pStyle w:val="BodyText"/>
        <w:ind w:left="426"/>
        <w:rPr>
          <w:rFonts w:ascii="Verdana" w:eastAsiaTheme="minorHAnsi" w:hAnsi="Verdana"/>
          <w:sz w:val="18"/>
          <w:szCs w:val="18"/>
        </w:rPr>
      </w:pPr>
      <w:r w:rsidRPr="000C7CFA">
        <w:rPr>
          <w:rFonts w:ascii="Verdana" w:eastAsiaTheme="minorHAnsi" w:hAnsi="Verdana"/>
          <w:sz w:val="18"/>
          <w:szCs w:val="18"/>
        </w:rPr>
        <w:t xml:space="preserve">The study authors concluded that </w:t>
      </w:r>
      <w:r w:rsidR="00F87752" w:rsidRPr="000C7CFA">
        <w:rPr>
          <w:rFonts w:ascii="Verdana" w:eastAsiaTheme="minorHAnsi" w:hAnsi="Verdana"/>
          <w:sz w:val="18"/>
          <w:szCs w:val="18"/>
        </w:rPr>
        <w:t>Dechlorane Plus</w:t>
      </w:r>
      <w:r w:rsidRPr="000C7CFA">
        <w:rPr>
          <w:rFonts w:ascii="Verdana" w:eastAsiaTheme="minorHAnsi" w:hAnsi="Verdana"/>
          <w:sz w:val="18"/>
          <w:szCs w:val="18"/>
        </w:rPr>
        <w:t xml:space="preserve"> induced neurobehavioral deficits which may result from combined effects of altered neuronal connectivity and muscle development, with associated oxidative stress</w:t>
      </w:r>
      <w:r w:rsidR="00F87752" w:rsidRPr="000C7CFA">
        <w:rPr>
          <w:rFonts w:ascii="Verdana" w:eastAsiaTheme="minorHAnsi" w:hAnsi="Verdana"/>
          <w:sz w:val="18"/>
          <w:szCs w:val="18"/>
        </w:rPr>
        <w:t>;</w:t>
      </w:r>
      <w:r w:rsidR="00E554F9" w:rsidRPr="000C7CFA">
        <w:rPr>
          <w:rFonts w:ascii="Verdana" w:eastAsiaTheme="minorHAnsi" w:hAnsi="Verdana"/>
          <w:sz w:val="18"/>
          <w:szCs w:val="18"/>
        </w:rPr>
        <w:t xml:space="preserve"> they speculated that</w:t>
      </w:r>
      <w:r w:rsidR="00F87752" w:rsidRPr="000C7CFA">
        <w:rPr>
          <w:rFonts w:ascii="Verdana" w:eastAsiaTheme="minorHAnsi" w:hAnsi="Verdana"/>
          <w:sz w:val="18"/>
          <w:szCs w:val="18"/>
        </w:rPr>
        <w:t xml:space="preserve"> n</w:t>
      </w:r>
      <w:r w:rsidRPr="000C7CFA">
        <w:rPr>
          <w:rFonts w:ascii="Verdana" w:eastAsiaTheme="minorHAnsi" w:hAnsi="Verdana"/>
          <w:sz w:val="18"/>
          <w:szCs w:val="18"/>
        </w:rPr>
        <w:t xml:space="preserve">erve growth </w:t>
      </w:r>
      <w:r w:rsidR="004D496D" w:rsidRPr="000C7CFA">
        <w:rPr>
          <w:rFonts w:ascii="Verdana" w:eastAsiaTheme="minorHAnsi" w:hAnsi="Verdana"/>
          <w:sz w:val="18"/>
          <w:szCs w:val="18"/>
        </w:rPr>
        <w:t>might</w:t>
      </w:r>
      <w:r w:rsidRPr="000C7CFA">
        <w:rPr>
          <w:rFonts w:ascii="Verdana" w:eastAsiaTheme="minorHAnsi" w:hAnsi="Verdana"/>
          <w:sz w:val="18"/>
          <w:szCs w:val="18"/>
        </w:rPr>
        <w:t xml:space="preserve"> </w:t>
      </w:r>
      <w:r w:rsidR="00E554F9" w:rsidRPr="000C7CFA">
        <w:rPr>
          <w:rFonts w:ascii="Verdana" w:eastAsiaTheme="minorHAnsi" w:hAnsi="Verdana"/>
          <w:sz w:val="18"/>
          <w:szCs w:val="18"/>
        </w:rPr>
        <w:t>have been</w:t>
      </w:r>
      <w:r w:rsidRPr="000C7CFA">
        <w:rPr>
          <w:rFonts w:ascii="Verdana" w:eastAsiaTheme="minorHAnsi" w:hAnsi="Verdana"/>
          <w:sz w:val="18"/>
          <w:szCs w:val="18"/>
        </w:rPr>
        <w:t xml:space="preserve"> affected by thyroid hormone disruption and/or intracellular calcium ion signalling (as suggested by the studies of Kang et al. (2016) and Liang et al. (2014)).</w:t>
      </w:r>
      <w:r w:rsidR="00F87752" w:rsidRPr="000C7CFA">
        <w:rPr>
          <w:rFonts w:ascii="Verdana" w:eastAsiaTheme="minorHAnsi" w:hAnsi="Verdana"/>
          <w:sz w:val="18"/>
          <w:szCs w:val="18"/>
        </w:rPr>
        <w:t xml:space="preserve"> </w:t>
      </w:r>
    </w:p>
    <w:p w14:paraId="7C621785" w14:textId="42A6894D" w:rsidR="00F87752" w:rsidRPr="000C7CFA" w:rsidRDefault="00F87752" w:rsidP="00F87752">
      <w:pPr>
        <w:pStyle w:val="BodyText"/>
        <w:rPr>
          <w:rFonts w:ascii="Verdana" w:hAnsi="Verdana"/>
          <w:i/>
          <w:sz w:val="18"/>
          <w:szCs w:val="18"/>
          <w:u w:val="single"/>
        </w:rPr>
      </w:pPr>
      <w:r w:rsidRPr="000C7CFA">
        <w:rPr>
          <w:rFonts w:ascii="Verdana" w:hAnsi="Verdana"/>
          <w:i/>
          <w:sz w:val="18"/>
          <w:szCs w:val="18"/>
          <w:u w:val="single"/>
        </w:rPr>
        <w:t>Non-test data</w:t>
      </w:r>
    </w:p>
    <w:p w14:paraId="218FA2AD" w14:textId="0FC3EF0F" w:rsidR="00F460AB" w:rsidRPr="000C7CFA" w:rsidRDefault="00A14CBF" w:rsidP="00F460AB">
      <w:pPr>
        <w:pStyle w:val="BodyText"/>
        <w:rPr>
          <w:rFonts w:ascii="Verdana" w:hAnsi="Verdana"/>
          <w:sz w:val="18"/>
          <w:szCs w:val="18"/>
        </w:rPr>
      </w:pPr>
      <w:r w:rsidRPr="000C7CFA">
        <w:rPr>
          <w:rFonts w:ascii="Verdana" w:hAnsi="Verdana"/>
          <w:sz w:val="18"/>
          <w:szCs w:val="18"/>
        </w:rPr>
        <w:t>Predictions of long</w:t>
      </w:r>
      <w:r w:rsidR="00F460AB" w:rsidRPr="000C7CFA">
        <w:rPr>
          <w:rFonts w:ascii="Verdana" w:hAnsi="Verdana"/>
          <w:sz w:val="18"/>
          <w:szCs w:val="18"/>
        </w:rPr>
        <w:t>-term toxicity to fish using ECOSAR v.1.1 (Mayo-Bean, 2012) are valid for substances with a log K</w:t>
      </w:r>
      <w:r w:rsidR="00F460AB" w:rsidRPr="000C7CFA">
        <w:rPr>
          <w:rFonts w:ascii="Verdana" w:hAnsi="Verdana"/>
          <w:sz w:val="18"/>
          <w:szCs w:val="18"/>
          <w:vertAlign w:val="subscript"/>
        </w:rPr>
        <w:t>OW</w:t>
      </w:r>
      <w:r w:rsidR="00F460AB" w:rsidRPr="000C7CFA">
        <w:rPr>
          <w:rFonts w:ascii="Verdana" w:hAnsi="Verdana"/>
          <w:sz w:val="18"/>
          <w:szCs w:val="18"/>
        </w:rPr>
        <w:t xml:space="preserve"> up to </w:t>
      </w:r>
      <w:r w:rsidRPr="000C7CFA">
        <w:rPr>
          <w:rFonts w:ascii="Verdana" w:hAnsi="Verdana"/>
          <w:sz w:val="18"/>
          <w:szCs w:val="18"/>
        </w:rPr>
        <w:t>8</w:t>
      </w:r>
      <w:r w:rsidR="00F460AB" w:rsidRPr="000C7CFA">
        <w:rPr>
          <w:rFonts w:ascii="Verdana" w:hAnsi="Verdana"/>
          <w:sz w:val="18"/>
          <w:szCs w:val="18"/>
        </w:rPr>
        <w:t>. As Dechlorane Plus has a log K</w:t>
      </w:r>
      <w:r w:rsidR="00F460AB" w:rsidRPr="000C7CFA">
        <w:rPr>
          <w:rFonts w:ascii="Verdana" w:hAnsi="Verdana"/>
          <w:sz w:val="18"/>
          <w:szCs w:val="18"/>
          <w:vertAlign w:val="subscript"/>
        </w:rPr>
        <w:t>OW</w:t>
      </w:r>
      <w:r w:rsidR="00F460AB" w:rsidRPr="000C7CFA">
        <w:rPr>
          <w:rFonts w:ascii="Verdana" w:hAnsi="Verdana"/>
          <w:sz w:val="18"/>
          <w:szCs w:val="18"/>
        </w:rPr>
        <w:t xml:space="preserve"> of </w:t>
      </w:r>
      <w:r w:rsidRPr="000C7CFA">
        <w:rPr>
          <w:rFonts w:ascii="Verdana" w:hAnsi="Verdana"/>
          <w:sz w:val="18"/>
          <w:szCs w:val="18"/>
        </w:rPr>
        <w:t>≥</w:t>
      </w:r>
      <w:r w:rsidR="00F460AB" w:rsidRPr="000C7CFA">
        <w:rPr>
          <w:rFonts w:ascii="Verdana" w:hAnsi="Verdana"/>
          <w:sz w:val="18"/>
          <w:szCs w:val="18"/>
        </w:rPr>
        <w:t>9, it falls outside of the prediction domain of the models, and no toxicity is expected at saturation.</w:t>
      </w:r>
    </w:p>
    <w:p w14:paraId="1868B8FB" w14:textId="2FE3DF09" w:rsidR="00A14CBF" w:rsidRPr="000C7CFA" w:rsidRDefault="00E626D2" w:rsidP="00A14CBF">
      <w:pPr>
        <w:jc w:val="both"/>
        <w:rPr>
          <w:rFonts w:ascii="Verdana" w:hAnsi="Verdana"/>
          <w:sz w:val="18"/>
          <w:szCs w:val="18"/>
        </w:rPr>
      </w:pPr>
      <w:r w:rsidRPr="000C7CFA">
        <w:rPr>
          <w:rFonts w:ascii="Verdana" w:hAnsi="Verdana"/>
          <w:sz w:val="18"/>
          <w:szCs w:val="18"/>
        </w:rPr>
        <w:t>Appendix 8</w:t>
      </w:r>
      <w:r w:rsidR="00F460AB" w:rsidRPr="000C7CFA">
        <w:rPr>
          <w:rFonts w:ascii="Verdana" w:hAnsi="Verdana"/>
          <w:sz w:val="18"/>
          <w:szCs w:val="18"/>
        </w:rPr>
        <w:t xml:space="preserve"> </w:t>
      </w:r>
      <w:r w:rsidR="0076237E" w:rsidRPr="000C7CFA">
        <w:rPr>
          <w:rFonts w:ascii="Verdana" w:hAnsi="Verdana"/>
          <w:sz w:val="18"/>
          <w:szCs w:val="18"/>
        </w:rPr>
        <w:t>summarizes</w:t>
      </w:r>
      <w:r w:rsidR="00F460AB" w:rsidRPr="000C7CFA">
        <w:rPr>
          <w:rFonts w:ascii="Verdana" w:hAnsi="Verdana"/>
          <w:sz w:val="18"/>
          <w:szCs w:val="18"/>
        </w:rPr>
        <w:t xml:space="preserve"> aquatic toxicity data for four structural analogues. </w:t>
      </w:r>
      <w:r w:rsidR="00A14CBF" w:rsidRPr="000C7CFA">
        <w:rPr>
          <w:rFonts w:ascii="Verdana" w:hAnsi="Verdana"/>
          <w:sz w:val="18"/>
          <w:szCs w:val="18"/>
        </w:rPr>
        <w:t>There is a lack of relevant structural analogues in the training sets of the models, which limits their reliability. T</w:t>
      </w:r>
      <w:r w:rsidR="00F460AB" w:rsidRPr="000C7CFA">
        <w:rPr>
          <w:rFonts w:ascii="Verdana" w:hAnsi="Verdana"/>
          <w:sz w:val="18"/>
          <w:szCs w:val="18"/>
        </w:rPr>
        <w:t xml:space="preserve">he closest analogues (Dechlorane 603 and Chlordene Plus) are predicted to </w:t>
      </w:r>
      <w:r w:rsidR="00A14CBF" w:rsidRPr="000C7CFA">
        <w:rPr>
          <w:rFonts w:ascii="Verdana" w:hAnsi="Verdana"/>
          <w:sz w:val="18"/>
          <w:szCs w:val="18"/>
        </w:rPr>
        <w:t xml:space="preserve">have a long-term fish NOEC around the limit of their solubility in water. However, both of these substances have </w:t>
      </w:r>
      <w:r w:rsidR="00336F23" w:rsidRPr="000C7CFA">
        <w:rPr>
          <w:rFonts w:ascii="Verdana" w:hAnsi="Verdana"/>
          <w:sz w:val="18"/>
          <w:szCs w:val="18"/>
        </w:rPr>
        <w:t xml:space="preserve">predicted </w:t>
      </w:r>
      <w:r w:rsidR="00A14CBF" w:rsidRPr="000C7CFA">
        <w:rPr>
          <w:rFonts w:ascii="Verdana" w:hAnsi="Verdana"/>
          <w:sz w:val="18"/>
          <w:szCs w:val="18"/>
        </w:rPr>
        <w:t>log K</w:t>
      </w:r>
      <w:r w:rsidR="00A14CBF" w:rsidRPr="000C7CFA">
        <w:rPr>
          <w:rFonts w:ascii="Verdana" w:hAnsi="Verdana"/>
          <w:sz w:val="18"/>
          <w:szCs w:val="18"/>
          <w:vertAlign w:val="subscript"/>
        </w:rPr>
        <w:t>OW</w:t>
      </w:r>
      <w:r w:rsidR="00A14CBF" w:rsidRPr="000C7CFA">
        <w:rPr>
          <w:rFonts w:ascii="Verdana" w:hAnsi="Verdana"/>
          <w:sz w:val="18"/>
          <w:szCs w:val="18"/>
        </w:rPr>
        <w:t xml:space="preserve"> values that exceed the cut-offs for the models by an order of magnitude</w:t>
      </w:r>
      <w:r w:rsidR="00336F23" w:rsidRPr="000C7CFA">
        <w:rPr>
          <w:rFonts w:ascii="Verdana" w:hAnsi="Verdana"/>
          <w:sz w:val="18"/>
          <w:szCs w:val="18"/>
        </w:rPr>
        <w:t xml:space="preserve"> or more</w:t>
      </w:r>
      <w:r w:rsidR="00A14CBF" w:rsidRPr="000C7CFA">
        <w:rPr>
          <w:rFonts w:ascii="Verdana" w:hAnsi="Verdana"/>
          <w:sz w:val="18"/>
          <w:szCs w:val="18"/>
        </w:rPr>
        <w:t>, so these predictions cannot be considered reliable (i.e. no effects at saturation are expected for this endpoint). Two further analogues (chlordane and heptachlor) are chronically toxic to fish</w:t>
      </w:r>
      <w:r w:rsidR="00240728" w:rsidRPr="000C7CFA">
        <w:rPr>
          <w:rFonts w:ascii="Verdana" w:hAnsi="Verdana"/>
          <w:sz w:val="18"/>
          <w:szCs w:val="18"/>
        </w:rPr>
        <w:t xml:space="preserve"> with predicted NOECs around or below 0.01 mg/L</w:t>
      </w:r>
      <w:r w:rsidR="00A14CBF" w:rsidRPr="000C7CFA">
        <w:rPr>
          <w:rFonts w:ascii="Verdana" w:hAnsi="Verdana"/>
          <w:sz w:val="18"/>
          <w:szCs w:val="18"/>
        </w:rPr>
        <w:t>, but are much less hydrophobic than Dechlorane Plus. As neurotoxic pesticides, their mode of action may be very different too. They therefore cannot be used for direct read across purposes.</w:t>
      </w:r>
    </w:p>
    <w:p w14:paraId="048D3B78" w14:textId="77777777" w:rsidR="00A14CBF" w:rsidRPr="000C7CFA" w:rsidRDefault="00A14CBF" w:rsidP="00A14CBF">
      <w:pPr>
        <w:pStyle w:val="BodyText"/>
        <w:rPr>
          <w:rFonts w:ascii="Verdana" w:hAnsi="Verdana"/>
          <w:sz w:val="18"/>
          <w:szCs w:val="18"/>
          <w:highlight w:val="yellow"/>
        </w:rPr>
      </w:pPr>
      <w:r w:rsidRPr="000C7CFA">
        <w:rPr>
          <w:rFonts w:ascii="Verdana" w:hAnsi="Verdana"/>
          <w:sz w:val="18"/>
          <w:szCs w:val="18"/>
        </w:rPr>
        <w:t>It should be noted that these predictions do not allow any comparison to be made about likely toxicity arising from dietary exposure.</w:t>
      </w:r>
    </w:p>
    <w:p w14:paraId="10BCEA0F" w14:textId="77777777" w:rsidR="00291B0C" w:rsidRPr="000C7CFA" w:rsidRDefault="00291B0C" w:rsidP="00291B0C">
      <w:pPr>
        <w:pStyle w:val="BodyText"/>
        <w:keepNext/>
        <w:tabs>
          <w:tab w:val="left" w:pos="2905"/>
        </w:tabs>
        <w:rPr>
          <w:rFonts w:ascii="Verdana" w:hAnsi="Verdana"/>
          <w:b/>
          <w:i/>
          <w:sz w:val="18"/>
          <w:szCs w:val="18"/>
        </w:rPr>
      </w:pPr>
      <w:r w:rsidRPr="000C7CFA">
        <w:rPr>
          <w:rFonts w:ascii="Verdana" w:hAnsi="Verdana"/>
          <w:b/>
          <w:i/>
          <w:sz w:val="18"/>
          <w:szCs w:val="18"/>
        </w:rPr>
        <w:t>Discussion</w:t>
      </w:r>
    </w:p>
    <w:p w14:paraId="3A6BF0A8" w14:textId="77777777" w:rsidR="00153F2D" w:rsidRPr="000C7CFA" w:rsidRDefault="00BA0ECA" w:rsidP="00795AF6">
      <w:pPr>
        <w:jc w:val="both"/>
        <w:rPr>
          <w:rFonts w:ascii="Verdana" w:hAnsi="Verdana"/>
          <w:sz w:val="18"/>
          <w:szCs w:val="18"/>
        </w:rPr>
      </w:pPr>
      <w:r w:rsidRPr="000C7CFA">
        <w:rPr>
          <w:rFonts w:ascii="Verdana" w:hAnsi="Verdana"/>
          <w:sz w:val="18"/>
          <w:szCs w:val="18"/>
          <w:lang w:val="en-GB"/>
        </w:rPr>
        <w:t xml:space="preserve">The </w:t>
      </w:r>
      <w:r w:rsidR="007666BB" w:rsidRPr="000C7CFA">
        <w:rPr>
          <w:rFonts w:ascii="Verdana" w:hAnsi="Verdana"/>
          <w:sz w:val="18"/>
          <w:szCs w:val="18"/>
          <w:lang w:val="en-GB"/>
        </w:rPr>
        <w:t>Registrant</w:t>
      </w:r>
      <w:r w:rsidRPr="000C7CFA">
        <w:rPr>
          <w:rFonts w:ascii="Verdana" w:hAnsi="Verdana"/>
          <w:sz w:val="18"/>
          <w:szCs w:val="18"/>
          <w:lang w:val="en-GB"/>
        </w:rPr>
        <w:t xml:space="preserve"> has reported two bioaccumulation studies rather than an appropriate OECD or equivalent test guideline study for long-term toxicity to fish. The results of the key study (Gara and Rawisina, 1975) are reported in terms of initial measured concentrations. The NOEC based on mean measured concentrations is &gt;0.087 </w:t>
      </w:r>
      <w:r w:rsidR="001C7584" w:rsidRPr="000C7CFA">
        <w:rPr>
          <w:rFonts w:ascii="Verdana" w:hAnsi="Verdana"/>
          <w:sz w:val="18"/>
          <w:szCs w:val="18"/>
          <w:lang w:val="en-GB"/>
        </w:rPr>
        <w:t>mg/L</w:t>
      </w:r>
      <w:r w:rsidRPr="000C7CFA">
        <w:rPr>
          <w:rFonts w:ascii="Verdana" w:hAnsi="Verdana"/>
          <w:sz w:val="18"/>
          <w:szCs w:val="18"/>
          <w:lang w:val="en-GB"/>
        </w:rPr>
        <w:t xml:space="preserve"> (compared to the initial measured concentration based NOEC value of &gt;0.102 </w:t>
      </w:r>
      <w:r w:rsidR="001C7584" w:rsidRPr="000C7CFA">
        <w:rPr>
          <w:rFonts w:ascii="Verdana" w:hAnsi="Verdana"/>
          <w:sz w:val="18"/>
          <w:szCs w:val="18"/>
          <w:lang w:val="en-GB"/>
        </w:rPr>
        <w:t>mg/L</w:t>
      </w:r>
      <w:r w:rsidRPr="000C7CFA">
        <w:rPr>
          <w:rFonts w:ascii="Verdana" w:hAnsi="Verdana"/>
          <w:sz w:val="18"/>
          <w:szCs w:val="18"/>
          <w:lang w:val="en-GB"/>
        </w:rPr>
        <w:t>). However, this does not affect the overall conclusion of no toxicity at the highest dose tested. It is noted that the measured test concentration was still at least one thousand times higher than the expected solubility limit in water (</w:t>
      </w:r>
      <w:r w:rsidR="00D8147A" w:rsidRPr="000C7CFA">
        <w:rPr>
          <w:rFonts w:ascii="Verdana" w:hAnsi="Verdana"/>
          <w:sz w:val="18"/>
          <w:szCs w:val="18"/>
          <w:lang w:val="en-GB"/>
        </w:rPr>
        <w:t>&lt; 2</w:t>
      </w:r>
      <w:r w:rsidR="002923FD" w:rsidRPr="000C7CFA">
        <w:rPr>
          <w:rFonts w:ascii="Verdana" w:hAnsi="Verdana"/>
          <w:sz w:val="18"/>
          <w:szCs w:val="18"/>
          <w:lang w:val="en-GB"/>
        </w:rPr>
        <w:t xml:space="preserve"> n</w:t>
      </w:r>
      <w:r w:rsidR="001C7584" w:rsidRPr="000C7CFA">
        <w:rPr>
          <w:rFonts w:ascii="Verdana" w:hAnsi="Verdana"/>
          <w:sz w:val="18"/>
          <w:szCs w:val="18"/>
          <w:lang w:val="en-GB"/>
        </w:rPr>
        <w:t>g/L</w:t>
      </w:r>
      <w:r w:rsidRPr="000C7CFA">
        <w:rPr>
          <w:rFonts w:ascii="Verdana" w:hAnsi="Verdana"/>
          <w:sz w:val="18"/>
          <w:szCs w:val="18"/>
          <w:lang w:val="en-GB"/>
        </w:rPr>
        <w:t xml:space="preserve">). It is likely that precipitation of the test material, adherence onto the food given and subsequent ingestion of the test material took place. In addition, the hydrophobic properties of the substance indicate that it is likely that it would have adhered onto the test vessel. The study does however indicate that no mortalities were reported for Bluegill </w:t>
      </w:r>
      <w:r w:rsidR="008D5628" w:rsidRPr="000C7CFA">
        <w:rPr>
          <w:rFonts w:ascii="Verdana" w:hAnsi="Verdana"/>
          <w:sz w:val="18"/>
          <w:szCs w:val="18"/>
          <w:lang w:val="en-GB"/>
        </w:rPr>
        <w:t>S</w:t>
      </w:r>
      <w:r w:rsidRPr="000C7CFA">
        <w:rPr>
          <w:rFonts w:ascii="Verdana" w:hAnsi="Verdana"/>
          <w:sz w:val="18"/>
          <w:szCs w:val="18"/>
          <w:lang w:val="en-GB"/>
        </w:rPr>
        <w:t>unfish fingerlings</w:t>
      </w:r>
      <w:r w:rsidR="002923FD" w:rsidRPr="000C7CFA">
        <w:rPr>
          <w:rFonts w:ascii="Verdana" w:hAnsi="Verdana"/>
          <w:sz w:val="18"/>
          <w:szCs w:val="18"/>
          <w:lang w:val="en-GB"/>
        </w:rPr>
        <w:t xml:space="preserve"> </w:t>
      </w:r>
      <w:r w:rsidRPr="000C7CFA">
        <w:rPr>
          <w:rFonts w:ascii="Verdana" w:hAnsi="Verdana"/>
          <w:sz w:val="18"/>
          <w:szCs w:val="18"/>
          <w:lang w:val="en-GB"/>
        </w:rPr>
        <w:t>exposed to the test substance, above its water solubility limit, for 30 days.</w:t>
      </w:r>
      <w:r w:rsidR="00153F2D" w:rsidRPr="000C7CFA">
        <w:rPr>
          <w:rFonts w:ascii="Verdana" w:hAnsi="Verdana"/>
          <w:sz w:val="18"/>
          <w:szCs w:val="18"/>
        </w:rPr>
        <w:t xml:space="preserve"> </w:t>
      </w:r>
    </w:p>
    <w:p w14:paraId="59FC2124" w14:textId="77777777" w:rsidR="00916922" w:rsidRPr="000C7CFA" w:rsidRDefault="00153F2D" w:rsidP="00795AF6">
      <w:pPr>
        <w:jc w:val="both"/>
        <w:rPr>
          <w:rFonts w:ascii="Verdana" w:hAnsi="Verdana"/>
          <w:sz w:val="18"/>
          <w:szCs w:val="18"/>
          <w:lang w:val="en-GB"/>
        </w:rPr>
      </w:pPr>
      <w:r w:rsidRPr="000C7CFA">
        <w:rPr>
          <w:rFonts w:ascii="Verdana" w:hAnsi="Verdana"/>
          <w:sz w:val="18"/>
          <w:szCs w:val="18"/>
        </w:rPr>
        <w:t xml:space="preserve">A 21-d NOEC &gt;1.2 mg/L for </w:t>
      </w:r>
      <w:r w:rsidRPr="000C7CFA">
        <w:rPr>
          <w:rFonts w:ascii="Verdana" w:hAnsi="Verdana"/>
          <w:i/>
          <w:sz w:val="18"/>
          <w:szCs w:val="18"/>
        </w:rPr>
        <w:t xml:space="preserve">Or. </w:t>
      </w:r>
      <w:proofErr w:type="gramStart"/>
      <w:r w:rsidRPr="000C7CFA">
        <w:rPr>
          <w:rFonts w:ascii="Verdana" w:hAnsi="Verdana"/>
          <w:i/>
          <w:sz w:val="18"/>
          <w:szCs w:val="18"/>
        </w:rPr>
        <w:t>latipes</w:t>
      </w:r>
      <w:proofErr w:type="gramEnd"/>
      <w:r w:rsidRPr="000C7CFA">
        <w:rPr>
          <w:rFonts w:ascii="Verdana" w:hAnsi="Verdana"/>
          <w:sz w:val="18"/>
          <w:szCs w:val="18"/>
        </w:rPr>
        <w:t xml:space="preserve"> (MoE, 2013) of unknown reliability also suggests a lack of toxicity over this timescale.</w:t>
      </w:r>
    </w:p>
    <w:p w14:paraId="38904030" w14:textId="0BAF0EF8" w:rsidR="00916922" w:rsidRPr="000C7CFA" w:rsidRDefault="00BA0ECA" w:rsidP="00795AF6">
      <w:pPr>
        <w:jc w:val="both"/>
        <w:rPr>
          <w:rFonts w:ascii="Verdana" w:hAnsi="Verdana"/>
          <w:sz w:val="18"/>
          <w:szCs w:val="18"/>
          <w:lang w:val="en-GB"/>
        </w:rPr>
      </w:pPr>
      <w:r w:rsidRPr="000C7CFA">
        <w:rPr>
          <w:rFonts w:ascii="Verdana" w:hAnsi="Verdana"/>
          <w:sz w:val="18"/>
          <w:szCs w:val="18"/>
          <w:lang w:val="en-GB"/>
        </w:rPr>
        <w:t xml:space="preserve">The Boudreau and Rausina (1973) study is considered to be unreliable by the </w:t>
      </w:r>
      <w:r w:rsidR="007666BB" w:rsidRPr="000C7CFA">
        <w:rPr>
          <w:rFonts w:ascii="Verdana" w:hAnsi="Verdana"/>
          <w:sz w:val="18"/>
          <w:szCs w:val="18"/>
          <w:lang w:val="en-GB"/>
        </w:rPr>
        <w:t>Registrant</w:t>
      </w:r>
      <w:r w:rsidRPr="000C7CFA">
        <w:rPr>
          <w:rFonts w:ascii="Verdana" w:hAnsi="Verdana"/>
          <w:sz w:val="18"/>
          <w:szCs w:val="18"/>
          <w:lang w:val="en-GB"/>
        </w:rPr>
        <w:t>. The study is reported as a 30-day static study, though it seems unlikely that this was the case because water quality parameters such as pH and oxygen would have deteriorated to levels comprising fish health at all treatment levels before the end of the study. No information on water quality is reported and no mortalities are recorded throughout the study. The mean measured concentration over the 30-day exposure period has been calculated to be 0.03 ppm</w:t>
      </w:r>
      <w:r w:rsidR="0099543E" w:rsidRPr="000C7CFA">
        <w:rPr>
          <w:rFonts w:ascii="Verdana" w:hAnsi="Verdana"/>
          <w:sz w:val="18"/>
          <w:szCs w:val="18"/>
          <w:lang w:val="en-GB"/>
        </w:rPr>
        <w:t xml:space="preserve"> [mg/L]</w:t>
      </w:r>
      <w:r w:rsidRPr="000C7CFA">
        <w:rPr>
          <w:rFonts w:ascii="Verdana" w:hAnsi="Verdana"/>
          <w:sz w:val="18"/>
          <w:szCs w:val="18"/>
          <w:lang w:val="en-GB"/>
        </w:rPr>
        <w:t xml:space="preserve">, which is </w:t>
      </w:r>
      <w:r w:rsidR="002923FD" w:rsidRPr="000C7CFA">
        <w:rPr>
          <w:rFonts w:ascii="Verdana" w:hAnsi="Verdana"/>
          <w:sz w:val="18"/>
          <w:szCs w:val="18"/>
          <w:lang w:val="en-GB"/>
        </w:rPr>
        <w:t xml:space="preserve">over </w:t>
      </w:r>
      <w:r w:rsidRPr="000C7CFA">
        <w:rPr>
          <w:rFonts w:ascii="Verdana" w:hAnsi="Verdana"/>
          <w:sz w:val="18"/>
          <w:szCs w:val="18"/>
          <w:lang w:val="en-GB"/>
        </w:rPr>
        <w:t xml:space="preserve">one thousand times higher than the water </w:t>
      </w:r>
      <w:r w:rsidRPr="000C7CFA">
        <w:rPr>
          <w:rFonts w:ascii="Verdana" w:hAnsi="Verdana"/>
          <w:sz w:val="18"/>
          <w:szCs w:val="18"/>
          <w:lang w:val="en-GB"/>
        </w:rPr>
        <w:lastRenderedPageBreak/>
        <w:t>solubility limit of Dechlorane Plus (</w:t>
      </w:r>
      <w:r w:rsidR="00D8147A" w:rsidRPr="000C7CFA">
        <w:rPr>
          <w:rFonts w:ascii="Verdana" w:hAnsi="Verdana"/>
          <w:sz w:val="18"/>
          <w:szCs w:val="18"/>
          <w:lang w:val="en-GB"/>
        </w:rPr>
        <w:t>&lt;</w:t>
      </w:r>
      <w:r w:rsidR="0099543E" w:rsidRPr="000C7CFA">
        <w:rPr>
          <w:rFonts w:ascii="Verdana" w:hAnsi="Verdana"/>
          <w:sz w:val="18"/>
          <w:szCs w:val="18"/>
          <w:lang w:val="en-GB"/>
        </w:rPr>
        <w:t> </w:t>
      </w:r>
      <w:r w:rsidR="00D8147A" w:rsidRPr="000C7CFA">
        <w:rPr>
          <w:rFonts w:ascii="Verdana" w:hAnsi="Verdana"/>
          <w:sz w:val="18"/>
          <w:szCs w:val="18"/>
          <w:lang w:val="en-GB"/>
        </w:rPr>
        <w:t>2</w:t>
      </w:r>
      <w:r w:rsidR="0099543E" w:rsidRPr="000C7CFA">
        <w:rPr>
          <w:rFonts w:ascii="Verdana" w:hAnsi="Verdana"/>
          <w:sz w:val="18"/>
          <w:szCs w:val="18"/>
          <w:lang w:val="en-GB"/>
        </w:rPr>
        <w:t>  </w:t>
      </w:r>
      <w:r w:rsidR="002923FD" w:rsidRPr="000C7CFA">
        <w:rPr>
          <w:rFonts w:ascii="Verdana" w:hAnsi="Verdana"/>
          <w:sz w:val="18"/>
          <w:szCs w:val="18"/>
          <w:lang w:val="en-GB"/>
        </w:rPr>
        <w:t>n</w:t>
      </w:r>
      <w:r w:rsidR="001C7584" w:rsidRPr="000C7CFA">
        <w:rPr>
          <w:rFonts w:ascii="Verdana" w:hAnsi="Verdana"/>
          <w:sz w:val="18"/>
          <w:szCs w:val="18"/>
          <w:lang w:val="en-GB"/>
        </w:rPr>
        <w:t>g/L</w:t>
      </w:r>
      <w:r w:rsidRPr="000C7CFA">
        <w:rPr>
          <w:rFonts w:ascii="Verdana" w:hAnsi="Verdana"/>
          <w:sz w:val="18"/>
          <w:szCs w:val="18"/>
          <w:lang w:val="en-GB"/>
        </w:rPr>
        <w:t xml:space="preserve">). </w:t>
      </w:r>
      <w:r w:rsidR="0099543E" w:rsidRPr="000C7CFA">
        <w:rPr>
          <w:rFonts w:ascii="Verdana" w:hAnsi="Verdana"/>
          <w:sz w:val="18"/>
          <w:szCs w:val="18"/>
          <w:lang w:val="en-GB"/>
        </w:rPr>
        <w:t>I</w:t>
      </w:r>
      <w:r w:rsidRPr="000C7CFA">
        <w:rPr>
          <w:rFonts w:ascii="Verdana" w:hAnsi="Verdana"/>
          <w:sz w:val="18"/>
          <w:szCs w:val="18"/>
          <w:lang w:val="en-GB"/>
        </w:rPr>
        <w:t>t is likely that precipitation and subsequent ingestion of the test substance took place.</w:t>
      </w:r>
      <w:r w:rsidR="00153F2D" w:rsidRPr="000C7CFA">
        <w:rPr>
          <w:rFonts w:ascii="Verdana" w:hAnsi="Verdana"/>
          <w:sz w:val="18"/>
          <w:szCs w:val="18"/>
        </w:rPr>
        <w:t xml:space="preserve"> </w:t>
      </w:r>
    </w:p>
    <w:p w14:paraId="10FB50AD" w14:textId="77777777" w:rsidR="004B5A90" w:rsidRPr="000C7CFA" w:rsidRDefault="00BA0ECA" w:rsidP="00153F2D">
      <w:pPr>
        <w:pStyle w:val="BodyText"/>
        <w:rPr>
          <w:rFonts w:ascii="Verdana" w:hAnsi="Verdana"/>
          <w:sz w:val="18"/>
          <w:szCs w:val="18"/>
        </w:rPr>
      </w:pPr>
      <w:r w:rsidRPr="000C7CFA">
        <w:rPr>
          <w:rFonts w:ascii="Verdana" w:hAnsi="Verdana"/>
          <w:sz w:val="18"/>
          <w:szCs w:val="18"/>
        </w:rPr>
        <w:t>Bioaccumulation studies are not considered to fulfil the requirements for long-term toxicity to fish endpoints because</w:t>
      </w:r>
      <w:r w:rsidR="0099543E" w:rsidRPr="000C7CFA">
        <w:rPr>
          <w:rFonts w:ascii="Verdana" w:hAnsi="Verdana"/>
          <w:sz w:val="18"/>
          <w:szCs w:val="18"/>
        </w:rPr>
        <w:t xml:space="preserve"> although they may provide useful data on mortality (and behaviour, if recorded), </w:t>
      </w:r>
      <w:r w:rsidRPr="000C7CFA">
        <w:rPr>
          <w:rFonts w:ascii="Verdana" w:hAnsi="Verdana"/>
          <w:sz w:val="18"/>
          <w:szCs w:val="18"/>
        </w:rPr>
        <w:t>they do not measure the more sensitive sub-lethal endpoints such as growth and reproductive parameters, and they test different life stages of an organism. In addition, the duration of a true long-term toxicity to fish studies tends to be longer than bioaccumulation studies</w:t>
      </w:r>
      <w:r w:rsidR="00153F2D" w:rsidRPr="000C7CFA">
        <w:rPr>
          <w:rFonts w:ascii="Verdana" w:hAnsi="Verdana"/>
          <w:sz w:val="18"/>
          <w:szCs w:val="18"/>
        </w:rPr>
        <w:t>,</w:t>
      </w:r>
      <w:r w:rsidRPr="000C7CFA">
        <w:rPr>
          <w:rFonts w:ascii="Verdana" w:hAnsi="Verdana"/>
          <w:sz w:val="18"/>
          <w:szCs w:val="18"/>
        </w:rPr>
        <w:t xml:space="preserve"> depending on the guideline and the species tested (</w:t>
      </w:r>
      <w:r w:rsidR="0099543E" w:rsidRPr="000C7CFA">
        <w:rPr>
          <w:rFonts w:ascii="Verdana" w:hAnsi="Verdana"/>
          <w:sz w:val="18"/>
          <w:szCs w:val="18"/>
        </w:rPr>
        <w:t>e.g. f</w:t>
      </w:r>
      <w:r w:rsidRPr="000C7CFA">
        <w:rPr>
          <w:rFonts w:ascii="Verdana" w:hAnsi="Verdana"/>
          <w:sz w:val="18"/>
          <w:szCs w:val="18"/>
        </w:rPr>
        <w:t>ish</w:t>
      </w:r>
      <w:r w:rsidR="0099543E" w:rsidRPr="000C7CFA">
        <w:rPr>
          <w:rFonts w:ascii="Verdana" w:hAnsi="Verdana"/>
          <w:sz w:val="18"/>
          <w:szCs w:val="18"/>
        </w:rPr>
        <w:t xml:space="preserve"> e</w:t>
      </w:r>
      <w:r w:rsidRPr="000C7CFA">
        <w:rPr>
          <w:rFonts w:ascii="Verdana" w:hAnsi="Verdana"/>
          <w:sz w:val="18"/>
          <w:szCs w:val="18"/>
        </w:rPr>
        <w:t>arly-</w:t>
      </w:r>
      <w:r w:rsidR="0099543E" w:rsidRPr="000C7CFA">
        <w:rPr>
          <w:rFonts w:ascii="Verdana" w:hAnsi="Verdana"/>
          <w:sz w:val="18"/>
          <w:szCs w:val="18"/>
        </w:rPr>
        <w:t>l</w:t>
      </w:r>
      <w:r w:rsidRPr="000C7CFA">
        <w:rPr>
          <w:rFonts w:ascii="Verdana" w:hAnsi="Verdana"/>
          <w:sz w:val="18"/>
          <w:szCs w:val="18"/>
        </w:rPr>
        <w:t xml:space="preserve">ife </w:t>
      </w:r>
      <w:r w:rsidR="0099543E" w:rsidRPr="000C7CFA">
        <w:rPr>
          <w:rFonts w:ascii="Verdana" w:hAnsi="Verdana"/>
          <w:sz w:val="18"/>
          <w:szCs w:val="18"/>
        </w:rPr>
        <w:t>s</w:t>
      </w:r>
      <w:r w:rsidRPr="000C7CFA">
        <w:rPr>
          <w:rFonts w:ascii="Verdana" w:hAnsi="Verdana"/>
          <w:sz w:val="18"/>
          <w:szCs w:val="18"/>
        </w:rPr>
        <w:t xml:space="preserve">tage </w:t>
      </w:r>
      <w:r w:rsidR="0099543E" w:rsidRPr="000C7CFA">
        <w:rPr>
          <w:rFonts w:ascii="Verdana" w:hAnsi="Verdana"/>
          <w:sz w:val="18"/>
          <w:szCs w:val="18"/>
        </w:rPr>
        <w:t xml:space="preserve">(FELS) </w:t>
      </w:r>
      <w:r w:rsidRPr="000C7CFA">
        <w:rPr>
          <w:rFonts w:ascii="Verdana" w:hAnsi="Verdana"/>
          <w:sz w:val="18"/>
          <w:szCs w:val="18"/>
        </w:rPr>
        <w:t xml:space="preserve">studies with </w:t>
      </w:r>
      <w:r w:rsidRPr="000C7CFA">
        <w:rPr>
          <w:rFonts w:ascii="Verdana" w:hAnsi="Verdana"/>
          <w:i/>
          <w:sz w:val="18"/>
          <w:szCs w:val="18"/>
        </w:rPr>
        <w:t xml:space="preserve">Oncorhynchus mykiss </w:t>
      </w:r>
      <w:r w:rsidRPr="000C7CFA">
        <w:rPr>
          <w:rFonts w:ascii="Verdana" w:hAnsi="Verdana"/>
          <w:sz w:val="18"/>
          <w:szCs w:val="18"/>
        </w:rPr>
        <w:t xml:space="preserve">are conducted up to 60 days). </w:t>
      </w:r>
    </w:p>
    <w:p w14:paraId="1452AB28" w14:textId="29C1BEA7" w:rsidR="00153F2D" w:rsidRPr="000C7CFA" w:rsidRDefault="00153F2D" w:rsidP="00153F2D">
      <w:pPr>
        <w:pStyle w:val="BodyText"/>
        <w:rPr>
          <w:rFonts w:ascii="Verdana" w:hAnsi="Verdana"/>
          <w:sz w:val="18"/>
          <w:szCs w:val="18"/>
        </w:rPr>
      </w:pPr>
      <w:r w:rsidRPr="000C7CFA">
        <w:rPr>
          <w:rFonts w:ascii="Verdana" w:hAnsi="Verdana"/>
          <w:sz w:val="18"/>
          <w:szCs w:val="18"/>
        </w:rPr>
        <w:t>In principle, a l</w:t>
      </w:r>
      <w:r w:rsidR="00BA0ECA" w:rsidRPr="000C7CFA">
        <w:rPr>
          <w:rFonts w:ascii="Verdana" w:hAnsi="Verdana"/>
          <w:sz w:val="18"/>
          <w:szCs w:val="18"/>
        </w:rPr>
        <w:t xml:space="preserve">ong-term toxicity </w:t>
      </w:r>
      <w:r w:rsidRPr="000C7CFA">
        <w:rPr>
          <w:rFonts w:ascii="Verdana" w:hAnsi="Verdana"/>
          <w:sz w:val="18"/>
          <w:szCs w:val="18"/>
        </w:rPr>
        <w:t>study</w:t>
      </w:r>
      <w:r w:rsidR="00BA0ECA" w:rsidRPr="000C7CFA">
        <w:rPr>
          <w:rFonts w:ascii="Verdana" w:hAnsi="Verdana"/>
          <w:sz w:val="18"/>
          <w:szCs w:val="18"/>
        </w:rPr>
        <w:t xml:space="preserve"> conducted according to OECD TG 210 (FELS)</w:t>
      </w:r>
      <w:r w:rsidRPr="000C7CFA">
        <w:rPr>
          <w:rFonts w:ascii="Verdana" w:hAnsi="Verdana"/>
          <w:sz w:val="18"/>
          <w:szCs w:val="18"/>
        </w:rPr>
        <w:t xml:space="preserve"> would be appropriate for </w:t>
      </w:r>
      <w:r w:rsidR="001F0BD2" w:rsidRPr="000C7CFA">
        <w:rPr>
          <w:rFonts w:ascii="Verdana" w:hAnsi="Verdana"/>
          <w:sz w:val="18"/>
          <w:szCs w:val="18"/>
        </w:rPr>
        <w:t>a</w:t>
      </w:r>
      <w:r w:rsidRPr="000C7CFA">
        <w:rPr>
          <w:rFonts w:ascii="Verdana" w:hAnsi="Verdana"/>
          <w:sz w:val="18"/>
          <w:szCs w:val="18"/>
        </w:rPr>
        <w:t xml:space="preserve"> substance </w:t>
      </w:r>
      <w:r w:rsidR="00BA0ECA" w:rsidRPr="000C7CFA">
        <w:rPr>
          <w:rFonts w:ascii="Verdana" w:hAnsi="Verdana"/>
          <w:sz w:val="18"/>
          <w:szCs w:val="18"/>
        </w:rPr>
        <w:t>with</w:t>
      </w:r>
      <w:r w:rsidR="001F0BD2" w:rsidRPr="000C7CFA">
        <w:rPr>
          <w:rFonts w:ascii="Verdana" w:hAnsi="Verdana"/>
          <w:sz w:val="18"/>
          <w:szCs w:val="18"/>
        </w:rPr>
        <w:t xml:space="preserve"> a </w:t>
      </w:r>
      <w:r w:rsidR="00BA0ECA" w:rsidRPr="000C7CFA">
        <w:rPr>
          <w:rFonts w:ascii="Verdana" w:hAnsi="Verdana"/>
          <w:sz w:val="18"/>
          <w:szCs w:val="18"/>
        </w:rPr>
        <w:t xml:space="preserve">log </w:t>
      </w:r>
      <w:r w:rsidR="006A0160" w:rsidRPr="000C7CFA">
        <w:rPr>
          <w:rFonts w:ascii="Verdana" w:hAnsi="Verdana"/>
          <w:sz w:val="18"/>
          <w:szCs w:val="18"/>
        </w:rPr>
        <w:t>K</w:t>
      </w:r>
      <w:r w:rsidR="006A0160" w:rsidRPr="000C7CFA">
        <w:rPr>
          <w:rFonts w:ascii="Verdana" w:hAnsi="Verdana"/>
          <w:sz w:val="18"/>
          <w:szCs w:val="18"/>
          <w:vertAlign w:val="subscript"/>
        </w:rPr>
        <w:t>OW</w:t>
      </w:r>
      <w:r w:rsidR="00BA0ECA" w:rsidRPr="000C7CFA">
        <w:rPr>
          <w:rFonts w:ascii="Verdana" w:hAnsi="Verdana"/>
          <w:sz w:val="18"/>
          <w:szCs w:val="18"/>
        </w:rPr>
        <w:t xml:space="preserve"> </w:t>
      </w:r>
      <w:r w:rsidR="001F0BD2" w:rsidRPr="000C7CFA">
        <w:rPr>
          <w:rFonts w:ascii="Verdana" w:hAnsi="Verdana"/>
          <w:sz w:val="18"/>
          <w:szCs w:val="18"/>
        </w:rPr>
        <w:t xml:space="preserve">above </w:t>
      </w:r>
      <w:r w:rsidR="00BA0ECA" w:rsidRPr="000C7CFA">
        <w:rPr>
          <w:rFonts w:ascii="Verdana" w:hAnsi="Verdana"/>
          <w:sz w:val="18"/>
          <w:szCs w:val="18"/>
        </w:rPr>
        <w:t>5. However</w:t>
      </w:r>
      <w:r w:rsidR="004B5A90" w:rsidRPr="000C7CFA">
        <w:rPr>
          <w:rFonts w:ascii="Verdana" w:hAnsi="Verdana"/>
          <w:sz w:val="18"/>
          <w:szCs w:val="18"/>
        </w:rPr>
        <w:t>,</w:t>
      </w:r>
      <w:r w:rsidR="00BA0ECA" w:rsidRPr="000C7CFA">
        <w:rPr>
          <w:rFonts w:ascii="Verdana" w:hAnsi="Verdana"/>
          <w:sz w:val="18"/>
          <w:szCs w:val="18"/>
        </w:rPr>
        <w:t xml:space="preserve"> the properties of </w:t>
      </w:r>
      <w:r w:rsidR="001F0BD2" w:rsidRPr="000C7CFA">
        <w:rPr>
          <w:rFonts w:ascii="Verdana" w:hAnsi="Verdana"/>
          <w:sz w:val="18"/>
          <w:szCs w:val="18"/>
        </w:rPr>
        <w:t>Dechlorane Plus</w:t>
      </w:r>
      <w:r w:rsidR="00BA0ECA" w:rsidRPr="000C7CFA">
        <w:rPr>
          <w:rFonts w:ascii="Verdana" w:hAnsi="Verdana"/>
          <w:sz w:val="18"/>
          <w:szCs w:val="18"/>
        </w:rPr>
        <w:t xml:space="preserve"> (high log </w:t>
      </w:r>
      <w:r w:rsidR="006A0160" w:rsidRPr="000C7CFA">
        <w:rPr>
          <w:rFonts w:ascii="Verdana" w:hAnsi="Verdana"/>
          <w:sz w:val="18"/>
          <w:szCs w:val="18"/>
        </w:rPr>
        <w:t>K</w:t>
      </w:r>
      <w:r w:rsidR="006A0160" w:rsidRPr="000C7CFA">
        <w:rPr>
          <w:rFonts w:ascii="Verdana" w:hAnsi="Verdana"/>
          <w:sz w:val="18"/>
          <w:szCs w:val="18"/>
          <w:vertAlign w:val="subscript"/>
        </w:rPr>
        <w:t>OW</w:t>
      </w:r>
      <w:r w:rsidR="006A0160" w:rsidRPr="000C7CFA">
        <w:rPr>
          <w:rFonts w:ascii="Verdana" w:hAnsi="Verdana"/>
          <w:sz w:val="18"/>
          <w:szCs w:val="18"/>
        </w:rPr>
        <w:t xml:space="preserve"> </w:t>
      </w:r>
      <w:r w:rsidR="001F0BD2" w:rsidRPr="000C7CFA">
        <w:rPr>
          <w:rFonts w:ascii="Verdana" w:hAnsi="Verdana"/>
          <w:sz w:val="18"/>
          <w:szCs w:val="18"/>
        </w:rPr>
        <w:t>(</w:t>
      </w:r>
      <w:r w:rsidR="00D8147A" w:rsidRPr="000C7CFA">
        <w:rPr>
          <w:rFonts w:ascii="Verdana" w:hAnsi="Verdana"/>
          <w:sz w:val="18"/>
          <w:szCs w:val="18"/>
        </w:rPr>
        <w:t>≥</w:t>
      </w:r>
      <w:r w:rsidR="00BA0ECA" w:rsidRPr="000C7CFA">
        <w:rPr>
          <w:rFonts w:ascii="Verdana" w:hAnsi="Verdana"/>
          <w:sz w:val="18"/>
          <w:szCs w:val="18"/>
        </w:rPr>
        <w:t>9</w:t>
      </w:r>
      <w:r w:rsidR="001F0BD2" w:rsidRPr="000C7CFA">
        <w:rPr>
          <w:rFonts w:ascii="Verdana" w:hAnsi="Verdana"/>
          <w:sz w:val="18"/>
          <w:szCs w:val="18"/>
        </w:rPr>
        <w:t>)</w:t>
      </w:r>
      <w:r w:rsidR="00BA0ECA" w:rsidRPr="000C7CFA">
        <w:rPr>
          <w:rFonts w:ascii="Verdana" w:hAnsi="Verdana"/>
          <w:sz w:val="18"/>
          <w:szCs w:val="18"/>
        </w:rPr>
        <w:t xml:space="preserve">, </w:t>
      </w:r>
      <w:r w:rsidR="001F0BD2" w:rsidRPr="000C7CFA">
        <w:rPr>
          <w:rFonts w:ascii="Verdana" w:hAnsi="Verdana"/>
          <w:sz w:val="18"/>
          <w:szCs w:val="18"/>
        </w:rPr>
        <w:t xml:space="preserve">very </w:t>
      </w:r>
      <w:r w:rsidR="00BA0ECA" w:rsidRPr="000C7CFA">
        <w:rPr>
          <w:rFonts w:ascii="Verdana" w:hAnsi="Verdana"/>
          <w:sz w:val="18"/>
          <w:szCs w:val="18"/>
        </w:rPr>
        <w:t xml:space="preserve">low water solubility </w:t>
      </w:r>
      <w:r w:rsidR="001F0BD2" w:rsidRPr="000C7CFA">
        <w:rPr>
          <w:rFonts w:ascii="Verdana" w:hAnsi="Verdana"/>
          <w:sz w:val="18"/>
          <w:szCs w:val="18"/>
        </w:rPr>
        <w:t>(</w:t>
      </w:r>
      <w:r w:rsidR="004B5A90" w:rsidRPr="000C7CFA">
        <w:rPr>
          <w:rFonts w:ascii="Verdana" w:hAnsi="Verdana"/>
          <w:sz w:val="18"/>
          <w:szCs w:val="18"/>
        </w:rPr>
        <w:t>&lt; </w:t>
      </w:r>
      <w:r w:rsidR="00D8147A" w:rsidRPr="000C7CFA">
        <w:rPr>
          <w:rFonts w:ascii="Verdana" w:hAnsi="Verdana"/>
          <w:sz w:val="18"/>
          <w:szCs w:val="18"/>
        </w:rPr>
        <w:t>2</w:t>
      </w:r>
      <w:r w:rsidR="004B5A90" w:rsidRPr="000C7CFA">
        <w:rPr>
          <w:rFonts w:ascii="Verdana" w:hAnsi="Verdana"/>
          <w:sz w:val="18"/>
          <w:szCs w:val="18"/>
        </w:rPr>
        <w:t> </w:t>
      </w:r>
      <w:r w:rsidR="0032397E" w:rsidRPr="000C7CFA">
        <w:rPr>
          <w:rFonts w:ascii="Verdana" w:hAnsi="Verdana"/>
          <w:sz w:val="18"/>
          <w:szCs w:val="18"/>
        </w:rPr>
        <w:t>n</w:t>
      </w:r>
      <w:r w:rsidR="001C7584" w:rsidRPr="000C7CFA">
        <w:rPr>
          <w:rFonts w:ascii="Verdana" w:hAnsi="Verdana"/>
          <w:sz w:val="18"/>
          <w:szCs w:val="18"/>
        </w:rPr>
        <w:t>g/L</w:t>
      </w:r>
      <w:r w:rsidR="001F0BD2" w:rsidRPr="000C7CFA">
        <w:rPr>
          <w:rFonts w:ascii="Verdana" w:hAnsi="Verdana"/>
          <w:sz w:val="18"/>
          <w:szCs w:val="18"/>
        </w:rPr>
        <w:t>)</w:t>
      </w:r>
      <w:r w:rsidR="004B5A90" w:rsidRPr="000C7CFA">
        <w:rPr>
          <w:rFonts w:ascii="Verdana" w:hAnsi="Verdana"/>
          <w:sz w:val="18"/>
          <w:szCs w:val="18"/>
        </w:rPr>
        <w:t>) mean that the ti</w:t>
      </w:r>
      <w:r w:rsidR="00BA0ECA" w:rsidRPr="000C7CFA">
        <w:rPr>
          <w:rFonts w:ascii="Verdana" w:hAnsi="Verdana"/>
          <w:sz w:val="18"/>
          <w:szCs w:val="18"/>
        </w:rPr>
        <w:t>me needed</w:t>
      </w:r>
      <w:r w:rsidR="004B5A90" w:rsidRPr="000C7CFA">
        <w:rPr>
          <w:rFonts w:ascii="Verdana" w:hAnsi="Verdana"/>
          <w:sz w:val="18"/>
          <w:szCs w:val="18"/>
        </w:rPr>
        <w:t xml:space="preserve"> to reach equilibrium in an organism (i.e. to bioconcentrate) is likely to be longer than the exposure time in a long-term aquatic toxicity study of standard duration (Hawker and Connell, 1986). This limited bioavailability means that standard long-term </w:t>
      </w:r>
      <w:r w:rsidR="00BA0ECA" w:rsidRPr="000C7CFA">
        <w:rPr>
          <w:rFonts w:ascii="Verdana" w:hAnsi="Verdana"/>
          <w:sz w:val="18"/>
          <w:szCs w:val="18"/>
        </w:rPr>
        <w:t>aquatic toxicity studies</w:t>
      </w:r>
      <w:r w:rsidRPr="000C7CFA">
        <w:rPr>
          <w:rFonts w:ascii="Verdana" w:hAnsi="Verdana"/>
          <w:sz w:val="18"/>
          <w:szCs w:val="18"/>
        </w:rPr>
        <w:t xml:space="preserve"> involving exposure via water</w:t>
      </w:r>
      <w:r w:rsidR="00BA0ECA" w:rsidRPr="000C7CFA">
        <w:rPr>
          <w:rFonts w:ascii="Verdana" w:hAnsi="Verdana"/>
          <w:sz w:val="18"/>
          <w:szCs w:val="18"/>
        </w:rPr>
        <w:t xml:space="preserve"> are </w:t>
      </w:r>
      <w:r w:rsidR="001F0BD2" w:rsidRPr="000C7CFA">
        <w:rPr>
          <w:rFonts w:ascii="Verdana" w:hAnsi="Verdana"/>
          <w:sz w:val="18"/>
          <w:szCs w:val="18"/>
        </w:rPr>
        <w:t xml:space="preserve">unlikely to indicate any </w:t>
      </w:r>
      <w:r w:rsidR="004B5A90" w:rsidRPr="000C7CFA">
        <w:rPr>
          <w:rFonts w:ascii="Verdana" w:hAnsi="Verdana"/>
          <w:sz w:val="18"/>
          <w:szCs w:val="18"/>
        </w:rPr>
        <w:t xml:space="preserve">significant </w:t>
      </w:r>
      <w:r w:rsidR="001F0BD2" w:rsidRPr="000C7CFA">
        <w:rPr>
          <w:rFonts w:ascii="Verdana" w:hAnsi="Verdana"/>
          <w:sz w:val="18"/>
          <w:szCs w:val="18"/>
        </w:rPr>
        <w:t>effects</w:t>
      </w:r>
      <w:r w:rsidR="004B5A90" w:rsidRPr="000C7CFA">
        <w:rPr>
          <w:rFonts w:ascii="Verdana" w:hAnsi="Verdana"/>
          <w:sz w:val="18"/>
          <w:szCs w:val="18"/>
        </w:rPr>
        <w:t xml:space="preserve">. </w:t>
      </w:r>
      <w:r w:rsidR="00790219" w:rsidRPr="000C7CFA">
        <w:rPr>
          <w:rFonts w:ascii="Verdana" w:hAnsi="Verdana"/>
          <w:sz w:val="18"/>
          <w:szCs w:val="18"/>
        </w:rPr>
        <w:t>In addition, aqueous studies would be very difficult to perform because the substance will have a high tendency to adsorb to organic matter and glassware, making it difficult to maintain test concentrations (ECHA, 2008).</w:t>
      </w:r>
      <w:r w:rsidR="005F3654" w:rsidRPr="000C7CFA">
        <w:rPr>
          <w:rFonts w:ascii="Verdana" w:hAnsi="Verdana"/>
          <w:sz w:val="18"/>
          <w:szCs w:val="18"/>
        </w:rPr>
        <w:t xml:space="preserve"> On the other hand, Zebrafish embryo studies suggest that higher concentrations may be possible in test media, at least in small volumes such as well plates</w:t>
      </w:r>
      <w:r w:rsidR="0061589F" w:rsidRPr="000C7CFA">
        <w:rPr>
          <w:rFonts w:ascii="Verdana" w:hAnsi="Verdana"/>
          <w:sz w:val="18"/>
          <w:szCs w:val="18"/>
        </w:rPr>
        <w:t xml:space="preserve"> and with the use of co-solvents</w:t>
      </w:r>
      <w:r w:rsidR="005F3654" w:rsidRPr="000C7CFA">
        <w:rPr>
          <w:rFonts w:ascii="Verdana" w:hAnsi="Verdana"/>
          <w:sz w:val="18"/>
          <w:szCs w:val="18"/>
        </w:rPr>
        <w:t>.</w:t>
      </w:r>
    </w:p>
    <w:p w14:paraId="427CDABF" w14:textId="41C15816" w:rsidR="00573C61" w:rsidRPr="000C7CFA" w:rsidRDefault="00BA0ECA" w:rsidP="00E23497">
      <w:pPr>
        <w:pStyle w:val="BodyText"/>
        <w:rPr>
          <w:rFonts w:ascii="Verdana" w:hAnsi="Verdana"/>
          <w:sz w:val="18"/>
          <w:szCs w:val="18"/>
        </w:rPr>
      </w:pPr>
      <w:r w:rsidRPr="000C7CFA">
        <w:rPr>
          <w:rFonts w:ascii="Verdana" w:hAnsi="Verdana"/>
          <w:sz w:val="18"/>
          <w:szCs w:val="18"/>
        </w:rPr>
        <w:t xml:space="preserve">The distribution modelling of the substance undertaken </w:t>
      </w:r>
      <w:r w:rsidR="0060361F" w:rsidRPr="000C7CFA">
        <w:rPr>
          <w:rFonts w:ascii="Verdana" w:hAnsi="Verdana"/>
          <w:sz w:val="18"/>
          <w:szCs w:val="18"/>
        </w:rPr>
        <w:t>for the purposes of this assessment</w:t>
      </w:r>
      <w:r w:rsidRPr="000C7CFA">
        <w:rPr>
          <w:rFonts w:ascii="Verdana" w:hAnsi="Verdana"/>
          <w:sz w:val="18"/>
          <w:szCs w:val="18"/>
        </w:rPr>
        <w:t xml:space="preserve"> supports this conclusion as it indicates that Dechlorane Plus would mostly end up in the sediment or soil compartments (see Section 3.2.3). In addition, its properties indicate that it would have a high affinity for organic carbon (see Section 3.2) and therefore would </w:t>
      </w:r>
      <w:r w:rsidR="00153F2D" w:rsidRPr="000C7CFA">
        <w:rPr>
          <w:rFonts w:ascii="Verdana" w:hAnsi="Verdana"/>
          <w:sz w:val="18"/>
          <w:szCs w:val="18"/>
        </w:rPr>
        <w:t>have a low dissolved concentration in the environment</w:t>
      </w:r>
      <w:r w:rsidRPr="000C7CFA">
        <w:rPr>
          <w:rFonts w:ascii="Verdana" w:hAnsi="Verdana"/>
          <w:sz w:val="18"/>
          <w:szCs w:val="18"/>
        </w:rPr>
        <w:t>.</w:t>
      </w:r>
    </w:p>
    <w:p w14:paraId="4AE0BA96" w14:textId="0BD02D0F" w:rsidR="001F0BD2" w:rsidRPr="000C7CFA" w:rsidRDefault="001F0BD2" w:rsidP="001F0BD2">
      <w:pPr>
        <w:pStyle w:val="NormalWeb"/>
        <w:shd w:val="clear" w:color="auto" w:fill="FFFFFF"/>
        <w:jc w:val="both"/>
        <w:rPr>
          <w:rFonts w:ascii="Verdana" w:hAnsi="Verdana"/>
          <w:sz w:val="18"/>
          <w:szCs w:val="18"/>
        </w:rPr>
      </w:pPr>
      <w:r w:rsidRPr="000C7CFA">
        <w:rPr>
          <w:rFonts w:ascii="Verdana" w:hAnsi="Verdana"/>
          <w:sz w:val="18"/>
          <w:szCs w:val="18"/>
        </w:rPr>
        <w:t xml:space="preserve">Nevertheless, the studies of Zhang </w:t>
      </w:r>
      <w:r w:rsidRPr="000C7CFA">
        <w:rPr>
          <w:rFonts w:ascii="Verdana" w:hAnsi="Verdana"/>
          <w:i/>
          <w:sz w:val="18"/>
          <w:szCs w:val="18"/>
        </w:rPr>
        <w:t>et al</w:t>
      </w:r>
      <w:r w:rsidRPr="000C7CFA">
        <w:rPr>
          <w:rFonts w:ascii="Verdana" w:hAnsi="Verdana"/>
          <w:sz w:val="18"/>
          <w:szCs w:val="18"/>
        </w:rPr>
        <w:t xml:space="preserve">. (2011a) and Zeng </w:t>
      </w:r>
      <w:r w:rsidRPr="000C7CFA">
        <w:rPr>
          <w:rFonts w:ascii="Verdana" w:hAnsi="Verdana"/>
          <w:i/>
          <w:sz w:val="18"/>
          <w:szCs w:val="18"/>
        </w:rPr>
        <w:t>et al</w:t>
      </w:r>
      <w:r w:rsidRPr="000C7CFA">
        <w:rPr>
          <w:rFonts w:ascii="Verdana" w:hAnsi="Verdana"/>
          <w:sz w:val="18"/>
          <w:szCs w:val="18"/>
        </w:rPr>
        <w:t>. (2014</w:t>
      </w:r>
      <w:r w:rsidR="004F6E5F" w:rsidRPr="000C7CFA">
        <w:rPr>
          <w:rFonts w:ascii="Verdana" w:hAnsi="Verdana"/>
          <w:sz w:val="18"/>
          <w:szCs w:val="18"/>
        </w:rPr>
        <w:t>a</w:t>
      </w:r>
      <w:r w:rsidRPr="000C7CFA">
        <w:rPr>
          <w:rFonts w:ascii="Verdana" w:hAnsi="Verdana"/>
          <w:sz w:val="18"/>
          <w:szCs w:val="18"/>
        </w:rPr>
        <w:t>)</w:t>
      </w:r>
      <w:r w:rsidR="00291B0C" w:rsidRPr="000C7CFA">
        <w:rPr>
          <w:rFonts w:ascii="Verdana" w:hAnsi="Verdana"/>
          <w:sz w:val="18"/>
          <w:szCs w:val="18"/>
        </w:rPr>
        <w:t xml:space="preserve"> (see Appendix </w:t>
      </w:r>
      <w:r w:rsidR="00FB3AD7" w:rsidRPr="000C7CFA">
        <w:rPr>
          <w:rFonts w:ascii="Verdana" w:hAnsi="Verdana"/>
          <w:sz w:val="18"/>
          <w:szCs w:val="18"/>
        </w:rPr>
        <w:t>3</w:t>
      </w:r>
      <w:r w:rsidR="00291B0C" w:rsidRPr="000C7CFA">
        <w:rPr>
          <w:rFonts w:ascii="Verdana" w:hAnsi="Verdana"/>
          <w:sz w:val="18"/>
          <w:szCs w:val="18"/>
        </w:rPr>
        <w:t xml:space="preserve"> and Section 3.4.1.2.1, respectively)</w:t>
      </w:r>
      <w:r w:rsidRPr="000C7CFA">
        <w:rPr>
          <w:rFonts w:ascii="Verdana" w:hAnsi="Verdana"/>
          <w:sz w:val="18"/>
          <w:szCs w:val="18"/>
        </w:rPr>
        <w:t xml:space="preserve"> show that the substance can cross the blood-brain barrier and be passed from females to eggs in fish. Sensitive life stages and tissues are therefore exposed to the substance. The study by Liang </w:t>
      </w:r>
      <w:r w:rsidRPr="000C7CFA">
        <w:rPr>
          <w:rFonts w:ascii="Verdana" w:hAnsi="Verdana"/>
          <w:i/>
          <w:sz w:val="18"/>
          <w:szCs w:val="18"/>
        </w:rPr>
        <w:t>et al</w:t>
      </w:r>
      <w:r w:rsidRPr="000C7CFA">
        <w:rPr>
          <w:rFonts w:ascii="Verdana" w:hAnsi="Verdana"/>
          <w:sz w:val="18"/>
          <w:szCs w:val="18"/>
        </w:rPr>
        <w:t>. (2014) is difficult to interpret, especially as it involved intraperitoneal injection, which may lead to significantly higher concentrations in liver than is typical following dietary exposure (the liver concentrations were not reported). It suggests that a variety of effects can occur in fish liver at doses of 1 mg/kg ww and higher, but there is no information to link these to an overall adverse effect. T</w:t>
      </w:r>
      <w:r w:rsidR="00336F23" w:rsidRPr="000C7CFA">
        <w:rPr>
          <w:rFonts w:ascii="Verdana" w:hAnsi="Verdana"/>
          <w:sz w:val="18"/>
          <w:szCs w:val="18"/>
        </w:rPr>
        <w:t>h</w:t>
      </w:r>
      <w:r w:rsidRPr="000C7CFA">
        <w:rPr>
          <w:rFonts w:ascii="Verdana" w:hAnsi="Verdana"/>
          <w:sz w:val="18"/>
          <w:szCs w:val="18"/>
        </w:rPr>
        <w:t xml:space="preserve">is study suggests that the substance might induce potentially toxic effects in the liver, but is inconclusive.  However, </w:t>
      </w:r>
      <w:r w:rsidR="00336F23" w:rsidRPr="000C7CFA">
        <w:rPr>
          <w:rFonts w:ascii="Verdana" w:hAnsi="Verdana"/>
          <w:sz w:val="18"/>
          <w:szCs w:val="18"/>
        </w:rPr>
        <w:t xml:space="preserve">it is noteworthy that </w:t>
      </w:r>
      <w:r w:rsidRPr="000C7CFA">
        <w:rPr>
          <w:rFonts w:ascii="Verdana" w:hAnsi="Verdana"/>
          <w:sz w:val="18"/>
          <w:szCs w:val="18"/>
        </w:rPr>
        <w:t>similar findings</w:t>
      </w:r>
      <w:r w:rsidR="00336F23" w:rsidRPr="000C7CFA">
        <w:rPr>
          <w:rFonts w:ascii="Verdana" w:hAnsi="Verdana"/>
          <w:sz w:val="18"/>
          <w:szCs w:val="18"/>
        </w:rPr>
        <w:t xml:space="preserve"> of oxidative stress and other signs of molecular and/or tissue damage </w:t>
      </w:r>
      <w:r w:rsidRPr="000C7CFA">
        <w:rPr>
          <w:rFonts w:ascii="Verdana" w:hAnsi="Verdana"/>
          <w:sz w:val="18"/>
          <w:szCs w:val="18"/>
        </w:rPr>
        <w:t>were also observed in stud</w:t>
      </w:r>
      <w:r w:rsidR="00336F23" w:rsidRPr="000C7CFA">
        <w:rPr>
          <w:rFonts w:ascii="Verdana" w:hAnsi="Verdana"/>
          <w:sz w:val="18"/>
          <w:szCs w:val="18"/>
        </w:rPr>
        <w:t>ies</w:t>
      </w:r>
      <w:r w:rsidRPr="000C7CFA">
        <w:rPr>
          <w:rFonts w:ascii="Verdana" w:hAnsi="Verdana"/>
          <w:sz w:val="18"/>
          <w:szCs w:val="18"/>
        </w:rPr>
        <w:t xml:space="preserve"> with mice via oral exposure (see Wu </w:t>
      </w:r>
      <w:r w:rsidRPr="000C7CFA">
        <w:rPr>
          <w:rFonts w:ascii="Verdana" w:hAnsi="Verdana"/>
          <w:i/>
          <w:sz w:val="18"/>
          <w:szCs w:val="18"/>
        </w:rPr>
        <w:t>et al</w:t>
      </w:r>
      <w:r w:rsidRPr="000C7CFA">
        <w:rPr>
          <w:rFonts w:ascii="Verdana" w:hAnsi="Verdana"/>
          <w:sz w:val="18"/>
          <w:szCs w:val="18"/>
        </w:rPr>
        <w:t>. (2012) in Sectio</w:t>
      </w:r>
      <w:r w:rsidR="007A156A" w:rsidRPr="000C7CFA">
        <w:rPr>
          <w:rFonts w:ascii="Verdana" w:hAnsi="Verdana"/>
          <w:sz w:val="18"/>
          <w:szCs w:val="18"/>
        </w:rPr>
        <w:t>n 4.2</w:t>
      </w:r>
      <w:r w:rsidR="00291B0C" w:rsidRPr="000C7CFA">
        <w:rPr>
          <w:rFonts w:ascii="Verdana" w:hAnsi="Verdana"/>
          <w:sz w:val="18"/>
          <w:szCs w:val="18"/>
        </w:rPr>
        <w:t>.1)</w:t>
      </w:r>
      <w:r w:rsidR="00336F23" w:rsidRPr="000C7CFA">
        <w:rPr>
          <w:rFonts w:ascii="Verdana" w:hAnsi="Verdana"/>
          <w:sz w:val="18"/>
          <w:szCs w:val="18"/>
        </w:rPr>
        <w:t xml:space="preserve"> </w:t>
      </w:r>
      <w:r w:rsidR="00291B0C" w:rsidRPr="000C7CFA">
        <w:rPr>
          <w:rFonts w:ascii="Verdana" w:hAnsi="Verdana"/>
          <w:sz w:val="18"/>
          <w:szCs w:val="18"/>
        </w:rPr>
        <w:t xml:space="preserve">and earthworms </w:t>
      </w:r>
      <w:r w:rsidRPr="000C7CFA">
        <w:rPr>
          <w:rFonts w:ascii="Verdana" w:hAnsi="Verdana"/>
          <w:sz w:val="18"/>
          <w:szCs w:val="18"/>
        </w:rPr>
        <w:t xml:space="preserve">(see </w:t>
      </w:r>
      <w:r w:rsidRPr="000C7CFA">
        <w:rPr>
          <w:rFonts w:ascii="Verdana" w:hAnsi="Verdana"/>
          <w:color w:val="000000"/>
          <w:sz w:val="18"/>
          <w:szCs w:val="18"/>
        </w:rPr>
        <w:t>Section 5.2)</w:t>
      </w:r>
      <w:r w:rsidRPr="000C7CFA">
        <w:rPr>
          <w:rFonts w:ascii="Verdana" w:hAnsi="Verdana"/>
          <w:sz w:val="18"/>
          <w:szCs w:val="18"/>
        </w:rPr>
        <w:t xml:space="preserve">. </w:t>
      </w:r>
    </w:p>
    <w:p w14:paraId="6C3638DB" w14:textId="11DE1421" w:rsidR="009B6611" w:rsidRPr="000C7CFA" w:rsidRDefault="005F3654" w:rsidP="00D011F1">
      <w:pPr>
        <w:pStyle w:val="Default"/>
        <w:jc w:val="both"/>
        <w:rPr>
          <w:rFonts w:ascii="Verdana" w:eastAsiaTheme="minorHAnsi" w:hAnsi="Verdana"/>
          <w:sz w:val="18"/>
          <w:szCs w:val="18"/>
        </w:rPr>
      </w:pPr>
      <w:r w:rsidRPr="000C7CFA">
        <w:rPr>
          <w:rFonts w:ascii="Verdana" w:eastAsiaTheme="minorHAnsi" w:hAnsi="Verdana"/>
          <w:sz w:val="18"/>
          <w:szCs w:val="18"/>
        </w:rPr>
        <w:t>It is not clear how closely the</w:t>
      </w:r>
      <w:r w:rsidR="00224A6E" w:rsidRPr="000C7CFA">
        <w:rPr>
          <w:rFonts w:ascii="Verdana" w:eastAsiaTheme="minorHAnsi" w:hAnsi="Verdana"/>
          <w:sz w:val="18"/>
          <w:szCs w:val="18"/>
        </w:rPr>
        <w:t xml:space="preserve"> available </w:t>
      </w:r>
      <w:r w:rsidRPr="000C7CFA">
        <w:rPr>
          <w:rFonts w:ascii="Verdana" w:eastAsiaTheme="minorHAnsi" w:hAnsi="Verdana"/>
          <w:sz w:val="18"/>
          <w:szCs w:val="18"/>
        </w:rPr>
        <w:t>Zebrafish embryo tests followed OECD TG 236 or whether the relevant validity criteria were met</w:t>
      </w:r>
      <w:r w:rsidR="0073338B" w:rsidRPr="000C7CFA">
        <w:rPr>
          <w:rFonts w:ascii="Verdana" w:eastAsiaTheme="minorHAnsi" w:hAnsi="Verdana"/>
          <w:sz w:val="18"/>
          <w:szCs w:val="18"/>
        </w:rPr>
        <w:t xml:space="preserve"> and so their reliability is uncertain</w:t>
      </w:r>
      <w:r w:rsidRPr="000C7CFA">
        <w:rPr>
          <w:rFonts w:ascii="Verdana" w:eastAsiaTheme="minorHAnsi" w:hAnsi="Verdana"/>
          <w:sz w:val="18"/>
          <w:szCs w:val="18"/>
        </w:rPr>
        <w:t xml:space="preserve">. For example, </w:t>
      </w:r>
      <w:r w:rsidR="007324FC" w:rsidRPr="000C7CFA">
        <w:rPr>
          <w:rFonts w:ascii="Verdana" w:eastAsiaTheme="minorHAnsi" w:hAnsi="Verdana"/>
          <w:sz w:val="18"/>
          <w:szCs w:val="18"/>
        </w:rPr>
        <w:t xml:space="preserve">the </w:t>
      </w:r>
      <w:r w:rsidRPr="000C7CFA">
        <w:rPr>
          <w:rFonts w:ascii="Verdana" w:eastAsiaTheme="minorHAnsi" w:hAnsi="Verdana"/>
          <w:sz w:val="18"/>
          <w:szCs w:val="18"/>
        </w:rPr>
        <w:t>Chen et al. (2017)</w:t>
      </w:r>
      <w:r w:rsidR="007324FC" w:rsidRPr="000C7CFA">
        <w:rPr>
          <w:rFonts w:ascii="Verdana" w:eastAsiaTheme="minorHAnsi" w:hAnsi="Verdana"/>
          <w:sz w:val="18"/>
          <w:szCs w:val="18"/>
        </w:rPr>
        <w:t xml:space="preserve"> study</w:t>
      </w:r>
      <w:r w:rsidRPr="000C7CFA">
        <w:rPr>
          <w:rFonts w:ascii="Verdana" w:eastAsiaTheme="minorHAnsi" w:hAnsi="Verdana"/>
          <w:sz w:val="18"/>
          <w:szCs w:val="18"/>
        </w:rPr>
        <w:t xml:space="preserve"> </w:t>
      </w:r>
      <w:r w:rsidR="00224A6E" w:rsidRPr="000C7CFA">
        <w:rPr>
          <w:rFonts w:ascii="Verdana" w:eastAsiaTheme="minorHAnsi" w:hAnsi="Verdana"/>
          <w:sz w:val="18"/>
          <w:szCs w:val="18"/>
        </w:rPr>
        <w:t xml:space="preserve">used a slightly higher </w:t>
      </w:r>
      <w:r w:rsidRPr="000C7CFA">
        <w:rPr>
          <w:rFonts w:ascii="Verdana" w:eastAsiaTheme="minorHAnsi" w:hAnsi="Verdana"/>
          <w:sz w:val="18"/>
          <w:szCs w:val="18"/>
        </w:rPr>
        <w:t>temperature than</w:t>
      </w:r>
      <w:r w:rsidR="007324FC" w:rsidRPr="000C7CFA">
        <w:rPr>
          <w:rFonts w:ascii="Verdana" w:eastAsiaTheme="minorHAnsi" w:hAnsi="Verdana"/>
          <w:sz w:val="18"/>
          <w:szCs w:val="18"/>
        </w:rPr>
        <w:t xml:space="preserve"> the OECD</w:t>
      </w:r>
      <w:r w:rsidRPr="000C7CFA">
        <w:rPr>
          <w:rFonts w:ascii="Verdana" w:eastAsiaTheme="minorHAnsi" w:hAnsi="Verdana"/>
          <w:sz w:val="18"/>
          <w:szCs w:val="18"/>
        </w:rPr>
        <w:t xml:space="preserve"> recommend</w:t>
      </w:r>
      <w:r w:rsidR="007324FC" w:rsidRPr="000C7CFA">
        <w:rPr>
          <w:rFonts w:ascii="Verdana" w:eastAsiaTheme="minorHAnsi" w:hAnsi="Verdana"/>
          <w:sz w:val="18"/>
          <w:szCs w:val="18"/>
        </w:rPr>
        <w:t>ation</w:t>
      </w:r>
      <w:r w:rsidRPr="000C7CFA">
        <w:rPr>
          <w:rFonts w:ascii="Verdana" w:eastAsiaTheme="minorHAnsi" w:hAnsi="Verdana"/>
          <w:sz w:val="18"/>
          <w:szCs w:val="18"/>
        </w:rPr>
        <w:t xml:space="preserve">, </w:t>
      </w:r>
      <w:r w:rsidR="00224A6E" w:rsidRPr="000C7CFA">
        <w:rPr>
          <w:rFonts w:ascii="Verdana" w:eastAsiaTheme="minorHAnsi" w:hAnsi="Verdana"/>
          <w:sz w:val="18"/>
          <w:szCs w:val="18"/>
        </w:rPr>
        <w:t xml:space="preserve">did not provide </w:t>
      </w:r>
      <w:r w:rsidRPr="000C7CFA">
        <w:rPr>
          <w:rFonts w:ascii="Verdana" w:eastAsiaTheme="minorHAnsi" w:hAnsi="Verdana"/>
          <w:sz w:val="18"/>
          <w:szCs w:val="18"/>
        </w:rPr>
        <w:t>information</w:t>
      </w:r>
      <w:r w:rsidR="00224A6E" w:rsidRPr="000C7CFA">
        <w:rPr>
          <w:rFonts w:ascii="Verdana" w:eastAsiaTheme="minorHAnsi" w:hAnsi="Verdana"/>
          <w:sz w:val="18"/>
          <w:szCs w:val="18"/>
        </w:rPr>
        <w:t xml:space="preserve"> on water quality (e.g.</w:t>
      </w:r>
      <w:r w:rsidRPr="000C7CFA">
        <w:rPr>
          <w:rFonts w:ascii="Verdana" w:eastAsiaTheme="minorHAnsi" w:hAnsi="Verdana"/>
          <w:sz w:val="18"/>
          <w:szCs w:val="18"/>
        </w:rPr>
        <w:t xml:space="preserve"> dissolved oxygen concentration or hardness</w:t>
      </w:r>
      <w:r w:rsidR="00224A6E" w:rsidRPr="000C7CFA">
        <w:rPr>
          <w:rFonts w:ascii="Verdana" w:eastAsiaTheme="minorHAnsi" w:hAnsi="Verdana"/>
          <w:sz w:val="18"/>
          <w:szCs w:val="18"/>
        </w:rPr>
        <w:t>)</w:t>
      </w:r>
      <w:r w:rsidRPr="000C7CFA">
        <w:rPr>
          <w:rFonts w:ascii="Verdana" w:eastAsiaTheme="minorHAnsi" w:hAnsi="Verdana"/>
          <w:sz w:val="18"/>
          <w:szCs w:val="18"/>
        </w:rPr>
        <w:t xml:space="preserve"> and there is no mention of a positive control. However, control mortality and hatching rate were satisfactory (measured at 120 </w:t>
      </w:r>
      <w:proofErr w:type="gramStart"/>
      <w:r w:rsidRPr="000C7CFA">
        <w:rPr>
          <w:rFonts w:ascii="Verdana" w:eastAsiaTheme="minorHAnsi" w:hAnsi="Verdana"/>
          <w:sz w:val="18"/>
          <w:szCs w:val="18"/>
        </w:rPr>
        <w:t>hpf</w:t>
      </w:r>
      <w:proofErr w:type="gramEnd"/>
      <w:r w:rsidRPr="000C7CFA">
        <w:rPr>
          <w:rFonts w:ascii="Verdana" w:eastAsiaTheme="minorHAnsi" w:hAnsi="Verdana"/>
          <w:sz w:val="18"/>
          <w:szCs w:val="18"/>
        </w:rPr>
        <w:t xml:space="preserve"> rather than</w:t>
      </w:r>
      <w:r w:rsidR="007324FC" w:rsidRPr="000C7CFA">
        <w:rPr>
          <w:rFonts w:ascii="Verdana" w:eastAsiaTheme="minorHAnsi" w:hAnsi="Verdana"/>
          <w:sz w:val="18"/>
          <w:szCs w:val="18"/>
        </w:rPr>
        <w:t xml:space="preserve"> the recommended</w:t>
      </w:r>
      <w:r w:rsidRPr="000C7CFA">
        <w:rPr>
          <w:rFonts w:ascii="Verdana" w:eastAsiaTheme="minorHAnsi" w:hAnsi="Verdana"/>
          <w:sz w:val="18"/>
          <w:szCs w:val="18"/>
        </w:rPr>
        <w:t xml:space="preserve"> 96 hpf) and a higher number of fish per treatment were used than required by the OECD TG (apparently n=120 fish per treatment).</w:t>
      </w:r>
    </w:p>
    <w:p w14:paraId="76E58E54" w14:textId="2E45BAC8" w:rsidR="0073338B" w:rsidRPr="000C7CFA" w:rsidRDefault="009B6611" w:rsidP="00224A6E">
      <w:pPr>
        <w:pStyle w:val="NormalWeb"/>
        <w:shd w:val="clear" w:color="auto" w:fill="FFFFFF"/>
        <w:jc w:val="both"/>
        <w:rPr>
          <w:rFonts w:ascii="Verdana" w:eastAsiaTheme="minorHAnsi" w:hAnsi="Verdana"/>
          <w:sz w:val="18"/>
          <w:szCs w:val="18"/>
        </w:rPr>
      </w:pPr>
      <w:r w:rsidRPr="000C7CFA">
        <w:rPr>
          <w:rFonts w:ascii="Verdana" w:eastAsiaTheme="minorHAnsi" w:hAnsi="Verdana"/>
          <w:sz w:val="18"/>
          <w:szCs w:val="18"/>
        </w:rPr>
        <w:t>The standard fish embryo toxicity test is considered to be a short-term acute test, with hatch/mortality/malformation end points only. Ne</w:t>
      </w:r>
      <w:r w:rsidR="00336A05" w:rsidRPr="000C7CFA">
        <w:rPr>
          <w:rFonts w:ascii="Verdana" w:eastAsiaTheme="minorHAnsi" w:hAnsi="Verdana"/>
          <w:sz w:val="18"/>
          <w:szCs w:val="18"/>
        </w:rPr>
        <w:t>i</w:t>
      </w:r>
      <w:r w:rsidRPr="000C7CFA">
        <w:rPr>
          <w:rFonts w:ascii="Verdana" w:eastAsiaTheme="minorHAnsi" w:hAnsi="Verdana"/>
          <w:sz w:val="18"/>
          <w:szCs w:val="18"/>
        </w:rPr>
        <w:t xml:space="preserve">ther the </w:t>
      </w:r>
      <w:r w:rsidR="00224A6E" w:rsidRPr="000C7CFA">
        <w:rPr>
          <w:rFonts w:ascii="Verdana" w:eastAsiaTheme="minorHAnsi" w:hAnsi="Verdana"/>
          <w:sz w:val="18"/>
          <w:szCs w:val="18"/>
        </w:rPr>
        <w:t xml:space="preserve">Noyes </w:t>
      </w:r>
      <w:r w:rsidR="00224A6E" w:rsidRPr="000C7CFA">
        <w:rPr>
          <w:rFonts w:ascii="Verdana" w:eastAsiaTheme="minorHAnsi" w:hAnsi="Verdana"/>
          <w:i/>
          <w:sz w:val="18"/>
          <w:szCs w:val="18"/>
        </w:rPr>
        <w:t>et al</w:t>
      </w:r>
      <w:r w:rsidR="00224A6E" w:rsidRPr="000C7CFA">
        <w:rPr>
          <w:rFonts w:ascii="Verdana" w:eastAsiaTheme="minorHAnsi" w:hAnsi="Verdana"/>
          <w:sz w:val="18"/>
          <w:szCs w:val="18"/>
        </w:rPr>
        <w:t xml:space="preserve">. (2015), </w:t>
      </w:r>
      <w:r w:rsidRPr="000C7CFA">
        <w:rPr>
          <w:rFonts w:ascii="Verdana" w:eastAsiaTheme="minorHAnsi" w:hAnsi="Verdana"/>
          <w:sz w:val="18"/>
          <w:szCs w:val="18"/>
        </w:rPr>
        <w:t xml:space="preserve">Kang </w:t>
      </w:r>
      <w:r w:rsidRPr="000C7CFA">
        <w:rPr>
          <w:rFonts w:ascii="Verdana" w:eastAsiaTheme="minorHAnsi" w:hAnsi="Verdana"/>
          <w:i/>
          <w:sz w:val="18"/>
          <w:szCs w:val="18"/>
        </w:rPr>
        <w:t>et al</w:t>
      </w:r>
      <w:r w:rsidRPr="000C7CFA">
        <w:rPr>
          <w:rFonts w:ascii="Verdana" w:eastAsiaTheme="minorHAnsi" w:hAnsi="Verdana"/>
          <w:sz w:val="18"/>
          <w:szCs w:val="18"/>
        </w:rPr>
        <w:t xml:space="preserve">. (2016) nor Chen </w:t>
      </w:r>
      <w:r w:rsidRPr="000C7CFA">
        <w:rPr>
          <w:rFonts w:ascii="Verdana" w:eastAsiaTheme="minorHAnsi" w:hAnsi="Verdana"/>
          <w:i/>
          <w:sz w:val="18"/>
          <w:szCs w:val="18"/>
        </w:rPr>
        <w:t>et al</w:t>
      </w:r>
      <w:r w:rsidRPr="000C7CFA">
        <w:rPr>
          <w:rFonts w:ascii="Verdana" w:eastAsiaTheme="minorHAnsi" w:hAnsi="Verdana"/>
          <w:sz w:val="18"/>
          <w:szCs w:val="18"/>
        </w:rPr>
        <w:t xml:space="preserve">. (2017) studies detected </w:t>
      </w:r>
      <w:r w:rsidR="00435414" w:rsidRPr="000C7CFA">
        <w:rPr>
          <w:rFonts w:ascii="Verdana" w:eastAsiaTheme="minorHAnsi" w:hAnsi="Verdana"/>
          <w:sz w:val="18"/>
          <w:szCs w:val="18"/>
        </w:rPr>
        <w:t>significant</w:t>
      </w:r>
      <w:r w:rsidRPr="000C7CFA">
        <w:rPr>
          <w:rFonts w:ascii="Verdana" w:eastAsiaTheme="minorHAnsi" w:hAnsi="Verdana"/>
          <w:sz w:val="18"/>
          <w:szCs w:val="18"/>
        </w:rPr>
        <w:t xml:space="preserve"> effects for these endpoints. </w:t>
      </w:r>
      <w:r w:rsidR="005F3654" w:rsidRPr="000C7CFA">
        <w:rPr>
          <w:rFonts w:ascii="Verdana" w:eastAsiaTheme="minorHAnsi" w:hAnsi="Verdana"/>
          <w:sz w:val="18"/>
          <w:szCs w:val="18"/>
        </w:rPr>
        <w:t xml:space="preserve">Whilst the observed developmental neurobehavioral effects </w:t>
      </w:r>
      <w:r w:rsidRPr="000C7CFA">
        <w:rPr>
          <w:rFonts w:ascii="Verdana" w:eastAsiaTheme="minorHAnsi" w:hAnsi="Verdana"/>
          <w:sz w:val="18"/>
          <w:szCs w:val="18"/>
        </w:rPr>
        <w:t>in the</w:t>
      </w:r>
      <w:r w:rsidR="00F931D7" w:rsidRPr="000C7CFA">
        <w:rPr>
          <w:rFonts w:ascii="Verdana" w:eastAsiaTheme="minorHAnsi" w:hAnsi="Verdana"/>
          <w:sz w:val="18"/>
          <w:szCs w:val="18"/>
        </w:rPr>
        <w:t xml:space="preserve"> Noyes </w:t>
      </w:r>
      <w:r w:rsidR="00F931D7" w:rsidRPr="000C7CFA">
        <w:rPr>
          <w:rFonts w:ascii="Verdana" w:eastAsiaTheme="minorHAnsi" w:hAnsi="Verdana"/>
          <w:i/>
          <w:sz w:val="18"/>
          <w:szCs w:val="18"/>
        </w:rPr>
        <w:t>et al</w:t>
      </w:r>
      <w:r w:rsidR="00F931D7" w:rsidRPr="000C7CFA">
        <w:rPr>
          <w:rFonts w:ascii="Verdana" w:eastAsiaTheme="minorHAnsi" w:hAnsi="Verdana"/>
          <w:sz w:val="18"/>
          <w:szCs w:val="18"/>
        </w:rPr>
        <w:t xml:space="preserve">. (2015) and </w:t>
      </w:r>
      <w:r w:rsidRPr="000C7CFA">
        <w:rPr>
          <w:rFonts w:ascii="Verdana" w:eastAsiaTheme="minorHAnsi" w:hAnsi="Verdana"/>
          <w:sz w:val="18"/>
          <w:szCs w:val="18"/>
        </w:rPr>
        <w:t xml:space="preserve">Chen </w:t>
      </w:r>
      <w:r w:rsidRPr="000C7CFA">
        <w:rPr>
          <w:rFonts w:ascii="Verdana" w:eastAsiaTheme="minorHAnsi" w:hAnsi="Verdana"/>
          <w:i/>
          <w:sz w:val="18"/>
          <w:szCs w:val="18"/>
        </w:rPr>
        <w:t>et al</w:t>
      </w:r>
      <w:r w:rsidR="00F931D7" w:rsidRPr="000C7CFA">
        <w:rPr>
          <w:rFonts w:ascii="Verdana" w:eastAsiaTheme="minorHAnsi" w:hAnsi="Verdana"/>
          <w:sz w:val="18"/>
          <w:szCs w:val="18"/>
        </w:rPr>
        <w:t>. (2017) studies</w:t>
      </w:r>
      <w:r w:rsidRPr="000C7CFA">
        <w:rPr>
          <w:rFonts w:ascii="Verdana" w:eastAsiaTheme="minorHAnsi" w:hAnsi="Verdana"/>
          <w:sz w:val="18"/>
          <w:szCs w:val="18"/>
        </w:rPr>
        <w:t xml:space="preserve"> </w:t>
      </w:r>
      <w:r w:rsidR="005F3654" w:rsidRPr="000C7CFA">
        <w:rPr>
          <w:rFonts w:ascii="Verdana" w:eastAsiaTheme="minorHAnsi" w:hAnsi="Verdana"/>
          <w:sz w:val="18"/>
          <w:szCs w:val="18"/>
        </w:rPr>
        <w:t>may possibly indicate an adverse response</w:t>
      </w:r>
      <w:r w:rsidR="00D011F1" w:rsidRPr="000C7CFA">
        <w:rPr>
          <w:rFonts w:ascii="Verdana" w:eastAsiaTheme="minorHAnsi" w:hAnsi="Verdana"/>
          <w:sz w:val="18"/>
          <w:szCs w:val="18"/>
        </w:rPr>
        <w:t xml:space="preserve"> (</w:t>
      </w:r>
      <w:r w:rsidR="00D011F1" w:rsidRPr="000C7CFA">
        <w:rPr>
          <w:rFonts w:ascii="Verdana" w:hAnsi="Verdana"/>
          <w:sz w:val="18"/>
          <w:szCs w:val="18"/>
        </w:rPr>
        <w:t>cyclodiene insecticides such as chlordane – which are analogues of Dechlorane Plus – are generally considered to be neurotoxic to terrestrial organisms</w:t>
      </w:r>
      <w:r w:rsidR="00D011F1" w:rsidRPr="000C7CFA">
        <w:rPr>
          <w:rFonts w:ascii="Verdana" w:eastAsiaTheme="minorHAnsi" w:hAnsi="Verdana"/>
          <w:sz w:val="18"/>
          <w:szCs w:val="18"/>
        </w:rPr>
        <w:t>)</w:t>
      </w:r>
      <w:r w:rsidR="005F3654" w:rsidRPr="000C7CFA">
        <w:rPr>
          <w:rFonts w:ascii="Verdana" w:eastAsiaTheme="minorHAnsi" w:hAnsi="Verdana"/>
          <w:sz w:val="18"/>
          <w:szCs w:val="18"/>
        </w:rPr>
        <w:t>, it is difficult to determine how they relate to population-level apical effects</w:t>
      </w:r>
      <w:r w:rsidR="00E554F9" w:rsidRPr="000C7CFA">
        <w:rPr>
          <w:rFonts w:ascii="Verdana" w:eastAsiaTheme="minorHAnsi" w:hAnsi="Verdana"/>
          <w:sz w:val="18"/>
          <w:szCs w:val="18"/>
        </w:rPr>
        <w:t xml:space="preserve">. </w:t>
      </w:r>
      <w:r w:rsidR="005F3654" w:rsidRPr="000C7CFA">
        <w:rPr>
          <w:rFonts w:ascii="Verdana" w:eastAsiaTheme="minorHAnsi" w:hAnsi="Verdana"/>
          <w:sz w:val="18"/>
          <w:szCs w:val="18"/>
        </w:rPr>
        <w:t>Ideally, the degree and timings of the changes would be compared to reliable results obtained in the same test system for known neurotoxicants</w:t>
      </w:r>
      <w:r w:rsidR="00E554F9" w:rsidRPr="000C7CFA">
        <w:rPr>
          <w:rFonts w:ascii="Verdana" w:eastAsiaTheme="minorHAnsi" w:hAnsi="Verdana"/>
          <w:sz w:val="18"/>
          <w:szCs w:val="18"/>
        </w:rPr>
        <w:t>, so that an adverse outcome pathway could be developed</w:t>
      </w:r>
      <w:r w:rsidR="005F3654" w:rsidRPr="000C7CFA">
        <w:rPr>
          <w:rFonts w:ascii="Verdana" w:eastAsiaTheme="minorHAnsi" w:hAnsi="Verdana"/>
          <w:sz w:val="18"/>
          <w:szCs w:val="18"/>
        </w:rPr>
        <w:t xml:space="preserve">. </w:t>
      </w:r>
      <w:r w:rsidR="0073338B" w:rsidRPr="000C7CFA">
        <w:rPr>
          <w:rFonts w:ascii="Verdana" w:eastAsiaTheme="minorHAnsi" w:hAnsi="Verdana"/>
          <w:sz w:val="18"/>
          <w:szCs w:val="18"/>
        </w:rPr>
        <w:t xml:space="preserve">Noyes </w:t>
      </w:r>
      <w:r w:rsidR="0073338B" w:rsidRPr="000C7CFA">
        <w:rPr>
          <w:rFonts w:ascii="Verdana" w:eastAsiaTheme="minorHAnsi" w:hAnsi="Verdana"/>
          <w:i/>
          <w:sz w:val="18"/>
          <w:szCs w:val="18"/>
        </w:rPr>
        <w:t>et al</w:t>
      </w:r>
      <w:r w:rsidR="0073338B" w:rsidRPr="000C7CFA">
        <w:rPr>
          <w:rFonts w:ascii="Verdana" w:eastAsiaTheme="minorHAnsi" w:hAnsi="Verdana"/>
          <w:sz w:val="18"/>
          <w:szCs w:val="18"/>
        </w:rPr>
        <w:t xml:space="preserve">. (2015) detected a significant </w:t>
      </w:r>
      <w:r w:rsidR="0073338B" w:rsidRPr="000C7CFA">
        <w:rPr>
          <w:rFonts w:ascii="Verdana" w:eastAsiaTheme="minorHAnsi" w:hAnsi="Verdana"/>
          <w:sz w:val="18"/>
          <w:szCs w:val="18"/>
        </w:rPr>
        <w:lastRenderedPageBreak/>
        <w:t xml:space="preserve">neurobehavioural effect at a very high nominal test concentration (ca. 40 mg/L), but the level of response was lower than other substances that are suspected of having a neurotoxic mode of action. Similarly, </w:t>
      </w:r>
      <w:r w:rsidR="00F931D7" w:rsidRPr="000C7CFA">
        <w:rPr>
          <w:rFonts w:ascii="Verdana" w:eastAsiaTheme="minorHAnsi" w:hAnsi="Verdana"/>
          <w:sz w:val="18"/>
          <w:szCs w:val="18"/>
        </w:rPr>
        <w:t xml:space="preserve">Chen </w:t>
      </w:r>
      <w:r w:rsidR="00F931D7" w:rsidRPr="000C7CFA">
        <w:rPr>
          <w:rFonts w:ascii="Verdana" w:eastAsiaTheme="minorHAnsi" w:hAnsi="Verdana"/>
          <w:i/>
          <w:sz w:val="18"/>
          <w:szCs w:val="18"/>
        </w:rPr>
        <w:t>et al</w:t>
      </w:r>
      <w:r w:rsidR="00F931D7" w:rsidRPr="000C7CFA">
        <w:rPr>
          <w:rFonts w:ascii="Verdana" w:eastAsiaTheme="minorHAnsi" w:hAnsi="Verdana"/>
          <w:sz w:val="18"/>
          <w:szCs w:val="18"/>
        </w:rPr>
        <w:t xml:space="preserve">. (2017) </w:t>
      </w:r>
      <w:r w:rsidR="005F3654" w:rsidRPr="000C7CFA">
        <w:rPr>
          <w:rFonts w:ascii="Verdana" w:eastAsiaTheme="minorHAnsi" w:hAnsi="Verdana"/>
          <w:sz w:val="18"/>
          <w:szCs w:val="18"/>
        </w:rPr>
        <w:t xml:space="preserve">noted that the significantly elevated frequency of spontaneous movement induced by Dechlorane Plus at 24 </w:t>
      </w:r>
      <w:proofErr w:type="gramStart"/>
      <w:r w:rsidR="005F3654" w:rsidRPr="000C7CFA">
        <w:rPr>
          <w:rFonts w:ascii="Verdana" w:eastAsiaTheme="minorHAnsi" w:hAnsi="Verdana"/>
          <w:sz w:val="18"/>
          <w:szCs w:val="18"/>
        </w:rPr>
        <w:t>hpf</w:t>
      </w:r>
      <w:proofErr w:type="gramEnd"/>
      <w:r w:rsidR="005F3654" w:rsidRPr="000C7CFA">
        <w:rPr>
          <w:rFonts w:ascii="Verdana" w:eastAsiaTheme="minorHAnsi" w:hAnsi="Verdana"/>
          <w:sz w:val="18"/>
          <w:szCs w:val="18"/>
        </w:rPr>
        <w:t xml:space="preserve"> was different to that observed for two other substances</w:t>
      </w:r>
      <w:r w:rsidR="00435414" w:rsidRPr="000C7CFA">
        <w:rPr>
          <w:rFonts w:ascii="Verdana" w:eastAsiaTheme="minorHAnsi" w:hAnsi="Verdana"/>
          <w:sz w:val="18"/>
          <w:szCs w:val="18"/>
        </w:rPr>
        <w:t xml:space="preserve"> in apparently similar test systems</w:t>
      </w:r>
      <w:r w:rsidR="00435414" w:rsidRPr="000C7CFA">
        <w:rPr>
          <w:rStyle w:val="FootnoteReference"/>
          <w:rFonts w:ascii="Verdana" w:eastAsiaTheme="minorHAnsi" w:hAnsi="Verdana"/>
          <w:sz w:val="18"/>
          <w:szCs w:val="18"/>
        </w:rPr>
        <w:footnoteReference w:id="40"/>
      </w:r>
      <w:r w:rsidR="00435414" w:rsidRPr="000C7CFA">
        <w:rPr>
          <w:rFonts w:ascii="Verdana" w:eastAsiaTheme="minorHAnsi" w:hAnsi="Verdana"/>
          <w:sz w:val="18"/>
          <w:szCs w:val="18"/>
        </w:rPr>
        <w:t>.</w:t>
      </w:r>
      <w:r w:rsidR="005F3654" w:rsidRPr="000C7CFA">
        <w:rPr>
          <w:rFonts w:ascii="Verdana" w:eastAsiaTheme="minorHAnsi" w:hAnsi="Verdana"/>
          <w:sz w:val="18"/>
          <w:szCs w:val="18"/>
        </w:rPr>
        <w:t xml:space="preserve"> </w:t>
      </w:r>
      <w:r w:rsidR="00F931D7" w:rsidRPr="000C7CFA">
        <w:rPr>
          <w:rFonts w:ascii="Verdana" w:eastAsiaTheme="minorHAnsi" w:hAnsi="Verdana"/>
          <w:sz w:val="18"/>
          <w:szCs w:val="18"/>
        </w:rPr>
        <w:t xml:space="preserve">Chen </w:t>
      </w:r>
      <w:r w:rsidR="00F931D7" w:rsidRPr="000C7CFA">
        <w:rPr>
          <w:rFonts w:ascii="Verdana" w:eastAsiaTheme="minorHAnsi" w:hAnsi="Verdana"/>
          <w:i/>
          <w:sz w:val="18"/>
          <w:szCs w:val="18"/>
        </w:rPr>
        <w:t>et al</w:t>
      </w:r>
      <w:r w:rsidR="00F931D7" w:rsidRPr="000C7CFA">
        <w:rPr>
          <w:rFonts w:ascii="Verdana" w:eastAsiaTheme="minorHAnsi" w:hAnsi="Verdana"/>
          <w:sz w:val="18"/>
          <w:szCs w:val="18"/>
        </w:rPr>
        <w:t xml:space="preserve">. (2017) </w:t>
      </w:r>
      <w:r w:rsidR="005F3654" w:rsidRPr="000C7CFA">
        <w:rPr>
          <w:rFonts w:ascii="Verdana" w:eastAsiaTheme="minorHAnsi" w:hAnsi="Verdana"/>
          <w:sz w:val="18"/>
          <w:szCs w:val="18"/>
        </w:rPr>
        <w:t xml:space="preserve">also noted that external factors such as temperature can affect spontaneous movement of Zebrafish embryos. </w:t>
      </w:r>
    </w:p>
    <w:p w14:paraId="56A40F9B" w14:textId="20E03022" w:rsidR="00224A6E" w:rsidRPr="000C7CFA" w:rsidRDefault="005F3654" w:rsidP="00224A6E">
      <w:pPr>
        <w:pStyle w:val="NormalWeb"/>
        <w:shd w:val="clear" w:color="auto" w:fill="FFFFFF"/>
        <w:jc w:val="both"/>
        <w:rPr>
          <w:rFonts w:ascii="Verdana" w:eastAsiaTheme="minorHAnsi" w:hAnsi="Verdana"/>
          <w:sz w:val="18"/>
          <w:szCs w:val="18"/>
        </w:rPr>
      </w:pPr>
      <w:r w:rsidRPr="000C7CFA">
        <w:rPr>
          <w:rFonts w:ascii="Verdana" w:eastAsiaTheme="minorHAnsi" w:hAnsi="Verdana"/>
          <w:sz w:val="18"/>
          <w:szCs w:val="18"/>
        </w:rPr>
        <w:t>In the absence of a standardised method for such end points and reliable benchmarking against other substances, th</w:t>
      </w:r>
      <w:r w:rsidR="0073338B" w:rsidRPr="000C7CFA">
        <w:rPr>
          <w:rFonts w:ascii="Verdana" w:eastAsiaTheme="minorHAnsi" w:hAnsi="Verdana"/>
          <w:sz w:val="18"/>
          <w:szCs w:val="18"/>
        </w:rPr>
        <w:t>ese</w:t>
      </w:r>
      <w:r w:rsidRPr="000C7CFA">
        <w:rPr>
          <w:rFonts w:ascii="Verdana" w:eastAsiaTheme="minorHAnsi" w:hAnsi="Verdana"/>
          <w:sz w:val="18"/>
          <w:szCs w:val="18"/>
        </w:rPr>
        <w:t xml:space="preserve"> stud</w:t>
      </w:r>
      <w:r w:rsidR="0073338B" w:rsidRPr="000C7CFA">
        <w:rPr>
          <w:rFonts w:ascii="Verdana" w:eastAsiaTheme="minorHAnsi" w:hAnsi="Verdana"/>
          <w:sz w:val="18"/>
          <w:szCs w:val="18"/>
        </w:rPr>
        <w:t>ies</w:t>
      </w:r>
      <w:r w:rsidRPr="000C7CFA">
        <w:rPr>
          <w:rFonts w:ascii="Verdana" w:eastAsiaTheme="minorHAnsi" w:hAnsi="Verdana"/>
          <w:sz w:val="18"/>
          <w:szCs w:val="18"/>
        </w:rPr>
        <w:t xml:space="preserve"> </w:t>
      </w:r>
      <w:r w:rsidR="00435414" w:rsidRPr="000C7CFA">
        <w:rPr>
          <w:rFonts w:ascii="Verdana" w:eastAsiaTheme="minorHAnsi" w:hAnsi="Verdana"/>
          <w:sz w:val="18"/>
          <w:szCs w:val="18"/>
        </w:rPr>
        <w:t>raise</w:t>
      </w:r>
      <w:r w:rsidR="00E554F9" w:rsidRPr="000C7CFA">
        <w:rPr>
          <w:rFonts w:ascii="Verdana" w:eastAsiaTheme="minorHAnsi" w:hAnsi="Verdana"/>
          <w:sz w:val="18"/>
          <w:szCs w:val="18"/>
        </w:rPr>
        <w:t xml:space="preserve"> a potential concern for fish but do not </w:t>
      </w:r>
      <w:r w:rsidRPr="000C7CFA">
        <w:rPr>
          <w:rFonts w:ascii="Verdana" w:eastAsiaTheme="minorHAnsi" w:hAnsi="Verdana"/>
          <w:sz w:val="18"/>
          <w:szCs w:val="18"/>
        </w:rPr>
        <w:t>demonstrate a</w:t>
      </w:r>
      <w:r w:rsidR="00E554F9" w:rsidRPr="000C7CFA">
        <w:rPr>
          <w:rFonts w:ascii="Verdana" w:eastAsiaTheme="minorHAnsi" w:hAnsi="Verdana"/>
          <w:sz w:val="18"/>
          <w:szCs w:val="18"/>
        </w:rPr>
        <w:t>n</w:t>
      </w:r>
      <w:r w:rsidRPr="000C7CFA">
        <w:rPr>
          <w:rFonts w:ascii="Verdana" w:eastAsiaTheme="minorHAnsi" w:hAnsi="Verdana"/>
          <w:sz w:val="18"/>
          <w:szCs w:val="18"/>
        </w:rPr>
        <w:t xml:space="preserve"> effect equivalent to the level of concern associated with the Annex XIII T criterion</w:t>
      </w:r>
      <w:r w:rsidR="00E554F9" w:rsidRPr="000C7CFA">
        <w:rPr>
          <w:rFonts w:ascii="Verdana" w:eastAsiaTheme="minorHAnsi" w:hAnsi="Verdana"/>
          <w:sz w:val="18"/>
          <w:szCs w:val="18"/>
        </w:rPr>
        <w:t>, particularly as the main effects were observed at or above 30 µg/L</w:t>
      </w:r>
      <w:r w:rsidR="007324FC" w:rsidRPr="000C7CFA">
        <w:rPr>
          <w:rFonts w:ascii="Verdana" w:eastAsiaTheme="minorHAnsi" w:hAnsi="Verdana"/>
          <w:sz w:val="18"/>
          <w:szCs w:val="18"/>
        </w:rPr>
        <w:t xml:space="preserve"> (nominal)</w:t>
      </w:r>
      <w:r w:rsidR="00E554F9" w:rsidRPr="000C7CFA">
        <w:rPr>
          <w:rFonts w:ascii="Verdana" w:eastAsiaTheme="minorHAnsi" w:hAnsi="Verdana"/>
          <w:sz w:val="18"/>
          <w:szCs w:val="18"/>
        </w:rPr>
        <w:t xml:space="preserve"> (i.e. the NOEC from would seem to be &gt;0.01 mg/L)</w:t>
      </w:r>
      <w:r w:rsidRPr="000C7CFA">
        <w:rPr>
          <w:rFonts w:ascii="Verdana" w:eastAsiaTheme="minorHAnsi" w:hAnsi="Verdana"/>
          <w:sz w:val="18"/>
          <w:szCs w:val="18"/>
        </w:rPr>
        <w:t xml:space="preserve">. </w:t>
      </w:r>
      <w:r w:rsidR="00336A05" w:rsidRPr="000C7CFA">
        <w:rPr>
          <w:rFonts w:ascii="Verdana" w:eastAsiaTheme="minorHAnsi" w:hAnsi="Verdana"/>
          <w:sz w:val="18"/>
          <w:szCs w:val="18"/>
        </w:rPr>
        <w:t>It should also be noted that the concentrations used in the aqueous studies were all well in excess of the reported water solubility of Dechlorane Plus and so the significance of the effects is unclear.</w:t>
      </w:r>
    </w:p>
    <w:p w14:paraId="235CB053" w14:textId="135B782C" w:rsidR="005F3654" w:rsidRPr="000C7CFA" w:rsidRDefault="00224A6E" w:rsidP="00224A6E">
      <w:pPr>
        <w:pStyle w:val="NormalWeb"/>
        <w:shd w:val="clear" w:color="auto" w:fill="FFFFFF"/>
        <w:jc w:val="both"/>
        <w:rPr>
          <w:rFonts w:ascii="Verdana" w:hAnsi="Verdana"/>
          <w:sz w:val="18"/>
          <w:szCs w:val="18"/>
        </w:rPr>
      </w:pPr>
      <w:r w:rsidRPr="000C7CFA">
        <w:rPr>
          <w:rFonts w:ascii="Verdana" w:eastAsiaTheme="minorHAnsi" w:hAnsi="Verdana"/>
          <w:sz w:val="18"/>
          <w:szCs w:val="18"/>
        </w:rPr>
        <w:t xml:space="preserve">Kang </w:t>
      </w:r>
      <w:r w:rsidRPr="000C7CFA">
        <w:rPr>
          <w:rFonts w:ascii="Verdana" w:eastAsiaTheme="minorHAnsi" w:hAnsi="Verdana"/>
          <w:i/>
          <w:sz w:val="18"/>
          <w:szCs w:val="18"/>
        </w:rPr>
        <w:t>et al</w:t>
      </w:r>
      <w:r w:rsidRPr="000C7CFA">
        <w:rPr>
          <w:rFonts w:ascii="Verdana" w:eastAsiaTheme="minorHAnsi" w:hAnsi="Verdana"/>
          <w:sz w:val="18"/>
          <w:szCs w:val="18"/>
        </w:rPr>
        <w:t xml:space="preserve">. (2015) exposed adult male Zebrafish over a 6-d period by gavage, </w:t>
      </w:r>
      <w:r w:rsidR="00D829CE" w:rsidRPr="000C7CFA">
        <w:rPr>
          <w:rFonts w:ascii="Verdana" w:eastAsiaTheme="minorHAnsi" w:hAnsi="Verdana"/>
          <w:sz w:val="18"/>
          <w:szCs w:val="18"/>
        </w:rPr>
        <w:t xml:space="preserve">and detected </w:t>
      </w:r>
      <w:r w:rsidR="00D829CE" w:rsidRPr="000C7CFA">
        <w:rPr>
          <w:rFonts w:ascii="Verdana" w:hAnsi="Verdana"/>
          <w:sz w:val="18"/>
          <w:szCs w:val="18"/>
        </w:rPr>
        <w:t>a non-significant increase in a</w:t>
      </w:r>
      <w:r w:rsidRPr="000C7CFA">
        <w:rPr>
          <w:rFonts w:ascii="Verdana" w:hAnsi="Verdana"/>
          <w:sz w:val="18"/>
          <w:szCs w:val="18"/>
        </w:rPr>
        <w:t>verage plasma T4 concentrations</w:t>
      </w:r>
      <w:r w:rsidR="00D829CE" w:rsidRPr="000C7CFA">
        <w:rPr>
          <w:rFonts w:ascii="Verdana" w:hAnsi="Verdana"/>
          <w:sz w:val="18"/>
          <w:szCs w:val="18"/>
        </w:rPr>
        <w:t xml:space="preserve"> and significant u</w:t>
      </w:r>
      <w:r w:rsidRPr="000C7CFA">
        <w:rPr>
          <w:rFonts w:ascii="Verdana" w:hAnsi="Verdana"/>
          <w:sz w:val="18"/>
          <w:szCs w:val="18"/>
        </w:rPr>
        <w:t>p-regulation of corticotropin-releasing hormone (</w:t>
      </w:r>
      <w:r w:rsidRPr="000C7CFA">
        <w:rPr>
          <w:rFonts w:ascii="Verdana" w:hAnsi="Verdana"/>
          <w:i/>
          <w:sz w:val="18"/>
          <w:szCs w:val="18"/>
        </w:rPr>
        <w:t>crh</w:t>
      </w:r>
      <w:r w:rsidRPr="000C7CFA">
        <w:rPr>
          <w:rFonts w:ascii="Verdana" w:hAnsi="Verdana"/>
          <w:sz w:val="18"/>
          <w:szCs w:val="18"/>
        </w:rPr>
        <w:t xml:space="preserve">) and thyroid stimulating hormone </w:t>
      </w:r>
      <w:r w:rsidRPr="000C7CFA">
        <w:rPr>
          <w:rFonts w:ascii="Verdana" w:hAnsi="Verdana"/>
          <w:i/>
          <w:sz w:val="18"/>
          <w:szCs w:val="18"/>
        </w:rPr>
        <w:t>β</w:t>
      </w:r>
      <w:r w:rsidRPr="000C7CFA">
        <w:rPr>
          <w:rFonts w:ascii="Verdana" w:hAnsi="Verdana"/>
          <w:sz w:val="18"/>
          <w:szCs w:val="18"/>
        </w:rPr>
        <w:t xml:space="preserve"> (</w:t>
      </w:r>
      <w:r w:rsidRPr="000C7CFA">
        <w:rPr>
          <w:rFonts w:ascii="Verdana" w:hAnsi="Verdana"/>
          <w:bCs/>
          <w:i/>
          <w:sz w:val="18"/>
          <w:szCs w:val="18"/>
        </w:rPr>
        <w:t>tshβ</w:t>
      </w:r>
      <w:r w:rsidRPr="000C7CFA">
        <w:rPr>
          <w:rFonts w:ascii="Verdana" w:hAnsi="Verdana"/>
          <w:sz w:val="18"/>
          <w:szCs w:val="18"/>
        </w:rPr>
        <w:t>) genes in the brain</w:t>
      </w:r>
      <w:r w:rsidR="00D829CE" w:rsidRPr="000C7CFA">
        <w:rPr>
          <w:rFonts w:ascii="Verdana" w:hAnsi="Verdana"/>
          <w:sz w:val="18"/>
          <w:szCs w:val="18"/>
        </w:rPr>
        <w:t xml:space="preserve">, together with </w:t>
      </w:r>
      <w:r w:rsidR="00D829CE" w:rsidRPr="000C7CFA">
        <w:rPr>
          <w:rFonts w:ascii="Verdana" w:eastAsiaTheme="minorHAnsi" w:hAnsi="Verdana"/>
          <w:sz w:val="18"/>
          <w:szCs w:val="18"/>
        </w:rPr>
        <w:t>significant effects on h</w:t>
      </w:r>
      <w:r w:rsidR="00D829CE" w:rsidRPr="000C7CFA">
        <w:rPr>
          <w:rFonts w:ascii="Verdana" w:hAnsi="Verdana"/>
          <w:sz w:val="18"/>
          <w:szCs w:val="18"/>
        </w:rPr>
        <w:t xml:space="preserve">epatic catalase (though not SOD) activity, </w:t>
      </w:r>
      <w:r w:rsidRPr="000C7CFA">
        <w:rPr>
          <w:rFonts w:ascii="Verdana" w:hAnsi="Verdana"/>
          <w:sz w:val="18"/>
          <w:szCs w:val="18"/>
        </w:rPr>
        <w:t xml:space="preserve">at the highest dose. </w:t>
      </w:r>
      <w:r w:rsidR="00435414" w:rsidRPr="000C7CFA">
        <w:rPr>
          <w:rFonts w:ascii="Verdana" w:hAnsi="Verdana"/>
          <w:sz w:val="18"/>
          <w:szCs w:val="18"/>
        </w:rPr>
        <w:t>T</w:t>
      </w:r>
      <w:r w:rsidRPr="000C7CFA">
        <w:rPr>
          <w:rFonts w:ascii="Verdana" w:hAnsi="Verdana"/>
          <w:sz w:val="18"/>
          <w:szCs w:val="18"/>
        </w:rPr>
        <w:t>ranscriptions of</w:t>
      </w:r>
      <w:r w:rsidR="00D829CE" w:rsidRPr="000C7CFA">
        <w:rPr>
          <w:rFonts w:ascii="Verdana" w:hAnsi="Verdana"/>
          <w:sz w:val="18"/>
          <w:szCs w:val="18"/>
        </w:rPr>
        <w:t xml:space="preserve"> five</w:t>
      </w:r>
      <w:r w:rsidRPr="000C7CFA">
        <w:rPr>
          <w:rFonts w:ascii="Verdana" w:hAnsi="Verdana"/>
          <w:sz w:val="18"/>
          <w:szCs w:val="18"/>
        </w:rPr>
        <w:t xml:space="preserve"> other thyroid hormone-related genes were not altered. </w:t>
      </w:r>
      <w:r w:rsidR="00D829CE" w:rsidRPr="000C7CFA">
        <w:rPr>
          <w:rFonts w:ascii="Verdana" w:hAnsi="Verdana"/>
          <w:sz w:val="18"/>
          <w:szCs w:val="18"/>
        </w:rPr>
        <w:t xml:space="preserve">Responses from </w:t>
      </w:r>
      <w:r w:rsidRPr="000C7CFA">
        <w:rPr>
          <w:rFonts w:ascii="Verdana" w:hAnsi="Verdana"/>
          <w:sz w:val="18"/>
          <w:szCs w:val="18"/>
        </w:rPr>
        <w:t>genes related to sex hormone regulation in brain</w:t>
      </w:r>
      <w:r w:rsidR="00D829CE" w:rsidRPr="000C7CFA">
        <w:rPr>
          <w:rFonts w:ascii="Verdana" w:hAnsi="Verdana"/>
          <w:sz w:val="18"/>
          <w:szCs w:val="18"/>
        </w:rPr>
        <w:t xml:space="preserve"> and testis</w:t>
      </w:r>
      <w:r w:rsidRPr="000C7CFA">
        <w:rPr>
          <w:rFonts w:ascii="Verdana" w:hAnsi="Verdana"/>
          <w:sz w:val="18"/>
          <w:szCs w:val="18"/>
        </w:rPr>
        <w:t xml:space="preserve"> tissue</w:t>
      </w:r>
      <w:r w:rsidR="00D829CE" w:rsidRPr="000C7CFA">
        <w:rPr>
          <w:rFonts w:ascii="Verdana" w:hAnsi="Verdana"/>
          <w:sz w:val="18"/>
          <w:szCs w:val="18"/>
        </w:rPr>
        <w:t xml:space="preserve"> were also investigated</w:t>
      </w:r>
      <w:r w:rsidRPr="000C7CFA">
        <w:rPr>
          <w:rFonts w:ascii="Verdana" w:hAnsi="Verdana"/>
          <w:sz w:val="18"/>
          <w:szCs w:val="18"/>
        </w:rPr>
        <w:t xml:space="preserve">, </w:t>
      </w:r>
      <w:r w:rsidR="00D829CE" w:rsidRPr="000C7CFA">
        <w:rPr>
          <w:rFonts w:ascii="Verdana" w:hAnsi="Verdana"/>
          <w:sz w:val="18"/>
          <w:szCs w:val="18"/>
        </w:rPr>
        <w:t xml:space="preserve">but </w:t>
      </w:r>
      <w:r w:rsidRPr="000C7CFA">
        <w:rPr>
          <w:rFonts w:ascii="Verdana" w:hAnsi="Verdana"/>
          <w:sz w:val="18"/>
          <w:szCs w:val="18"/>
        </w:rPr>
        <w:t xml:space="preserve">these were </w:t>
      </w:r>
      <w:r w:rsidR="00D829CE" w:rsidRPr="000C7CFA">
        <w:rPr>
          <w:rFonts w:ascii="Verdana" w:hAnsi="Verdana"/>
          <w:sz w:val="18"/>
          <w:szCs w:val="18"/>
        </w:rPr>
        <w:t xml:space="preserve">almost all </w:t>
      </w:r>
      <w:r w:rsidRPr="000C7CFA">
        <w:rPr>
          <w:rFonts w:ascii="Verdana" w:hAnsi="Verdana"/>
          <w:sz w:val="18"/>
          <w:szCs w:val="18"/>
        </w:rPr>
        <w:t>either not statistically significant</w:t>
      </w:r>
      <w:r w:rsidR="00D829CE" w:rsidRPr="000C7CFA">
        <w:rPr>
          <w:rFonts w:ascii="Verdana" w:hAnsi="Verdana"/>
          <w:sz w:val="18"/>
          <w:szCs w:val="18"/>
        </w:rPr>
        <w:t xml:space="preserve"> or not </w:t>
      </w:r>
      <w:r w:rsidRPr="000C7CFA">
        <w:rPr>
          <w:rFonts w:ascii="Verdana" w:hAnsi="Verdana"/>
          <w:sz w:val="18"/>
          <w:szCs w:val="18"/>
        </w:rPr>
        <w:t>monotonic</w:t>
      </w:r>
      <w:r w:rsidR="00D829CE" w:rsidRPr="000C7CFA">
        <w:rPr>
          <w:rFonts w:ascii="Verdana" w:hAnsi="Verdana"/>
          <w:sz w:val="18"/>
          <w:szCs w:val="18"/>
        </w:rPr>
        <w:t xml:space="preserve"> (one gene only)</w:t>
      </w:r>
      <w:r w:rsidRPr="000C7CFA">
        <w:rPr>
          <w:rFonts w:ascii="Verdana" w:hAnsi="Verdana"/>
          <w:sz w:val="18"/>
          <w:szCs w:val="18"/>
        </w:rPr>
        <w:t>.</w:t>
      </w:r>
      <w:r w:rsidR="00D829CE" w:rsidRPr="000C7CFA">
        <w:rPr>
          <w:rFonts w:ascii="Verdana" w:hAnsi="Verdana"/>
          <w:sz w:val="18"/>
          <w:szCs w:val="18"/>
        </w:rPr>
        <w:t xml:space="preserve"> Only one gene </w:t>
      </w:r>
      <w:r w:rsidRPr="000C7CFA">
        <w:rPr>
          <w:rFonts w:ascii="Verdana" w:hAnsi="Verdana"/>
          <w:sz w:val="18"/>
          <w:szCs w:val="18"/>
        </w:rPr>
        <w:t>(</w:t>
      </w:r>
      <w:r w:rsidRPr="000C7CFA">
        <w:rPr>
          <w:rFonts w:ascii="Verdana" w:hAnsi="Verdana"/>
          <w:i/>
          <w:sz w:val="18"/>
          <w:szCs w:val="18"/>
        </w:rPr>
        <w:t>cyp19b</w:t>
      </w:r>
      <w:r w:rsidRPr="000C7CFA">
        <w:rPr>
          <w:rFonts w:ascii="Verdana" w:hAnsi="Verdana"/>
          <w:sz w:val="18"/>
          <w:szCs w:val="18"/>
        </w:rPr>
        <w:t xml:space="preserve">) was significantly up-regulated </w:t>
      </w:r>
      <w:r w:rsidR="00D829CE" w:rsidRPr="000C7CFA">
        <w:rPr>
          <w:rFonts w:ascii="Verdana" w:hAnsi="Verdana"/>
          <w:sz w:val="18"/>
          <w:szCs w:val="18"/>
        </w:rPr>
        <w:t xml:space="preserve">in the brain </w:t>
      </w:r>
      <w:r w:rsidRPr="000C7CFA">
        <w:rPr>
          <w:rFonts w:ascii="Verdana" w:hAnsi="Verdana"/>
          <w:sz w:val="18"/>
          <w:szCs w:val="18"/>
        </w:rPr>
        <w:t>at all exposure doses.</w:t>
      </w:r>
      <w:r w:rsidR="00D829CE" w:rsidRPr="000C7CFA">
        <w:rPr>
          <w:rFonts w:ascii="Verdana" w:hAnsi="Verdana"/>
          <w:sz w:val="18"/>
          <w:szCs w:val="18"/>
        </w:rPr>
        <w:t xml:space="preserve"> Whilst these results demonstrate that uptake occurred and that there was a biological response in fish, the method of administration (which may have induced significant stress), variable findings and lack of a</w:t>
      </w:r>
      <w:r w:rsidR="00336A05" w:rsidRPr="000C7CFA">
        <w:rPr>
          <w:rFonts w:ascii="Verdana" w:hAnsi="Verdana"/>
          <w:sz w:val="18"/>
          <w:szCs w:val="18"/>
        </w:rPr>
        <w:t>ny</w:t>
      </w:r>
      <w:r w:rsidR="00D829CE" w:rsidRPr="000C7CFA">
        <w:rPr>
          <w:rFonts w:ascii="Verdana" w:hAnsi="Verdana"/>
          <w:sz w:val="18"/>
          <w:szCs w:val="18"/>
        </w:rPr>
        <w:t xml:space="preserve"> link to a population-relevant apical effect mean that their relevance</w:t>
      </w:r>
      <w:r w:rsidR="00336A05" w:rsidRPr="000C7CFA">
        <w:rPr>
          <w:rFonts w:ascii="Verdana" w:hAnsi="Verdana"/>
          <w:sz w:val="18"/>
          <w:szCs w:val="18"/>
        </w:rPr>
        <w:t xml:space="preserve"> cannot be assessed</w:t>
      </w:r>
      <w:r w:rsidR="00D829CE" w:rsidRPr="000C7CFA">
        <w:rPr>
          <w:rFonts w:ascii="Verdana" w:hAnsi="Verdana"/>
          <w:sz w:val="18"/>
          <w:szCs w:val="18"/>
        </w:rPr>
        <w:t>.</w:t>
      </w:r>
    </w:p>
    <w:p w14:paraId="4D4DE8C3" w14:textId="6819E693" w:rsidR="00224A6E" w:rsidRPr="000C7CFA" w:rsidRDefault="004F6E5F" w:rsidP="00224A6E">
      <w:pPr>
        <w:pStyle w:val="NormalWeb"/>
        <w:shd w:val="clear" w:color="auto" w:fill="FFFFFF"/>
        <w:jc w:val="both"/>
        <w:rPr>
          <w:rFonts w:ascii="Verdana" w:hAnsi="Verdana"/>
          <w:sz w:val="18"/>
          <w:szCs w:val="18"/>
        </w:rPr>
      </w:pPr>
      <w:r w:rsidRPr="000C7CFA">
        <w:rPr>
          <w:rFonts w:ascii="Verdana" w:eastAsiaTheme="minorHAnsi" w:hAnsi="Verdana"/>
          <w:sz w:val="18"/>
          <w:szCs w:val="18"/>
        </w:rPr>
        <w:t>Similarly</w:t>
      </w:r>
      <w:r w:rsidRPr="000C7CFA">
        <w:rPr>
          <w:rFonts w:ascii="Verdana" w:hAnsi="Verdana"/>
          <w:sz w:val="18"/>
          <w:szCs w:val="18"/>
        </w:rPr>
        <w:t xml:space="preserve">, the recent study by Hang </w:t>
      </w:r>
      <w:r w:rsidRPr="000C7CFA">
        <w:rPr>
          <w:rFonts w:ascii="Verdana" w:hAnsi="Verdana"/>
          <w:i/>
          <w:sz w:val="18"/>
          <w:szCs w:val="18"/>
        </w:rPr>
        <w:t>et al.</w:t>
      </w:r>
      <w:r w:rsidRPr="000C7CFA">
        <w:rPr>
          <w:rFonts w:ascii="Verdana" w:hAnsi="Verdana"/>
          <w:sz w:val="18"/>
          <w:szCs w:val="18"/>
        </w:rPr>
        <w:t xml:space="preserve"> (2013) </w:t>
      </w:r>
      <w:r w:rsidR="002576B7" w:rsidRPr="000C7CFA">
        <w:rPr>
          <w:rFonts w:ascii="Verdana" w:hAnsi="Verdana"/>
          <w:sz w:val="18"/>
          <w:szCs w:val="18"/>
        </w:rPr>
        <w:t xml:space="preserve">[ABST] </w:t>
      </w:r>
      <w:r w:rsidRPr="000C7CFA">
        <w:rPr>
          <w:rFonts w:ascii="Verdana" w:hAnsi="Verdana"/>
          <w:sz w:val="18"/>
          <w:szCs w:val="18"/>
        </w:rPr>
        <w:t xml:space="preserve">shows that Dechlorane Plus has biological activity in </w:t>
      </w:r>
      <w:r w:rsidR="00336A05" w:rsidRPr="000C7CFA">
        <w:rPr>
          <w:rFonts w:ascii="Verdana" w:hAnsi="Verdana"/>
          <w:sz w:val="18"/>
          <w:szCs w:val="18"/>
        </w:rPr>
        <w:t xml:space="preserve">adult </w:t>
      </w:r>
      <w:r w:rsidRPr="000C7CFA">
        <w:rPr>
          <w:rFonts w:ascii="Verdana" w:hAnsi="Verdana"/>
          <w:sz w:val="18"/>
          <w:szCs w:val="18"/>
        </w:rPr>
        <w:t>Zebrafish exposed via the diet over 7 days, but the nature of the effects</w:t>
      </w:r>
      <w:r w:rsidR="00224A6E" w:rsidRPr="000C7CFA">
        <w:rPr>
          <w:rFonts w:ascii="Verdana" w:hAnsi="Verdana"/>
          <w:sz w:val="18"/>
          <w:szCs w:val="18"/>
        </w:rPr>
        <w:t xml:space="preserve"> (cell damage or apoptosis and SOD activity)</w:t>
      </w:r>
      <w:r w:rsidRPr="000C7CFA">
        <w:rPr>
          <w:rFonts w:ascii="Verdana" w:hAnsi="Verdana"/>
          <w:sz w:val="18"/>
          <w:szCs w:val="18"/>
        </w:rPr>
        <w:t>, and the relatively high concentrations/doses used</w:t>
      </w:r>
      <w:r w:rsidR="002D4EB9" w:rsidRPr="000C7CFA">
        <w:rPr>
          <w:rFonts w:ascii="Verdana" w:hAnsi="Verdana"/>
          <w:sz w:val="18"/>
          <w:szCs w:val="18"/>
        </w:rPr>
        <w:t xml:space="preserve"> (up to 7 </w:t>
      </w:r>
      <w:r w:rsidR="00336A05" w:rsidRPr="000C7CFA">
        <w:rPr>
          <w:rFonts w:ascii="Verdana" w:hAnsi="Verdana"/>
          <w:sz w:val="18"/>
          <w:szCs w:val="18"/>
        </w:rPr>
        <w:t>500 mg/kg bw/day)</w:t>
      </w:r>
      <w:r w:rsidRPr="000C7CFA">
        <w:rPr>
          <w:rFonts w:ascii="Verdana" w:hAnsi="Verdana"/>
          <w:sz w:val="18"/>
          <w:szCs w:val="18"/>
        </w:rPr>
        <w:t>, means that it is difficult to assess the significance of these effects in terms of population survival in the environment.</w:t>
      </w:r>
      <w:r w:rsidR="00224A6E" w:rsidRPr="000C7CFA">
        <w:rPr>
          <w:rFonts w:ascii="Verdana" w:hAnsi="Verdana"/>
          <w:sz w:val="18"/>
          <w:szCs w:val="18"/>
        </w:rPr>
        <w:t xml:space="preserve">  </w:t>
      </w:r>
    </w:p>
    <w:p w14:paraId="5699548A" w14:textId="2E5AB5DE" w:rsidR="00625BE5" w:rsidRPr="000C7CFA" w:rsidRDefault="00625BE5" w:rsidP="00625BE5">
      <w:pPr>
        <w:pStyle w:val="NormalWeb"/>
        <w:shd w:val="clear" w:color="auto" w:fill="FFFFFF"/>
        <w:jc w:val="both"/>
        <w:rPr>
          <w:rFonts w:ascii="Verdana" w:hAnsi="Verdana"/>
          <w:sz w:val="18"/>
          <w:szCs w:val="18"/>
        </w:rPr>
      </w:pPr>
      <w:r w:rsidRPr="000C7CFA">
        <w:rPr>
          <w:rFonts w:ascii="Verdana" w:hAnsi="Verdana"/>
          <w:sz w:val="18"/>
          <w:szCs w:val="18"/>
        </w:rPr>
        <w:t xml:space="preserve">Due to the lack of reliable information on Dechlorane Plus itself, Government of Canada (2016) used a critical body residue (CBR) approach </w:t>
      </w:r>
      <w:r w:rsidR="00CE174D" w:rsidRPr="000C7CFA">
        <w:rPr>
          <w:rFonts w:ascii="Verdana" w:hAnsi="Verdana"/>
          <w:sz w:val="18"/>
          <w:szCs w:val="18"/>
        </w:rPr>
        <w:t>to assess the potential for</w:t>
      </w:r>
      <w:r w:rsidRPr="000C7CFA">
        <w:rPr>
          <w:rFonts w:ascii="Verdana" w:hAnsi="Verdana"/>
          <w:sz w:val="18"/>
          <w:szCs w:val="18"/>
        </w:rPr>
        <w:t xml:space="preserve"> acute and chronic toxicity to fish. Based on a series of assumptions (including the level of dietary accumulation in fish), it was concluded that Dechlorane Plus can not achieve a CBR associated with </w:t>
      </w:r>
      <w:r w:rsidR="00CE174D" w:rsidRPr="000C7CFA">
        <w:rPr>
          <w:rFonts w:ascii="Verdana" w:hAnsi="Verdana"/>
          <w:sz w:val="18"/>
          <w:szCs w:val="18"/>
        </w:rPr>
        <w:t xml:space="preserve">lethal </w:t>
      </w:r>
      <w:r w:rsidRPr="000C7CFA">
        <w:rPr>
          <w:rFonts w:ascii="Verdana" w:hAnsi="Verdana"/>
          <w:sz w:val="18"/>
          <w:szCs w:val="18"/>
        </w:rPr>
        <w:t>effects as a result of baseline narcosis. This does not consider other modes of action (like developmental neurotoxicity).</w:t>
      </w:r>
    </w:p>
    <w:p w14:paraId="2F4D9B00" w14:textId="7B18BD0F" w:rsidR="00712066" w:rsidRPr="000C7CFA" w:rsidRDefault="00BA0ECA" w:rsidP="00712066">
      <w:pPr>
        <w:pStyle w:val="BodyText"/>
        <w:rPr>
          <w:rFonts w:ascii="Verdana" w:hAnsi="Verdana"/>
          <w:sz w:val="18"/>
          <w:szCs w:val="18"/>
        </w:rPr>
      </w:pPr>
      <w:r w:rsidRPr="000C7CFA">
        <w:rPr>
          <w:rFonts w:ascii="Verdana" w:hAnsi="Verdana"/>
          <w:sz w:val="18"/>
          <w:szCs w:val="18"/>
        </w:rPr>
        <w:t>Overall, long-term fish toxicity test</w:t>
      </w:r>
      <w:r w:rsidR="00336F23" w:rsidRPr="000C7CFA">
        <w:rPr>
          <w:rFonts w:ascii="Verdana" w:hAnsi="Verdana"/>
          <w:sz w:val="18"/>
          <w:szCs w:val="18"/>
        </w:rPr>
        <w:t>s</w:t>
      </w:r>
      <w:r w:rsidRPr="000C7CFA">
        <w:rPr>
          <w:rFonts w:ascii="Verdana" w:hAnsi="Verdana"/>
          <w:sz w:val="18"/>
          <w:szCs w:val="18"/>
        </w:rPr>
        <w:t xml:space="preserve"> using aqueous exposure </w:t>
      </w:r>
      <w:r w:rsidR="00336F23" w:rsidRPr="000C7CFA">
        <w:rPr>
          <w:rFonts w:ascii="Verdana" w:hAnsi="Verdana"/>
          <w:sz w:val="18"/>
          <w:szCs w:val="18"/>
        </w:rPr>
        <w:t>might</w:t>
      </w:r>
      <w:r w:rsidR="001F0BD2" w:rsidRPr="000C7CFA">
        <w:rPr>
          <w:rFonts w:ascii="Verdana" w:hAnsi="Verdana"/>
          <w:sz w:val="18"/>
          <w:szCs w:val="18"/>
        </w:rPr>
        <w:t xml:space="preserve"> </w:t>
      </w:r>
      <w:r w:rsidR="00285819" w:rsidRPr="000C7CFA">
        <w:rPr>
          <w:rFonts w:ascii="Verdana" w:hAnsi="Verdana"/>
          <w:sz w:val="18"/>
          <w:szCs w:val="18"/>
        </w:rPr>
        <w:t>not be</w:t>
      </w:r>
      <w:r w:rsidRPr="000C7CFA">
        <w:rPr>
          <w:rFonts w:ascii="Verdana" w:hAnsi="Verdana"/>
          <w:sz w:val="18"/>
          <w:szCs w:val="18"/>
        </w:rPr>
        <w:t xml:space="preserve"> relevant for this substance due to its very low solubility in water</w:t>
      </w:r>
      <w:r w:rsidR="001F0BD2" w:rsidRPr="000C7CFA">
        <w:rPr>
          <w:rFonts w:ascii="Verdana" w:hAnsi="Verdana"/>
          <w:sz w:val="18"/>
          <w:szCs w:val="18"/>
        </w:rPr>
        <w:t>,</w:t>
      </w:r>
      <w:r w:rsidRPr="000C7CFA">
        <w:rPr>
          <w:rFonts w:ascii="Verdana" w:hAnsi="Verdana"/>
          <w:sz w:val="18"/>
          <w:szCs w:val="18"/>
        </w:rPr>
        <w:t xml:space="preserve"> which will limit its bioavailability. However, effects </w:t>
      </w:r>
      <w:r w:rsidR="001F0BD2" w:rsidRPr="000C7CFA">
        <w:rPr>
          <w:rFonts w:ascii="Verdana" w:hAnsi="Verdana"/>
          <w:sz w:val="18"/>
          <w:szCs w:val="18"/>
        </w:rPr>
        <w:t>on fish</w:t>
      </w:r>
      <w:r w:rsidRPr="000C7CFA">
        <w:rPr>
          <w:rFonts w:ascii="Verdana" w:hAnsi="Verdana"/>
          <w:sz w:val="18"/>
          <w:szCs w:val="18"/>
        </w:rPr>
        <w:t xml:space="preserve"> following exposure via food cannot be ruled out given the high potential for bioaccumulation</w:t>
      </w:r>
      <w:r w:rsidR="00125C56" w:rsidRPr="000C7CFA">
        <w:rPr>
          <w:rFonts w:ascii="Verdana" w:hAnsi="Verdana"/>
          <w:sz w:val="18"/>
          <w:szCs w:val="18"/>
        </w:rPr>
        <w:t xml:space="preserve"> and indications of changes in liver proteins in fish and mammals</w:t>
      </w:r>
      <w:r w:rsidR="001F0BD2" w:rsidRPr="000C7CFA">
        <w:rPr>
          <w:rFonts w:ascii="Verdana" w:hAnsi="Verdana"/>
          <w:sz w:val="18"/>
          <w:szCs w:val="18"/>
        </w:rPr>
        <w:t xml:space="preserve"> (and oxidative stress</w:t>
      </w:r>
      <w:r w:rsidR="00291B0C" w:rsidRPr="000C7CFA">
        <w:rPr>
          <w:rFonts w:ascii="Verdana" w:hAnsi="Verdana"/>
          <w:sz w:val="18"/>
          <w:szCs w:val="18"/>
        </w:rPr>
        <w:t xml:space="preserve"> and other signs of </w:t>
      </w:r>
      <w:r w:rsidR="00790219" w:rsidRPr="000C7CFA">
        <w:rPr>
          <w:rFonts w:ascii="Verdana" w:hAnsi="Verdana"/>
          <w:sz w:val="18"/>
          <w:szCs w:val="18"/>
        </w:rPr>
        <w:t xml:space="preserve">molecular </w:t>
      </w:r>
      <w:r w:rsidR="005F3654" w:rsidRPr="000C7CFA">
        <w:rPr>
          <w:rFonts w:ascii="Verdana" w:hAnsi="Verdana"/>
          <w:sz w:val="18"/>
          <w:szCs w:val="18"/>
        </w:rPr>
        <w:t xml:space="preserve">and/or tissue </w:t>
      </w:r>
      <w:r w:rsidR="00291B0C" w:rsidRPr="000C7CFA">
        <w:rPr>
          <w:rFonts w:ascii="Verdana" w:hAnsi="Verdana"/>
          <w:sz w:val="18"/>
          <w:szCs w:val="18"/>
        </w:rPr>
        <w:t>damage</w:t>
      </w:r>
      <w:r w:rsidR="001F0BD2" w:rsidRPr="000C7CFA">
        <w:rPr>
          <w:rFonts w:ascii="Verdana" w:hAnsi="Verdana"/>
          <w:sz w:val="18"/>
          <w:szCs w:val="18"/>
        </w:rPr>
        <w:t xml:space="preserve"> in earthworms</w:t>
      </w:r>
      <w:r w:rsidR="004F6E5F" w:rsidRPr="000C7CFA">
        <w:rPr>
          <w:rFonts w:ascii="Verdana" w:hAnsi="Verdana"/>
          <w:sz w:val="18"/>
          <w:szCs w:val="18"/>
        </w:rPr>
        <w:t xml:space="preserve"> and Zebrafish</w:t>
      </w:r>
      <w:r w:rsidR="001F0BD2" w:rsidRPr="000C7CFA">
        <w:rPr>
          <w:rFonts w:ascii="Verdana" w:hAnsi="Verdana"/>
          <w:sz w:val="18"/>
          <w:szCs w:val="18"/>
        </w:rPr>
        <w:t>)</w:t>
      </w:r>
      <w:r w:rsidRPr="000C7CFA">
        <w:rPr>
          <w:rFonts w:ascii="Verdana" w:hAnsi="Verdana"/>
          <w:sz w:val="18"/>
          <w:szCs w:val="18"/>
        </w:rPr>
        <w:t>.</w:t>
      </w:r>
      <w:r w:rsidR="001F0BD2" w:rsidRPr="000C7CFA">
        <w:rPr>
          <w:rFonts w:ascii="Verdana" w:hAnsi="Verdana"/>
          <w:sz w:val="18"/>
          <w:szCs w:val="18"/>
        </w:rPr>
        <w:t xml:space="preserve"> A dietary </w:t>
      </w:r>
      <w:r w:rsidR="00291B0C" w:rsidRPr="000C7CFA">
        <w:rPr>
          <w:rFonts w:ascii="Verdana" w:hAnsi="Verdana"/>
          <w:sz w:val="18"/>
          <w:szCs w:val="18"/>
        </w:rPr>
        <w:t xml:space="preserve">toxicity </w:t>
      </w:r>
      <w:r w:rsidR="001F0BD2" w:rsidRPr="000C7CFA">
        <w:rPr>
          <w:rFonts w:ascii="Verdana" w:hAnsi="Verdana"/>
          <w:sz w:val="18"/>
          <w:szCs w:val="18"/>
        </w:rPr>
        <w:t>study might therefore be appropriate, although no guideline exists, and there is no guidance available to allow the interpretation of the results</w:t>
      </w:r>
      <w:r w:rsidR="00291B0C" w:rsidRPr="000C7CFA">
        <w:rPr>
          <w:rFonts w:ascii="Verdana" w:hAnsi="Verdana"/>
          <w:sz w:val="18"/>
          <w:szCs w:val="18"/>
        </w:rPr>
        <w:t xml:space="preserve"> in the context of Annex XIII</w:t>
      </w:r>
      <w:r w:rsidR="001F0BD2" w:rsidRPr="000C7CFA">
        <w:rPr>
          <w:rFonts w:ascii="Verdana" w:hAnsi="Verdana"/>
          <w:sz w:val="18"/>
          <w:szCs w:val="18"/>
        </w:rPr>
        <w:t xml:space="preserve">. The Tomy </w:t>
      </w:r>
      <w:r w:rsidR="001F0BD2" w:rsidRPr="000C7CFA">
        <w:rPr>
          <w:rFonts w:ascii="Verdana" w:hAnsi="Verdana"/>
          <w:i/>
          <w:sz w:val="18"/>
          <w:szCs w:val="18"/>
        </w:rPr>
        <w:t>et al</w:t>
      </w:r>
      <w:r w:rsidR="001F0BD2" w:rsidRPr="000C7CFA">
        <w:rPr>
          <w:rFonts w:ascii="Verdana" w:hAnsi="Verdana"/>
          <w:sz w:val="18"/>
          <w:szCs w:val="18"/>
        </w:rPr>
        <w:t xml:space="preserve">. (2008) dietary bioaccumulation study failed to find signs of toxicity over a reasonably long exposure period, although the actual exposure concentration (in terms of mg/kg feed) is unknown. </w:t>
      </w:r>
    </w:p>
    <w:p w14:paraId="4F401D4D" w14:textId="77777777" w:rsidR="001452A3" w:rsidRPr="000C7CFA" w:rsidRDefault="001452A3" w:rsidP="00352210">
      <w:pPr>
        <w:jc w:val="both"/>
        <w:rPr>
          <w:rFonts w:ascii="Verdana" w:hAnsi="Verdana"/>
          <w:sz w:val="18"/>
          <w:szCs w:val="18"/>
          <w:lang w:val="en-GB"/>
        </w:rPr>
      </w:pPr>
    </w:p>
    <w:p w14:paraId="69B0E5B1" w14:textId="110B791E" w:rsidR="0089163D" w:rsidRPr="000C7CFA" w:rsidRDefault="00893752" w:rsidP="00352210">
      <w:pPr>
        <w:pStyle w:val="Heading4"/>
        <w:tabs>
          <w:tab w:val="clear" w:pos="839"/>
          <w:tab w:val="left" w:pos="960"/>
          <w:tab w:val="num" w:pos="1317"/>
        </w:tabs>
        <w:ind w:left="1315" w:hanging="1315"/>
        <w:rPr>
          <w:rFonts w:ascii="Verdana" w:hAnsi="Verdana"/>
          <w:sz w:val="18"/>
          <w:szCs w:val="18"/>
        </w:rPr>
      </w:pPr>
      <w:bookmarkStart w:id="120" w:name="_Toc202255566"/>
      <w:bookmarkStart w:id="121" w:name="_Toc265765550"/>
      <w:r w:rsidRPr="000C7CFA">
        <w:rPr>
          <w:rFonts w:ascii="Verdana" w:hAnsi="Verdana"/>
          <w:sz w:val="18"/>
          <w:szCs w:val="18"/>
        </w:rPr>
        <w:t xml:space="preserve"> </w:t>
      </w:r>
      <w:r w:rsidR="00BA0ECA" w:rsidRPr="000C7CFA">
        <w:rPr>
          <w:rFonts w:ascii="Verdana" w:hAnsi="Verdana"/>
          <w:sz w:val="18"/>
          <w:szCs w:val="18"/>
        </w:rPr>
        <w:t>Aquatic invertebrates</w:t>
      </w:r>
      <w:bookmarkEnd w:id="120"/>
      <w:bookmarkEnd w:id="121"/>
    </w:p>
    <w:p w14:paraId="4268A585" w14:textId="20CFD3A3" w:rsidR="0089163D" w:rsidRPr="000C7CFA" w:rsidRDefault="00700C58" w:rsidP="0089163D">
      <w:pPr>
        <w:pStyle w:val="Heading5"/>
        <w:tabs>
          <w:tab w:val="num" w:pos="960"/>
          <w:tab w:val="num" w:pos="2083"/>
        </w:tabs>
        <w:spacing w:before="360" w:after="200"/>
        <w:ind w:left="2083" w:hanging="2083"/>
        <w:rPr>
          <w:rFonts w:ascii="Verdana" w:hAnsi="Verdana"/>
          <w:i w:val="0"/>
          <w:sz w:val="18"/>
          <w:szCs w:val="18"/>
          <w:lang w:val="en-GB"/>
        </w:rPr>
      </w:pPr>
      <w:bookmarkStart w:id="122" w:name="_Toc202255567"/>
      <w:bookmarkStart w:id="123" w:name="_Toc265765551"/>
      <w:r w:rsidRPr="000C7CFA">
        <w:rPr>
          <w:rFonts w:ascii="Verdana" w:hAnsi="Verdana"/>
          <w:i w:val="0"/>
          <w:sz w:val="18"/>
          <w:szCs w:val="18"/>
          <w:lang w:val="en-GB"/>
        </w:rPr>
        <w:t>Short-term toxicity to aquatic invertebrates</w:t>
      </w:r>
      <w:bookmarkEnd w:id="122"/>
      <w:bookmarkEnd w:id="123"/>
    </w:p>
    <w:p w14:paraId="43A2C093" w14:textId="77777777" w:rsidR="001452A3" w:rsidRPr="000C7CFA" w:rsidRDefault="00BA0ECA" w:rsidP="00795AF6">
      <w:pPr>
        <w:jc w:val="both"/>
        <w:rPr>
          <w:rFonts w:ascii="Verdana" w:hAnsi="Verdana"/>
          <w:sz w:val="18"/>
          <w:szCs w:val="18"/>
          <w:lang w:val="en-GB"/>
        </w:rPr>
      </w:pPr>
      <w:r w:rsidRPr="000C7CFA">
        <w:rPr>
          <w:rFonts w:ascii="Verdana" w:hAnsi="Verdana"/>
          <w:sz w:val="18"/>
          <w:szCs w:val="18"/>
          <w:lang w:val="en-GB"/>
        </w:rPr>
        <w:t xml:space="preserve">A short-term toxicity study for aquatic invertebrates has been waived by the </w:t>
      </w:r>
      <w:r w:rsidR="007666BB" w:rsidRPr="000C7CFA">
        <w:rPr>
          <w:rFonts w:ascii="Verdana" w:hAnsi="Verdana"/>
          <w:sz w:val="18"/>
          <w:szCs w:val="18"/>
          <w:lang w:val="en-GB"/>
        </w:rPr>
        <w:t>Registrant</w:t>
      </w:r>
      <w:r w:rsidRPr="000C7CFA">
        <w:rPr>
          <w:rFonts w:ascii="Verdana" w:hAnsi="Verdana"/>
          <w:sz w:val="18"/>
          <w:szCs w:val="18"/>
          <w:lang w:val="en-GB"/>
        </w:rPr>
        <w:t xml:space="preserve"> based on the low water solubility of the substance.</w:t>
      </w:r>
    </w:p>
    <w:p w14:paraId="55C29866" w14:textId="77777777" w:rsidR="00291B0C" w:rsidRPr="000C7CFA" w:rsidRDefault="00291B0C" w:rsidP="00291B0C">
      <w:pPr>
        <w:pStyle w:val="BodyText"/>
        <w:rPr>
          <w:rFonts w:ascii="Verdana" w:hAnsi="Verdana"/>
          <w:sz w:val="18"/>
          <w:szCs w:val="18"/>
        </w:rPr>
      </w:pPr>
      <w:r w:rsidRPr="000C7CFA">
        <w:rPr>
          <w:rFonts w:ascii="Verdana" w:hAnsi="Verdana"/>
          <w:sz w:val="18"/>
          <w:szCs w:val="18"/>
        </w:rPr>
        <w:t>A 48-h EC</w:t>
      </w:r>
      <w:r w:rsidRPr="000C7CFA">
        <w:rPr>
          <w:rFonts w:ascii="Verdana" w:hAnsi="Verdana"/>
          <w:sz w:val="18"/>
          <w:szCs w:val="18"/>
          <w:vertAlign w:val="subscript"/>
        </w:rPr>
        <w:t>50</w:t>
      </w:r>
      <w:r w:rsidRPr="000C7CFA">
        <w:rPr>
          <w:rFonts w:ascii="Verdana" w:hAnsi="Verdana"/>
          <w:sz w:val="18"/>
          <w:szCs w:val="18"/>
        </w:rPr>
        <w:t xml:space="preserve"> value of &gt;1.3 mg/L based on immobilisation of </w:t>
      </w:r>
      <w:r w:rsidRPr="000C7CFA">
        <w:rPr>
          <w:rFonts w:ascii="Verdana" w:hAnsi="Verdana"/>
          <w:i/>
          <w:sz w:val="18"/>
          <w:szCs w:val="18"/>
        </w:rPr>
        <w:t>Daphnia magna</w:t>
      </w:r>
      <w:r w:rsidRPr="000C7CFA">
        <w:rPr>
          <w:rFonts w:ascii="Verdana" w:hAnsi="Verdana"/>
          <w:sz w:val="18"/>
          <w:szCs w:val="18"/>
        </w:rPr>
        <w:t xml:space="preserve"> has been reported by the Japanese Ministry of Environment (</w:t>
      </w:r>
      <w:r w:rsidRPr="000C7CFA">
        <w:rPr>
          <w:rFonts w:ascii="Verdana" w:hAnsi="Verdana"/>
          <w:sz w:val="18"/>
          <w:szCs w:val="18"/>
          <w:u w:val="single"/>
        </w:rPr>
        <w:t>MoE, 2013</w:t>
      </w:r>
      <w:r w:rsidRPr="000C7CFA">
        <w:rPr>
          <w:rStyle w:val="FootnoteReference"/>
          <w:rFonts w:ascii="Verdana" w:hAnsi="Verdana"/>
          <w:sz w:val="18"/>
          <w:szCs w:val="18"/>
        </w:rPr>
        <w:footnoteReference w:id="41"/>
      </w:r>
      <w:r w:rsidRPr="000C7CFA">
        <w:rPr>
          <w:rFonts w:ascii="Verdana" w:hAnsi="Verdana"/>
          <w:sz w:val="18"/>
          <w:szCs w:val="18"/>
        </w:rPr>
        <w:t>), following OECD TG 202. Only a summary of the study result is available. The study was conducted in 1995 and it is likely that dispersants were used. Ideally, the original study report should be reviewed to confirm the validity of the study results. The study was conducted at concentrations far exceeding the solubility limit of the test substance (&lt; 2 ng/L) and therefore should be treated with caution. This study is not mentioned in the registration dossier.</w:t>
      </w:r>
    </w:p>
    <w:p w14:paraId="71DF77C0" w14:textId="77777777" w:rsidR="00F460AB" w:rsidRPr="000C7CFA" w:rsidRDefault="00F460AB" w:rsidP="00291B0C">
      <w:pPr>
        <w:pStyle w:val="BodyText"/>
        <w:rPr>
          <w:rFonts w:ascii="Verdana" w:hAnsi="Verdana"/>
          <w:i/>
          <w:sz w:val="18"/>
          <w:szCs w:val="18"/>
          <w:u w:val="single"/>
        </w:rPr>
      </w:pPr>
      <w:r w:rsidRPr="000C7CFA">
        <w:rPr>
          <w:rFonts w:ascii="Verdana" w:hAnsi="Verdana"/>
          <w:i/>
          <w:sz w:val="18"/>
          <w:szCs w:val="18"/>
          <w:u w:val="single"/>
        </w:rPr>
        <w:t>Non-test data</w:t>
      </w:r>
    </w:p>
    <w:p w14:paraId="301EB526" w14:textId="0C15ECCC" w:rsidR="00F460AB" w:rsidRPr="000C7CFA" w:rsidRDefault="00F460AB" w:rsidP="00F460AB">
      <w:pPr>
        <w:pStyle w:val="BodyText"/>
        <w:rPr>
          <w:rFonts w:ascii="Verdana" w:hAnsi="Verdana"/>
          <w:sz w:val="18"/>
          <w:szCs w:val="18"/>
        </w:rPr>
      </w:pPr>
      <w:r w:rsidRPr="000C7CFA">
        <w:rPr>
          <w:rFonts w:ascii="Verdana" w:hAnsi="Verdana"/>
          <w:sz w:val="18"/>
          <w:szCs w:val="18"/>
        </w:rPr>
        <w:t xml:space="preserve">Predictions of short-term toxicity to </w:t>
      </w:r>
      <w:r w:rsidRPr="000C7CFA">
        <w:rPr>
          <w:rFonts w:ascii="Verdana" w:hAnsi="Verdana"/>
          <w:i/>
          <w:sz w:val="18"/>
          <w:szCs w:val="18"/>
        </w:rPr>
        <w:t>Daphnia</w:t>
      </w:r>
      <w:r w:rsidRPr="000C7CFA">
        <w:rPr>
          <w:rFonts w:ascii="Verdana" w:hAnsi="Verdana"/>
          <w:sz w:val="18"/>
          <w:szCs w:val="18"/>
        </w:rPr>
        <w:t xml:space="preserve"> using ECOSAR v.1.1 (Mayo-Bean, 2012) are valid for substances with a log K</w:t>
      </w:r>
      <w:r w:rsidRPr="000C7CFA">
        <w:rPr>
          <w:rFonts w:ascii="Verdana" w:hAnsi="Verdana"/>
          <w:sz w:val="18"/>
          <w:szCs w:val="18"/>
          <w:vertAlign w:val="subscript"/>
        </w:rPr>
        <w:t>OW</w:t>
      </w:r>
      <w:r w:rsidRPr="000C7CFA">
        <w:rPr>
          <w:rFonts w:ascii="Verdana" w:hAnsi="Verdana"/>
          <w:sz w:val="18"/>
          <w:szCs w:val="18"/>
        </w:rPr>
        <w:t xml:space="preserve"> up to 5 (neutral organics model) or 6 (vinyl/allyl halides model). As Dechlorane Plus has a log K</w:t>
      </w:r>
      <w:r w:rsidRPr="000C7CFA">
        <w:rPr>
          <w:rFonts w:ascii="Verdana" w:hAnsi="Verdana"/>
          <w:sz w:val="18"/>
          <w:szCs w:val="18"/>
          <w:vertAlign w:val="subscript"/>
        </w:rPr>
        <w:t>OW</w:t>
      </w:r>
      <w:r w:rsidRPr="000C7CFA">
        <w:rPr>
          <w:rFonts w:ascii="Verdana" w:hAnsi="Verdana"/>
          <w:sz w:val="18"/>
          <w:szCs w:val="18"/>
        </w:rPr>
        <w:t xml:space="preserve"> of </w:t>
      </w:r>
      <w:r w:rsidR="0018052E" w:rsidRPr="000C7CFA">
        <w:rPr>
          <w:rFonts w:ascii="Verdana" w:hAnsi="Verdana"/>
          <w:sz w:val="18"/>
          <w:szCs w:val="18"/>
        </w:rPr>
        <w:t>≥</w:t>
      </w:r>
      <w:r w:rsidRPr="000C7CFA">
        <w:rPr>
          <w:rFonts w:ascii="Verdana" w:hAnsi="Verdana"/>
          <w:sz w:val="18"/>
          <w:szCs w:val="18"/>
        </w:rPr>
        <w:t>9, it falls outside of the prediction domain of the models, and no toxicity is expected at saturation.</w:t>
      </w:r>
    </w:p>
    <w:p w14:paraId="25184DB2" w14:textId="4086CB49" w:rsidR="00F460AB" w:rsidRPr="000C7CFA" w:rsidRDefault="00F460AB" w:rsidP="00F460AB">
      <w:pPr>
        <w:pStyle w:val="BodyText"/>
        <w:rPr>
          <w:rFonts w:ascii="Verdana" w:hAnsi="Verdana"/>
          <w:sz w:val="18"/>
          <w:szCs w:val="18"/>
        </w:rPr>
      </w:pPr>
      <w:r w:rsidRPr="000C7CFA">
        <w:rPr>
          <w:rFonts w:ascii="Verdana" w:hAnsi="Verdana"/>
          <w:sz w:val="18"/>
          <w:szCs w:val="18"/>
        </w:rPr>
        <w:t xml:space="preserve">Appendix </w:t>
      </w:r>
      <w:r w:rsidR="00E626D2" w:rsidRPr="000C7CFA">
        <w:rPr>
          <w:rFonts w:ascii="Verdana" w:hAnsi="Verdana"/>
          <w:sz w:val="18"/>
          <w:szCs w:val="18"/>
        </w:rPr>
        <w:t>8</w:t>
      </w:r>
      <w:r w:rsidRPr="000C7CFA">
        <w:rPr>
          <w:rFonts w:ascii="Verdana" w:hAnsi="Verdana"/>
          <w:sz w:val="18"/>
          <w:szCs w:val="18"/>
        </w:rPr>
        <w:t xml:space="preserve"> summarises aquatic toxicity data for four structural analogues. Neither of the closest analogues (Dechlorane 603 and Chlordene Plus) are predicted to be acutely toxic to </w:t>
      </w:r>
      <w:r w:rsidRPr="000C7CFA">
        <w:rPr>
          <w:rFonts w:ascii="Verdana" w:hAnsi="Verdana"/>
          <w:i/>
          <w:sz w:val="18"/>
          <w:szCs w:val="18"/>
        </w:rPr>
        <w:t>Daphnia</w:t>
      </w:r>
      <w:r w:rsidRPr="000C7CFA">
        <w:rPr>
          <w:rFonts w:ascii="Verdana" w:hAnsi="Verdana"/>
          <w:sz w:val="18"/>
          <w:szCs w:val="18"/>
        </w:rPr>
        <w:t xml:space="preserve"> up the limit of their water solubilities. Two further analogues </w:t>
      </w:r>
      <w:r w:rsidR="0018052E" w:rsidRPr="000C7CFA">
        <w:rPr>
          <w:rFonts w:ascii="Verdana" w:hAnsi="Verdana"/>
          <w:sz w:val="18"/>
          <w:szCs w:val="18"/>
        </w:rPr>
        <w:t>(</w:t>
      </w:r>
      <w:r w:rsidR="00240728" w:rsidRPr="000C7CFA">
        <w:rPr>
          <w:rFonts w:ascii="Verdana" w:hAnsi="Verdana"/>
          <w:sz w:val="18"/>
          <w:szCs w:val="18"/>
        </w:rPr>
        <w:t>ch</w:t>
      </w:r>
      <w:r w:rsidR="0018052E" w:rsidRPr="000C7CFA">
        <w:rPr>
          <w:rFonts w:ascii="Verdana" w:hAnsi="Verdana"/>
          <w:sz w:val="18"/>
          <w:szCs w:val="18"/>
        </w:rPr>
        <w:t>lor</w:t>
      </w:r>
      <w:r w:rsidR="00240728" w:rsidRPr="000C7CFA">
        <w:rPr>
          <w:rFonts w:ascii="Verdana" w:hAnsi="Verdana"/>
          <w:sz w:val="18"/>
          <w:szCs w:val="18"/>
        </w:rPr>
        <w:t>d</w:t>
      </w:r>
      <w:r w:rsidR="0018052E" w:rsidRPr="000C7CFA">
        <w:rPr>
          <w:rFonts w:ascii="Verdana" w:hAnsi="Verdana"/>
          <w:sz w:val="18"/>
          <w:szCs w:val="18"/>
        </w:rPr>
        <w:t xml:space="preserve">ane and </w:t>
      </w:r>
      <w:r w:rsidR="00240728" w:rsidRPr="000C7CFA">
        <w:rPr>
          <w:rFonts w:ascii="Verdana" w:hAnsi="Verdana"/>
          <w:sz w:val="18"/>
          <w:szCs w:val="18"/>
        </w:rPr>
        <w:t>heptachlor</w:t>
      </w:r>
      <w:r w:rsidR="0018052E" w:rsidRPr="000C7CFA">
        <w:rPr>
          <w:rFonts w:ascii="Verdana" w:hAnsi="Verdana"/>
          <w:sz w:val="18"/>
          <w:szCs w:val="18"/>
        </w:rPr>
        <w:t xml:space="preserve">) </w:t>
      </w:r>
      <w:r w:rsidRPr="000C7CFA">
        <w:rPr>
          <w:rFonts w:ascii="Verdana" w:hAnsi="Verdana"/>
          <w:sz w:val="18"/>
          <w:szCs w:val="18"/>
        </w:rPr>
        <w:t xml:space="preserve">are </w:t>
      </w:r>
      <w:r w:rsidR="00664345" w:rsidRPr="000C7CFA">
        <w:rPr>
          <w:rFonts w:ascii="Verdana" w:hAnsi="Verdana"/>
          <w:sz w:val="18"/>
          <w:szCs w:val="18"/>
        </w:rPr>
        <w:t xml:space="preserve">predicted to be </w:t>
      </w:r>
      <w:r w:rsidRPr="000C7CFA">
        <w:rPr>
          <w:rFonts w:ascii="Verdana" w:hAnsi="Verdana"/>
          <w:sz w:val="18"/>
          <w:szCs w:val="18"/>
        </w:rPr>
        <w:t xml:space="preserve">acutely toxic to </w:t>
      </w:r>
      <w:r w:rsidRPr="000C7CFA">
        <w:rPr>
          <w:rFonts w:ascii="Verdana" w:hAnsi="Verdana"/>
          <w:i/>
          <w:sz w:val="18"/>
          <w:szCs w:val="18"/>
        </w:rPr>
        <w:t>Daphnia</w:t>
      </w:r>
      <w:r w:rsidRPr="000C7CFA">
        <w:rPr>
          <w:rFonts w:ascii="Verdana" w:hAnsi="Verdana"/>
          <w:sz w:val="18"/>
          <w:szCs w:val="18"/>
        </w:rPr>
        <w:t xml:space="preserve">, but are much less hydrophobic than Dechlorane Plus. </w:t>
      </w:r>
      <w:r w:rsidR="00664345" w:rsidRPr="000C7CFA">
        <w:rPr>
          <w:rFonts w:ascii="Verdana" w:hAnsi="Verdana"/>
          <w:sz w:val="18"/>
          <w:szCs w:val="18"/>
        </w:rPr>
        <w:t>Their log K</w:t>
      </w:r>
      <w:r w:rsidR="00664345" w:rsidRPr="000C7CFA">
        <w:rPr>
          <w:rFonts w:ascii="Verdana" w:hAnsi="Verdana"/>
          <w:sz w:val="18"/>
          <w:szCs w:val="18"/>
          <w:vertAlign w:val="subscript"/>
        </w:rPr>
        <w:t>OW</w:t>
      </w:r>
      <w:r w:rsidR="00664345" w:rsidRPr="000C7CFA">
        <w:rPr>
          <w:rFonts w:ascii="Verdana" w:hAnsi="Verdana"/>
          <w:sz w:val="18"/>
          <w:szCs w:val="18"/>
        </w:rPr>
        <w:t xml:space="preserve"> values exceed</w:t>
      </w:r>
      <w:r w:rsidR="00EA354C" w:rsidRPr="000C7CFA">
        <w:rPr>
          <w:rFonts w:ascii="Verdana" w:hAnsi="Verdana"/>
          <w:sz w:val="18"/>
          <w:szCs w:val="18"/>
        </w:rPr>
        <w:t xml:space="preserve"> the prediction domain </w:t>
      </w:r>
      <w:r w:rsidR="00664345" w:rsidRPr="000C7CFA">
        <w:rPr>
          <w:rFonts w:ascii="Verdana" w:hAnsi="Verdana"/>
          <w:sz w:val="18"/>
          <w:szCs w:val="18"/>
        </w:rPr>
        <w:t>for the baseline Daphnid acute model by about an order of magnitude; chlordane is outside the domain for the vinyl/allyl halides class prediction for Daphnid acute toxicity too</w:t>
      </w:r>
      <w:r w:rsidR="00240728" w:rsidRPr="000C7CFA">
        <w:rPr>
          <w:rFonts w:ascii="Verdana" w:hAnsi="Verdana"/>
          <w:sz w:val="18"/>
          <w:szCs w:val="18"/>
        </w:rPr>
        <w:t xml:space="preserve">. </w:t>
      </w:r>
      <w:r w:rsidRPr="000C7CFA">
        <w:rPr>
          <w:rFonts w:ascii="Verdana" w:hAnsi="Verdana"/>
          <w:sz w:val="18"/>
          <w:szCs w:val="18"/>
        </w:rPr>
        <w:t>As neurotoxic pesticides, their mode of action may be very different too. They therefore cannot be used for direct read across purposes.</w:t>
      </w:r>
    </w:p>
    <w:p w14:paraId="0B7D1D75" w14:textId="77777777" w:rsidR="00285819" w:rsidRPr="000C7CFA" w:rsidRDefault="00285819" w:rsidP="00285819">
      <w:pPr>
        <w:pStyle w:val="BodyText"/>
        <w:keepNext/>
        <w:tabs>
          <w:tab w:val="left" w:pos="2905"/>
        </w:tabs>
        <w:rPr>
          <w:rFonts w:ascii="Verdana" w:hAnsi="Verdana"/>
          <w:b/>
          <w:i/>
          <w:sz w:val="18"/>
          <w:szCs w:val="18"/>
        </w:rPr>
      </w:pPr>
      <w:r w:rsidRPr="000C7CFA">
        <w:rPr>
          <w:rFonts w:ascii="Verdana" w:hAnsi="Verdana"/>
          <w:b/>
          <w:i/>
          <w:sz w:val="18"/>
          <w:szCs w:val="18"/>
        </w:rPr>
        <w:t>Discussion</w:t>
      </w:r>
    </w:p>
    <w:p w14:paraId="59DFD9E2" w14:textId="650A0ADB" w:rsidR="001452A3" w:rsidRPr="000C7CFA" w:rsidRDefault="0018052E" w:rsidP="00795AF6">
      <w:pPr>
        <w:jc w:val="both"/>
        <w:rPr>
          <w:rFonts w:ascii="Verdana" w:hAnsi="Verdana"/>
          <w:sz w:val="18"/>
          <w:szCs w:val="18"/>
          <w:lang w:val="en-GB"/>
        </w:rPr>
      </w:pPr>
      <w:r w:rsidRPr="000C7CFA">
        <w:rPr>
          <w:rFonts w:ascii="Verdana" w:hAnsi="Verdana"/>
          <w:sz w:val="18"/>
          <w:szCs w:val="18"/>
          <w:lang w:val="en-GB"/>
        </w:rPr>
        <w:t>As</w:t>
      </w:r>
      <w:r w:rsidR="00291B0C" w:rsidRPr="000C7CFA">
        <w:rPr>
          <w:rFonts w:ascii="Verdana" w:hAnsi="Verdana"/>
          <w:sz w:val="18"/>
          <w:szCs w:val="18"/>
          <w:lang w:val="en-GB"/>
        </w:rPr>
        <w:t xml:space="preserve"> for fish,</w:t>
      </w:r>
      <w:r w:rsidR="00BA0ECA" w:rsidRPr="000C7CFA">
        <w:rPr>
          <w:rFonts w:ascii="Verdana" w:hAnsi="Verdana"/>
          <w:sz w:val="18"/>
          <w:szCs w:val="18"/>
          <w:lang w:val="en-GB"/>
        </w:rPr>
        <w:t xml:space="preserve"> it is not necessary to conduct a short-term toxicity study with invertebrates based on </w:t>
      </w:r>
      <w:r w:rsidR="00656591" w:rsidRPr="000C7CFA">
        <w:rPr>
          <w:rFonts w:ascii="Verdana" w:hAnsi="Verdana"/>
          <w:sz w:val="18"/>
          <w:szCs w:val="18"/>
          <w:lang w:val="en-GB"/>
        </w:rPr>
        <w:t xml:space="preserve">the </w:t>
      </w:r>
      <w:r w:rsidR="00790219" w:rsidRPr="000C7CFA">
        <w:rPr>
          <w:rFonts w:ascii="Verdana" w:hAnsi="Verdana"/>
          <w:sz w:val="18"/>
          <w:szCs w:val="18"/>
          <w:lang w:val="en-GB"/>
        </w:rPr>
        <w:t xml:space="preserve">very </w:t>
      </w:r>
      <w:r w:rsidR="00BA0ECA" w:rsidRPr="000C7CFA">
        <w:rPr>
          <w:rFonts w:ascii="Verdana" w:hAnsi="Verdana"/>
          <w:sz w:val="18"/>
          <w:szCs w:val="18"/>
          <w:lang w:val="en-GB"/>
        </w:rPr>
        <w:t>low water solubility</w:t>
      </w:r>
      <w:r w:rsidR="00656591" w:rsidRPr="000C7CFA">
        <w:rPr>
          <w:rFonts w:ascii="Verdana" w:hAnsi="Verdana"/>
          <w:sz w:val="18"/>
          <w:szCs w:val="18"/>
          <w:lang w:val="en-GB"/>
        </w:rPr>
        <w:t xml:space="preserve"> of Dechlorane Plus</w:t>
      </w:r>
      <w:r w:rsidR="00BA0ECA" w:rsidRPr="000C7CFA">
        <w:rPr>
          <w:rFonts w:ascii="Verdana" w:hAnsi="Verdana"/>
          <w:sz w:val="18"/>
          <w:szCs w:val="18"/>
          <w:lang w:val="en-GB"/>
        </w:rPr>
        <w:t xml:space="preserve"> and</w:t>
      </w:r>
      <w:r w:rsidR="00656591" w:rsidRPr="000C7CFA">
        <w:rPr>
          <w:rFonts w:ascii="Verdana" w:hAnsi="Verdana"/>
          <w:sz w:val="18"/>
          <w:szCs w:val="18"/>
          <w:lang w:val="en-GB"/>
        </w:rPr>
        <w:t xml:space="preserve"> its</w:t>
      </w:r>
      <w:r w:rsidR="00BA0ECA" w:rsidRPr="000C7CFA">
        <w:rPr>
          <w:rFonts w:ascii="Verdana" w:hAnsi="Verdana"/>
          <w:sz w:val="18"/>
          <w:szCs w:val="18"/>
          <w:lang w:val="en-GB"/>
        </w:rPr>
        <w:t xml:space="preserve"> limited bioavailability. Low water solubility is a REACH Annex VII Column 2 adaptation for this endpoint.</w:t>
      </w:r>
    </w:p>
    <w:p w14:paraId="7BB69EC5" w14:textId="2F8BE300" w:rsidR="0089163D" w:rsidRPr="000C7CFA" w:rsidRDefault="00700C58" w:rsidP="00040B5E">
      <w:pPr>
        <w:pStyle w:val="Heading5"/>
        <w:keepNext/>
        <w:tabs>
          <w:tab w:val="num" w:pos="960"/>
          <w:tab w:val="num" w:pos="2083"/>
        </w:tabs>
        <w:spacing w:before="360" w:after="200"/>
        <w:ind w:left="2081" w:hanging="2081"/>
        <w:rPr>
          <w:rFonts w:ascii="Verdana" w:hAnsi="Verdana"/>
          <w:i w:val="0"/>
          <w:sz w:val="18"/>
          <w:szCs w:val="18"/>
          <w:lang w:val="en-GB"/>
        </w:rPr>
      </w:pPr>
      <w:bookmarkStart w:id="124" w:name="_Toc202255568"/>
      <w:bookmarkStart w:id="125" w:name="_Toc265765552"/>
      <w:r w:rsidRPr="000C7CFA">
        <w:rPr>
          <w:rFonts w:ascii="Verdana" w:hAnsi="Verdana"/>
          <w:i w:val="0"/>
          <w:sz w:val="18"/>
          <w:szCs w:val="18"/>
          <w:lang w:val="en-GB"/>
        </w:rPr>
        <w:t>Long-term toxicity to aquatic invertebrates</w:t>
      </w:r>
      <w:bookmarkEnd w:id="124"/>
      <w:bookmarkEnd w:id="125"/>
    </w:p>
    <w:p w14:paraId="27F5EC72" w14:textId="77777777" w:rsidR="001452A3" w:rsidRPr="000C7CFA" w:rsidRDefault="00BA0ECA" w:rsidP="00795AF6">
      <w:pPr>
        <w:jc w:val="both"/>
        <w:rPr>
          <w:rFonts w:ascii="Verdana" w:hAnsi="Verdana"/>
          <w:sz w:val="18"/>
          <w:szCs w:val="18"/>
          <w:lang w:val="en-GB"/>
        </w:rPr>
      </w:pPr>
      <w:r w:rsidRPr="000C7CFA">
        <w:rPr>
          <w:rFonts w:ascii="Verdana" w:hAnsi="Verdana"/>
          <w:sz w:val="18"/>
          <w:szCs w:val="18"/>
          <w:lang w:val="en-GB"/>
        </w:rPr>
        <w:t xml:space="preserve">A long-term toxicity test with aquatic invertebrates has been waived by the </w:t>
      </w:r>
      <w:r w:rsidR="007666BB" w:rsidRPr="000C7CFA">
        <w:rPr>
          <w:rFonts w:ascii="Verdana" w:hAnsi="Verdana"/>
          <w:sz w:val="18"/>
          <w:szCs w:val="18"/>
          <w:lang w:val="en-GB"/>
        </w:rPr>
        <w:t>Registrant</w:t>
      </w:r>
      <w:r w:rsidRPr="000C7CFA">
        <w:rPr>
          <w:rFonts w:ascii="Verdana" w:hAnsi="Verdana"/>
          <w:sz w:val="18"/>
          <w:szCs w:val="18"/>
          <w:lang w:val="en-GB"/>
        </w:rPr>
        <w:t xml:space="preserve"> based on the low water solubility of the substance, the lack of effects in short- and long-term toxicity studies with fish, and on the grounds that the substance is not bioaccumulative. </w:t>
      </w:r>
    </w:p>
    <w:p w14:paraId="207C9514" w14:textId="359C4A66" w:rsidR="00656591" w:rsidRPr="000C7CFA" w:rsidRDefault="00656591" w:rsidP="00656591">
      <w:pPr>
        <w:pStyle w:val="BodyText"/>
        <w:rPr>
          <w:rFonts w:ascii="Verdana" w:hAnsi="Verdana"/>
          <w:sz w:val="18"/>
          <w:szCs w:val="18"/>
        </w:rPr>
      </w:pPr>
      <w:r w:rsidRPr="000C7CFA">
        <w:rPr>
          <w:rFonts w:ascii="Verdana" w:hAnsi="Verdana"/>
          <w:sz w:val="18"/>
          <w:szCs w:val="18"/>
        </w:rPr>
        <w:t>21-d EC</w:t>
      </w:r>
      <w:r w:rsidRPr="000C7CFA">
        <w:rPr>
          <w:rFonts w:ascii="Verdana" w:hAnsi="Verdana"/>
          <w:sz w:val="18"/>
          <w:szCs w:val="18"/>
          <w:vertAlign w:val="subscript"/>
        </w:rPr>
        <w:t>50</w:t>
      </w:r>
      <w:r w:rsidRPr="000C7CFA">
        <w:rPr>
          <w:rFonts w:ascii="Verdana" w:hAnsi="Verdana"/>
          <w:sz w:val="18"/>
          <w:szCs w:val="18"/>
        </w:rPr>
        <w:t xml:space="preserve"> and NOEC values of &gt;1.3 mg/L based on reproductive effects with </w:t>
      </w:r>
      <w:r w:rsidRPr="000C7CFA">
        <w:rPr>
          <w:rFonts w:ascii="Verdana" w:hAnsi="Verdana"/>
          <w:i/>
          <w:sz w:val="18"/>
          <w:szCs w:val="18"/>
        </w:rPr>
        <w:t>Daphnia magna</w:t>
      </w:r>
      <w:r w:rsidRPr="000C7CFA">
        <w:rPr>
          <w:rFonts w:ascii="Verdana" w:hAnsi="Verdana"/>
          <w:sz w:val="18"/>
          <w:szCs w:val="18"/>
        </w:rPr>
        <w:t xml:space="preserve"> have been reported by the Japanese Ministry of Environment (</w:t>
      </w:r>
      <w:r w:rsidRPr="000C7CFA">
        <w:rPr>
          <w:rFonts w:ascii="Verdana" w:hAnsi="Verdana"/>
          <w:sz w:val="18"/>
          <w:szCs w:val="18"/>
          <w:u w:val="single"/>
        </w:rPr>
        <w:t>MoE, 2013</w:t>
      </w:r>
      <w:r w:rsidRPr="000C7CFA">
        <w:rPr>
          <w:rStyle w:val="FootnoteReference"/>
          <w:rFonts w:ascii="Verdana" w:hAnsi="Verdana"/>
          <w:sz w:val="18"/>
          <w:szCs w:val="18"/>
        </w:rPr>
        <w:footnoteReference w:id="42"/>
      </w:r>
      <w:r w:rsidRPr="000C7CFA">
        <w:rPr>
          <w:rFonts w:ascii="Verdana" w:hAnsi="Verdana"/>
          <w:sz w:val="18"/>
          <w:szCs w:val="18"/>
        </w:rPr>
        <w:t>), following OECD TG 211. Only a summary of the results are reported. The study was conducted in 1995 and it is likely that dispersants were used. Ideally, the original study report should be reviewed to confirm the validity of the study results. The studies were conducted at concentrations far exceeding the solubility limit of the test substance (&lt; 2 ng/L) and therefore should be treated with caution. This study is not mentioned in the registration dossier.</w:t>
      </w:r>
    </w:p>
    <w:p w14:paraId="1AD93B69" w14:textId="77777777" w:rsidR="00AC0489" w:rsidRPr="000C7CFA" w:rsidRDefault="00AC0489" w:rsidP="00AC0489">
      <w:pPr>
        <w:pStyle w:val="BodyText"/>
        <w:rPr>
          <w:rFonts w:ascii="Verdana" w:hAnsi="Verdana"/>
          <w:i/>
          <w:sz w:val="18"/>
          <w:szCs w:val="18"/>
          <w:u w:val="single"/>
        </w:rPr>
      </w:pPr>
      <w:r w:rsidRPr="000C7CFA">
        <w:rPr>
          <w:rFonts w:ascii="Verdana" w:hAnsi="Verdana"/>
          <w:i/>
          <w:sz w:val="18"/>
          <w:szCs w:val="18"/>
          <w:u w:val="single"/>
        </w:rPr>
        <w:lastRenderedPageBreak/>
        <w:t>Non-test data</w:t>
      </w:r>
    </w:p>
    <w:p w14:paraId="79850861" w14:textId="77777777" w:rsidR="0018052E" w:rsidRPr="000C7CFA" w:rsidRDefault="0018052E" w:rsidP="0018052E">
      <w:pPr>
        <w:pStyle w:val="BodyText"/>
        <w:rPr>
          <w:rFonts w:ascii="Verdana" w:hAnsi="Verdana"/>
          <w:sz w:val="18"/>
          <w:szCs w:val="18"/>
        </w:rPr>
      </w:pPr>
      <w:r w:rsidRPr="000C7CFA">
        <w:rPr>
          <w:rFonts w:ascii="Verdana" w:hAnsi="Verdana"/>
          <w:sz w:val="18"/>
          <w:szCs w:val="18"/>
        </w:rPr>
        <w:t>Predictions of long-term toxicity to invertebrates using ECOSAR v.1.1 (Mayo-Bean, 2012) are valid for substances with a log K</w:t>
      </w:r>
      <w:r w:rsidRPr="000C7CFA">
        <w:rPr>
          <w:rFonts w:ascii="Verdana" w:hAnsi="Verdana"/>
          <w:sz w:val="18"/>
          <w:szCs w:val="18"/>
          <w:vertAlign w:val="subscript"/>
        </w:rPr>
        <w:t>OW</w:t>
      </w:r>
      <w:r w:rsidRPr="000C7CFA">
        <w:rPr>
          <w:rFonts w:ascii="Verdana" w:hAnsi="Verdana"/>
          <w:sz w:val="18"/>
          <w:szCs w:val="18"/>
        </w:rPr>
        <w:t xml:space="preserve"> up to 8. As Dechlorane Plus has a log K</w:t>
      </w:r>
      <w:r w:rsidRPr="000C7CFA">
        <w:rPr>
          <w:rFonts w:ascii="Verdana" w:hAnsi="Verdana"/>
          <w:sz w:val="18"/>
          <w:szCs w:val="18"/>
          <w:vertAlign w:val="subscript"/>
        </w:rPr>
        <w:t>OW</w:t>
      </w:r>
      <w:r w:rsidRPr="000C7CFA">
        <w:rPr>
          <w:rFonts w:ascii="Verdana" w:hAnsi="Verdana"/>
          <w:sz w:val="18"/>
          <w:szCs w:val="18"/>
        </w:rPr>
        <w:t xml:space="preserve"> of ≥9, it falls outside of the prediction domain of the models, and no toxicity is expected at saturation.</w:t>
      </w:r>
    </w:p>
    <w:p w14:paraId="325024C0" w14:textId="1C754B59" w:rsidR="00AC0489" w:rsidRPr="000C7CFA" w:rsidRDefault="0018052E" w:rsidP="0018052E">
      <w:pPr>
        <w:jc w:val="both"/>
        <w:rPr>
          <w:rFonts w:ascii="Verdana" w:hAnsi="Verdana"/>
          <w:sz w:val="18"/>
          <w:szCs w:val="18"/>
        </w:rPr>
      </w:pPr>
      <w:r w:rsidRPr="000C7CFA">
        <w:rPr>
          <w:rFonts w:ascii="Verdana" w:hAnsi="Verdana"/>
          <w:sz w:val="18"/>
          <w:szCs w:val="18"/>
        </w:rPr>
        <w:t xml:space="preserve">Appendix </w:t>
      </w:r>
      <w:r w:rsidR="00E626D2" w:rsidRPr="000C7CFA">
        <w:rPr>
          <w:rFonts w:ascii="Verdana" w:hAnsi="Verdana"/>
          <w:sz w:val="18"/>
          <w:szCs w:val="18"/>
        </w:rPr>
        <w:t>8</w:t>
      </w:r>
      <w:r w:rsidRPr="000C7CFA">
        <w:rPr>
          <w:rFonts w:ascii="Verdana" w:hAnsi="Verdana"/>
          <w:sz w:val="18"/>
          <w:szCs w:val="18"/>
        </w:rPr>
        <w:t xml:space="preserve"> </w:t>
      </w:r>
      <w:r w:rsidR="0076237E" w:rsidRPr="000C7CFA">
        <w:rPr>
          <w:rFonts w:ascii="Verdana" w:hAnsi="Verdana"/>
          <w:sz w:val="18"/>
          <w:szCs w:val="18"/>
        </w:rPr>
        <w:t>summarizes</w:t>
      </w:r>
      <w:r w:rsidRPr="000C7CFA">
        <w:rPr>
          <w:rFonts w:ascii="Verdana" w:hAnsi="Verdana"/>
          <w:sz w:val="18"/>
          <w:szCs w:val="18"/>
        </w:rPr>
        <w:t xml:space="preserve"> aquatic toxicity data for four structural analogues. There is a lack of relevant structural analogues in the training sets of the models, which limits their reliability. The closest analogues (Dechlorane 603 and Chlordene Plus) fall outside of the prediction domain of the models, so no toxicity is expected at saturation. Two further analogues (chlordane and heptachlor) are chronically toxic to invertebrates</w:t>
      </w:r>
      <w:r w:rsidR="00240728" w:rsidRPr="000C7CFA">
        <w:rPr>
          <w:rFonts w:ascii="Verdana" w:hAnsi="Verdana"/>
          <w:sz w:val="18"/>
          <w:szCs w:val="18"/>
        </w:rPr>
        <w:t xml:space="preserve"> with predicted NOECs around or below 0.01 mg/L</w:t>
      </w:r>
      <w:r w:rsidRPr="000C7CFA">
        <w:rPr>
          <w:rFonts w:ascii="Verdana" w:hAnsi="Verdana"/>
          <w:sz w:val="18"/>
          <w:szCs w:val="18"/>
        </w:rPr>
        <w:t>, but are much less hydrophobic than Dechlorane Plus. As neurotoxic pesticides, their mode of action may be very different too. They therefore cannot be used for direct read across purposes.</w:t>
      </w:r>
    </w:p>
    <w:p w14:paraId="6B3A9045" w14:textId="77777777" w:rsidR="00285819" w:rsidRPr="000C7CFA" w:rsidRDefault="00285819" w:rsidP="00285819">
      <w:pPr>
        <w:pStyle w:val="BodyText"/>
        <w:keepNext/>
        <w:tabs>
          <w:tab w:val="left" w:pos="2905"/>
        </w:tabs>
        <w:rPr>
          <w:rFonts w:ascii="Verdana" w:hAnsi="Verdana"/>
          <w:b/>
          <w:i/>
          <w:sz w:val="18"/>
          <w:szCs w:val="18"/>
        </w:rPr>
      </w:pPr>
      <w:r w:rsidRPr="000C7CFA">
        <w:rPr>
          <w:rFonts w:ascii="Verdana" w:hAnsi="Verdana"/>
          <w:b/>
          <w:i/>
          <w:sz w:val="18"/>
          <w:szCs w:val="18"/>
        </w:rPr>
        <w:t>Discussion</w:t>
      </w:r>
    </w:p>
    <w:p w14:paraId="40BD9FDA" w14:textId="4F470AF4" w:rsidR="001452A3" w:rsidRPr="000C7CFA" w:rsidRDefault="0018052E" w:rsidP="009D1ED9">
      <w:pPr>
        <w:jc w:val="both"/>
        <w:rPr>
          <w:rFonts w:ascii="Verdana" w:hAnsi="Verdana"/>
          <w:sz w:val="18"/>
          <w:szCs w:val="18"/>
          <w:lang w:val="en-GB"/>
        </w:rPr>
      </w:pPr>
      <w:r w:rsidRPr="000C7CFA">
        <w:rPr>
          <w:rFonts w:ascii="Verdana" w:hAnsi="Verdana"/>
          <w:sz w:val="18"/>
          <w:szCs w:val="18"/>
          <w:lang w:val="en-GB"/>
        </w:rPr>
        <w:t>I</w:t>
      </w:r>
      <w:r w:rsidR="00BA0ECA" w:rsidRPr="000C7CFA">
        <w:rPr>
          <w:rFonts w:ascii="Verdana" w:hAnsi="Verdana"/>
          <w:sz w:val="18"/>
          <w:szCs w:val="18"/>
          <w:lang w:val="en-GB"/>
        </w:rPr>
        <w:t xml:space="preserve">t is not necessary to conduct a long-term toxicity study with invertebrates based on the substance having </w:t>
      </w:r>
      <w:r w:rsidR="00790219" w:rsidRPr="000C7CFA">
        <w:rPr>
          <w:rFonts w:ascii="Verdana" w:hAnsi="Verdana"/>
          <w:sz w:val="18"/>
          <w:szCs w:val="18"/>
          <w:lang w:val="en-GB"/>
        </w:rPr>
        <w:t xml:space="preserve">very </w:t>
      </w:r>
      <w:r w:rsidR="00BA0ECA" w:rsidRPr="000C7CFA">
        <w:rPr>
          <w:rFonts w:ascii="Verdana" w:hAnsi="Verdana"/>
          <w:sz w:val="18"/>
          <w:szCs w:val="18"/>
          <w:lang w:val="en-GB"/>
        </w:rPr>
        <w:t>low water solubility and limited bioavailability, i.e. toxicity is not expected to be expressed in aquatic studies</w:t>
      </w:r>
      <w:r w:rsidR="00656591" w:rsidRPr="000C7CFA">
        <w:rPr>
          <w:rFonts w:ascii="Verdana" w:hAnsi="Verdana"/>
          <w:sz w:val="18"/>
          <w:szCs w:val="18"/>
          <w:lang w:val="en-GB"/>
        </w:rPr>
        <w:t xml:space="preserve"> involving water-only exposure</w:t>
      </w:r>
      <w:r w:rsidR="008E2672" w:rsidRPr="000C7CFA">
        <w:rPr>
          <w:rFonts w:ascii="Verdana" w:hAnsi="Verdana"/>
          <w:sz w:val="18"/>
          <w:szCs w:val="18"/>
          <w:lang w:val="en-GB"/>
        </w:rPr>
        <w:t xml:space="preserve"> over 21 days</w:t>
      </w:r>
      <w:r w:rsidR="00BA0ECA" w:rsidRPr="000C7CFA">
        <w:rPr>
          <w:rFonts w:ascii="Verdana" w:hAnsi="Verdana"/>
          <w:sz w:val="18"/>
          <w:szCs w:val="18"/>
          <w:lang w:val="en-GB"/>
        </w:rPr>
        <w:t xml:space="preserve">. The other points forming the basis of the waiver are not </w:t>
      </w:r>
      <w:r w:rsidR="00656591" w:rsidRPr="000C7CFA">
        <w:rPr>
          <w:rFonts w:ascii="Verdana" w:hAnsi="Verdana"/>
          <w:sz w:val="18"/>
          <w:szCs w:val="18"/>
          <w:lang w:val="en-GB"/>
        </w:rPr>
        <w:t xml:space="preserve">appropriate </w:t>
      </w:r>
      <w:r w:rsidR="00BA0ECA" w:rsidRPr="000C7CFA">
        <w:rPr>
          <w:rFonts w:ascii="Verdana" w:hAnsi="Verdana"/>
          <w:sz w:val="18"/>
          <w:szCs w:val="18"/>
          <w:lang w:val="en-GB"/>
        </w:rPr>
        <w:t>for this substance</w:t>
      </w:r>
      <w:r w:rsidR="00790219" w:rsidRPr="000C7CFA">
        <w:rPr>
          <w:rFonts w:ascii="Verdana" w:hAnsi="Verdana"/>
          <w:sz w:val="18"/>
          <w:szCs w:val="18"/>
          <w:lang w:val="en-GB"/>
        </w:rPr>
        <w:t xml:space="preserve"> (</w:t>
      </w:r>
      <w:r w:rsidR="00656591" w:rsidRPr="000C7CFA">
        <w:rPr>
          <w:rFonts w:ascii="Verdana" w:hAnsi="Verdana"/>
          <w:sz w:val="18"/>
          <w:szCs w:val="18"/>
          <w:lang w:val="en-GB"/>
        </w:rPr>
        <w:t>long</w:t>
      </w:r>
      <w:r w:rsidR="00BA0ECA" w:rsidRPr="000C7CFA">
        <w:rPr>
          <w:rFonts w:ascii="Verdana" w:hAnsi="Verdana"/>
          <w:sz w:val="18"/>
          <w:szCs w:val="18"/>
          <w:lang w:val="en-GB"/>
        </w:rPr>
        <w:t xml:space="preserve">-term toxicity to fish is </w:t>
      </w:r>
      <w:r w:rsidR="00656591" w:rsidRPr="000C7CFA">
        <w:rPr>
          <w:rFonts w:ascii="Verdana" w:hAnsi="Verdana"/>
          <w:sz w:val="18"/>
          <w:szCs w:val="18"/>
          <w:lang w:val="en-GB"/>
        </w:rPr>
        <w:t xml:space="preserve">unresolved </w:t>
      </w:r>
      <w:r w:rsidR="00BA0ECA" w:rsidRPr="000C7CFA">
        <w:rPr>
          <w:rFonts w:ascii="Verdana" w:hAnsi="Verdana"/>
          <w:sz w:val="18"/>
          <w:szCs w:val="18"/>
          <w:lang w:val="en-GB"/>
        </w:rPr>
        <w:t>and the substance is bioaccumulative</w:t>
      </w:r>
      <w:r w:rsidR="00790219" w:rsidRPr="000C7CFA">
        <w:rPr>
          <w:rFonts w:ascii="Verdana" w:hAnsi="Verdana"/>
          <w:sz w:val="18"/>
          <w:szCs w:val="18"/>
          <w:lang w:val="en-GB"/>
        </w:rPr>
        <w:t>)</w:t>
      </w:r>
      <w:r w:rsidR="00BA0ECA" w:rsidRPr="000C7CFA">
        <w:rPr>
          <w:rFonts w:ascii="Verdana" w:hAnsi="Verdana"/>
          <w:sz w:val="18"/>
          <w:szCs w:val="18"/>
          <w:lang w:val="en-GB"/>
        </w:rPr>
        <w:t>.</w:t>
      </w:r>
    </w:p>
    <w:p w14:paraId="45AA408B" w14:textId="77777777" w:rsidR="001452A3" w:rsidRPr="000C7CFA" w:rsidRDefault="001452A3" w:rsidP="00EF4B62">
      <w:pPr>
        <w:pStyle w:val="BodyText"/>
        <w:rPr>
          <w:rFonts w:ascii="Verdana" w:hAnsi="Verdana"/>
          <w:sz w:val="18"/>
          <w:szCs w:val="18"/>
        </w:rPr>
      </w:pPr>
    </w:p>
    <w:p w14:paraId="2F7ADFE0" w14:textId="468163C5" w:rsidR="0089163D" w:rsidRPr="000C7CFA" w:rsidRDefault="00893752" w:rsidP="009D1ED9">
      <w:pPr>
        <w:pStyle w:val="Heading4"/>
        <w:tabs>
          <w:tab w:val="clear" w:pos="839"/>
          <w:tab w:val="left" w:pos="960"/>
          <w:tab w:val="num" w:pos="1317"/>
        </w:tabs>
        <w:ind w:left="1315" w:hanging="1315"/>
        <w:rPr>
          <w:rFonts w:ascii="Verdana" w:hAnsi="Verdana"/>
          <w:sz w:val="18"/>
          <w:szCs w:val="18"/>
        </w:rPr>
      </w:pPr>
      <w:bookmarkStart w:id="126" w:name="_Toc202255569"/>
      <w:bookmarkStart w:id="127" w:name="_Toc265765553"/>
      <w:r w:rsidRPr="000C7CFA">
        <w:rPr>
          <w:rFonts w:ascii="Verdana" w:hAnsi="Verdana"/>
          <w:sz w:val="18"/>
          <w:szCs w:val="18"/>
        </w:rPr>
        <w:t xml:space="preserve"> </w:t>
      </w:r>
      <w:r w:rsidR="00BA0ECA" w:rsidRPr="000C7CFA">
        <w:rPr>
          <w:rFonts w:ascii="Verdana" w:hAnsi="Verdana"/>
          <w:sz w:val="18"/>
          <w:szCs w:val="18"/>
        </w:rPr>
        <w:t>Algae and aquatic plants</w:t>
      </w:r>
      <w:bookmarkEnd w:id="126"/>
      <w:bookmarkEnd w:id="127"/>
    </w:p>
    <w:p w14:paraId="17EB63E0" w14:textId="77777777" w:rsidR="001452A3" w:rsidRPr="000C7CFA" w:rsidRDefault="00BA0ECA" w:rsidP="009A5044">
      <w:pPr>
        <w:jc w:val="both"/>
        <w:rPr>
          <w:rFonts w:ascii="Verdana" w:hAnsi="Verdana"/>
          <w:sz w:val="18"/>
          <w:szCs w:val="18"/>
          <w:lang w:val="en-GB"/>
        </w:rPr>
      </w:pPr>
      <w:r w:rsidRPr="000C7CFA">
        <w:rPr>
          <w:rFonts w:ascii="Verdana" w:hAnsi="Verdana"/>
          <w:sz w:val="18"/>
          <w:szCs w:val="18"/>
          <w:lang w:val="en-GB"/>
        </w:rPr>
        <w:t xml:space="preserve">A study of toxicity to algae and aquatic plants has been waived by the </w:t>
      </w:r>
      <w:r w:rsidR="007666BB" w:rsidRPr="000C7CFA">
        <w:rPr>
          <w:rFonts w:ascii="Verdana" w:hAnsi="Verdana"/>
          <w:sz w:val="18"/>
          <w:szCs w:val="18"/>
          <w:lang w:val="en-GB"/>
        </w:rPr>
        <w:t>Registrant</w:t>
      </w:r>
      <w:r w:rsidRPr="000C7CFA">
        <w:rPr>
          <w:rFonts w:ascii="Verdana" w:hAnsi="Verdana"/>
          <w:sz w:val="18"/>
          <w:szCs w:val="18"/>
          <w:lang w:val="en-GB"/>
        </w:rPr>
        <w:t xml:space="preserve"> based on low water solubility of the substance and observed precipitation in the short-term toxicity study with fish.</w:t>
      </w:r>
    </w:p>
    <w:p w14:paraId="3C635780" w14:textId="7AF763AF" w:rsidR="00656591" w:rsidRPr="000C7CFA" w:rsidRDefault="0018052E" w:rsidP="00656591">
      <w:pPr>
        <w:pStyle w:val="BodyText"/>
        <w:rPr>
          <w:rFonts w:ascii="Verdana" w:hAnsi="Verdana"/>
          <w:sz w:val="18"/>
          <w:szCs w:val="18"/>
        </w:rPr>
      </w:pPr>
      <w:r w:rsidRPr="000C7CFA">
        <w:rPr>
          <w:rFonts w:ascii="Verdana" w:hAnsi="Verdana"/>
          <w:sz w:val="18"/>
          <w:szCs w:val="18"/>
        </w:rPr>
        <w:t>A</w:t>
      </w:r>
      <w:r w:rsidR="00656591" w:rsidRPr="000C7CFA">
        <w:rPr>
          <w:rFonts w:ascii="Verdana" w:hAnsi="Verdana"/>
          <w:sz w:val="18"/>
          <w:szCs w:val="18"/>
        </w:rPr>
        <w:t xml:space="preserve"> 72-h ErC</w:t>
      </w:r>
      <w:r w:rsidR="00656591" w:rsidRPr="000C7CFA">
        <w:rPr>
          <w:rFonts w:ascii="Verdana" w:hAnsi="Verdana"/>
          <w:sz w:val="18"/>
          <w:szCs w:val="18"/>
          <w:vertAlign w:val="subscript"/>
        </w:rPr>
        <w:t>50</w:t>
      </w:r>
      <w:r w:rsidR="00656591" w:rsidRPr="000C7CFA">
        <w:rPr>
          <w:rFonts w:ascii="Verdana" w:hAnsi="Verdana"/>
          <w:sz w:val="18"/>
          <w:szCs w:val="18"/>
        </w:rPr>
        <w:t xml:space="preserve"> and NOEC</w:t>
      </w:r>
      <w:r w:rsidR="00656591" w:rsidRPr="000C7CFA">
        <w:rPr>
          <w:rFonts w:ascii="Verdana" w:hAnsi="Verdana"/>
          <w:sz w:val="18"/>
          <w:szCs w:val="18"/>
          <w:vertAlign w:val="subscript"/>
        </w:rPr>
        <w:t>growth</w:t>
      </w:r>
      <w:r w:rsidR="00656591" w:rsidRPr="000C7CFA">
        <w:rPr>
          <w:rFonts w:ascii="Verdana" w:hAnsi="Verdana"/>
          <w:sz w:val="18"/>
          <w:szCs w:val="18"/>
        </w:rPr>
        <w:t xml:space="preserve"> &gt;0.35 mg/L have been reported for </w:t>
      </w:r>
      <w:r w:rsidR="00656591" w:rsidRPr="000C7CFA">
        <w:rPr>
          <w:rFonts w:ascii="Verdana" w:eastAsia="MS UI Gothic" w:hAnsi="Verdana"/>
          <w:i/>
          <w:iCs/>
          <w:sz w:val="18"/>
          <w:szCs w:val="18"/>
          <w:lang w:eastAsia="en-GB"/>
        </w:rPr>
        <w:t>Pseudokircheneriella subcapitata</w:t>
      </w:r>
      <w:r w:rsidR="00656591" w:rsidRPr="000C7CFA">
        <w:rPr>
          <w:rFonts w:ascii="Verdana" w:hAnsi="Verdana"/>
          <w:sz w:val="18"/>
          <w:szCs w:val="18"/>
        </w:rPr>
        <w:t xml:space="preserve"> by the Japanese Ministry of Environment (</w:t>
      </w:r>
      <w:r w:rsidR="00656591" w:rsidRPr="000C7CFA">
        <w:rPr>
          <w:rFonts w:ascii="Verdana" w:hAnsi="Verdana"/>
          <w:sz w:val="18"/>
          <w:szCs w:val="18"/>
          <w:u w:val="single"/>
        </w:rPr>
        <w:t>MoE, 2013</w:t>
      </w:r>
      <w:r w:rsidR="00656591" w:rsidRPr="000C7CFA">
        <w:rPr>
          <w:rStyle w:val="FootnoteReference"/>
          <w:rFonts w:ascii="Verdana" w:hAnsi="Verdana"/>
          <w:sz w:val="18"/>
          <w:szCs w:val="18"/>
        </w:rPr>
        <w:footnoteReference w:id="43"/>
      </w:r>
      <w:r w:rsidR="00656591" w:rsidRPr="000C7CFA">
        <w:rPr>
          <w:rFonts w:ascii="Verdana" w:hAnsi="Verdana"/>
          <w:sz w:val="18"/>
          <w:szCs w:val="18"/>
        </w:rPr>
        <w:t>), following OECD TG 210. Only a summary of the results are reported. The studies were conducted in 1995 and it is likely that dispersants were used. Ideally, the original study report should be reviewed to confirm the validity of the study results. The studies were conducted at concentrations far exceeding the solubility limit of the test substance (&lt; 2 ng/L) and therefore should be treated with caution. This study is not mentioned in the registration dossier.</w:t>
      </w:r>
    </w:p>
    <w:p w14:paraId="4A209C25" w14:textId="7641DFBD" w:rsidR="004F6E5F" w:rsidRPr="000C7CFA" w:rsidRDefault="004F6E5F" w:rsidP="004F6E5F">
      <w:pPr>
        <w:pStyle w:val="BodyText"/>
        <w:rPr>
          <w:rFonts w:ascii="Verdana" w:hAnsi="Verdana"/>
          <w:sz w:val="18"/>
          <w:szCs w:val="18"/>
        </w:rPr>
      </w:pPr>
      <w:r w:rsidRPr="000C7CFA">
        <w:rPr>
          <w:rFonts w:ascii="Verdana" w:hAnsi="Verdana"/>
          <w:sz w:val="18"/>
          <w:szCs w:val="18"/>
        </w:rPr>
        <w:t xml:space="preserve">The effects of Dechlorane Plus on </w:t>
      </w:r>
      <w:r w:rsidRPr="000C7CFA">
        <w:rPr>
          <w:rFonts w:ascii="Verdana" w:hAnsi="Verdana"/>
          <w:i/>
          <w:sz w:val="18"/>
          <w:szCs w:val="18"/>
        </w:rPr>
        <w:t>P. subcapitata</w:t>
      </w:r>
      <w:r w:rsidRPr="000C7CFA">
        <w:rPr>
          <w:rFonts w:ascii="Verdana" w:hAnsi="Verdana"/>
          <w:sz w:val="18"/>
          <w:szCs w:val="18"/>
        </w:rPr>
        <w:t xml:space="preserve"> has been studied using a non-standard test method involving flow cytometry</w:t>
      </w:r>
      <w:r w:rsidRPr="000C7CFA">
        <w:rPr>
          <w:rStyle w:val="FootnoteReference"/>
          <w:rFonts w:ascii="Verdana" w:hAnsi="Verdana"/>
          <w:sz w:val="18"/>
          <w:szCs w:val="18"/>
        </w:rPr>
        <w:footnoteReference w:id="44"/>
      </w:r>
      <w:r w:rsidRPr="000C7CFA">
        <w:rPr>
          <w:rFonts w:ascii="Verdana" w:hAnsi="Verdana"/>
          <w:sz w:val="18"/>
          <w:szCs w:val="18"/>
        </w:rPr>
        <w:t xml:space="preserve"> (</w:t>
      </w:r>
      <w:r w:rsidRPr="000C7CFA">
        <w:rPr>
          <w:rFonts w:ascii="Verdana" w:hAnsi="Verdana"/>
          <w:sz w:val="18"/>
          <w:szCs w:val="18"/>
          <w:u w:val="single"/>
        </w:rPr>
        <w:t xml:space="preserve">Gong </w:t>
      </w:r>
      <w:r w:rsidRPr="000C7CFA">
        <w:rPr>
          <w:rFonts w:ascii="Verdana" w:hAnsi="Verdana"/>
          <w:i/>
          <w:sz w:val="18"/>
          <w:szCs w:val="18"/>
          <w:u w:val="single"/>
        </w:rPr>
        <w:t>et al</w:t>
      </w:r>
      <w:r w:rsidRPr="000C7CFA">
        <w:rPr>
          <w:rFonts w:ascii="Verdana" w:hAnsi="Verdana"/>
          <w:sz w:val="18"/>
          <w:szCs w:val="18"/>
          <w:u w:val="single"/>
        </w:rPr>
        <w:t>., 2013</w:t>
      </w:r>
      <w:r w:rsidR="002576B7" w:rsidRPr="000C7CFA">
        <w:rPr>
          <w:rFonts w:ascii="Verdana" w:hAnsi="Verdana"/>
          <w:sz w:val="18"/>
          <w:szCs w:val="18"/>
        </w:rPr>
        <w:t xml:space="preserve"> [ABST]</w:t>
      </w:r>
      <w:r w:rsidRPr="000C7CFA">
        <w:rPr>
          <w:rFonts w:ascii="Verdana" w:hAnsi="Verdana"/>
          <w:sz w:val="18"/>
          <w:szCs w:val="18"/>
        </w:rPr>
        <w:t xml:space="preserve">). The test was carried out by exposing </w:t>
      </w:r>
      <w:r w:rsidRPr="000C7CFA">
        <w:rPr>
          <w:rFonts w:ascii="Verdana" w:hAnsi="Verdana"/>
          <w:i/>
          <w:sz w:val="18"/>
          <w:szCs w:val="18"/>
        </w:rPr>
        <w:t xml:space="preserve">P. subcapitata </w:t>
      </w:r>
      <w:r w:rsidRPr="000C7CFA">
        <w:rPr>
          <w:rFonts w:ascii="Verdana" w:hAnsi="Verdana"/>
          <w:sz w:val="18"/>
          <w:szCs w:val="18"/>
        </w:rPr>
        <w:t>(initial cell density 10</w:t>
      </w:r>
      <w:r w:rsidRPr="000C7CFA">
        <w:rPr>
          <w:rFonts w:ascii="Verdana" w:hAnsi="Verdana"/>
          <w:sz w:val="18"/>
          <w:szCs w:val="18"/>
          <w:vertAlign w:val="superscript"/>
        </w:rPr>
        <w:t>5</w:t>
      </w:r>
      <w:r w:rsidRPr="000C7CFA">
        <w:rPr>
          <w:rFonts w:ascii="Verdana" w:hAnsi="Verdana"/>
          <w:sz w:val="18"/>
          <w:szCs w:val="18"/>
        </w:rPr>
        <w:t xml:space="preserve"> cells/mL) to nominal concentrations of Dechlorane Plus of 13.51, 135.1 and 1</w:t>
      </w:r>
      <w:r w:rsidR="008610EB" w:rsidRPr="000C7CFA">
        <w:rPr>
          <w:rFonts w:ascii="Verdana" w:hAnsi="Verdana"/>
          <w:sz w:val="18"/>
          <w:szCs w:val="18"/>
        </w:rPr>
        <w:t> </w:t>
      </w:r>
      <w:r w:rsidRPr="000C7CFA">
        <w:rPr>
          <w:rFonts w:ascii="Verdana" w:hAnsi="Verdana"/>
          <w:sz w:val="18"/>
          <w:szCs w:val="18"/>
        </w:rPr>
        <w:t>351 ng/L for up to 72 hours. Acetone (&lt;0.1 v/v) was used as a cosolvent. The effects of exposure on cell membrane integrity, esterase activity, intracellular reactive oxygen species (ROS) generation and chlorophyll a fluorescence were determined after 2, 24, 48 and 72 hours’ exposure. Some initial dose-related damage to the cell membrane was seen at two hours but this was minor and the cells recovered with increasing exposure time. Esterase activity was found to be significantly increased compared with controls at two hours at concentrations of 135.1 and 1</w:t>
      </w:r>
      <w:r w:rsidR="008610EB" w:rsidRPr="000C7CFA">
        <w:rPr>
          <w:rFonts w:ascii="Verdana" w:hAnsi="Verdana"/>
          <w:sz w:val="18"/>
          <w:szCs w:val="18"/>
        </w:rPr>
        <w:t> 351 n</w:t>
      </w:r>
      <w:r w:rsidRPr="000C7CFA">
        <w:rPr>
          <w:rFonts w:ascii="Verdana" w:hAnsi="Verdana"/>
          <w:sz w:val="18"/>
          <w:szCs w:val="18"/>
        </w:rPr>
        <w:t>g/L, and at 24</w:t>
      </w:r>
      <w:r w:rsidR="008610EB" w:rsidRPr="000C7CFA">
        <w:rPr>
          <w:rFonts w:ascii="Verdana" w:hAnsi="Verdana"/>
          <w:sz w:val="18"/>
          <w:szCs w:val="18"/>
        </w:rPr>
        <w:t> </w:t>
      </w:r>
      <w:r w:rsidRPr="000C7CFA">
        <w:rPr>
          <w:rFonts w:ascii="Verdana" w:hAnsi="Verdana"/>
          <w:sz w:val="18"/>
          <w:szCs w:val="18"/>
        </w:rPr>
        <w:t>hours at 135.1 ng/L but no significant induction was seen at any concentration at 48 and 72 hours. ROS generation was significantly increased at 48 hours at 13.51 and 135.1 ng/L but decreased at 1</w:t>
      </w:r>
      <w:r w:rsidR="008610EB" w:rsidRPr="000C7CFA">
        <w:rPr>
          <w:rFonts w:ascii="Verdana" w:hAnsi="Verdana"/>
          <w:sz w:val="18"/>
          <w:szCs w:val="18"/>
        </w:rPr>
        <w:t> </w:t>
      </w:r>
      <w:r w:rsidRPr="000C7CFA">
        <w:rPr>
          <w:rFonts w:ascii="Verdana" w:hAnsi="Verdana"/>
          <w:sz w:val="18"/>
          <w:szCs w:val="18"/>
        </w:rPr>
        <w:t xml:space="preserve">351 ng/L. This was explained in terms of accumulation of intracellular ROS and induction of the antioxidant defences in the cells, resulting in scavenging of the free radicals. At 72 hours the ROS generation in the exposed cells was similar to that in the control cells.  Overall, Gong </w:t>
      </w:r>
      <w:r w:rsidRPr="000C7CFA">
        <w:rPr>
          <w:rFonts w:ascii="Verdana" w:hAnsi="Verdana"/>
          <w:i/>
          <w:sz w:val="18"/>
          <w:szCs w:val="18"/>
        </w:rPr>
        <w:t>et al.</w:t>
      </w:r>
      <w:r w:rsidRPr="000C7CFA">
        <w:rPr>
          <w:rFonts w:ascii="Verdana" w:hAnsi="Verdana"/>
          <w:sz w:val="18"/>
          <w:szCs w:val="18"/>
        </w:rPr>
        <w:t xml:space="preserve"> (2013)</w:t>
      </w:r>
      <w:r w:rsidR="002576B7" w:rsidRPr="000C7CFA">
        <w:rPr>
          <w:rFonts w:ascii="Verdana" w:hAnsi="Verdana"/>
          <w:sz w:val="18"/>
          <w:szCs w:val="18"/>
        </w:rPr>
        <w:t xml:space="preserve"> [ABST]</w:t>
      </w:r>
      <w:r w:rsidRPr="000C7CFA">
        <w:rPr>
          <w:rFonts w:ascii="Verdana" w:hAnsi="Verdana"/>
          <w:sz w:val="18"/>
          <w:szCs w:val="18"/>
        </w:rPr>
        <w:t xml:space="preserve"> concluded that the results indicated that </w:t>
      </w:r>
      <w:r w:rsidRPr="000C7CFA">
        <w:rPr>
          <w:rFonts w:ascii="Verdana" w:hAnsi="Verdana"/>
          <w:sz w:val="18"/>
          <w:szCs w:val="18"/>
        </w:rPr>
        <w:lastRenderedPageBreak/>
        <w:t>Dechlorane Plus showed a low toxicity and had marginal ef</w:t>
      </w:r>
      <w:r w:rsidR="008610EB" w:rsidRPr="000C7CFA">
        <w:rPr>
          <w:rFonts w:ascii="Verdana" w:hAnsi="Verdana"/>
          <w:sz w:val="18"/>
          <w:szCs w:val="18"/>
        </w:rPr>
        <w:t>fects at concentrations up to 1 </w:t>
      </w:r>
      <w:r w:rsidRPr="000C7CFA">
        <w:rPr>
          <w:rFonts w:ascii="Verdana" w:hAnsi="Verdana"/>
          <w:sz w:val="18"/>
          <w:szCs w:val="18"/>
        </w:rPr>
        <w:t>351 ng/L.  The concentrations tested in this study are well in excess of the water solubility of the substance. This study is not mentioned in the registration dossier.</w:t>
      </w:r>
    </w:p>
    <w:p w14:paraId="71331342" w14:textId="1ADEB857" w:rsidR="00AC0489" w:rsidRPr="000C7CFA" w:rsidRDefault="00AC0489" w:rsidP="00AC0489">
      <w:pPr>
        <w:jc w:val="both"/>
        <w:rPr>
          <w:rFonts w:ascii="Verdana" w:hAnsi="Verdana"/>
          <w:sz w:val="18"/>
          <w:szCs w:val="18"/>
        </w:rPr>
      </w:pPr>
      <w:r w:rsidRPr="000C7CFA">
        <w:rPr>
          <w:rFonts w:ascii="Verdana" w:hAnsi="Verdana"/>
          <w:sz w:val="18"/>
          <w:szCs w:val="18"/>
        </w:rPr>
        <w:t>An indication of potential toxicity of Dechlorane plus to Sea Lettuce (</w:t>
      </w:r>
      <w:r w:rsidRPr="000C7CFA">
        <w:rPr>
          <w:rFonts w:ascii="Verdana" w:hAnsi="Verdana"/>
          <w:i/>
          <w:iCs/>
          <w:sz w:val="18"/>
          <w:szCs w:val="18"/>
        </w:rPr>
        <w:t>Ulva pertusa</w:t>
      </w:r>
      <w:r w:rsidRPr="000C7CFA">
        <w:rPr>
          <w:rFonts w:ascii="Verdana" w:hAnsi="Verdana"/>
          <w:sz w:val="18"/>
          <w:szCs w:val="18"/>
        </w:rPr>
        <w:t xml:space="preserve">) has been reported by </w:t>
      </w:r>
      <w:r w:rsidRPr="000C7CFA">
        <w:rPr>
          <w:rFonts w:ascii="Verdana" w:hAnsi="Verdana"/>
          <w:sz w:val="18"/>
          <w:szCs w:val="18"/>
          <w:u w:val="single"/>
        </w:rPr>
        <w:t xml:space="preserve">Zhao </w:t>
      </w:r>
      <w:r w:rsidRPr="000C7CFA">
        <w:rPr>
          <w:rFonts w:ascii="Verdana" w:hAnsi="Verdana"/>
          <w:i/>
          <w:sz w:val="18"/>
          <w:szCs w:val="18"/>
          <w:u w:val="single"/>
        </w:rPr>
        <w:t>et al</w:t>
      </w:r>
      <w:r w:rsidRPr="000C7CFA">
        <w:rPr>
          <w:rFonts w:ascii="Verdana" w:hAnsi="Verdana"/>
          <w:sz w:val="18"/>
          <w:szCs w:val="18"/>
          <w:u w:val="single"/>
        </w:rPr>
        <w:t>. (2014)</w:t>
      </w:r>
      <w:r w:rsidRPr="000C7CFA">
        <w:rPr>
          <w:rFonts w:ascii="Verdana" w:hAnsi="Verdana"/>
          <w:sz w:val="18"/>
          <w:szCs w:val="18"/>
        </w:rPr>
        <w:t xml:space="preserve"> as part of a bioconcentration study (see Section 3.4.1.2.1). The study was carried out by exposing pieces of the organisms (initial mean weight 0.46 g) to a Dechlorane Plus concentration of 1 351 ng/L for 21 days at 10 °C followed by a 14-day depuration period. Acetone (0.0</w:t>
      </w:r>
      <w:r w:rsidR="00AF7606" w:rsidRPr="000C7CFA">
        <w:rPr>
          <w:rFonts w:ascii="Verdana" w:hAnsi="Verdana"/>
          <w:sz w:val="18"/>
          <w:szCs w:val="18"/>
        </w:rPr>
        <w:t>1 %</w:t>
      </w:r>
      <w:r w:rsidRPr="000C7CFA">
        <w:rPr>
          <w:rFonts w:ascii="Verdana" w:hAnsi="Verdana"/>
          <w:sz w:val="18"/>
          <w:szCs w:val="18"/>
        </w:rPr>
        <w:t xml:space="preserve"> v/v) was used as a cosolvent. Growth inhibition in exposed organisms compared to the control was reported to have occurred on day 7 and 14 of the uptake phase. The specific growth rates for these two time points are given as -2.36 % per day and -0.97 % per day and these were statistically significantly different from the control group (</w:t>
      </w:r>
      <w:r w:rsidRPr="000C7CFA">
        <w:rPr>
          <w:rFonts w:ascii="Verdana" w:hAnsi="Verdana"/>
          <w:i/>
          <w:sz w:val="18"/>
          <w:szCs w:val="18"/>
        </w:rPr>
        <w:t>p</w:t>
      </w:r>
      <w:r w:rsidRPr="000C7CFA">
        <w:rPr>
          <w:rFonts w:ascii="Verdana" w:hAnsi="Verdana"/>
          <w:sz w:val="18"/>
          <w:szCs w:val="18"/>
        </w:rPr>
        <w:t xml:space="preserve">&lt;0.05).  The specific growth rate returned to similar levels as the control during depuration.  This suggests that Dechlorane Plus may have exerted a toxic effect during the uptake phase but that these effects were reversible once exposure ceased. However, as noted in Section 3.4.1.2.1 the equation used to estimate the specific growth rate can be questioned. </w:t>
      </w:r>
      <w:r w:rsidR="0018052E" w:rsidRPr="000C7CFA">
        <w:rPr>
          <w:rFonts w:ascii="Verdana" w:hAnsi="Verdana"/>
          <w:sz w:val="18"/>
          <w:szCs w:val="18"/>
        </w:rPr>
        <w:t>The study was not a standard method for evaluating toxicity, and i</w:t>
      </w:r>
      <w:r w:rsidRPr="000C7CFA">
        <w:rPr>
          <w:rFonts w:ascii="Verdana" w:hAnsi="Verdana"/>
          <w:sz w:val="18"/>
          <w:szCs w:val="18"/>
        </w:rPr>
        <w:t>n addition only a single concentration of Dechlorane Plus was tested</w:t>
      </w:r>
      <w:r w:rsidR="0018052E" w:rsidRPr="000C7CFA">
        <w:rPr>
          <w:rFonts w:ascii="Verdana" w:hAnsi="Verdana"/>
          <w:sz w:val="18"/>
          <w:szCs w:val="18"/>
        </w:rPr>
        <w:t xml:space="preserve"> –</w:t>
      </w:r>
      <w:r w:rsidRPr="000C7CFA">
        <w:rPr>
          <w:rFonts w:ascii="Verdana" w:hAnsi="Verdana"/>
          <w:sz w:val="18"/>
          <w:szCs w:val="18"/>
        </w:rPr>
        <w:t xml:space="preserve"> the initial concentration used exceeded the water solubility of Dechlorane Plus and the concentrati</w:t>
      </w:r>
      <w:r w:rsidR="0018052E" w:rsidRPr="000C7CFA">
        <w:rPr>
          <w:rFonts w:ascii="Verdana" w:hAnsi="Verdana"/>
          <w:sz w:val="18"/>
          <w:szCs w:val="18"/>
        </w:rPr>
        <w:t>on was found to decline to &lt;300 </w:t>
      </w:r>
      <w:r w:rsidRPr="000C7CFA">
        <w:rPr>
          <w:rFonts w:ascii="Verdana" w:hAnsi="Verdana"/>
          <w:sz w:val="18"/>
          <w:szCs w:val="18"/>
        </w:rPr>
        <w:t xml:space="preserve">ng/L by day 7 of the uptake. This means that it is difficult to determine whether the effects </w:t>
      </w:r>
      <w:r w:rsidR="0035210E" w:rsidRPr="000C7CFA">
        <w:rPr>
          <w:rFonts w:ascii="Verdana" w:hAnsi="Verdana"/>
          <w:sz w:val="18"/>
          <w:szCs w:val="18"/>
        </w:rPr>
        <w:t xml:space="preserve">seen </w:t>
      </w:r>
      <w:r w:rsidR="0018052E" w:rsidRPr="000C7CFA">
        <w:rPr>
          <w:rFonts w:ascii="Verdana" w:hAnsi="Verdana"/>
          <w:sz w:val="18"/>
          <w:szCs w:val="18"/>
        </w:rPr>
        <w:t xml:space="preserve">(if genuine) </w:t>
      </w:r>
      <w:r w:rsidRPr="000C7CFA">
        <w:rPr>
          <w:rFonts w:ascii="Verdana" w:hAnsi="Verdana"/>
          <w:sz w:val="18"/>
          <w:szCs w:val="18"/>
        </w:rPr>
        <w:t>were due to dissolved or undissolved test substance</w:t>
      </w:r>
      <w:r w:rsidR="0035210E" w:rsidRPr="000C7CFA">
        <w:rPr>
          <w:rFonts w:ascii="Verdana" w:hAnsi="Verdana"/>
          <w:sz w:val="18"/>
          <w:szCs w:val="18"/>
        </w:rPr>
        <w:t>. No dose-response relationship information is available.</w:t>
      </w:r>
      <w:r w:rsidRPr="000C7CFA">
        <w:rPr>
          <w:rFonts w:ascii="Verdana" w:hAnsi="Verdana"/>
          <w:sz w:val="18"/>
          <w:szCs w:val="18"/>
        </w:rPr>
        <w:t xml:space="preserve"> In conclusion, although these results suggest that Dechlorane Plus exposure may have resulted in adverse effects in Sea Lettuce, they are not considered sufficiently robust to be used in hazard assessment.</w:t>
      </w:r>
    </w:p>
    <w:p w14:paraId="1AC8E2E5" w14:textId="77777777" w:rsidR="00AC0489" w:rsidRPr="000C7CFA" w:rsidRDefault="00AC0489" w:rsidP="00AC0489">
      <w:pPr>
        <w:pStyle w:val="BodyText"/>
        <w:rPr>
          <w:rFonts w:ascii="Verdana" w:hAnsi="Verdana"/>
          <w:i/>
          <w:sz w:val="18"/>
          <w:szCs w:val="18"/>
          <w:u w:val="single"/>
        </w:rPr>
      </w:pPr>
      <w:r w:rsidRPr="000C7CFA">
        <w:rPr>
          <w:rFonts w:ascii="Verdana" w:hAnsi="Verdana"/>
          <w:i/>
          <w:sz w:val="18"/>
          <w:szCs w:val="18"/>
          <w:u w:val="single"/>
        </w:rPr>
        <w:t>Non-test data</w:t>
      </w:r>
    </w:p>
    <w:p w14:paraId="609FD06D" w14:textId="385988C2" w:rsidR="00AC0489" w:rsidRPr="000C7CFA" w:rsidRDefault="00AC0489" w:rsidP="00AC0489">
      <w:pPr>
        <w:pStyle w:val="BodyText"/>
        <w:rPr>
          <w:rFonts w:ascii="Verdana" w:hAnsi="Verdana"/>
          <w:sz w:val="18"/>
          <w:szCs w:val="18"/>
        </w:rPr>
      </w:pPr>
      <w:r w:rsidRPr="000C7CFA">
        <w:rPr>
          <w:rFonts w:ascii="Verdana" w:hAnsi="Verdana"/>
          <w:sz w:val="18"/>
          <w:szCs w:val="18"/>
        </w:rPr>
        <w:t xml:space="preserve">Predictions of toxicity to </w:t>
      </w:r>
      <w:r w:rsidR="0035210E" w:rsidRPr="000C7CFA">
        <w:rPr>
          <w:rFonts w:ascii="Verdana" w:hAnsi="Verdana"/>
          <w:sz w:val="18"/>
          <w:szCs w:val="18"/>
        </w:rPr>
        <w:t>algae</w:t>
      </w:r>
      <w:r w:rsidRPr="000C7CFA">
        <w:rPr>
          <w:rFonts w:ascii="Verdana" w:hAnsi="Verdana"/>
          <w:sz w:val="18"/>
          <w:szCs w:val="18"/>
        </w:rPr>
        <w:t xml:space="preserve"> using ECOSAR v.1.1 (Mayo-Bean, 2012) are </w:t>
      </w:r>
      <w:r w:rsidR="004975D9" w:rsidRPr="000C7CFA">
        <w:rPr>
          <w:rFonts w:ascii="Verdana" w:hAnsi="Verdana"/>
          <w:sz w:val="18"/>
          <w:szCs w:val="18"/>
        </w:rPr>
        <w:t xml:space="preserve">in principle </w:t>
      </w:r>
      <w:r w:rsidRPr="000C7CFA">
        <w:rPr>
          <w:rFonts w:ascii="Verdana" w:hAnsi="Verdana"/>
          <w:sz w:val="18"/>
          <w:szCs w:val="18"/>
        </w:rPr>
        <w:t>valid for substances with a log K</w:t>
      </w:r>
      <w:r w:rsidRPr="000C7CFA">
        <w:rPr>
          <w:rFonts w:ascii="Verdana" w:hAnsi="Verdana"/>
          <w:sz w:val="18"/>
          <w:szCs w:val="18"/>
          <w:vertAlign w:val="subscript"/>
        </w:rPr>
        <w:t>OW</w:t>
      </w:r>
      <w:r w:rsidRPr="000C7CFA">
        <w:rPr>
          <w:rFonts w:ascii="Verdana" w:hAnsi="Verdana"/>
          <w:sz w:val="18"/>
          <w:szCs w:val="18"/>
        </w:rPr>
        <w:t xml:space="preserve"> up to </w:t>
      </w:r>
      <w:r w:rsidR="0035210E" w:rsidRPr="000C7CFA">
        <w:rPr>
          <w:rFonts w:ascii="Verdana" w:hAnsi="Verdana"/>
          <w:sz w:val="18"/>
          <w:szCs w:val="18"/>
        </w:rPr>
        <w:t>6.4</w:t>
      </w:r>
      <w:r w:rsidRPr="000C7CFA">
        <w:rPr>
          <w:rFonts w:ascii="Verdana" w:hAnsi="Verdana"/>
          <w:sz w:val="18"/>
          <w:szCs w:val="18"/>
        </w:rPr>
        <w:t xml:space="preserve"> (</w:t>
      </w:r>
      <w:r w:rsidR="0035210E" w:rsidRPr="000C7CFA">
        <w:rPr>
          <w:rFonts w:ascii="Verdana" w:hAnsi="Verdana"/>
          <w:sz w:val="18"/>
          <w:szCs w:val="18"/>
        </w:rPr>
        <w:t>acute effects</w:t>
      </w:r>
      <w:r w:rsidRPr="000C7CFA">
        <w:rPr>
          <w:rFonts w:ascii="Verdana" w:hAnsi="Verdana"/>
          <w:sz w:val="18"/>
          <w:szCs w:val="18"/>
        </w:rPr>
        <w:t xml:space="preserve">) or </w:t>
      </w:r>
      <w:r w:rsidR="0035210E" w:rsidRPr="000C7CFA">
        <w:rPr>
          <w:rFonts w:ascii="Verdana" w:hAnsi="Verdana"/>
          <w:sz w:val="18"/>
          <w:szCs w:val="18"/>
        </w:rPr>
        <w:t>8</w:t>
      </w:r>
      <w:r w:rsidRPr="000C7CFA">
        <w:rPr>
          <w:rFonts w:ascii="Verdana" w:hAnsi="Verdana"/>
          <w:sz w:val="18"/>
          <w:szCs w:val="18"/>
        </w:rPr>
        <w:t xml:space="preserve"> (</w:t>
      </w:r>
      <w:r w:rsidR="0035210E" w:rsidRPr="000C7CFA">
        <w:rPr>
          <w:rFonts w:ascii="Verdana" w:hAnsi="Verdana"/>
          <w:sz w:val="18"/>
          <w:szCs w:val="18"/>
        </w:rPr>
        <w:t>long-term effects</w:t>
      </w:r>
      <w:r w:rsidRPr="000C7CFA">
        <w:rPr>
          <w:rFonts w:ascii="Verdana" w:hAnsi="Verdana"/>
          <w:sz w:val="18"/>
          <w:szCs w:val="18"/>
        </w:rPr>
        <w:t>)</w:t>
      </w:r>
      <w:r w:rsidR="004975D9" w:rsidRPr="000C7CFA">
        <w:rPr>
          <w:rFonts w:ascii="Verdana" w:hAnsi="Verdana"/>
          <w:sz w:val="18"/>
          <w:szCs w:val="18"/>
        </w:rPr>
        <w:t>. However</w:t>
      </w:r>
      <w:r w:rsidR="00643013" w:rsidRPr="000C7CFA">
        <w:rPr>
          <w:rFonts w:ascii="Verdana" w:hAnsi="Verdana"/>
          <w:sz w:val="18"/>
          <w:szCs w:val="18"/>
        </w:rPr>
        <w:t xml:space="preserve">, the </w:t>
      </w:r>
      <w:r w:rsidR="004975D9" w:rsidRPr="000C7CFA">
        <w:rPr>
          <w:rFonts w:ascii="Verdana" w:hAnsi="Verdana"/>
          <w:sz w:val="18"/>
          <w:szCs w:val="18"/>
        </w:rPr>
        <w:t xml:space="preserve">basis for the </w:t>
      </w:r>
      <w:r w:rsidR="00643013" w:rsidRPr="000C7CFA">
        <w:rPr>
          <w:rFonts w:ascii="Verdana" w:hAnsi="Verdana"/>
          <w:sz w:val="18"/>
          <w:szCs w:val="18"/>
        </w:rPr>
        <w:t xml:space="preserve">vinyl/allyl halide model is </w:t>
      </w:r>
      <w:r w:rsidR="004975D9" w:rsidRPr="000C7CFA">
        <w:rPr>
          <w:rFonts w:ascii="Verdana" w:hAnsi="Verdana"/>
          <w:sz w:val="18"/>
          <w:szCs w:val="18"/>
        </w:rPr>
        <w:t xml:space="preserve">weak and the training set for the neutral organics QSAR model also lacks suitable analogues for algal toxicity end points </w:t>
      </w:r>
      <w:r w:rsidR="00E626D2" w:rsidRPr="000C7CFA">
        <w:rPr>
          <w:rFonts w:ascii="Verdana" w:hAnsi="Verdana"/>
          <w:sz w:val="18"/>
          <w:szCs w:val="18"/>
        </w:rPr>
        <w:t>(see Appendix 8</w:t>
      </w:r>
      <w:r w:rsidR="00240728" w:rsidRPr="000C7CFA">
        <w:rPr>
          <w:rFonts w:ascii="Verdana" w:hAnsi="Verdana"/>
          <w:sz w:val="18"/>
          <w:szCs w:val="18"/>
        </w:rPr>
        <w:t xml:space="preserve"> for more discussion).</w:t>
      </w:r>
      <w:r w:rsidR="004975D9" w:rsidRPr="000C7CFA">
        <w:rPr>
          <w:rFonts w:ascii="Verdana" w:hAnsi="Verdana"/>
          <w:sz w:val="18"/>
          <w:szCs w:val="18"/>
        </w:rPr>
        <w:t xml:space="preserve"> Any predictions of algal toxicity within the prediction domain for this type of substance must therefore be considered potentially unreliable</w:t>
      </w:r>
      <w:r w:rsidRPr="000C7CFA">
        <w:rPr>
          <w:rFonts w:ascii="Verdana" w:hAnsi="Verdana"/>
          <w:sz w:val="18"/>
          <w:szCs w:val="18"/>
        </w:rPr>
        <w:t xml:space="preserve">. </w:t>
      </w:r>
      <w:r w:rsidR="004975D9" w:rsidRPr="000C7CFA">
        <w:rPr>
          <w:rFonts w:ascii="Verdana" w:hAnsi="Verdana"/>
          <w:sz w:val="18"/>
          <w:szCs w:val="18"/>
        </w:rPr>
        <w:t>Nevertheless, a</w:t>
      </w:r>
      <w:r w:rsidRPr="000C7CFA">
        <w:rPr>
          <w:rFonts w:ascii="Verdana" w:hAnsi="Verdana"/>
          <w:sz w:val="18"/>
          <w:szCs w:val="18"/>
        </w:rPr>
        <w:t>s Dechlorane Plus has a log K</w:t>
      </w:r>
      <w:r w:rsidRPr="000C7CFA">
        <w:rPr>
          <w:rFonts w:ascii="Verdana" w:hAnsi="Verdana"/>
          <w:sz w:val="18"/>
          <w:szCs w:val="18"/>
          <w:vertAlign w:val="subscript"/>
        </w:rPr>
        <w:t>OW</w:t>
      </w:r>
      <w:r w:rsidRPr="000C7CFA">
        <w:rPr>
          <w:rFonts w:ascii="Verdana" w:hAnsi="Verdana"/>
          <w:sz w:val="18"/>
          <w:szCs w:val="18"/>
        </w:rPr>
        <w:t xml:space="preserve"> of </w:t>
      </w:r>
      <w:r w:rsidR="0035210E" w:rsidRPr="000C7CFA">
        <w:rPr>
          <w:rFonts w:ascii="Verdana" w:hAnsi="Verdana"/>
          <w:sz w:val="18"/>
          <w:szCs w:val="18"/>
        </w:rPr>
        <w:t>≥</w:t>
      </w:r>
      <w:r w:rsidRPr="000C7CFA">
        <w:rPr>
          <w:rFonts w:ascii="Verdana" w:hAnsi="Verdana"/>
          <w:sz w:val="18"/>
          <w:szCs w:val="18"/>
        </w:rPr>
        <w:t>9, it falls outside of the prediction domain of the models, and no toxicity is expected at saturation.</w:t>
      </w:r>
    </w:p>
    <w:p w14:paraId="6E0BC368" w14:textId="7FDEF250" w:rsidR="00AC0489" w:rsidRPr="000C7CFA" w:rsidRDefault="00AC0489" w:rsidP="00AC0489">
      <w:pPr>
        <w:pStyle w:val="BodyText"/>
        <w:rPr>
          <w:rFonts w:ascii="Verdana" w:hAnsi="Verdana"/>
          <w:sz w:val="18"/>
          <w:szCs w:val="18"/>
        </w:rPr>
      </w:pPr>
      <w:r w:rsidRPr="000C7CFA">
        <w:rPr>
          <w:rFonts w:ascii="Verdana" w:hAnsi="Verdana"/>
          <w:sz w:val="18"/>
          <w:szCs w:val="18"/>
        </w:rPr>
        <w:t xml:space="preserve">Appendix </w:t>
      </w:r>
      <w:r w:rsidR="00E626D2" w:rsidRPr="000C7CFA">
        <w:rPr>
          <w:rFonts w:ascii="Verdana" w:hAnsi="Verdana"/>
          <w:sz w:val="18"/>
          <w:szCs w:val="18"/>
        </w:rPr>
        <w:t>8</w:t>
      </w:r>
      <w:r w:rsidRPr="000C7CFA">
        <w:rPr>
          <w:rFonts w:ascii="Verdana" w:hAnsi="Verdana"/>
          <w:sz w:val="18"/>
          <w:szCs w:val="18"/>
        </w:rPr>
        <w:t xml:space="preserve"> summarises aquatic toxicity data for four structural analogues. Neither of the closest analogues (Dechlorane 603 and Chlordene Plus) are predicted to be acutely</w:t>
      </w:r>
      <w:r w:rsidR="00643013" w:rsidRPr="000C7CFA">
        <w:rPr>
          <w:rFonts w:ascii="Verdana" w:hAnsi="Verdana"/>
          <w:sz w:val="18"/>
          <w:szCs w:val="18"/>
        </w:rPr>
        <w:t xml:space="preserve"> or chronically</w:t>
      </w:r>
      <w:r w:rsidRPr="000C7CFA">
        <w:rPr>
          <w:rFonts w:ascii="Verdana" w:hAnsi="Verdana"/>
          <w:sz w:val="18"/>
          <w:szCs w:val="18"/>
        </w:rPr>
        <w:t xml:space="preserve"> toxic to </w:t>
      </w:r>
      <w:r w:rsidR="00643013" w:rsidRPr="000C7CFA">
        <w:rPr>
          <w:rFonts w:ascii="Verdana" w:hAnsi="Verdana"/>
          <w:sz w:val="18"/>
          <w:szCs w:val="18"/>
        </w:rPr>
        <w:t>algae</w:t>
      </w:r>
      <w:r w:rsidRPr="000C7CFA">
        <w:rPr>
          <w:rFonts w:ascii="Verdana" w:hAnsi="Verdana"/>
          <w:sz w:val="18"/>
          <w:szCs w:val="18"/>
        </w:rPr>
        <w:t xml:space="preserve"> up the limit of their water solubilities. Two further analogues </w:t>
      </w:r>
      <w:r w:rsidR="00240728" w:rsidRPr="000C7CFA">
        <w:rPr>
          <w:rFonts w:ascii="Verdana" w:hAnsi="Verdana"/>
          <w:sz w:val="18"/>
          <w:szCs w:val="18"/>
        </w:rPr>
        <w:t>(</w:t>
      </w:r>
      <w:r w:rsidR="00643013" w:rsidRPr="000C7CFA">
        <w:rPr>
          <w:rFonts w:ascii="Verdana" w:hAnsi="Verdana"/>
          <w:sz w:val="18"/>
          <w:szCs w:val="18"/>
        </w:rPr>
        <w:t>chlor</w:t>
      </w:r>
      <w:r w:rsidR="00240728" w:rsidRPr="000C7CFA">
        <w:rPr>
          <w:rFonts w:ascii="Verdana" w:hAnsi="Verdana"/>
          <w:sz w:val="18"/>
          <w:szCs w:val="18"/>
        </w:rPr>
        <w:t>d</w:t>
      </w:r>
      <w:r w:rsidR="00643013" w:rsidRPr="000C7CFA">
        <w:rPr>
          <w:rFonts w:ascii="Verdana" w:hAnsi="Verdana"/>
          <w:sz w:val="18"/>
          <w:szCs w:val="18"/>
        </w:rPr>
        <w:t xml:space="preserve">ane and </w:t>
      </w:r>
      <w:r w:rsidR="00240728" w:rsidRPr="000C7CFA">
        <w:rPr>
          <w:rFonts w:ascii="Verdana" w:hAnsi="Verdana"/>
          <w:sz w:val="18"/>
          <w:szCs w:val="18"/>
        </w:rPr>
        <w:t>heptachlor</w:t>
      </w:r>
      <w:r w:rsidR="00643013" w:rsidRPr="000C7CFA">
        <w:rPr>
          <w:rFonts w:ascii="Verdana" w:hAnsi="Verdana"/>
          <w:sz w:val="18"/>
          <w:szCs w:val="18"/>
        </w:rPr>
        <w:t xml:space="preserve">) </w:t>
      </w:r>
      <w:r w:rsidRPr="000C7CFA">
        <w:rPr>
          <w:rFonts w:ascii="Verdana" w:hAnsi="Verdana"/>
          <w:sz w:val="18"/>
          <w:szCs w:val="18"/>
        </w:rPr>
        <w:t xml:space="preserve">are </w:t>
      </w:r>
      <w:r w:rsidR="004975D9" w:rsidRPr="000C7CFA">
        <w:rPr>
          <w:rFonts w:ascii="Verdana" w:hAnsi="Verdana"/>
          <w:sz w:val="18"/>
          <w:szCs w:val="18"/>
        </w:rPr>
        <w:t xml:space="preserve">predicted to be </w:t>
      </w:r>
      <w:r w:rsidRPr="000C7CFA">
        <w:rPr>
          <w:rFonts w:ascii="Verdana" w:hAnsi="Verdana"/>
          <w:sz w:val="18"/>
          <w:szCs w:val="18"/>
        </w:rPr>
        <w:t xml:space="preserve">toxic to </w:t>
      </w:r>
      <w:r w:rsidR="004975D9" w:rsidRPr="000C7CFA">
        <w:rPr>
          <w:rFonts w:ascii="Verdana" w:hAnsi="Verdana"/>
          <w:sz w:val="18"/>
          <w:szCs w:val="18"/>
        </w:rPr>
        <w:t>algae with EC</w:t>
      </w:r>
      <w:r w:rsidR="004975D9" w:rsidRPr="000C7CFA">
        <w:rPr>
          <w:rFonts w:ascii="Verdana" w:hAnsi="Verdana"/>
          <w:sz w:val="18"/>
          <w:szCs w:val="18"/>
          <w:vertAlign w:val="subscript"/>
        </w:rPr>
        <w:t>50</w:t>
      </w:r>
      <w:r w:rsidR="004975D9" w:rsidRPr="000C7CFA">
        <w:rPr>
          <w:rFonts w:ascii="Verdana" w:hAnsi="Verdana"/>
          <w:sz w:val="18"/>
          <w:szCs w:val="18"/>
        </w:rPr>
        <w:t xml:space="preserve">/NOEC values in the range of approximately 0.1 – 1 mg/L. They </w:t>
      </w:r>
      <w:r w:rsidRPr="000C7CFA">
        <w:rPr>
          <w:rFonts w:ascii="Verdana" w:hAnsi="Verdana"/>
          <w:sz w:val="18"/>
          <w:szCs w:val="18"/>
        </w:rPr>
        <w:t>are much less hydrophobic than Dechlorane Plus</w:t>
      </w:r>
      <w:r w:rsidR="004975D9" w:rsidRPr="000C7CFA">
        <w:rPr>
          <w:rFonts w:ascii="Verdana" w:hAnsi="Verdana"/>
          <w:sz w:val="18"/>
          <w:szCs w:val="18"/>
        </w:rPr>
        <w:t xml:space="preserve"> and</w:t>
      </w:r>
      <w:r w:rsidRPr="000C7CFA">
        <w:rPr>
          <w:rFonts w:ascii="Verdana" w:hAnsi="Verdana"/>
          <w:sz w:val="18"/>
          <w:szCs w:val="18"/>
        </w:rPr>
        <w:t xml:space="preserve"> their mode of action may be very different too. They therefore cannot be used for direct read across purposes.</w:t>
      </w:r>
    </w:p>
    <w:p w14:paraId="08C0E64E" w14:textId="77777777" w:rsidR="00285819" w:rsidRPr="000C7CFA" w:rsidRDefault="00285819" w:rsidP="00285819">
      <w:pPr>
        <w:pStyle w:val="BodyText"/>
        <w:keepNext/>
        <w:tabs>
          <w:tab w:val="left" w:pos="2905"/>
        </w:tabs>
        <w:rPr>
          <w:rFonts w:ascii="Verdana" w:hAnsi="Verdana"/>
          <w:b/>
          <w:i/>
          <w:sz w:val="18"/>
          <w:szCs w:val="18"/>
        </w:rPr>
      </w:pPr>
      <w:r w:rsidRPr="000C7CFA">
        <w:rPr>
          <w:rFonts w:ascii="Verdana" w:hAnsi="Verdana"/>
          <w:b/>
          <w:i/>
          <w:sz w:val="18"/>
          <w:szCs w:val="18"/>
        </w:rPr>
        <w:t>Discussion</w:t>
      </w:r>
    </w:p>
    <w:p w14:paraId="6B4FF987" w14:textId="77F2F717" w:rsidR="00790219" w:rsidRPr="000C7CFA" w:rsidRDefault="00240728" w:rsidP="00790219">
      <w:pPr>
        <w:jc w:val="both"/>
        <w:rPr>
          <w:rFonts w:ascii="Verdana" w:hAnsi="Verdana"/>
          <w:sz w:val="18"/>
          <w:szCs w:val="18"/>
          <w:lang w:val="en-GB"/>
        </w:rPr>
      </w:pPr>
      <w:r w:rsidRPr="000C7CFA">
        <w:rPr>
          <w:rFonts w:ascii="Verdana" w:hAnsi="Verdana"/>
          <w:sz w:val="18"/>
          <w:szCs w:val="18"/>
          <w:lang w:val="en-GB"/>
        </w:rPr>
        <w:t>I</w:t>
      </w:r>
      <w:r w:rsidR="00BA0ECA" w:rsidRPr="000C7CFA">
        <w:rPr>
          <w:rFonts w:ascii="Verdana" w:hAnsi="Verdana"/>
          <w:sz w:val="18"/>
          <w:szCs w:val="18"/>
          <w:lang w:val="en-GB"/>
        </w:rPr>
        <w:t>t is not necessary to conduct an algal inhibition study as toxicity is not expected to be expressed in aquatic studies</w:t>
      </w:r>
      <w:r w:rsidR="00790219" w:rsidRPr="000C7CFA">
        <w:rPr>
          <w:rFonts w:ascii="Verdana" w:hAnsi="Verdana"/>
          <w:sz w:val="18"/>
          <w:szCs w:val="18"/>
          <w:lang w:val="en-GB"/>
        </w:rPr>
        <w:t xml:space="preserve"> over short durations</w:t>
      </w:r>
      <w:r w:rsidR="00BA0ECA" w:rsidRPr="000C7CFA">
        <w:rPr>
          <w:rFonts w:ascii="Verdana" w:hAnsi="Verdana"/>
          <w:sz w:val="18"/>
          <w:szCs w:val="18"/>
          <w:lang w:val="en-GB"/>
        </w:rPr>
        <w:t xml:space="preserve"> due to the </w:t>
      </w:r>
      <w:r w:rsidR="00790219" w:rsidRPr="000C7CFA">
        <w:rPr>
          <w:rFonts w:ascii="Verdana" w:hAnsi="Verdana"/>
          <w:sz w:val="18"/>
          <w:szCs w:val="18"/>
          <w:lang w:val="en-GB"/>
        </w:rPr>
        <w:t xml:space="preserve">very </w:t>
      </w:r>
      <w:r w:rsidR="00BA0ECA" w:rsidRPr="000C7CFA">
        <w:rPr>
          <w:rFonts w:ascii="Verdana" w:hAnsi="Verdana"/>
          <w:sz w:val="18"/>
          <w:szCs w:val="18"/>
          <w:lang w:val="en-GB"/>
        </w:rPr>
        <w:t xml:space="preserve">low water solubility of </w:t>
      </w:r>
      <w:r w:rsidR="00790219" w:rsidRPr="000C7CFA">
        <w:rPr>
          <w:rFonts w:ascii="Verdana" w:hAnsi="Verdana"/>
          <w:sz w:val="18"/>
          <w:szCs w:val="18"/>
          <w:lang w:val="en-GB"/>
        </w:rPr>
        <w:t xml:space="preserve">Dechlorane Plus and its limited bioavailability. Low water solubility is a REACH Annex VII Column 2 adaptation for this endpoint. </w:t>
      </w:r>
    </w:p>
    <w:p w14:paraId="76249CE9" w14:textId="77777777" w:rsidR="001452A3" w:rsidRPr="000C7CFA" w:rsidRDefault="001452A3" w:rsidP="00795AF6">
      <w:pPr>
        <w:jc w:val="both"/>
        <w:rPr>
          <w:rFonts w:ascii="Verdana" w:hAnsi="Verdana"/>
          <w:sz w:val="18"/>
          <w:szCs w:val="18"/>
          <w:lang w:val="en-GB"/>
        </w:rPr>
      </w:pPr>
    </w:p>
    <w:p w14:paraId="75A493FF" w14:textId="77777777" w:rsidR="00DE4EB1" w:rsidRPr="000C7CFA" w:rsidRDefault="00F61478" w:rsidP="00DE4EB1">
      <w:pPr>
        <w:pStyle w:val="Heading4"/>
        <w:tabs>
          <w:tab w:val="clear" w:pos="839"/>
          <w:tab w:val="left" w:pos="960"/>
          <w:tab w:val="num" w:pos="1317"/>
        </w:tabs>
        <w:ind w:left="1315" w:hanging="1315"/>
        <w:rPr>
          <w:rFonts w:ascii="Verdana" w:hAnsi="Verdana"/>
          <w:b w:val="0"/>
          <w:sz w:val="18"/>
          <w:szCs w:val="18"/>
        </w:rPr>
      </w:pPr>
      <w:r w:rsidRPr="000C7CFA">
        <w:rPr>
          <w:rFonts w:ascii="Verdana" w:hAnsi="Verdana"/>
          <w:sz w:val="18"/>
          <w:szCs w:val="18"/>
        </w:rPr>
        <w:t xml:space="preserve"> </w:t>
      </w:r>
      <w:r w:rsidR="00DE4EB1" w:rsidRPr="000C7CFA">
        <w:rPr>
          <w:rFonts w:ascii="Verdana" w:hAnsi="Verdana"/>
          <w:sz w:val="18"/>
          <w:szCs w:val="18"/>
        </w:rPr>
        <w:t>Conclusions on aquatic toxicity</w:t>
      </w:r>
      <w:r w:rsidR="004B5A90" w:rsidRPr="000C7CFA">
        <w:rPr>
          <w:rFonts w:ascii="Verdana" w:hAnsi="Verdana"/>
          <w:sz w:val="18"/>
          <w:szCs w:val="18"/>
        </w:rPr>
        <w:t xml:space="preserve"> for pelagic organisms</w:t>
      </w:r>
    </w:p>
    <w:p w14:paraId="45CE997E" w14:textId="22AEDFF9" w:rsidR="00DE4EB1" w:rsidRPr="000C7CFA" w:rsidRDefault="00790219" w:rsidP="00DE4EB1">
      <w:pPr>
        <w:pStyle w:val="BodyText"/>
        <w:rPr>
          <w:rFonts w:ascii="Verdana" w:hAnsi="Verdana"/>
          <w:sz w:val="18"/>
          <w:szCs w:val="18"/>
        </w:rPr>
      </w:pPr>
      <w:r w:rsidRPr="000C7CFA">
        <w:rPr>
          <w:rFonts w:ascii="Verdana" w:hAnsi="Verdana"/>
          <w:sz w:val="18"/>
          <w:szCs w:val="18"/>
        </w:rPr>
        <w:t xml:space="preserve">Although fully valid regulatory test data are not available for any end point, Dechlorane Plus is unlikely to express acute or chronic toxicity to aquatic organisms in standard tests involving exposure via water, in view of its very low water solubility (&lt; 2 ng/L). However, </w:t>
      </w:r>
      <w:r w:rsidR="004B5A90" w:rsidRPr="000C7CFA">
        <w:rPr>
          <w:rFonts w:ascii="Verdana" w:hAnsi="Verdana"/>
          <w:sz w:val="18"/>
          <w:szCs w:val="18"/>
        </w:rPr>
        <w:t xml:space="preserve">effects on fish following exposure via food cannot be ruled out given the high potential for bioaccumulation and </w:t>
      </w:r>
      <w:r w:rsidRPr="000C7CFA">
        <w:rPr>
          <w:rFonts w:ascii="Verdana" w:hAnsi="Verdana"/>
          <w:sz w:val="18"/>
          <w:szCs w:val="18"/>
        </w:rPr>
        <w:t>evidence to suggest that fish (as well as mammals and earthworms</w:t>
      </w:r>
      <w:r w:rsidR="004B5A90" w:rsidRPr="000C7CFA">
        <w:rPr>
          <w:rFonts w:ascii="Verdana" w:hAnsi="Verdana"/>
          <w:sz w:val="18"/>
          <w:szCs w:val="18"/>
        </w:rPr>
        <w:t>)</w:t>
      </w:r>
      <w:r w:rsidRPr="000C7CFA">
        <w:rPr>
          <w:rFonts w:ascii="Verdana" w:hAnsi="Verdana"/>
          <w:sz w:val="18"/>
          <w:szCs w:val="18"/>
        </w:rPr>
        <w:t xml:space="preserve"> can show indications of toxicity at a molecular level. A dietary toxicity study might therefore be appropriate, although no guideline exists, and there is no guidance available to allow the interpretation of the results in the context of Annex XIII.</w:t>
      </w:r>
    </w:p>
    <w:p w14:paraId="21E35A5B" w14:textId="77777777" w:rsidR="001452A3" w:rsidRPr="000C7CFA" w:rsidRDefault="001452A3" w:rsidP="00795AF6">
      <w:pPr>
        <w:pStyle w:val="BodyText"/>
        <w:rPr>
          <w:rFonts w:ascii="Verdana" w:hAnsi="Verdana"/>
          <w:sz w:val="18"/>
          <w:szCs w:val="18"/>
        </w:rPr>
      </w:pPr>
    </w:p>
    <w:p w14:paraId="2A0E17E5" w14:textId="05DD5298" w:rsidR="0089163D" w:rsidRPr="000C7CFA" w:rsidRDefault="00BA0ECA" w:rsidP="004B5A90">
      <w:pPr>
        <w:pStyle w:val="Heading3"/>
        <w:keepNext w:val="0"/>
        <w:tabs>
          <w:tab w:val="clear" w:pos="839"/>
          <w:tab w:val="left" w:pos="960"/>
          <w:tab w:val="num" w:pos="1317"/>
        </w:tabs>
        <w:ind w:left="1317" w:hanging="1317"/>
        <w:rPr>
          <w:rFonts w:ascii="Verdana" w:hAnsi="Verdana"/>
          <w:sz w:val="18"/>
          <w:szCs w:val="18"/>
        </w:rPr>
      </w:pPr>
      <w:bookmarkStart w:id="128" w:name="_Toc202255570"/>
      <w:bookmarkStart w:id="129" w:name="_Toc265765554"/>
      <w:bookmarkStart w:id="130" w:name="_Toc491862791"/>
      <w:r w:rsidRPr="000C7CFA">
        <w:rPr>
          <w:rFonts w:ascii="Verdana" w:hAnsi="Verdana"/>
          <w:sz w:val="18"/>
          <w:szCs w:val="18"/>
        </w:rPr>
        <w:t>Sediment organisms</w:t>
      </w:r>
      <w:bookmarkEnd w:id="128"/>
      <w:bookmarkEnd w:id="129"/>
      <w:bookmarkEnd w:id="130"/>
    </w:p>
    <w:p w14:paraId="79B786ED" w14:textId="77777777" w:rsidR="00772B3A" w:rsidRPr="000C7CFA" w:rsidRDefault="00BA0ECA" w:rsidP="001975BD">
      <w:pPr>
        <w:pStyle w:val="BodyText"/>
        <w:rPr>
          <w:rFonts w:ascii="Verdana" w:hAnsi="Verdana"/>
          <w:sz w:val="18"/>
          <w:szCs w:val="18"/>
        </w:rPr>
      </w:pPr>
      <w:r w:rsidRPr="000C7CFA">
        <w:rPr>
          <w:rFonts w:ascii="Verdana" w:hAnsi="Verdana"/>
          <w:sz w:val="18"/>
          <w:szCs w:val="18"/>
        </w:rPr>
        <w:t xml:space="preserve">No data have been presented by the </w:t>
      </w:r>
      <w:r w:rsidR="007666BB" w:rsidRPr="000C7CFA">
        <w:rPr>
          <w:rFonts w:ascii="Verdana" w:hAnsi="Verdana"/>
          <w:sz w:val="18"/>
          <w:szCs w:val="18"/>
        </w:rPr>
        <w:t>Registrant</w:t>
      </w:r>
      <w:r w:rsidRPr="000C7CFA">
        <w:rPr>
          <w:rFonts w:ascii="Verdana" w:hAnsi="Verdana"/>
          <w:sz w:val="18"/>
          <w:szCs w:val="18"/>
        </w:rPr>
        <w:t xml:space="preserve"> for sediment organisms.</w:t>
      </w:r>
    </w:p>
    <w:p w14:paraId="10C03108" w14:textId="77777777" w:rsidR="00285819" w:rsidRPr="000C7CFA" w:rsidRDefault="00285819" w:rsidP="00285819">
      <w:pPr>
        <w:pStyle w:val="BodyText"/>
        <w:keepNext/>
        <w:tabs>
          <w:tab w:val="left" w:pos="2905"/>
        </w:tabs>
        <w:rPr>
          <w:rFonts w:ascii="Verdana" w:hAnsi="Verdana"/>
          <w:b/>
          <w:i/>
          <w:sz w:val="18"/>
          <w:szCs w:val="18"/>
        </w:rPr>
      </w:pPr>
      <w:r w:rsidRPr="000C7CFA">
        <w:rPr>
          <w:rFonts w:ascii="Verdana" w:hAnsi="Verdana"/>
          <w:b/>
          <w:i/>
          <w:sz w:val="18"/>
          <w:szCs w:val="18"/>
        </w:rPr>
        <w:t>Discussion</w:t>
      </w:r>
    </w:p>
    <w:p w14:paraId="3825A7FE" w14:textId="6B919171" w:rsidR="00F877D5" w:rsidRPr="000C7CFA" w:rsidRDefault="00BA0ECA" w:rsidP="001975BD">
      <w:pPr>
        <w:pStyle w:val="BodyText"/>
        <w:rPr>
          <w:rFonts w:ascii="Verdana" w:hAnsi="Verdana"/>
          <w:sz w:val="18"/>
          <w:szCs w:val="18"/>
        </w:rPr>
      </w:pPr>
      <w:r w:rsidRPr="000C7CFA">
        <w:rPr>
          <w:rFonts w:ascii="Verdana" w:hAnsi="Verdana"/>
          <w:sz w:val="18"/>
          <w:szCs w:val="18"/>
        </w:rPr>
        <w:t>A sediment organism toxicity study is not an Annex IX requirement (corresponding to the tonnage level of the registered substance) and no data were included in the</w:t>
      </w:r>
      <w:r w:rsidR="006E6BE9" w:rsidRPr="000C7CFA">
        <w:rPr>
          <w:rFonts w:ascii="Verdana" w:hAnsi="Verdana"/>
          <w:sz w:val="18"/>
          <w:szCs w:val="18"/>
        </w:rPr>
        <w:t xml:space="preserve"> registration dossier</w:t>
      </w:r>
      <w:r w:rsidRPr="000C7CFA">
        <w:rPr>
          <w:rFonts w:ascii="Verdana" w:hAnsi="Verdana"/>
          <w:sz w:val="18"/>
          <w:szCs w:val="18"/>
        </w:rPr>
        <w:t xml:space="preserve">. The substance is expected to have a high affinity for organic carbon (see Section 3.2) and sediment may be an important compartment for the environmental fate of the substance, as indicated by the distribution modelling in Section 3.2.3. </w:t>
      </w:r>
    </w:p>
    <w:p w14:paraId="3B09F500" w14:textId="4E3F9DAF" w:rsidR="002F6E31" w:rsidRPr="000C7CFA" w:rsidRDefault="00BA0ECA" w:rsidP="002F6E31">
      <w:pPr>
        <w:pStyle w:val="Default"/>
        <w:spacing w:after="120"/>
        <w:jc w:val="both"/>
        <w:rPr>
          <w:rFonts w:ascii="Verdana" w:hAnsi="Verdana"/>
          <w:sz w:val="18"/>
          <w:szCs w:val="18"/>
        </w:rPr>
      </w:pPr>
      <w:r w:rsidRPr="000C7CFA">
        <w:rPr>
          <w:rFonts w:ascii="Verdana" w:hAnsi="Verdana"/>
          <w:sz w:val="18"/>
          <w:szCs w:val="18"/>
        </w:rPr>
        <w:t>No additional information on sediment toxicity has been found following a literature search.</w:t>
      </w:r>
      <w:r w:rsidR="002F6E31" w:rsidRPr="000C7CFA">
        <w:rPr>
          <w:rFonts w:ascii="Verdana" w:hAnsi="Verdana"/>
          <w:sz w:val="18"/>
          <w:szCs w:val="18"/>
        </w:rPr>
        <w:t xml:space="preserve"> Due to the lack of reliable information on Dechlorane Plus itself, Government of Canada (2016) adopted a read-across approach using sediment organism toxicity test data for the analogue chlordane to screen for sediment hazards. The conclusion was that Dechlorane Plus has the potential to cause effects to sediment organisms at low </w:t>
      </w:r>
      <w:r w:rsidR="002F6E31" w:rsidRPr="000C7CFA">
        <w:rPr>
          <w:rFonts w:ascii="Verdana" w:hAnsi="Verdana"/>
          <w:color w:val="auto"/>
          <w:sz w:val="18"/>
          <w:szCs w:val="18"/>
          <w:lang w:eastAsia="en-US"/>
        </w:rPr>
        <w:t>concentrations</w:t>
      </w:r>
      <w:r w:rsidR="002F6E31" w:rsidRPr="000C7CFA">
        <w:rPr>
          <w:rFonts w:ascii="Verdana" w:hAnsi="Verdana"/>
          <w:sz w:val="18"/>
          <w:szCs w:val="18"/>
        </w:rPr>
        <w:t xml:space="preserve">. However, this is a very worst case approach, especially as the analogue was a pesticide (i.e. it assumes that Dechlorane Plus has the same mode of action). The ECHA Read </w:t>
      </w:r>
      <w:proofErr w:type="gramStart"/>
      <w:r w:rsidR="002F6E31" w:rsidRPr="000C7CFA">
        <w:rPr>
          <w:rFonts w:ascii="Verdana" w:hAnsi="Verdana"/>
          <w:sz w:val="18"/>
          <w:szCs w:val="18"/>
        </w:rPr>
        <w:t>Across</w:t>
      </w:r>
      <w:proofErr w:type="gramEnd"/>
      <w:r w:rsidR="002F6E31" w:rsidRPr="000C7CFA">
        <w:rPr>
          <w:rFonts w:ascii="Verdana" w:hAnsi="Verdana"/>
          <w:sz w:val="18"/>
          <w:szCs w:val="18"/>
        </w:rPr>
        <w:t xml:space="preserve"> Assessment Framework outlines a number of steps that need to be considered (such as bioavailability), which were not part of the Canadian assessment. Whilst acceptable for screening purposes, it is not appropriate to assume this information presents a realistic level of toxicity for Dechlorane Plus. </w:t>
      </w:r>
    </w:p>
    <w:p w14:paraId="072CDF71" w14:textId="5A0877C4" w:rsidR="00523209" w:rsidRPr="000C7CFA" w:rsidRDefault="0060361F" w:rsidP="001975BD">
      <w:pPr>
        <w:pStyle w:val="BodyText"/>
        <w:rPr>
          <w:rFonts w:ascii="Verdana" w:hAnsi="Verdana"/>
          <w:sz w:val="18"/>
          <w:szCs w:val="18"/>
        </w:rPr>
      </w:pPr>
      <w:r w:rsidRPr="000C7CFA">
        <w:rPr>
          <w:rFonts w:ascii="Verdana" w:hAnsi="Verdana"/>
          <w:sz w:val="18"/>
          <w:szCs w:val="18"/>
        </w:rPr>
        <w:t>A</w:t>
      </w:r>
      <w:r w:rsidR="00BA0ECA" w:rsidRPr="000C7CFA">
        <w:rPr>
          <w:rFonts w:ascii="Verdana" w:hAnsi="Verdana"/>
          <w:sz w:val="18"/>
          <w:szCs w:val="18"/>
        </w:rPr>
        <w:t xml:space="preserve"> further long-term sediment toxicity study could be </w:t>
      </w:r>
      <w:r w:rsidR="00FE4149" w:rsidRPr="000C7CFA">
        <w:rPr>
          <w:rFonts w:ascii="Verdana" w:hAnsi="Verdana"/>
          <w:sz w:val="18"/>
          <w:szCs w:val="18"/>
        </w:rPr>
        <w:t>performed</w:t>
      </w:r>
      <w:r w:rsidR="00BA0ECA" w:rsidRPr="000C7CFA">
        <w:rPr>
          <w:rFonts w:ascii="Verdana" w:hAnsi="Verdana"/>
          <w:sz w:val="18"/>
          <w:szCs w:val="18"/>
        </w:rPr>
        <w:t>, for which OECD TG 225</w:t>
      </w:r>
      <w:r w:rsidR="004B5A90" w:rsidRPr="000C7CFA">
        <w:rPr>
          <w:rFonts w:ascii="Verdana" w:hAnsi="Verdana"/>
          <w:sz w:val="18"/>
          <w:szCs w:val="18"/>
        </w:rPr>
        <w:t xml:space="preserve"> using spiked sediment </w:t>
      </w:r>
      <w:r w:rsidR="00BA0ECA" w:rsidRPr="000C7CFA">
        <w:rPr>
          <w:rFonts w:ascii="Verdana" w:hAnsi="Verdana"/>
          <w:sz w:val="18"/>
          <w:szCs w:val="18"/>
        </w:rPr>
        <w:t>would be most appropriate</w:t>
      </w:r>
      <w:r w:rsidR="004B5A90" w:rsidRPr="000C7CFA">
        <w:rPr>
          <w:rFonts w:ascii="Verdana" w:hAnsi="Verdana"/>
          <w:sz w:val="18"/>
          <w:szCs w:val="18"/>
        </w:rPr>
        <w:t xml:space="preserve"> (since oligochaetes dwell within the sediment so oral exposure will potentially be higher than in other test species that live on or at the sediment surface).</w:t>
      </w:r>
    </w:p>
    <w:p w14:paraId="5F84ADB1" w14:textId="77777777" w:rsidR="00285819" w:rsidRPr="000C7CFA" w:rsidRDefault="00285819" w:rsidP="001975BD">
      <w:pPr>
        <w:pStyle w:val="BodyText"/>
        <w:rPr>
          <w:rFonts w:ascii="Verdana" w:hAnsi="Verdana"/>
          <w:sz w:val="18"/>
          <w:szCs w:val="18"/>
        </w:rPr>
      </w:pPr>
    </w:p>
    <w:p w14:paraId="00084F9F" w14:textId="214947A2" w:rsidR="0089163D" w:rsidRPr="000C7CFA" w:rsidRDefault="00BA0ECA" w:rsidP="00263D75">
      <w:pPr>
        <w:pStyle w:val="Heading2"/>
        <w:rPr>
          <w:rFonts w:ascii="Verdana" w:hAnsi="Verdana"/>
          <w:sz w:val="18"/>
          <w:szCs w:val="18"/>
        </w:rPr>
      </w:pPr>
      <w:bookmarkStart w:id="131" w:name="_Toc265765556"/>
      <w:bookmarkStart w:id="132" w:name="_Toc491862792"/>
      <w:r w:rsidRPr="000C7CFA">
        <w:rPr>
          <w:rFonts w:ascii="Verdana" w:hAnsi="Verdana"/>
          <w:sz w:val="18"/>
          <w:szCs w:val="18"/>
        </w:rPr>
        <w:t>Terrestrial compartment</w:t>
      </w:r>
      <w:bookmarkEnd w:id="131"/>
      <w:bookmarkEnd w:id="132"/>
    </w:p>
    <w:p w14:paraId="59E344F3" w14:textId="47483953" w:rsidR="00702A24" w:rsidRPr="000C7CFA" w:rsidRDefault="00BA0ECA" w:rsidP="00795AF6">
      <w:pPr>
        <w:pStyle w:val="BodyText"/>
        <w:rPr>
          <w:rFonts w:ascii="Verdana" w:hAnsi="Verdana"/>
          <w:sz w:val="18"/>
          <w:szCs w:val="18"/>
        </w:rPr>
      </w:pPr>
      <w:r w:rsidRPr="000C7CFA">
        <w:rPr>
          <w:rFonts w:ascii="Verdana" w:hAnsi="Verdana"/>
          <w:sz w:val="18"/>
          <w:szCs w:val="18"/>
        </w:rPr>
        <w:t xml:space="preserve">No </w:t>
      </w:r>
      <w:r w:rsidR="00A459A9" w:rsidRPr="000C7CFA">
        <w:rPr>
          <w:rFonts w:ascii="Verdana" w:hAnsi="Verdana"/>
          <w:sz w:val="18"/>
          <w:szCs w:val="18"/>
        </w:rPr>
        <w:t xml:space="preserve">standard </w:t>
      </w:r>
      <w:r w:rsidRPr="000C7CFA">
        <w:rPr>
          <w:rFonts w:ascii="Verdana" w:hAnsi="Verdana"/>
          <w:sz w:val="18"/>
          <w:szCs w:val="18"/>
        </w:rPr>
        <w:t xml:space="preserve">data are presented in the </w:t>
      </w:r>
      <w:r w:rsidR="00061464" w:rsidRPr="000C7CFA">
        <w:rPr>
          <w:rFonts w:ascii="Verdana" w:hAnsi="Verdana"/>
          <w:sz w:val="18"/>
          <w:szCs w:val="18"/>
        </w:rPr>
        <w:t xml:space="preserve">registration </w:t>
      </w:r>
      <w:r w:rsidRPr="000C7CFA">
        <w:rPr>
          <w:rFonts w:ascii="Verdana" w:hAnsi="Verdana"/>
          <w:sz w:val="18"/>
          <w:szCs w:val="18"/>
        </w:rPr>
        <w:t xml:space="preserve">dossier for the terrestrial compartment. The terrestrial organism toxicity studies are waived based on the substance being insoluble, </w:t>
      </w:r>
      <w:r w:rsidR="00947F8A" w:rsidRPr="000C7CFA">
        <w:rPr>
          <w:rFonts w:ascii="Verdana" w:hAnsi="Verdana"/>
          <w:sz w:val="18"/>
          <w:szCs w:val="18"/>
        </w:rPr>
        <w:t xml:space="preserve">a lack of effects </w:t>
      </w:r>
      <w:r w:rsidRPr="000C7CFA">
        <w:rPr>
          <w:rFonts w:ascii="Verdana" w:hAnsi="Verdana"/>
          <w:sz w:val="18"/>
          <w:szCs w:val="18"/>
        </w:rPr>
        <w:t xml:space="preserve">in the </w:t>
      </w:r>
      <w:r w:rsidR="00947F8A" w:rsidRPr="000C7CFA">
        <w:rPr>
          <w:rFonts w:ascii="Verdana" w:hAnsi="Verdana"/>
          <w:sz w:val="18"/>
          <w:szCs w:val="18"/>
        </w:rPr>
        <w:t xml:space="preserve">available </w:t>
      </w:r>
      <w:r w:rsidRPr="000C7CFA">
        <w:rPr>
          <w:rFonts w:ascii="Verdana" w:hAnsi="Verdana"/>
          <w:sz w:val="18"/>
          <w:szCs w:val="18"/>
        </w:rPr>
        <w:t xml:space="preserve">aquatic toxicity studies, the lack of bioaccumulation potential and the fact that 90% of the substance is not </w:t>
      </w:r>
      <w:r w:rsidR="00555709" w:rsidRPr="000C7CFA">
        <w:rPr>
          <w:rFonts w:ascii="Verdana" w:hAnsi="Verdana"/>
          <w:sz w:val="18"/>
          <w:szCs w:val="18"/>
        </w:rPr>
        <w:t xml:space="preserve">absorbed </w:t>
      </w:r>
      <w:r w:rsidRPr="000C7CFA">
        <w:rPr>
          <w:rFonts w:ascii="Verdana" w:hAnsi="Verdana"/>
          <w:sz w:val="18"/>
          <w:szCs w:val="18"/>
        </w:rPr>
        <w:t>according to available toxicokinetics studies.</w:t>
      </w:r>
    </w:p>
    <w:p w14:paraId="0960E312" w14:textId="3C2FC7B5" w:rsidR="00831D87" w:rsidRPr="000C7CFA" w:rsidRDefault="00831D87" w:rsidP="00831D87">
      <w:pPr>
        <w:pStyle w:val="BodyText"/>
        <w:rPr>
          <w:rFonts w:ascii="Verdana" w:hAnsi="Verdana"/>
          <w:color w:val="000000"/>
          <w:sz w:val="18"/>
          <w:szCs w:val="18"/>
        </w:rPr>
      </w:pPr>
      <w:r w:rsidRPr="000C7CFA">
        <w:rPr>
          <w:rFonts w:ascii="Verdana" w:hAnsi="Verdana"/>
          <w:color w:val="000000"/>
          <w:sz w:val="18"/>
          <w:szCs w:val="18"/>
        </w:rPr>
        <w:t xml:space="preserve">The potential for effects of Dechlorane Plus exposure to soil microbiota has been studied by </w:t>
      </w:r>
      <w:r w:rsidRPr="000C7CFA">
        <w:rPr>
          <w:rFonts w:ascii="Verdana" w:hAnsi="Verdana"/>
          <w:color w:val="000000"/>
          <w:sz w:val="18"/>
          <w:szCs w:val="18"/>
          <w:u w:val="single"/>
        </w:rPr>
        <w:t xml:space="preserve">Thanh </w:t>
      </w:r>
      <w:r w:rsidRPr="000C7CFA">
        <w:rPr>
          <w:rFonts w:ascii="Verdana" w:hAnsi="Verdana"/>
          <w:i/>
          <w:color w:val="000000"/>
          <w:sz w:val="18"/>
          <w:szCs w:val="18"/>
          <w:u w:val="single"/>
        </w:rPr>
        <w:t>et al</w:t>
      </w:r>
      <w:r w:rsidRPr="000C7CFA">
        <w:rPr>
          <w:rFonts w:ascii="Verdana" w:hAnsi="Verdana"/>
          <w:color w:val="000000"/>
          <w:sz w:val="18"/>
          <w:szCs w:val="18"/>
          <w:u w:val="single"/>
        </w:rPr>
        <w:t>. (2013)</w:t>
      </w:r>
      <w:r w:rsidRPr="000C7CFA">
        <w:rPr>
          <w:rFonts w:ascii="Verdana" w:hAnsi="Verdana"/>
          <w:color w:val="000000"/>
          <w:sz w:val="18"/>
          <w:szCs w:val="18"/>
        </w:rPr>
        <w:t xml:space="preserve"> [ABST]. The study is poorly reported and it is difficult to follow what was done exactly, and in many cases the significance of the reported effects is not clear. The tests used bacterial cultures of </w:t>
      </w:r>
      <w:r w:rsidRPr="000C7CFA">
        <w:rPr>
          <w:rFonts w:ascii="Verdana" w:hAnsi="Verdana"/>
          <w:i/>
          <w:color w:val="000000"/>
          <w:sz w:val="18"/>
          <w:szCs w:val="18"/>
        </w:rPr>
        <w:t>Eschericha coli</w:t>
      </w:r>
      <w:r w:rsidRPr="000C7CFA">
        <w:rPr>
          <w:rFonts w:ascii="Verdana" w:hAnsi="Verdana"/>
          <w:color w:val="000000"/>
          <w:sz w:val="18"/>
          <w:szCs w:val="18"/>
        </w:rPr>
        <w:t xml:space="preserve">, the dibenzofuran-degrading bacterium </w:t>
      </w:r>
      <w:r w:rsidRPr="000C7CFA">
        <w:rPr>
          <w:rFonts w:ascii="Verdana" w:hAnsi="Verdana"/>
          <w:i/>
          <w:color w:val="000000"/>
          <w:sz w:val="18"/>
          <w:szCs w:val="18"/>
        </w:rPr>
        <w:t xml:space="preserve">Agrobacterium </w:t>
      </w:r>
      <w:r w:rsidRPr="000C7CFA">
        <w:rPr>
          <w:rFonts w:ascii="Verdana" w:hAnsi="Verdana"/>
          <w:color w:val="000000"/>
          <w:sz w:val="18"/>
          <w:szCs w:val="18"/>
        </w:rPr>
        <w:t xml:space="preserve">sp. and the phosphorus solubilising bacterium </w:t>
      </w:r>
      <w:r w:rsidRPr="000C7CFA">
        <w:rPr>
          <w:rFonts w:ascii="Verdana" w:hAnsi="Verdana"/>
          <w:i/>
          <w:color w:val="000000"/>
          <w:sz w:val="18"/>
          <w:szCs w:val="18"/>
        </w:rPr>
        <w:t xml:space="preserve">Gluconacetobacterliquefaciens </w:t>
      </w:r>
      <w:r w:rsidRPr="000C7CFA">
        <w:rPr>
          <w:rFonts w:ascii="Verdana" w:hAnsi="Verdana"/>
          <w:color w:val="000000"/>
          <w:sz w:val="18"/>
          <w:szCs w:val="18"/>
        </w:rPr>
        <w:t>sp. Resting cells of the bacteria (10</w:t>
      </w:r>
      <w:r w:rsidRPr="000C7CFA">
        <w:rPr>
          <w:rFonts w:ascii="Verdana" w:hAnsi="Verdana"/>
          <w:color w:val="000000"/>
          <w:sz w:val="18"/>
          <w:szCs w:val="18"/>
          <w:vertAlign w:val="superscript"/>
        </w:rPr>
        <w:t>6</w:t>
      </w:r>
      <w:r w:rsidRPr="000C7CFA">
        <w:rPr>
          <w:rFonts w:ascii="Verdana" w:hAnsi="Verdana"/>
          <w:color w:val="000000"/>
          <w:sz w:val="18"/>
          <w:szCs w:val="18"/>
        </w:rPr>
        <w:t>-10</w:t>
      </w:r>
      <w:r w:rsidRPr="000C7CFA">
        <w:rPr>
          <w:rFonts w:ascii="Verdana" w:hAnsi="Verdana"/>
          <w:color w:val="000000"/>
          <w:sz w:val="18"/>
          <w:szCs w:val="18"/>
          <w:vertAlign w:val="superscript"/>
        </w:rPr>
        <w:t>7</w:t>
      </w:r>
      <w:r w:rsidRPr="000C7CFA">
        <w:rPr>
          <w:rFonts w:ascii="Verdana" w:hAnsi="Verdana"/>
          <w:color w:val="000000"/>
          <w:sz w:val="18"/>
          <w:szCs w:val="18"/>
        </w:rPr>
        <w:t xml:space="preserve"> colony forming units per mL) were added to pH 7.4 buffer medium or soil extract medium containing 250 ppb (~250 μg/</w:t>
      </w:r>
      <w:r w:rsidR="005B6B2B" w:rsidRPr="000C7CFA">
        <w:rPr>
          <w:rFonts w:ascii="Verdana" w:hAnsi="Verdana"/>
          <w:color w:val="000000"/>
          <w:sz w:val="18"/>
          <w:szCs w:val="18"/>
        </w:rPr>
        <w:t>L</w:t>
      </w:r>
      <w:r w:rsidRPr="000C7CFA">
        <w:rPr>
          <w:rFonts w:ascii="Verdana" w:hAnsi="Verdana"/>
          <w:color w:val="000000"/>
          <w:sz w:val="18"/>
          <w:szCs w:val="18"/>
        </w:rPr>
        <w:t>) of each Dechlorane Plus isomer and the solutions were incubated for up to 24 hours. Effects on cell viability were seen, with higher effects being seen with the syn-isomer than the anti-isomer. In addition an increase in reactive organic species (ROS) was also seen and appeared to be related to the decrease in colony forming units. No significant effects were evident on the phosphorus solubilizing and dibenzofuran degrading capacities of the bacteria.</w:t>
      </w:r>
    </w:p>
    <w:p w14:paraId="64F3D452" w14:textId="77777777" w:rsidR="00831D87" w:rsidRPr="000C7CFA" w:rsidRDefault="00831D87" w:rsidP="00831D87">
      <w:pPr>
        <w:pStyle w:val="BodyText"/>
        <w:rPr>
          <w:rFonts w:ascii="Verdana" w:hAnsi="Verdana"/>
          <w:color w:val="000000"/>
          <w:sz w:val="18"/>
          <w:szCs w:val="18"/>
        </w:rPr>
      </w:pPr>
      <w:r w:rsidRPr="000C7CFA">
        <w:rPr>
          <w:rFonts w:ascii="Verdana" w:hAnsi="Verdana"/>
          <w:color w:val="000000"/>
          <w:sz w:val="18"/>
          <w:szCs w:val="18"/>
        </w:rPr>
        <w:t>Overall the results of this test are difficult to assess in terms of the possible effects of Dechlorane Plus on terrestrial ecosystems. This study is not included in the registration dossier.</w:t>
      </w:r>
    </w:p>
    <w:p w14:paraId="79254320" w14:textId="77777777" w:rsidR="00831D87" w:rsidRPr="000C7CFA" w:rsidRDefault="00831D87" w:rsidP="005572E1">
      <w:pPr>
        <w:pStyle w:val="BodyText"/>
        <w:rPr>
          <w:rFonts w:ascii="Verdana" w:hAnsi="Verdana"/>
          <w:color w:val="000000"/>
          <w:sz w:val="18"/>
          <w:szCs w:val="18"/>
        </w:rPr>
      </w:pPr>
    </w:p>
    <w:p w14:paraId="7ED91556" w14:textId="504B8C2B" w:rsidR="005572E1" w:rsidRPr="000C7CFA" w:rsidRDefault="00467900" w:rsidP="005572E1">
      <w:pPr>
        <w:pStyle w:val="BodyText"/>
        <w:rPr>
          <w:rFonts w:ascii="Verdana" w:hAnsi="Verdana"/>
          <w:color w:val="000000"/>
          <w:sz w:val="18"/>
          <w:szCs w:val="18"/>
        </w:rPr>
      </w:pPr>
      <w:r w:rsidRPr="000C7CFA">
        <w:rPr>
          <w:rFonts w:ascii="Verdana" w:hAnsi="Verdana"/>
          <w:color w:val="000000"/>
          <w:sz w:val="18"/>
          <w:szCs w:val="18"/>
        </w:rPr>
        <w:t>T</w:t>
      </w:r>
      <w:r w:rsidR="00BA0ECA" w:rsidRPr="000C7CFA">
        <w:rPr>
          <w:rFonts w:ascii="Verdana" w:hAnsi="Verdana"/>
          <w:color w:val="000000"/>
          <w:sz w:val="18"/>
          <w:szCs w:val="18"/>
        </w:rPr>
        <w:t xml:space="preserve">he </w:t>
      </w:r>
      <w:r w:rsidR="00A459A9" w:rsidRPr="000C7CFA">
        <w:rPr>
          <w:rFonts w:ascii="Verdana" w:hAnsi="Verdana"/>
          <w:color w:val="000000"/>
          <w:sz w:val="18"/>
          <w:szCs w:val="18"/>
        </w:rPr>
        <w:t>registration dossier includes</w:t>
      </w:r>
      <w:r w:rsidRPr="000C7CFA">
        <w:rPr>
          <w:rFonts w:ascii="Verdana" w:hAnsi="Verdana"/>
          <w:color w:val="000000"/>
          <w:sz w:val="18"/>
          <w:szCs w:val="18"/>
        </w:rPr>
        <w:t xml:space="preserve"> a short-term toxicity study on the earthworm </w:t>
      </w:r>
      <w:r w:rsidRPr="000C7CFA">
        <w:rPr>
          <w:rFonts w:ascii="Verdana" w:hAnsi="Verdana"/>
          <w:i/>
          <w:color w:val="000000"/>
          <w:sz w:val="18"/>
          <w:szCs w:val="18"/>
        </w:rPr>
        <w:t>Eisenia fetida</w:t>
      </w:r>
      <w:r w:rsidRPr="000C7CFA">
        <w:rPr>
          <w:rFonts w:ascii="Verdana" w:hAnsi="Verdana"/>
          <w:color w:val="000000"/>
          <w:sz w:val="18"/>
          <w:szCs w:val="18"/>
        </w:rPr>
        <w:t xml:space="preserve"> by </w:t>
      </w:r>
      <w:r w:rsidRPr="000C7CFA">
        <w:rPr>
          <w:rFonts w:ascii="Verdana" w:hAnsi="Verdana"/>
          <w:color w:val="000000"/>
          <w:sz w:val="18"/>
          <w:szCs w:val="18"/>
          <w:u w:val="single"/>
        </w:rPr>
        <w:t xml:space="preserve">Zhang </w:t>
      </w:r>
      <w:r w:rsidRPr="000C7CFA">
        <w:rPr>
          <w:rFonts w:ascii="Verdana" w:hAnsi="Verdana"/>
          <w:i/>
          <w:color w:val="000000"/>
          <w:sz w:val="18"/>
          <w:szCs w:val="18"/>
          <w:u w:val="single"/>
        </w:rPr>
        <w:t>et al</w:t>
      </w:r>
      <w:r w:rsidRPr="000C7CFA">
        <w:rPr>
          <w:rFonts w:ascii="Verdana" w:hAnsi="Verdana"/>
          <w:color w:val="000000"/>
          <w:sz w:val="18"/>
          <w:szCs w:val="18"/>
          <w:u w:val="single"/>
        </w:rPr>
        <w:t>. (2014)</w:t>
      </w:r>
      <w:r w:rsidRPr="000C7CFA">
        <w:rPr>
          <w:rFonts w:ascii="Verdana" w:hAnsi="Verdana"/>
          <w:color w:val="000000"/>
          <w:sz w:val="18"/>
          <w:szCs w:val="18"/>
        </w:rPr>
        <w:t xml:space="preserve">. </w:t>
      </w:r>
      <w:r w:rsidR="005572E1" w:rsidRPr="000C7CFA">
        <w:rPr>
          <w:rFonts w:ascii="Verdana" w:hAnsi="Verdana"/>
          <w:color w:val="000000"/>
          <w:sz w:val="18"/>
          <w:szCs w:val="18"/>
        </w:rPr>
        <w:t>Healthy adult worms (60 days old, 300 – 400 mg, with well-</w:t>
      </w:r>
      <w:r w:rsidR="005572E1" w:rsidRPr="000C7CFA">
        <w:rPr>
          <w:rFonts w:ascii="Verdana" w:hAnsi="Verdana"/>
          <w:color w:val="000000"/>
          <w:sz w:val="18"/>
          <w:szCs w:val="18"/>
        </w:rPr>
        <w:lastRenderedPageBreak/>
        <w:t>developed clitellum) were used for all exposure experiments. The worms were acclimated in clean soil for one week. Test soils were prepared using nominal Dechlorane Plus (purity &gt;9</w:t>
      </w:r>
      <w:r w:rsidR="00AF7606" w:rsidRPr="000C7CFA">
        <w:rPr>
          <w:rFonts w:ascii="Verdana" w:hAnsi="Verdana"/>
          <w:color w:val="000000"/>
          <w:sz w:val="18"/>
          <w:szCs w:val="18"/>
        </w:rPr>
        <w:t>9 %</w:t>
      </w:r>
      <w:r w:rsidR="005572E1" w:rsidRPr="000C7CFA">
        <w:rPr>
          <w:rFonts w:ascii="Verdana" w:hAnsi="Verdana"/>
          <w:color w:val="000000"/>
          <w:sz w:val="18"/>
          <w:szCs w:val="18"/>
        </w:rPr>
        <w:t xml:space="preserve"> w/w) concentrat</w:t>
      </w:r>
      <w:r w:rsidR="00061464" w:rsidRPr="000C7CFA">
        <w:rPr>
          <w:rFonts w:ascii="Verdana" w:hAnsi="Verdana"/>
          <w:color w:val="000000"/>
          <w:sz w:val="18"/>
          <w:szCs w:val="18"/>
        </w:rPr>
        <w:t>ions of 0.1, 1, 10 and 50 </w:t>
      </w:r>
      <w:r w:rsidR="005572E1" w:rsidRPr="000C7CFA">
        <w:rPr>
          <w:rFonts w:ascii="Verdana" w:hAnsi="Verdana"/>
          <w:color w:val="000000"/>
          <w:sz w:val="18"/>
          <w:szCs w:val="18"/>
        </w:rPr>
        <w:t xml:space="preserve">mg/kg </w:t>
      </w:r>
      <w:proofErr w:type="gramStart"/>
      <w:r w:rsidR="005572E1" w:rsidRPr="000C7CFA">
        <w:rPr>
          <w:rFonts w:ascii="Verdana" w:hAnsi="Verdana"/>
          <w:color w:val="000000"/>
          <w:sz w:val="18"/>
          <w:szCs w:val="18"/>
        </w:rPr>
        <w:t>dw</w:t>
      </w:r>
      <w:proofErr w:type="gramEnd"/>
      <w:r w:rsidR="005572E1" w:rsidRPr="000C7CFA">
        <w:rPr>
          <w:rFonts w:ascii="Verdana" w:hAnsi="Verdana"/>
          <w:color w:val="000000"/>
          <w:sz w:val="18"/>
          <w:szCs w:val="18"/>
        </w:rPr>
        <w:t>, plus an untreated control. Each treatment had three replicates and each 1 L bottle contained twelve worms. No details were provided about the preparation of the artificial soil (which contained 10% dried cow manure (as food), 20% kaolin clay, and 70% industrial sand; pH 6.0 ± 0.5) or dosing technique. The soil water content was 3</w:t>
      </w:r>
      <w:r w:rsidR="00AF7606" w:rsidRPr="000C7CFA">
        <w:rPr>
          <w:rFonts w:ascii="Verdana" w:hAnsi="Verdana"/>
          <w:color w:val="000000"/>
          <w:sz w:val="18"/>
          <w:szCs w:val="18"/>
        </w:rPr>
        <w:t>5 %</w:t>
      </w:r>
      <w:r w:rsidR="005572E1" w:rsidRPr="000C7CFA">
        <w:rPr>
          <w:rFonts w:ascii="Verdana" w:hAnsi="Verdana"/>
          <w:color w:val="000000"/>
          <w:sz w:val="18"/>
          <w:szCs w:val="18"/>
        </w:rPr>
        <w:t xml:space="preserve"> (w/w) (in accordance with OECD TG 207) and water was regularly sprayed into the headspace of the bottles to keep the air humidity at 80% (the bottles were covered with plastic film that had been punched with small holes). The bottles were supplied with continuous light at 20 ± 1 °C for 14 days. At the end of the exposure period, the worms were extracted from the soil and placed in enclosed petri dishes for 24 hours on moist filter paper at 20 ± 1 °C to allow them to purge their gut contents.</w:t>
      </w:r>
    </w:p>
    <w:p w14:paraId="691483C5" w14:textId="2B3151F8" w:rsidR="00E23497" w:rsidRPr="000C7CFA" w:rsidRDefault="005572E1" w:rsidP="005572E1">
      <w:pPr>
        <w:pStyle w:val="BodyText"/>
        <w:rPr>
          <w:rFonts w:ascii="Verdana" w:hAnsi="Verdana"/>
          <w:sz w:val="18"/>
          <w:szCs w:val="18"/>
        </w:rPr>
      </w:pPr>
      <w:r w:rsidRPr="000C7CFA">
        <w:rPr>
          <w:rFonts w:ascii="Verdana" w:hAnsi="Verdana"/>
          <w:color w:val="000000"/>
          <w:sz w:val="18"/>
          <w:szCs w:val="18"/>
        </w:rPr>
        <w:t>No signiﬁcant treatment-related changes in mortality or body weight were found (</w:t>
      </w:r>
      <w:r w:rsidRPr="000C7CFA">
        <w:rPr>
          <w:rFonts w:ascii="Verdana" w:hAnsi="Verdana"/>
          <w:i/>
          <w:color w:val="000000"/>
          <w:sz w:val="18"/>
          <w:szCs w:val="18"/>
        </w:rPr>
        <w:t>p</w:t>
      </w:r>
      <w:r w:rsidR="00555709" w:rsidRPr="000C7CFA">
        <w:rPr>
          <w:rFonts w:ascii="Verdana" w:hAnsi="Verdana"/>
          <w:color w:val="000000"/>
          <w:sz w:val="18"/>
          <w:szCs w:val="18"/>
        </w:rPr>
        <w:t> &gt; </w:t>
      </w:r>
      <w:r w:rsidRPr="000C7CFA">
        <w:rPr>
          <w:rFonts w:ascii="Verdana" w:hAnsi="Verdana"/>
          <w:color w:val="000000"/>
          <w:sz w:val="18"/>
          <w:szCs w:val="18"/>
        </w:rPr>
        <w:t xml:space="preserve">0.05). However, analysis of </w:t>
      </w:r>
      <w:r w:rsidR="00555709" w:rsidRPr="000C7CFA">
        <w:rPr>
          <w:rFonts w:ascii="Verdana" w:hAnsi="Verdana"/>
          <w:color w:val="000000"/>
          <w:sz w:val="18"/>
          <w:szCs w:val="18"/>
        </w:rPr>
        <w:t xml:space="preserve">superoxide dismutase, glutathione and malonaldehyde </w:t>
      </w:r>
      <w:r w:rsidRPr="000C7CFA">
        <w:rPr>
          <w:rFonts w:ascii="Verdana" w:hAnsi="Verdana"/>
          <w:color w:val="000000"/>
          <w:sz w:val="18"/>
          <w:szCs w:val="18"/>
        </w:rPr>
        <w:t xml:space="preserve">indicated that the worms </w:t>
      </w:r>
      <w:r w:rsidR="00555709" w:rsidRPr="000C7CFA">
        <w:rPr>
          <w:rFonts w:ascii="Verdana" w:hAnsi="Verdana"/>
          <w:color w:val="000000"/>
          <w:sz w:val="18"/>
          <w:szCs w:val="18"/>
        </w:rPr>
        <w:t>showed</w:t>
      </w:r>
      <w:r w:rsidRPr="000C7CFA">
        <w:rPr>
          <w:rFonts w:ascii="Verdana" w:hAnsi="Verdana"/>
          <w:color w:val="000000"/>
          <w:sz w:val="18"/>
          <w:szCs w:val="18"/>
        </w:rPr>
        <w:t xml:space="preserve"> </w:t>
      </w:r>
      <w:r w:rsidR="00555709" w:rsidRPr="000C7CFA">
        <w:rPr>
          <w:rFonts w:ascii="Verdana" w:hAnsi="Verdana"/>
          <w:color w:val="000000"/>
          <w:sz w:val="18"/>
          <w:szCs w:val="18"/>
        </w:rPr>
        <w:t xml:space="preserve">signs </w:t>
      </w:r>
      <w:r w:rsidR="00467900" w:rsidRPr="000C7CFA">
        <w:rPr>
          <w:rFonts w:ascii="Verdana" w:hAnsi="Verdana"/>
          <w:color w:val="000000"/>
          <w:sz w:val="18"/>
          <w:szCs w:val="18"/>
        </w:rPr>
        <w:t>of oxidative stress</w:t>
      </w:r>
      <w:r w:rsidR="00555709" w:rsidRPr="000C7CFA">
        <w:rPr>
          <w:rFonts w:ascii="Verdana" w:hAnsi="Verdana"/>
          <w:color w:val="000000"/>
          <w:sz w:val="18"/>
          <w:szCs w:val="18"/>
        </w:rPr>
        <w:t>,</w:t>
      </w:r>
      <w:r w:rsidR="00467900" w:rsidRPr="000C7CFA">
        <w:rPr>
          <w:rFonts w:ascii="Verdana" w:hAnsi="Verdana"/>
          <w:color w:val="000000"/>
          <w:sz w:val="18"/>
          <w:szCs w:val="18"/>
        </w:rPr>
        <w:t xml:space="preserve"> and other damage</w:t>
      </w:r>
      <w:r w:rsidR="00555709" w:rsidRPr="000C7CFA">
        <w:rPr>
          <w:rFonts w:ascii="Verdana" w:hAnsi="Verdana"/>
          <w:color w:val="000000"/>
          <w:sz w:val="18"/>
          <w:szCs w:val="18"/>
        </w:rPr>
        <w:t xml:space="preserve"> was also recorded</w:t>
      </w:r>
      <w:r w:rsidR="00467900" w:rsidRPr="000C7CFA">
        <w:rPr>
          <w:rFonts w:ascii="Verdana" w:hAnsi="Verdana"/>
          <w:color w:val="000000"/>
          <w:sz w:val="18"/>
          <w:szCs w:val="18"/>
        </w:rPr>
        <w:t xml:space="preserve"> </w:t>
      </w:r>
      <w:r w:rsidRPr="000C7CFA">
        <w:rPr>
          <w:rFonts w:ascii="Verdana" w:hAnsi="Verdana"/>
          <w:color w:val="000000"/>
          <w:sz w:val="18"/>
          <w:szCs w:val="18"/>
        </w:rPr>
        <w:t xml:space="preserve">(inhibition of acetylcholine esterase activity, signiﬁcantly increased levels of DNA strand breaks and changes in transcriptomic proﬁles related to neurotoxicity), although there was </w:t>
      </w:r>
      <w:r w:rsidR="00555709" w:rsidRPr="000C7CFA">
        <w:rPr>
          <w:rFonts w:ascii="Verdana" w:hAnsi="Verdana"/>
          <w:color w:val="000000"/>
          <w:sz w:val="18"/>
          <w:szCs w:val="18"/>
        </w:rPr>
        <w:t>not always a clear</w:t>
      </w:r>
      <w:r w:rsidRPr="000C7CFA">
        <w:rPr>
          <w:rFonts w:ascii="Verdana" w:hAnsi="Verdana"/>
          <w:color w:val="000000"/>
          <w:sz w:val="18"/>
          <w:szCs w:val="18"/>
        </w:rPr>
        <w:t xml:space="preserve"> dose-response relationship</w:t>
      </w:r>
      <w:r w:rsidR="00555709" w:rsidRPr="000C7CFA">
        <w:rPr>
          <w:rFonts w:ascii="Verdana" w:hAnsi="Verdana"/>
          <w:color w:val="000000"/>
          <w:sz w:val="18"/>
          <w:szCs w:val="18"/>
        </w:rPr>
        <w:t xml:space="preserve"> for some of the findings</w:t>
      </w:r>
      <w:r w:rsidRPr="000C7CFA">
        <w:rPr>
          <w:rFonts w:ascii="Verdana" w:hAnsi="Verdana"/>
          <w:color w:val="000000"/>
          <w:sz w:val="18"/>
          <w:szCs w:val="18"/>
        </w:rPr>
        <w:t>.</w:t>
      </w:r>
      <w:r w:rsidR="00467900" w:rsidRPr="000C7CFA">
        <w:rPr>
          <w:rFonts w:ascii="Verdana" w:hAnsi="Verdana"/>
          <w:color w:val="000000"/>
          <w:sz w:val="18"/>
          <w:szCs w:val="18"/>
        </w:rPr>
        <w:t xml:space="preserve"> These are not standard endpoints, and given</w:t>
      </w:r>
      <w:r w:rsidR="00467900" w:rsidRPr="000C7CFA">
        <w:rPr>
          <w:rFonts w:ascii="Verdana" w:hAnsi="Verdana"/>
          <w:sz w:val="18"/>
          <w:szCs w:val="18"/>
        </w:rPr>
        <w:t xml:space="preserve"> the short duration of this study, </w:t>
      </w:r>
      <w:r w:rsidR="007649FA" w:rsidRPr="000C7CFA">
        <w:rPr>
          <w:rFonts w:ascii="Verdana" w:hAnsi="Verdana"/>
          <w:sz w:val="18"/>
          <w:szCs w:val="18"/>
        </w:rPr>
        <w:t>they cannot be used</w:t>
      </w:r>
      <w:r w:rsidR="00467900" w:rsidRPr="000C7CFA">
        <w:rPr>
          <w:rFonts w:ascii="Verdana" w:hAnsi="Verdana"/>
          <w:sz w:val="18"/>
          <w:szCs w:val="18"/>
        </w:rPr>
        <w:t xml:space="preserve"> for this assessment. </w:t>
      </w:r>
      <w:r w:rsidR="007649FA" w:rsidRPr="000C7CFA">
        <w:rPr>
          <w:rFonts w:ascii="Verdana" w:hAnsi="Verdana"/>
          <w:sz w:val="18"/>
          <w:szCs w:val="18"/>
        </w:rPr>
        <w:t>Nevertheless, they suggest that adverse effects could potentially occur over longer exposures.</w:t>
      </w:r>
    </w:p>
    <w:p w14:paraId="530FFC66" w14:textId="77777777" w:rsidR="005572E1" w:rsidRPr="000C7CFA" w:rsidRDefault="005572E1" w:rsidP="005572E1">
      <w:pPr>
        <w:pStyle w:val="BodyText"/>
        <w:rPr>
          <w:rFonts w:ascii="Verdana" w:hAnsi="Verdana"/>
          <w:color w:val="000000"/>
          <w:sz w:val="18"/>
          <w:szCs w:val="18"/>
        </w:rPr>
      </w:pPr>
      <w:r w:rsidRPr="000C7CFA">
        <w:rPr>
          <w:rFonts w:ascii="Verdana" w:hAnsi="Verdana"/>
          <w:color w:val="000000"/>
          <w:sz w:val="18"/>
          <w:szCs w:val="18"/>
        </w:rPr>
        <w:t xml:space="preserve">This study is included in the registration dossier and considered fully reliable by the </w:t>
      </w:r>
      <w:r w:rsidR="00A43C45" w:rsidRPr="000C7CFA">
        <w:rPr>
          <w:rFonts w:ascii="Verdana" w:hAnsi="Verdana"/>
          <w:sz w:val="18"/>
          <w:szCs w:val="18"/>
        </w:rPr>
        <w:t>Registrant</w:t>
      </w:r>
      <w:r w:rsidRPr="000C7CFA">
        <w:rPr>
          <w:rFonts w:ascii="Verdana" w:hAnsi="Verdana"/>
          <w:color w:val="000000"/>
          <w:sz w:val="18"/>
          <w:szCs w:val="18"/>
        </w:rPr>
        <w:t>.</w:t>
      </w:r>
    </w:p>
    <w:p w14:paraId="0C2D67BC" w14:textId="77777777" w:rsidR="00925A4A" w:rsidRPr="000C7CFA" w:rsidRDefault="00925A4A" w:rsidP="005572E1">
      <w:pPr>
        <w:pStyle w:val="BodyText"/>
        <w:rPr>
          <w:rFonts w:ascii="Verdana" w:hAnsi="Verdana"/>
          <w:color w:val="000000"/>
          <w:sz w:val="18"/>
          <w:szCs w:val="18"/>
        </w:rPr>
      </w:pPr>
    </w:p>
    <w:p w14:paraId="384E3FD7" w14:textId="77777777" w:rsidR="00831D87" w:rsidRPr="000C7CFA" w:rsidRDefault="00831D87" w:rsidP="00831D87">
      <w:pPr>
        <w:pStyle w:val="BodyText"/>
        <w:rPr>
          <w:rFonts w:ascii="Verdana" w:hAnsi="Verdana"/>
          <w:color w:val="000000"/>
          <w:sz w:val="18"/>
          <w:szCs w:val="18"/>
        </w:rPr>
      </w:pPr>
      <w:r w:rsidRPr="000C7CFA">
        <w:rPr>
          <w:rFonts w:ascii="Verdana" w:hAnsi="Verdana"/>
          <w:color w:val="000000"/>
          <w:sz w:val="18"/>
          <w:szCs w:val="18"/>
          <w:u w:val="single"/>
        </w:rPr>
        <w:t xml:space="preserve">Yang </w:t>
      </w:r>
      <w:r w:rsidRPr="000C7CFA">
        <w:rPr>
          <w:rFonts w:ascii="Verdana" w:hAnsi="Verdana"/>
          <w:i/>
          <w:color w:val="000000"/>
          <w:sz w:val="18"/>
          <w:szCs w:val="18"/>
          <w:u w:val="single"/>
        </w:rPr>
        <w:t>et al</w:t>
      </w:r>
      <w:r w:rsidRPr="000C7CFA">
        <w:rPr>
          <w:rFonts w:ascii="Verdana" w:hAnsi="Verdana"/>
          <w:color w:val="000000"/>
          <w:sz w:val="18"/>
          <w:szCs w:val="18"/>
          <w:u w:val="single"/>
        </w:rPr>
        <w:t>. (2014)</w:t>
      </w:r>
      <w:r w:rsidRPr="000C7CFA">
        <w:rPr>
          <w:rFonts w:ascii="Verdana" w:hAnsi="Verdana"/>
          <w:color w:val="000000"/>
          <w:sz w:val="18"/>
          <w:szCs w:val="18"/>
        </w:rPr>
        <w:t xml:space="preserve"> exposed earthworms </w:t>
      </w:r>
      <w:r w:rsidRPr="000C7CFA">
        <w:rPr>
          <w:rFonts w:ascii="Verdana" w:hAnsi="Verdana"/>
          <w:i/>
          <w:color w:val="000000"/>
          <w:sz w:val="18"/>
          <w:szCs w:val="18"/>
        </w:rPr>
        <w:t>Eisenia fetida</w:t>
      </w:r>
      <w:r w:rsidRPr="000C7CFA">
        <w:rPr>
          <w:rFonts w:ascii="Verdana" w:hAnsi="Verdana"/>
          <w:color w:val="000000"/>
          <w:sz w:val="18"/>
          <w:szCs w:val="18"/>
        </w:rPr>
        <w:t xml:space="preserve"> to nominal Dechlorane Plus concentrations of 0.1, 0.5, 6.25 and 12.5 mg/kg </w:t>
      </w:r>
      <w:proofErr w:type="gramStart"/>
      <w:r w:rsidRPr="000C7CFA">
        <w:rPr>
          <w:rFonts w:ascii="Verdana" w:hAnsi="Verdana"/>
          <w:color w:val="000000"/>
          <w:sz w:val="18"/>
          <w:szCs w:val="18"/>
        </w:rPr>
        <w:t>dw</w:t>
      </w:r>
      <w:proofErr w:type="gramEnd"/>
      <w:r w:rsidRPr="000C7CFA">
        <w:rPr>
          <w:rFonts w:ascii="Verdana" w:hAnsi="Verdana"/>
          <w:color w:val="000000"/>
          <w:sz w:val="18"/>
          <w:szCs w:val="18"/>
        </w:rPr>
        <w:t xml:space="preserve"> (plus control) in artificial soil for 28 days. This academic study is not included in the registration dossier. Actual exposure concentrations were not measured (although this is not currently a requirement of any OECD soil test guideline). All effects are therefore based on the initial nominal test concentrations. </w:t>
      </w:r>
    </w:p>
    <w:p w14:paraId="2CF3F16D" w14:textId="1927632C" w:rsidR="00831D87" w:rsidRPr="000C7CFA" w:rsidRDefault="00831D87" w:rsidP="00831D87">
      <w:pPr>
        <w:pStyle w:val="BodyText"/>
        <w:rPr>
          <w:rFonts w:ascii="Verdana" w:hAnsi="Verdana"/>
          <w:color w:val="000000"/>
          <w:sz w:val="18"/>
          <w:szCs w:val="18"/>
        </w:rPr>
      </w:pPr>
      <w:r w:rsidRPr="000C7CFA">
        <w:rPr>
          <w:rFonts w:ascii="Verdana" w:hAnsi="Verdana"/>
          <w:color w:val="000000"/>
          <w:sz w:val="18"/>
          <w:szCs w:val="18"/>
        </w:rPr>
        <w:t>For each concentration, the desired amount of test substance</w:t>
      </w:r>
      <w:r w:rsidR="0060361F" w:rsidRPr="000C7CFA">
        <w:rPr>
          <w:rFonts w:ascii="Verdana" w:hAnsi="Verdana"/>
          <w:color w:val="000000"/>
          <w:sz w:val="18"/>
          <w:szCs w:val="18"/>
        </w:rPr>
        <w:t xml:space="preserve"> was dissolved in 10 </w:t>
      </w:r>
      <w:r w:rsidRPr="000C7CFA">
        <w:rPr>
          <w:rFonts w:ascii="Verdana" w:hAnsi="Verdana"/>
          <w:color w:val="000000"/>
          <w:sz w:val="18"/>
          <w:szCs w:val="18"/>
        </w:rPr>
        <w:t>mL dimethylsulfoxide (DMSO) and mixed in to a small quantity of fine quartz sand. DMSO was allowed to evaporate overnight and then the dosed sand was mixed thoroughly with pre-moistened artificial soil in a household mixer. Worms (approximately 60 days old) were allowed to acclimatise for one week in untreated artificial soil (10 % cow manure, 20 % kaolin clay, 70 % industrial sand (particle size not reported) and a ‘small amount’ of calcium carbonate to adjust the pH to 6.0 ± 0.5 (pH not monitored during test)) before exposure began. Thirty worms were exposed in each treatment (ten individuals in three replicates). The test chamber size, surface area and soil depth were not reported (glass bottles were used).  S</w:t>
      </w:r>
      <w:r w:rsidRPr="000C7CFA">
        <w:rPr>
          <w:rFonts w:ascii="Verdana" w:hAnsi="Verdana" w:cs="Arial"/>
          <w:color w:val="000000"/>
          <w:sz w:val="18"/>
          <w:szCs w:val="18"/>
        </w:rPr>
        <w:t>oil moisture content was adjusted to 35</w:t>
      </w:r>
      <w:r w:rsidRPr="000C7CFA">
        <w:rPr>
          <w:rFonts w:ascii="Verdana" w:hAnsi="Verdana"/>
          <w:color w:val="000000"/>
          <w:sz w:val="18"/>
          <w:szCs w:val="18"/>
        </w:rPr>
        <w:t xml:space="preserve"> </w:t>
      </w:r>
      <w:r w:rsidRPr="000C7CFA">
        <w:rPr>
          <w:rFonts w:ascii="Verdana" w:hAnsi="Verdana" w:cs="Arial"/>
          <w:color w:val="000000"/>
          <w:sz w:val="18"/>
          <w:szCs w:val="18"/>
        </w:rPr>
        <w:t>% by the addition of distilled water</w:t>
      </w:r>
      <w:r w:rsidRPr="000C7CFA">
        <w:rPr>
          <w:rFonts w:ascii="Verdana" w:hAnsi="Verdana"/>
          <w:color w:val="000000"/>
          <w:sz w:val="18"/>
          <w:szCs w:val="18"/>
        </w:rPr>
        <w:t xml:space="preserve"> (the m</w:t>
      </w:r>
      <w:r w:rsidRPr="000C7CFA">
        <w:rPr>
          <w:rFonts w:ascii="Verdana" w:hAnsi="Verdana" w:cs="Arial"/>
          <w:color w:val="000000"/>
          <w:sz w:val="18"/>
          <w:szCs w:val="18"/>
        </w:rPr>
        <w:t>aximum water holding capacity of the soil</w:t>
      </w:r>
      <w:r w:rsidRPr="000C7CFA">
        <w:rPr>
          <w:rFonts w:ascii="Verdana" w:hAnsi="Verdana"/>
          <w:color w:val="000000"/>
          <w:sz w:val="18"/>
          <w:szCs w:val="18"/>
        </w:rPr>
        <w:t xml:space="preserve"> was</w:t>
      </w:r>
      <w:r w:rsidRPr="000C7CFA">
        <w:rPr>
          <w:rFonts w:ascii="Verdana" w:hAnsi="Verdana" w:cs="Arial"/>
          <w:color w:val="000000"/>
          <w:sz w:val="18"/>
          <w:szCs w:val="18"/>
        </w:rPr>
        <w:t xml:space="preserve"> not reported and moisture content </w:t>
      </w:r>
      <w:r w:rsidRPr="000C7CFA">
        <w:rPr>
          <w:rFonts w:ascii="Verdana" w:hAnsi="Verdana"/>
          <w:color w:val="000000"/>
          <w:sz w:val="18"/>
          <w:szCs w:val="18"/>
        </w:rPr>
        <w:t xml:space="preserve">was </w:t>
      </w:r>
      <w:r w:rsidRPr="000C7CFA">
        <w:rPr>
          <w:rFonts w:ascii="Verdana" w:hAnsi="Verdana" w:cs="Arial"/>
          <w:color w:val="000000"/>
          <w:sz w:val="18"/>
          <w:szCs w:val="18"/>
        </w:rPr>
        <w:t>not subsequently monitored</w:t>
      </w:r>
      <w:r w:rsidRPr="000C7CFA">
        <w:rPr>
          <w:rFonts w:ascii="Verdana" w:hAnsi="Verdana"/>
          <w:color w:val="000000"/>
          <w:sz w:val="18"/>
          <w:szCs w:val="18"/>
        </w:rPr>
        <w:t>)</w:t>
      </w:r>
      <w:r w:rsidRPr="000C7CFA">
        <w:rPr>
          <w:rFonts w:ascii="Verdana" w:hAnsi="Verdana" w:cs="Arial"/>
          <w:color w:val="000000"/>
          <w:sz w:val="18"/>
          <w:szCs w:val="18"/>
        </w:rPr>
        <w:t>.</w:t>
      </w:r>
      <w:r w:rsidRPr="000C7CFA">
        <w:rPr>
          <w:rFonts w:ascii="Verdana" w:hAnsi="Verdana"/>
          <w:color w:val="000000"/>
          <w:sz w:val="18"/>
          <w:szCs w:val="18"/>
        </w:rPr>
        <w:t xml:space="preserve"> The temperature was </w:t>
      </w:r>
      <w:r w:rsidRPr="000C7CFA">
        <w:rPr>
          <w:rFonts w:ascii="Verdana" w:hAnsi="Verdana" w:cs="Arial"/>
          <w:color w:val="000000"/>
          <w:sz w:val="18"/>
          <w:szCs w:val="18"/>
        </w:rPr>
        <w:t>20</w:t>
      </w:r>
      <w:r w:rsidRPr="000C7CFA">
        <w:rPr>
          <w:rFonts w:ascii="Verdana" w:hAnsi="Verdana"/>
          <w:color w:val="000000"/>
          <w:sz w:val="18"/>
          <w:szCs w:val="18"/>
        </w:rPr>
        <w:t xml:space="preserve"> </w:t>
      </w:r>
      <w:r w:rsidRPr="000C7CFA">
        <w:rPr>
          <w:rFonts w:ascii="Verdana" w:hAnsi="Verdana" w:cs="Arial"/>
          <w:color w:val="000000"/>
          <w:sz w:val="18"/>
          <w:szCs w:val="18"/>
        </w:rPr>
        <w:t>± 1</w:t>
      </w:r>
      <w:r w:rsidRPr="000C7CFA">
        <w:rPr>
          <w:rFonts w:ascii="Verdana" w:hAnsi="Verdana"/>
          <w:color w:val="000000"/>
          <w:sz w:val="18"/>
          <w:szCs w:val="18"/>
        </w:rPr>
        <w:t xml:space="preserve"> </w:t>
      </w:r>
      <w:r w:rsidRPr="000C7CFA">
        <w:rPr>
          <w:rFonts w:ascii="Verdana" w:hAnsi="Verdana" w:cs="Arial"/>
          <w:color w:val="000000"/>
          <w:sz w:val="18"/>
          <w:szCs w:val="18"/>
        </w:rPr>
        <w:t>°C</w:t>
      </w:r>
      <w:r w:rsidRPr="000C7CFA">
        <w:rPr>
          <w:rFonts w:ascii="Verdana" w:hAnsi="Verdana"/>
          <w:color w:val="000000"/>
          <w:sz w:val="18"/>
          <w:szCs w:val="18"/>
        </w:rPr>
        <w:t xml:space="preserve"> and the worms were e</w:t>
      </w:r>
      <w:r w:rsidRPr="000C7CFA">
        <w:rPr>
          <w:rFonts w:ascii="Verdana" w:hAnsi="Verdana" w:cs="Arial"/>
          <w:color w:val="000000"/>
          <w:sz w:val="18"/>
          <w:szCs w:val="18"/>
        </w:rPr>
        <w:t xml:space="preserve">xposed to </w:t>
      </w:r>
      <w:r w:rsidRPr="000C7CFA">
        <w:rPr>
          <w:rFonts w:ascii="Verdana" w:hAnsi="Verdana"/>
          <w:color w:val="000000"/>
          <w:sz w:val="18"/>
          <w:szCs w:val="18"/>
        </w:rPr>
        <w:t xml:space="preserve">a </w:t>
      </w:r>
      <w:r w:rsidRPr="000C7CFA">
        <w:rPr>
          <w:rFonts w:ascii="Verdana" w:hAnsi="Verdana" w:cs="Arial"/>
          <w:color w:val="000000"/>
          <w:sz w:val="18"/>
          <w:szCs w:val="18"/>
        </w:rPr>
        <w:t>continuous light source rather than</w:t>
      </w:r>
      <w:r w:rsidRPr="000C7CFA">
        <w:rPr>
          <w:rFonts w:ascii="Verdana" w:hAnsi="Verdana"/>
          <w:color w:val="000000"/>
          <w:sz w:val="18"/>
          <w:szCs w:val="18"/>
        </w:rPr>
        <w:t xml:space="preserve"> a</w:t>
      </w:r>
      <w:r w:rsidRPr="000C7CFA">
        <w:rPr>
          <w:rFonts w:ascii="Verdana" w:hAnsi="Verdana" w:cs="Arial"/>
          <w:color w:val="000000"/>
          <w:sz w:val="18"/>
          <w:szCs w:val="18"/>
        </w:rPr>
        <w:t xml:space="preserve"> 16:8 h light</w:t>
      </w:r>
      <w:proofErr w:type="gramStart"/>
      <w:r w:rsidRPr="000C7CFA">
        <w:rPr>
          <w:rFonts w:ascii="Verdana" w:hAnsi="Verdana" w:cs="Arial"/>
          <w:color w:val="000000"/>
          <w:sz w:val="18"/>
          <w:szCs w:val="18"/>
        </w:rPr>
        <w:t>:dark</w:t>
      </w:r>
      <w:proofErr w:type="gramEnd"/>
      <w:r w:rsidRPr="000C7CFA">
        <w:rPr>
          <w:rFonts w:ascii="Verdana" w:hAnsi="Verdana"/>
          <w:color w:val="000000"/>
          <w:sz w:val="18"/>
          <w:szCs w:val="18"/>
        </w:rPr>
        <w:t xml:space="preserve"> cycle; the impact of this on the worms in unknown. L</w:t>
      </w:r>
      <w:r w:rsidRPr="000C7CFA">
        <w:rPr>
          <w:rFonts w:ascii="Verdana" w:hAnsi="Verdana" w:cs="Arial"/>
          <w:color w:val="000000"/>
          <w:sz w:val="18"/>
          <w:szCs w:val="18"/>
        </w:rPr>
        <w:t xml:space="preserve">ight intensity </w:t>
      </w:r>
      <w:r w:rsidRPr="000C7CFA">
        <w:rPr>
          <w:rFonts w:ascii="Verdana" w:hAnsi="Verdana"/>
          <w:color w:val="000000"/>
          <w:sz w:val="18"/>
          <w:szCs w:val="18"/>
        </w:rPr>
        <w:t xml:space="preserve">was </w:t>
      </w:r>
      <w:r w:rsidRPr="000C7CFA">
        <w:rPr>
          <w:rFonts w:ascii="Verdana" w:hAnsi="Verdana" w:cs="Arial"/>
          <w:color w:val="000000"/>
          <w:sz w:val="18"/>
          <w:szCs w:val="18"/>
        </w:rPr>
        <w:t>not reported.</w:t>
      </w:r>
      <w:r w:rsidRPr="000C7CFA">
        <w:rPr>
          <w:rFonts w:ascii="Verdana" w:hAnsi="Verdana"/>
          <w:color w:val="000000"/>
          <w:sz w:val="18"/>
          <w:szCs w:val="18"/>
        </w:rPr>
        <w:t xml:space="preserve"> The worms were not fed during the experiment. </w:t>
      </w:r>
    </w:p>
    <w:p w14:paraId="25819FAB" w14:textId="77777777" w:rsidR="00831D87" w:rsidRPr="000C7CFA" w:rsidRDefault="00831D87" w:rsidP="00831D87">
      <w:pPr>
        <w:pStyle w:val="BodyText"/>
        <w:rPr>
          <w:rFonts w:ascii="Verdana" w:hAnsi="Verdana"/>
          <w:color w:val="000000"/>
          <w:sz w:val="18"/>
          <w:szCs w:val="18"/>
        </w:rPr>
      </w:pPr>
      <w:r w:rsidRPr="000C7CFA">
        <w:rPr>
          <w:rFonts w:ascii="Verdana" w:hAnsi="Verdana"/>
          <w:color w:val="000000"/>
          <w:sz w:val="18"/>
          <w:szCs w:val="18"/>
        </w:rPr>
        <w:t>At the end of the exposure period, earthworms were removed from the soil, placed in enclosed petri dishes for 24 h on moist filter paper to purge their gut contents and then assessed for mortality and body weight change. Three washed earthworms per treatment were also pooled for biomarker assays performed in triplicate to assess oxidative stress (i.e. glutathione (GSH) and malondialdehyde (MDA) content, and superoxide dismutase (SOD), glutathione peroxidise (GSH-Px) and catalase (CAT) activities), neurotoxicity (measuring the neurotransmitter acetylcholine esterase, AChE), cellulase activity (considered to be relevant to the earthworms’ ability to decompose plant litter) and DNA damage (using an invertebrate 8-hydroxy-2'-deoxyguanosine (8-OHdG) enzyme-linked immunosorbent assay (ELISA) kit and a Comet assay). Enzyme activities were standardized by protein content.</w:t>
      </w:r>
    </w:p>
    <w:p w14:paraId="78D71804" w14:textId="77777777" w:rsidR="00831D87" w:rsidRPr="000C7CFA" w:rsidRDefault="00831D87" w:rsidP="00831D87">
      <w:pPr>
        <w:pStyle w:val="BodyText"/>
        <w:rPr>
          <w:rFonts w:ascii="Verdana" w:hAnsi="Verdana"/>
          <w:color w:val="000000"/>
          <w:sz w:val="18"/>
          <w:szCs w:val="18"/>
        </w:rPr>
      </w:pPr>
      <w:r w:rsidRPr="000C7CFA">
        <w:rPr>
          <w:rFonts w:ascii="Verdana" w:hAnsi="Verdana"/>
          <w:color w:val="000000"/>
          <w:sz w:val="18"/>
          <w:szCs w:val="18"/>
        </w:rPr>
        <w:t xml:space="preserve">No mortality (greater than the 10% validity criterion in OECD TG 222) was observed in the control group. There were no significant treatment-related changes in mortality (p &gt; 0.05) </w:t>
      </w:r>
      <w:r w:rsidRPr="000C7CFA">
        <w:rPr>
          <w:rFonts w:ascii="Verdana" w:hAnsi="Verdana"/>
          <w:color w:val="000000"/>
          <w:sz w:val="18"/>
          <w:szCs w:val="18"/>
        </w:rPr>
        <w:lastRenderedPageBreak/>
        <w:t>in any of the treatment groups. No significant treatment-related changes in body weight were found at any test concentration in comparison with controls. ‘Negative growth’ of earthworms appeared simultaneously in control and treated groups, which was suggested to be due to the change from natural to sub-optimal artificial soil (a drop in body weight is not uncommon in worms exposed in artificial soil, especially if they are not fed throughout the exposure period). Overall the study authors reported that the direct toxicity to earthworms was ‘very low’.</w:t>
      </w:r>
    </w:p>
    <w:p w14:paraId="6EC15ACB" w14:textId="77777777" w:rsidR="00831D87" w:rsidRPr="000C7CFA" w:rsidRDefault="00831D87" w:rsidP="00831D87">
      <w:pPr>
        <w:pStyle w:val="BodyText"/>
        <w:jc w:val="left"/>
        <w:rPr>
          <w:rFonts w:ascii="Verdana" w:hAnsi="Verdana"/>
          <w:color w:val="000000"/>
          <w:sz w:val="18"/>
          <w:szCs w:val="18"/>
        </w:rPr>
      </w:pPr>
      <w:r w:rsidRPr="000C7CFA">
        <w:rPr>
          <w:rFonts w:ascii="Verdana" w:hAnsi="Verdana"/>
          <w:color w:val="000000"/>
          <w:sz w:val="18"/>
          <w:szCs w:val="18"/>
        </w:rPr>
        <w:t xml:space="preserve">A number of changes in biomarkers were reported: </w:t>
      </w:r>
    </w:p>
    <w:p w14:paraId="0AC51C01" w14:textId="77777777" w:rsidR="00831D87" w:rsidRPr="000C7CFA" w:rsidRDefault="00831D87" w:rsidP="00831D87">
      <w:pPr>
        <w:pStyle w:val="ListParagraph"/>
        <w:numPr>
          <w:ilvl w:val="0"/>
          <w:numId w:val="21"/>
        </w:numPr>
        <w:spacing w:after="0" w:line="240" w:lineRule="auto"/>
        <w:ind w:left="426"/>
        <w:contextualSpacing w:val="0"/>
        <w:jc w:val="both"/>
        <w:rPr>
          <w:rFonts w:ascii="Verdana" w:hAnsi="Verdana"/>
          <w:iCs/>
          <w:sz w:val="18"/>
          <w:szCs w:val="18"/>
        </w:rPr>
      </w:pPr>
      <w:r w:rsidRPr="000C7CFA">
        <w:rPr>
          <w:rFonts w:ascii="Verdana" w:hAnsi="Verdana"/>
          <w:iCs/>
          <w:sz w:val="18"/>
          <w:szCs w:val="18"/>
        </w:rPr>
        <w:t>SOD and GSH-Px activities significantly (</w:t>
      </w:r>
      <w:r w:rsidRPr="000C7CFA">
        <w:rPr>
          <w:rFonts w:ascii="Verdana" w:hAnsi="Verdana"/>
          <w:i/>
          <w:iCs/>
          <w:sz w:val="18"/>
          <w:szCs w:val="18"/>
        </w:rPr>
        <w:t xml:space="preserve">p </w:t>
      </w:r>
      <w:r w:rsidRPr="000C7CFA">
        <w:rPr>
          <w:rFonts w:ascii="Verdana" w:hAnsi="Verdana"/>
          <w:iCs/>
          <w:sz w:val="18"/>
          <w:szCs w:val="18"/>
        </w:rPr>
        <w:t xml:space="preserve">&lt; 0.05) decreased in a dose-related manner compared to the control. CAT activity was also inhibited significantly at concentrations over 0.5 mg/kg </w:t>
      </w:r>
      <w:proofErr w:type="gramStart"/>
      <w:r w:rsidRPr="000C7CFA">
        <w:rPr>
          <w:rFonts w:ascii="Verdana" w:hAnsi="Verdana"/>
          <w:iCs/>
          <w:sz w:val="18"/>
          <w:szCs w:val="18"/>
        </w:rPr>
        <w:t>dw</w:t>
      </w:r>
      <w:proofErr w:type="gramEnd"/>
      <w:r w:rsidRPr="000C7CFA">
        <w:rPr>
          <w:rFonts w:ascii="Verdana" w:hAnsi="Verdana"/>
          <w:iCs/>
          <w:sz w:val="18"/>
          <w:szCs w:val="18"/>
        </w:rPr>
        <w:t xml:space="preserve">. GSH levels were inhibited significantly compared to controls at lower concentrations (0.1 and 0.5 mg/kg </w:t>
      </w:r>
      <w:proofErr w:type="gramStart"/>
      <w:r w:rsidRPr="000C7CFA">
        <w:rPr>
          <w:rFonts w:ascii="Verdana" w:hAnsi="Verdana"/>
          <w:iCs/>
          <w:sz w:val="18"/>
          <w:szCs w:val="18"/>
        </w:rPr>
        <w:t>dw</w:t>
      </w:r>
      <w:proofErr w:type="gramEnd"/>
      <w:r w:rsidRPr="000C7CFA">
        <w:rPr>
          <w:rFonts w:ascii="Verdana" w:hAnsi="Verdana"/>
          <w:iCs/>
          <w:sz w:val="18"/>
          <w:szCs w:val="18"/>
        </w:rPr>
        <w:t>) but also significantly increased at higher concentrations (6.25 and 12.5 mg/kg dw). The authors considered these changes to be potentially indicative of environmental stress. The changes in enzyme activity were not substantial given the scale of the increases in exposure concentration (there was little change between each of the two lowest and two highest concentrations). This might reflect limited bioavailability (i.e. actual exposure concentrations changing by less than suggested by the nominals), but this is conjecture. The actual meaning of these changes for earthworm populations is unclear.</w:t>
      </w:r>
    </w:p>
    <w:p w14:paraId="46D00863" w14:textId="77777777" w:rsidR="00831D87" w:rsidRPr="000C7CFA" w:rsidRDefault="00831D87" w:rsidP="00831D87">
      <w:pPr>
        <w:spacing w:after="0"/>
        <w:rPr>
          <w:rFonts w:ascii="Verdana" w:hAnsi="Verdana" w:cs="Arial"/>
          <w:iCs/>
          <w:sz w:val="18"/>
          <w:szCs w:val="18"/>
        </w:rPr>
      </w:pPr>
    </w:p>
    <w:p w14:paraId="35DE9662" w14:textId="77777777" w:rsidR="00831D87" w:rsidRPr="000C7CFA" w:rsidRDefault="00831D87" w:rsidP="00831D87">
      <w:pPr>
        <w:pStyle w:val="ListParagraph"/>
        <w:numPr>
          <w:ilvl w:val="0"/>
          <w:numId w:val="21"/>
        </w:numPr>
        <w:spacing w:after="0" w:line="240" w:lineRule="auto"/>
        <w:ind w:left="426"/>
        <w:contextualSpacing w:val="0"/>
        <w:jc w:val="both"/>
        <w:rPr>
          <w:rFonts w:ascii="Verdana" w:hAnsi="Verdana"/>
          <w:iCs/>
          <w:sz w:val="18"/>
          <w:szCs w:val="18"/>
        </w:rPr>
      </w:pPr>
      <w:r w:rsidRPr="000C7CFA">
        <w:rPr>
          <w:rFonts w:ascii="Verdana" w:hAnsi="Verdana"/>
          <w:iCs/>
          <w:sz w:val="18"/>
          <w:szCs w:val="18"/>
        </w:rPr>
        <w:t xml:space="preserve">MDA and 8-OHdG were characterised as two types of oxidative damage for membrane lipids and nucleic acids respectively. There was a significant decrease (p &lt; 0.05) in MDA content compared with the control. The level of decline was relatively flat compared with the increase in concentration but it was a clear trend and statistically significant at each concentration.  After a decline at 0.5 mg DP/kg (not statistically significant at 0.1), levels of 8-OHdG actually increased with increasing concentration and were nearly back at control levels at the highest concentration of 12.5 mg/kg </w:t>
      </w:r>
      <w:proofErr w:type="gramStart"/>
      <w:r w:rsidRPr="000C7CFA">
        <w:rPr>
          <w:rFonts w:ascii="Verdana" w:hAnsi="Verdana"/>
          <w:iCs/>
          <w:sz w:val="18"/>
          <w:szCs w:val="18"/>
        </w:rPr>
        <w:t>dw</w:t>
      </w:r>
      <w:proofErr w:type="gramEnd"/>
      <w:r w:rsidRPr="000C7CFA">
        <w:rPr>
          <w:rFonts w:ascii="Verdana" w:hAnsi="Verdana"/>
          <w:iCs/>
          <w:sz w:val="18"/>
          <w:szCs w:val="18"/>
        </w:rPr>
        <w:t>.  The study authors put forward various hypotheses (involving DNA damage and repair) to explain these findings, but these remain unproven and of uncertain relevance to the viability of earthworm populations.</w:t>
      </w:r>
    </w:p>
    <w:p w14:paraId="373BEDF7" w14:textId="77777777" w:rsidR="00831D87" w:rsidRPr="000C7CFA" w:rsidRDefault="00831D87" w:rsidP="00831D87">
      <w:pPr>
        <w:spacing w:after="0"/>
        <w:rPr>
          <w:rFonts w:ascii="Verdana" w:hAnsi="Verdana" w:cs="Arial"/>
          <w:iCs/>
          <w:sz w:val="18"/>
          <w:szCs w:val="18"/>
        </w:rPr>
      </w:pPr>
    </w:p>
    <w:p w14:paraId="1124F7B2" w14:textId="77777777" w:rsidR="00831D87" w:rsidRPr="000C7CFA" w:rsidRDefault="00831D87" w:rsidP="00831D87">
      <w:pPr>
        <w:pStyle w:val="ListParagraph"/>
        <w:numPr>
          <w:ilvl w:val="0"/>
          <w:numId w:val="21"/>
        </w:numPr>
        <w:spacing w:after="0" w:line="240" w:lineRule="auto"/>
        <w:ind w:left="426"/>
        <w:contextualSpacing w:val="0"/>
        <w:jc w:val="both"/>
        <w:rPr>
          <w:rFonts w:ascii="Verdana" w:hAnsi="Verdana"/>
          <w:iCs/>
          <w:sz w:val="18"/>
          <w:szCs w:val="18"/>
        </w:rPr>
      </w:pPr>
      <w:r w:rsidRPr="000C7CFA">
        <w:rPr>
          <w:rFonts w:ascii="Verdana" w:hAnsi="Verdana"/>
          <w:iCs/>
          <w:sz w:val="18"/>
          <w:szCs w:val="18"/>
        </w:rPr>
        <w:t xml:space="preserve">AChE levels were statistically significantly inhibited at all concentrations.  However, there was no concentration-dependent change and the response was again rather flat.  The importance of AChE as a critical enzyme of earthworm nervous systems is unclear and whether the levels of effect seen would have caused deleterious effects is also unknown.  Cellulase activity was inhibited in a similar manner at 0.5 mg/kg </w:t>
      </w:r>
      <w:proofErr w:type="gramStart"/>
      <w:r w:rsidRPr="000C7CFA">
        <w:rPr>
          <w:rFonts w:ascii="Verdana" w:hAnsi="Verdana"/>
          <w:iCs/>
          <w:sz w:val="18"/>
          <w:szCs w:val="18"/>
        </w:rPr>
        <w:t>dw</w:t>
      </w:r>
      <w:proofErr w:type="gramEnd"/>
      <w:r w:rsidRPr="000C7CFA">
        <w:rPr>
          <w:rFonts w:ascii="Verdana" w:hAnsi="Verdana"/>
          <w:iCs/>
          <w:sz w:val="18"/>
          <w:szCs w:val="18"/>
        </w:rPr>
        <w:t xml:space="preserve"> and above. The importance of cellulase activity in earthworms, and whether the level of effects seen would have adversely impacted on this, remains unclear.</w:t>
      </w:r>
    </w:p>
    <w:p w14:paraId="523F2EC5" w14:textId="77777777" w:rsidR="00831D87" w:rsidRPr="000C7CFA" w:rsidRDefault="00831D87" w:rsidP="00831D87">
      <w:pPr>
        <w:spacing w:after="0"/>
        <w:rPr>
          <w:rFonts w:ascii="Verdana" w:hAnsi="Verdana" w:cs="Arial"/>
          <w:iCs/>
          <w:sz w:val="18"/>
          <w:szCs w:val="18"/>
        </w:rPr>
      </w:pPr>
    </w:p>
    <w:p w14:paraId="5CF223DD" w14:textId="77777777" w:rsidR="00831D87" w:rsidRPr="000C7CFA" w:rsidRDefault="00831D87" w:rsidP="00831D87">
      <w:pPr>
        <w:pStyle w:val="ListParagraph"/>
        <w:numPr>
          <w:ilvl w:val="0"/>
          <w:numId w:val="21"/>
        </w:numPr>
        <w:spacing w:after="0" w:line="240" w:lineRule="auto"/>
        <w:ind w:left="426"/>
        <w:contextualSpacing w:val="0"/>
        <w:jc w:val="both"/>
        <w:rPr>
          <w:rFonts w:ascii="Verdana" w:hAnsi="Verdana"/>
          <w:iCs/>
          <w:sz w:val="18"/>
          <w:szCs w:val="18"/>
        </w:rPr>
      </w:pPr>
      <w:r w:rsidRPr="000C7CFA">
        <w:rPr>
          <w:rFonts w:ascii="Verdana" w:hAnsi="Verdana"/>
          <w:iCs/>
          <w:sz w:val="18"/>
          <w:szCs w:val="18"/>
        </w:rPr>
        <w:t>Tail DNA% (tDNA), Olive tail moment (OTM) and Tail length increased statistically significantly (p &lt; 0.05) in the Comet assays for all treatments, even at the lowest test concentration of 0.1 mg/kg dw. There was no DNA damage in the control earthworms.  The level of effect was not consistently concentration-related but was always greatest at the top dose. The genotoxic, biological and ecological significance of these levels of damage, given the potential for there also to be damage repair mechanisms, is unclear.</w:t>
      </w:r>
    </w:p>
    <w:p w14:paraId="5056CF7E" w14:textId="77777777" w:rsidR="00831D87" w:rsidRPr="000C7CFA" w:rsidRDefault="00831D87" w:rsidP="00831D87">
      <w:pPr>
        <w:spacing w:after="0"/>
        <w:rPr>
          <w:rFonts w:ascii="Verdana" w:hAnsi="Verdana" w:cs="Arial"/>
          <w:iCs/>
          <w:sz w:val="18"/>
          <w:szCs w:val="18"/>
        </w:rPr>
      </w:pPr>
    </w:p>
    <w:p w14:paraId="2D62F86E" w14:textId="77777777" w:rsidR="00831D87" w:rsidRPr="000C7CFA" w:rsidRDefault="00831D87" w:rsidP="00831D87">
      <w:pPr>
        <w:spacing w:after="0"/>
        <w:rPr>
          <w:rFonts w:ascii="Verdana" w:hAnsi="Verdana" w:cs="Arial"/>
          <w:b/>
          <w:i/>
          <w:iCs/>
          <w:sz w:val="18"/>
          <w:szCs w:val="18"/>
        </w:rPr>
      </w:pPr>
      <w:r w:rsidRPr="000C7CFA">
        <w:rPr>
          <w:rFonts w:ascii="Verdana" w:hAnsi="Verdana"/>
          <w:b/>
          <w:i/>
          <w:iCs/>
          <w:sz w:val="18"/>
          <w:szCs w:val="18"/>
        </w:rPr>
        <w:t>Discuss</w:t>
      </w:r>
      <w:r w:rsidRPr="000C7CFA">
        <w:rPr>
          <w:rFonts w:ascii="Verdana" w:hAnsi="Verdana" w:cs="Arial"/>
          <w:b/>
          <w:i/>
          <w:iCs/>
          <w:sz w:val="18"/>
          <w:szCs w:val="18"/>
        </w:rPr>
        <w:t>ion</w:t>
      </w:r>
    </w:p>
    <w:p w14:paraId="48E15DC4" w14:textId="77777777" w:rsidR="00831D87" w:rsidRPr="000C7CFA" w:rsidRDefault="00831D87" w:rsidP="00831D87">
      <w:pPr>
        <w:spacing w:after="0"/>
        <w:rPr>
          <w:rFonts w:ascii="Verdana" w:hAnsi="Verdana" w:cs="Arial"/>
          <w:iCs/>
          <w:sz w:val="18"/>
          <w:szCs w:val="18"/>
        </w:rPr>
      </w:pPr>
    </w:p>
    <w:p w14:paraId="08D6FED3" w14:textId="77777777" w:rsidR="00831D87" w:rsidRPr="000C7CFA" w:rsidRDefault="00831D87" w:rsidP="00831D87">
      <w:pPr>
        <w:pStyle w:val="BodyText"/>
        <w:rPr>
          <w:rFonts w:ascii="Verdana" w:hAnsi="Verdana"/>
          <w:sz w:val="18"/>
          <w:szCs w:val="18"/>
        </w:rPr>
      </w:pPr>
      <w:r w:rsidRPr="000C7CFA">
        <w:rPr>
          <w:rFonts w:ascii="Verdana" w:hAnsi="Verdana"/>
          <w:sz w:val="18"/>
          <w:szCs w:val="18"/>
        </w:rPr>
        <w:t xml:space="preserve">The study was conducted (partly) in accordance with OECD TG 222, but did not investigate behaviour, feeding activity or reproductive effects. Cow manure was used as the source of organic carbon, rather than the recommended </w:t>
      </w:r>
      <w:r w:rsidRPr="000C7CFA">
        <w:rPr>
          <w:rFonts w:ascii="Verdana" w:hAnsi="Verdana" w:cs="Arial"/>
          <w:i/>
          <w:iCs/>
          <w:sz w:val="18"/>
          <w:szCs w:val="18"/>
        </w:rPr>
        <w:t>Sphagnum</w:t>
      </w:r>
      <w:r w:rsidRPr="000C7CFA">
        <w:rPr>
          <w:rFonts w:ascii="Verdana" w:hAnsi="Verdana" w:cs="Arial"/>
          <w:iCs/>
          <w:sz w:val="18"/>
          <w:szCs w:val="18"/>
        </w:rPr>
        <w:t xml:space="preserve"> peat. </w:t>
      </w:r>
      <w:r w:rsidRPr="000C7CFA">
        <w:rPr>
          <w:rFonts w:ascii="Verdana" w:hAnsi="Verdana"/>
          <w:sz w:val="18"/>
          <w:szCs w:val="18"/>
        </w:rPr>
        <w:t>As Dechlorane Plus has a high log K</w:t>
      </w:r>
      <w:r w:rsidRPr="000C7CFA">
        <w:rPr>
          <w:rFonts w:ascii="Verdana" w:hAnsi="Verdana"/>
          <w:sz w:val="18"/>
          <w:szCs w:val="18"/>
          <w:vertAlign w:val="subscript"/>
        </w:rPr>
        <w:t>OW</w:t>
      </w:r>
      <w:r w:rsidRPr="000C7CFA">
        <w:rPr>
          <w:rFonts w:ascii="Verdana" w:hAnsi="Verdana"/>
          <w:sz w:val="18"/>
          <w:szCs w:val="18"/>
        </w:rPr>
        <w:t xml:space="preserve"> and low water solubility, adsorption to high levels of organic matter in the manure substrate could potentially have affected bioavailability, which might explain the limited dose-response relationship observed for most biomarker end points. No correction for organic carbon content was undertaken. In addition, no toxic standard/reference compound (normally carbendazim or benomyl) was included, so the suitability and sensitivity of the test system used cannot be verified. OECD TG 222 also recommends at least five test concentrations and four replicates per treatment (eight for the control). Instead, this study used four test concentrations and three replicates each, including controls. Although variance </w:t>
      </w:r>
      <w:r w:rsidRPr="000C7CFA">
        <w:rPr>
          <w:rFonts w:ascii="Verdana" w:hAnsi="Verdana"/>
          <w:sz w:val="18"/>
          <w:szCs w:val="18"/>
        </w:rPr>
        <w:lastRenderedPageBreak/>
        <w:t>in the controls and treatment groups appeared low, the relevance of this deviation to the robustness of the statistical observations is unclear.</w:t>
      </w:r>
    </w:p>
    <w:p w14:paraId="3AFA973B" w14:textId="09FCE5EF" w:rsidR="00831D87" w:rsidRPr="000C7CFA" w:rsidRDefault="00831D87" w:rsidP="00831D87">
      <w:pPr>
        <w:pStyle w:val="BodyText"/>
        <w:rPr>
          <w:rFonts w:ascii="Verdana" w:hAnsi="Verdana"/>
          <w:iCs/>
          <w:sz w:val="18"/>
          <w:szCs w:val="18"/>
        </w:rPr>
      </w:pPr>
      <w:r w:rsidRPr="000C7CFA">
        <w:rPr>
          <w:rFonts w:ascii="Verdana" w:hAnsi="Verdana" w:cs="Arial"/>
          <w:iCs/>
          <w:sz w:val="18"/>
          <w:szCs w:val="18"/>
        </w:rPr>
        <w:t xml:space="preserve">Based on earthworm body weight and mortality, there were no statistically significant effects at any </w:t>
      </w:r>
      <w:r w:rsidRPr="000C7CFA">
        <w:rPr>
          <w:rFonts w:ascii="Verdana" w:hAnsi="Verdana"/>
          <w:sz w:val="18"/>
          <w:szCs w:val="18"/>
        </w:rPr>
        <w:t>test</w:t>
      </w:r>
      <w:r w:rsidRPr="000C7CFA">
        <w:rPr>
          <w:rFonts w:ascii="Verdana" w:hAnsi="Verdana" w:cs="Arial"/>
          <w:iCs/>
          <w:sz w:val="18"/>
          <w:szCs w:val="18"/>
        </w:rPr>
        <w:t xml:space="preserve"> concentration over 28 days. </w:t>
      </w:r>
      <w:r w:rsidRPr="000C7CFA">
        <w:rPr>
          <w:rFonts w:ascii="Verdana" w:hAnsi="Verdana"/>
          <w:iCs/>
          <w:sz w:val="18"/>
          <w:szCs w:val="18"/>
        </w:rPr>
        <w:t>The</w:t>
      </w:r>
      <w:r w:rsidRPr="000C7CFA">
        <w:rPr>
          <w:rFonts w:ascii="Verdana" w:hAnsi="Verdana"/>
          <w:color w:val="000000"/>
          <w:sz w:val="18"/>
          <w:szCs w:val="18"/>
        </w:rPr>
        <w:t xml:space="preserve"> 28-d LC</w:t>
      </w:r>
      <w:r w:rsidRPr="000C7CFA">
        <w:rPr>
          <w:rFonts w:ascii="Verdana" w:hAnsi="Verdana"/>
          <w:color w:val="000000"/>
          <w:sz w:val="18"/>
          <w:szCs w:val="18"/>
          <w:vertAlign w:val="subscript"/>
        </w:rPr>
        <w:t>50</w:t>
      </w:r>
      <w:r w:rsidRPr="000C7CFA">
        <w:rPr>
          <w:rFonts w:ascii="Verdana" w:hAnsi="Verdana"/>
          <w:color w:val="000000"/>
          <w:sz w:val="18"/>
          <w:szCs w:val="18"/>
        </w:rPr>
        <w:t xml:space="preserve"> is &gt;</w:t>
      </w:r>
      <w:r w:rsidR="0060361F" w:rsidRPr="000C7CFA">
        <w:rPr>
          <w:rFonts w:ascii="Verdana" w:hAnsi="Verdana"/>
          <w:color w:val="000000"/>
          <w:sz w:val="18"/>
          <w:szCs w:val="18"/>
        </w:rPr>
        <w:t>12.5 </w:t>
      </w:r>
      <w:r w:rsidRPr="000C7CFA">
        <w:rPr>
          <w:rFonts w:ascii="Verdana" w:hAnsi="Verdana"/>
          <w:color w:val="000000"/>
          <w:sz w:val="18"/>
          <w:szCs w:val="18"/>
        </w:rPr>
        <w:t xml:space="preserve">mg/kg </w:t>
      </w:r>
      <w:proofErr w:type="gramStart"/>
      <w:r w:rsidRPr="000C7CFA">
        <w:rPr>
          <w:rFonts w:ascii="Verdana" w:hAnsi="Verdana"/>
          <w:color w:val="000000"/>
          <w:sz w:val="18"/>
          <w:szCs w:val="18"/>
        </w:rPr>
        <w:t>dw</w:t>
      </w:r>
      <w:proofErr w:type="gramEnd"/>
      <w:r w:rsidRPr="000C7CFA">
        <w:rPr>
          <w:rFonts w:ascii="Verdana" w:hAnsi="Verdana"/>
          <w:color w:val="000000"/>
          <w:sz w:val="18"/>
          <w:szCs w:val="18"/>
        </w:rPr>
        <w:t xml:space="preserve"> and the 28-d NOEC for mortality and body weight is ≥</w:t>
      </w:r>
      <w:r w:rsidRPr="000C7CFA">
        <w:rPr>
          <w:rFonts w:ascii="Verdana" w:hAnsi="Verdana" w:cs="Arial"/>
          <w:iCs/>
          <w:sz w:val="18"/>
          <w:szCs w:val="18"/>
        </w:rPr>
        <w:t>1</w:t>
      </w:r>
      <w:r w:rsidRPr="000C7CFA">
        <w:rPr>
          <w:rFonts w:ascii="Verdana" w:hAnsi="Verdana"/>
          <w:iCs/>
          <w:sz w:val="18"/>
          <w:szCs w:val="18"/>
        </w:rPr>
        <w:t>2.5 mg</w:t>
      </w:r>
      <w:r w:rsidRPr="000C7CFA">
        <w:rPr>
          <w:rFonts w:ascii="Verdana" w:hAnsi="Verdana" w:cs="Arial"/>
          <w:iCs/>
          <w:sz w:val="18"/>
          <w:szCs w:val="18"/>
        </w:rPr>
        <w:t xml:space="preserve">/kg dw.  </w:t>
      </w:r>
    </w:p>
    <w:p w14:paraId="3A887D36" w14:textId="77777777" w:rsidR="00831D87" w:rsidRPr="000C7CFA" w:rsidRDefault="00831D87" w:rsidP="00831D87">
      <w:pPr>
        <w:pStyle w:val="BodyText"/>
        <w:rPr>
          <w:rFonts w:ascii="Verdana" w:hAnsi="Verdana"/>
          <w:iCs/>
          <w:sz w:val="18"/>
          <w:szCs w:val="18"/>
        </w:rPr>
      </w:pPr>
      <w:r w:rsidRPr="000C7CFA">
        <w:rPr>
          <w:rFonts w:ascii="Verdana" w:hAnsi="Verdana"/>
          <w:iCs/>
          <w:sz w:val="18"/>
          <w:szCs w:val="18"/>
        </w:rPr>
        <w:t>Dechlorane Plus</w:t>
      </w:r>
      <w:r w:rsidRPr="000C7CFA">
        <w:rPr>
          <w:rFonts w:ascii="Verdana" w:hAnsi="Verdana" w:cs="Arial"/>
          <w:iCs/>
          <w:sz w:val="18"/>
          <w:szCs w:val="18"/>
        </w:rPr>
        <w:t xml:space="preserve"> exposure did induce some statistically significant changes in the activities of </w:t>
      </w:r>
      <w:r w:rsidRPr="000C7CFA">
        <w:rPr>
          <w:rFonts w:ascii="Verdana" w:hAnsi="Verdana"/>
          <w:iCs/>
          <w:sz w:val="18"/>
          <w:szCs w:val="18"/>
        </w:rPr>
        <w:t>e</w:t>
      </w:r>
      <w:r w:rsidRPr="000C7CFA">
        <w:rPr>
          <w:rFonts w:ascii="Verdana" w:hAnsi="Verdana" w:cs="Arial"/>
          <w:iCs/>
          <w:sz w:val="18"/>
          <w:szCs w:val="18"/>
        </w:rPr>
        <w:t>nzyme levels potentially</w:t>
      </w:r>
      <w:r w:rsidRPr="000C7CFA">
        <w:rPr>
          <w:rFonts w:ascii="Verdana" w:hAnsi="Verdana"/>
          <w:iCs/>
          <w:sz w:val="18"/>
          <w:szCs w:val="18"/>
        </w:rPr>
        <w:t xml:space="preserve"> associated with</w:t>
      </w:r>
      <w:r w:rsidRPr="000C7CFA">
        <w:rPr>
          <w:rFonts w:ascii="Verdana" w:hAnsi="Verdana" w:cs="Arial"/>
          <w:iCs/>
          <w:sz w:val="18"/>
          <w:szCs w:val="18"/>
        </w:rPr>
        <w:t xml:space="preserve"> oxidative damage.  Given that some of these effects were inconsistent and not always strongly related to increasing concentration</w:t>
      </w:r>
      <w:r w:rsidRPr="000C7CFA">
        <w:rPr>
          <w:rFonts w:ascii="Verdana" w:hAnsi="Verdana"/>
          <w:iCs/>
          <w:sz w:val="18"/>
          <w:szCs w:val="18"/>
        </w:rPr>
        <w:t>,</w:t>
      </w:r>
      <w:r w:rsidRPr="000C7CFA">
        <w:rPr>
          <w:rFonts w:ascii="Verdana" w:hAnsi="Verdana" w:cs="Arial"/>
          <w:iCs/>
          <w:sz w:val="18"/>
          <w:szCs w:val="18"/>
        </w:rPr>
        <w:t xml:space="preserve"> their biological and ecological relevance is unclear. </w:t>
      </w:r>
      <w:r w:rsidRPr="000C7CFA">
        <w:rPr>
          <w:rFonts w:ascii="Verdana" w:hAnsi="Verdana"/>
          <w:iCs/>
          <w:sz w:val="18"/>
          <w:szCs w:val="18"/>
        </w:rPr>
        <w:t>Changes in</w:t>
      </w:r>
      <w:r w:rsidRPr="000C7CFA">
        <w:rPr>
          <w:rFonts w:ascii="Verdana" w:hAnsi="Verdana" w:cs="Arial"/>
          <w:iCs/>
          <w:sz w:val="18"/>
          <w:szCs w:val="18"/>
        </w:rPr>
        <w:t xml:space="preserve"> AChE activity</w:t>
      </w:r>
      <w:r w:rsidRPr="000C7CFA">
        <w:rPr>
          <w:rFonts w:ascii="Verdana" w:hAnsi="Verdana"/>
          <w:iCs/>
          <w:sz w:val="18"/>
          <w:szCs w:val="18"/>
        </w:rPr>
        <w:t xml:space="preserve"> occurred </w:t>
      </w:r>
      <w:r w:rsidRPr="000C7CFA">
        <w:rPr>
          <w:rFonts w:ascii="Verdana" w:hAnsi="Verdana" w:cs="Arial"/>
          <w:iCs/>
          <w:sz w:val="18"/>
          <w:szCs w:val="18"/>
        </w:rPr>
        <w:t xml:space="preserve">even at the lowest </w:t>
      </w:r>
      <w:r w:rsidRPr="000C7CFA">
        <w:rPr>
          <w:rFonts w:ascii="Verdana" w:hAnsi="Verdana"/>
          <w:iCs/>
          <w:sz w:val="18"/>
          <w:szCs w:val="18"/>
        </w:rPr>
        <w:t>test</w:t>
      </w:r>
      <w:r w:rsidRPr="000C7CFA">
        <w:rPr>
          <w:rFonts w:ascii="Verdana" w:hAnsi="Verdana" w:cs="Arial"/>
          <w:iCs/>
          <w:sz w:val="18"/>
          <w:szCs w:val="18"/>
        </w:rPr>
        <w:t xml:space="preserve"> concentration (0.1 mg/kg</w:t>
      </w:r>
      <w:r w:rsidRPr="000C7CFA">
        <w:rPr>
          <w:rFonts w:ascii="Verdana" w:hAnsi="Verdana"/>
          <w:iCs/>
          <w:sz w:val="18"/>
          <w:szCs w:val="18"/>
        </w:rPr>
        <w:t xml:space="preserve"> </w:t>
      </w:r>
      <w:proofErr w:type="gramStart"/>
      <w:r w:rsidRPr="000C7CFA">
        <w:rPr>
          <w:rFonts w:ascii="Verdana" w:hAnsi="Verdana"/>
          <w:iCs/>
          <w:sz w:val="18"/>
          <w:szCs w:val="18"/>
        </w:rPr>
        <w:t>dw</w:t>
      </w:r>
      <w:proofErr w:type="gramEnd"/>
      <w:r w:rsidRPr="000C7CFA">
        <w:rPr>
          <w:rFonts w:ascii="Verdana" w:hAnsi="Verdana" w:cs="Arial"/>
          <w:iCs/>
          <w:sz w:val="18"/>
          <w:szCs w:val="18"/>
        </w:rPr>
        <w:t>) and in a more concentration</w:t>
      </w:r>
      <w:r w:rsidRPr="000C7CFA">
        <w:rPr>
          <w:rFonts w:ascii="Verdana" w:hAnsi="Verdana"/>
          <w:iCs/>
          <w:sz w:val="18"/>
          <w:szCs w:val="18"/>
        </w:rPr>
        <w:t>-</w:t>
      </w:r>
      <w:r w:rsidRPr="000C7CFA">
        <w:rPr>
          <w:rFonts w:ascii="Verdana" w:hAnsi="Verdana" w:cs="Arial"/>
          <w:iCs/>
          <w:sz w:val="18"/>
          <w:szCs w:val="18"/>
        </w:rPr>
        <w:t>dependant manner; similarly there were also statistically significant increases in indicators of DNA damage. However</w:t>
      </w:r>
      <w:r w:rsidRPr="000C7CFA">
        <w:rPr>
          <w:rFonts w:ascii="Verdana" w:hAnsi="Verdana"/>
          <w:iCs/>
          <w:sz w:val="18"/>
          <w:szCs w:val="18"/>
        </w:rPr>
        <w:t xml:space="preserve">, </w:t>
      </w:r>
      <w:r w:rsidRPr="000C7CFA">
        <w:rPr>
          <w:rFonts w:ascii="Verdana" w:hAnsi="Verdana" w:cs="Arial"/>
          <w:iCs/>
          <w:sz w:val="18"/>
          <w:szCs w:val="18"/>
        </w:rPr>
        <w:t xml:space="preserve">the biological significance of these effect is also unclear.  </w:t>
      </w:r>
    </w:p>
    <w:p w14:paraId="21386519" w14:textId="77777777" w:rsidR="00831D87" w:rsidRPr="000C7CFA" w:rsidRDefault="00831D87" w:rsidP="00831D87">
      <w:pPr>
        <w:pStyle w:val="BodyText"/>
        <w:rPr>
          <w:rFonts w:ascii="Verdana" w:hAnsi="Verdana"/>
          <w:iCs/>
          <w:sz w:val="18"/>
          <w:szCs w:val="18"/>
        </w:rPr>
      </w:pPr>
      <w:r w:rsidRPr="000C7CFA">
        <w:rPr>
          <w:rFonts w:ascii="Verdana" w:hAnsi="Verdana" w:cs="Arial"/>
          <w:iCs/>
          <w:sz w:val="18"/>
          <w:szCs w:val="18"/>
        </w:rPr>
        <w:t>The overall NOEC for these</w:t>
      </w:r>
      <w:r w:rsidRPr="000C7CFA">
        <w:rPr>
          <w:rFonts w:ascii="Verdana" w:hAnsi="Verdana"/>
          <w:iCs/>
          <w:sz w:val="18"/>
          <w:szCs w:val="18"/>
        </w:rPr>
        <w:t xml:space="preserve"> biomarker</w:t>
      </w:r>
      <w:r w:rsidRPr="000C7CFA">
        <w:rPr>
          <w:rFonts w:ascii="Verdana" w:hAnsi="Verdana" w:cs="Arial"/>
          <w:iCs/>
          <w:sz w:val="18"/>
          <w:szCs w:val="18"/>
        </w:rPr>
        <w:t xml:space="preserve"> effects would be &lt;0.1 mg/kg </w:t>
      </w:r>
      <w:proofErr w:type="gramStart"/>
      <w:r w:rsidRPr="000C7CFA">
        <w:rPr>
          <w:rFonts w:ascii="Verdana" w:hAnsi="Verdana" w:cs="Arial"/>
          <w:iCs/>
          <w:sz w:val="18"/>
          <w:szCs w:val="18"/>
        </w:rPr>
        <w:t>dw</w:t>
      </w:r>
      <w:proofErr w:type="gramEnd"/>
      <w:r w:rsidRPr="000C7CFA">
        <w:rPr>
          <w:rFonts w:ascii="Verdana" w:hAnsi="Verdana" w:cs="Arial"/>
          <w:iCs/>
          <w:sz w:val="18"/>
          <w:szCs w:val="18"/>
        </w:rPr>
        <w:t>. Whilst the</w:t>
      </w:r>
      <w:r w:rsidRPr="000C7CFA">
        <w:rPr>
          <w:rFonts w:ascii="Verdana" w:hAnsi="Verdana"/>
          <w:iCs/>
          <w:sz w:val="18"/>
          <w:szCs w:val="18"/>
        </w:rPr>
        <w:t xml:space="preserve">y may suggest some </w:t>
      </w:r>
      <w:r w:rsidRPr="000C7CFA">
        <w:rPr>
          <w:rFonts w:ascii="Verdana" w:hAnsi="Verdana" w:cs="Arial"/>
          <w:iCs/>
          <w:sz w:val="18"/>
          <w:szCs w:val="18"/>
        </w:rPr>
        <w:t>potential</w:t>
      </w:r>
      <w:r w:rsidRPr="000C7CFA">
        <w:rPr>
          <w:rFonts w:ascii="Verdana" w:hAnsi="Verdana"/>
          <w:iCs/>
          <w:sz w:val="18"/>
          <w:szCs w:val="18"/>
        </w:rPr>
        <w:t xml:space="preserve"> for</w:t>
      </w:r>
      <w:r w:rsidRPr="000C7CFA">
        <w:rPr>
          <w:rFonts w:ascii="Verdana" w:hAnsi="Verdana" w:cs="Arial"/>
          <w:iCs/>
          <w:sz w:val="18"/>
          <w:szCs w:val="18"/>
        </w:rPr>
        <w:t xml:space="preserve"> adverse </w:t>
      </w:r>
      <w:r w:rsidRPr="000C7CFA">
        <w:rPr>
          <w:rFonts w:ascii="Verdana" w:hAnsi="Verdana"/>
          <w:iCs/>
          <w:sz w:val="18"/>
          <w:szCs w:val="18"/>
        </w:rPr>
        <w:t xml:space="preserve">apical </w:t>
      </w:r>
      <w:r w:rsidRPr="000C7CFA">
        <w:rPr>
          <w:rFonts w:ascii="Verdana" w:hAnsi="Verdana" w:cs="Arial"/>
          <w:iCs/>
          <w:sz w:val="18"/>
          <w:szCs w:val="18"/>
        </w:rPr>
        <w:t>effects, without clear mechanistic links, the true impact of these observations on earthworm</w:t>
      </w:r>
      <w:r w:rsidRPr="000C7CFA">
        <w:rPr>
          <w:rFonts w:ascii="Verdana" w:hAnsi="Verdana"/>
          <w:iCs/>
          <w:sz w:val="18"/>
          <w:szCs w:val="18"/>
        </w:rPr>
        <w:t xml:space="preserve"> population</w:t>
      </w:r>
      <w:r w:rsidRPr="000C7CFA">
        <w:rPr>
          <w:rFonts w:ascii="Verdana" w:hAnsi="Verdana" w:cs="Arial"/>
          <w:iCs/>
          <w:sz w:val="18"/>
          <w:szCs w:val="18"/>
        </w:rPr>
        <w:t>s remains uncertain.</w:t>
      </w:r>
      <w:r w:rsidRPr="000C7CFA">
        <w:rPr>
          <w:rFonts w:ascii="Verdana" w:hAnsi="Verdana"/>
          <w:iCs/>
          <w:sz w:val="18"/>
          <w:szCs w:val="18"/>
        </w:rPr>
        <w:t xml:space="preserve"> </w:t>
      </w:r>
      <w:r w:rsidRPr="000C7CFA">
        <w:rPr>
          <w:rFonts w:ascii="Verdana" w:hAnsi="Verdana" w:cs="Arial"/>
          <w:iCs/>
          <w:sz w:val="18"/>
          <w:szCs w:val="18"/>
        </w:rPr>
        <w:t>If there had been measurements of effects on earthworm feeding, behaviour and movement, as normally undertaken under OECD</w:t>
      </w:r>
      <w:r w:rsidRPr="000C7CFA">
        <w:rPr>
          <w:rFonts w:ascii="Verdana" w:hAnsi="Verdana"/>
          <w:iCs/>
          <w:sz w:val="18"/>
          <w:szCs w:val="18"/>
        </w:rPr>
        <w:t xml:space="preserve"> TG</w:t>
      </w:r>
      <w:r w:rsidRPr="000C7CFA">
        <w:rPr>
          <w:rFonts w:ascii="Verdana" w:hAnsi="Verdana" w:cs="Arial"/>
          <w:iCs/>
          <w:sz w:val="18"/>
          <w:szCs w:val="18"/>
        </w:rPr>
        <w:t xml:space="preserve"> 222, the importance of </w:t>
      </w:r>
      <w:r w:rsidRPr="000C7CFA">
        <w:rPr>
          <w:rFonts w:ascii="Verdana" w:hAnsi="Verdana"/>
          <w:iCs/>
          <w:sz w:val="18"/>
          <w:szCs w:val="18"/>
        </w:rPr>
        <w:t xml:space="preserve">changes such as </w:t>
      </w:r>
      <w:r w:rsidRPr="000C7CFA">
        <w:rPr>
          <w:rFonts w:ascii="Verdana" w:hAnsi="Verdana" w:cs="Arial"/>
          <w:iCs/>
          <w:sz w:val="18"/>
          <w:szCs w:val="18"/>
        </w:rPr>
        <w:t xml:space="preserve">reductions in AChE activity might have been more apparent.  </w:t>
      </w:r>
    </w:p>
    <w:p w14:paraId="0B8B39D1" w14:textId="6147C3BC" w:rsidR="00831D87" w:rsidRPr="000C7CFA" w:rsidRDefault="00831D87" w:rsidP="00831D87">
      <w:pPr>
        <w:spacing w:after="0"/>
        <w:jc w:val="both"/>
        <w:rPr>
          <w:rFonts w:ascii="Verdana" w:hAnsi="Verdana" w:cs="Arial"/>
          <w:iCs/>
          <w:sz w:val="18"/>
          <w:szCs w:val="18"/>
        </w:rPr>
      </w:pPr>
      <w:r w:rsidRPr="000C7CFA">
        <w:rPr>
          <w:rFonts w:ascii="Verdana" w:hAnsi="Verdana" w:cs="Arial"/>
          <w:iCs/>
          <w:sz w:val="18"/>
          <w:szCs w:val="18"/>
        </w:rPr>
        <w:t xml:space="preserve">Whilst the study </w:t>
      </w:r>
      <w:r w:rsidRPr="000C7CFA">
        <w:rPr>
          <w:rFonts w:ascii="Verdana" w:hAnsi="Verdana"/>
          <w:iCs/>
          <w:sz w:val="18"/>
          <w:szCs w:val="18"/>
        </w:rPr>
        <w:t xml:space="preserve">is considered </w:t>
      </w:r>
      <w:r w:rsidR="00294709" w:rsidRPr="000C7CFA">
        <w:rPr>
          <w:rFonts w:ascii="Verdana" w:hAnsi="Verdana"/>
          <w:iCs/>
          <w:sz w:val="18"/>
          <w:szCs w:val="18"/>
        </w:rPr>
        <w:t xml:space="preserve">by </w:t>
      </w:r>
      <w:r w:rsidR="00294709" w:rsidRPr="000C7CFA">
        <w:rPr>
          <w:rFonts w:ascii="Verdana" w:hAnsi="Verdana"/>
          <w:sz w:val="18"/>
          <w:szCs w:val="18"/>
        </w:rPr>
        <w:t xml:space="preserve">the DS </w:t>
      </w:r>
      <w:r w:rsidRPr="000C7CFA">
        <w:rPr>
          <w:rFonts w:ascii="Verdana" w:hAnsi="Verdana"/>
          <w:iCs/>
          <w:sz w:val="18"/>
          <w:szCs w:val="18"/>
        </w:rPr>
        <w:t>to be reliable with restrictions because</w:t>
      </w:r>
      <w:r w:rsidRPr="000C7CFA">
        <w:rPr>
          <w:rFonts w:ascii="Verdana" w:hAnsi="Verdana" w:cs="Arial"/>
          <w:iCs/>
          <w:sz w:val="18"/>
          <w:szCs w:val="18"/>
        </w:rPr>
        <w:t xml:space="preserve"> it appears to have been well performed and reported (although lacking GLP), </w:t>
      </w:r>
      <w:r w:rsidRPr="000C7CFA">
        <w:rPr>
          <w:rFonts w:ascii="Verdana" w:hAnsi="Verdana"/>
          <w:iCs/>
          <w:sz w:val="18"/>
          <w:szCs w:val="18"/>
        </w:rPr>
        <w:t>t</w:t>
      </w:r>
      <w:r w:rsidRPr="000C7CFA">
        <w:rPr>
          <w:rFonts w:ascii="Verdana" w:hAnsi="Verdana" w:cs="Arial"/>
          <w:iCs/>
          <w:sz w:val="18"/>
          <w:szCs w:val="18"/>
        </w:rPr>
        <w:t>he results</w:t>
      </w:r>
      <w:r w:rsidRPr="000C7CFA">
        <w:rPr>
          <w:rFonts w:ascii="Verdana" w:hAnsi="Verdana"/>
          <w:iCs/>
          <w:sz w:val="18"/>
          <w:szCs w:val="18"/>
        </w:rPr>
        <w:t xml:space="preserve"> are of limited use due to </w:t>
      </w:r>
      <w:r w:rsidRPr="000C7CFA">
        <w:rPr>
          <w:rFonts w:ascii="Verdana" w:hAnsi="Verdana" w:cs="Arial"/>
          <w:iCs/>
          <w:sz w:val="18"/>
          <w:szCs w:val="18"/>
        </w:rPr>
        <w:t xml:space="preserve">the deviations from </w:t>
      </w:r>
      <w:r w:rsidRPr="000C7CFA">
        <w:rPr>
          <w:rFonts w:ascii="Verdana" w:hAnsi="Verdana"/>
          <w:iCs/>
          <w:sz w:val="18"/>
          <w:szCs w:val="18"/>
        </w:rPr>
        <w:t>the</w:t>
      </w:r>
      <w:r w:rsidRPr="000C7CFA">
        <w:rPr>
          <w:rFonts w:ascii="Verdana" w:hAnsi="Verdana" w:cs="Arial"/>
          <w:iCs/>
          <w:sz w:val="18"/>
          <w:szCs w:val="18"/>
        </w:rPr>
        <w:t xml:space="preserve"> standard chronic earthworm test guideline and uncertain relevance of the b</w:t>
      </w:r>
      <w:r w:rsidRPr="000C7CFA">
        <w:rPr>
          <w:rFonts w:ascii="Verdana" w:hAnsi="Verdana"/>
          <w:iCs/>
          <w:sz w:val="18"/>
          <w:szCs w:val="18"/>
        </w:rPr>
        <w:t>iomarker effects seen</w:t>
      </w:r>
      <w:r w:rsidRPr="000C7CFA">
        <w:rPr>
          <w:rFonts w:ascii="Verdana" w:hAnsi="Verdana" w:cs="Arial"/>
          <w:iCs/>
          <w:sz w:val="18"/>
          <w:szCs w:val="18"/>
        </w:rPr>
        <w:t>.</w:t>
      </w:r>
    </w:p>
    <w:p w14:paraId="33CF3279" w14:textId="77777777" w:rsidR="00E52EAF" w:rsidRPr="000C7CFA" w:rsidRDefault="00E52EAF" w:rsidP="00E52EAF">
      <w:pPr>
        <w:autoSpaceDE w:val="0"/>
        <w:autoSpaceDN w:val="0"/>
        <w:adjustRightInd w:val="0"/>
        <w:spacing w:after="0"/>
        <w:rPr>
          <w:rFonts w:ascii="Verdana" w:hAnsi="Verdana" w:cs="KHDBL D+ Gulliver"/>
          <w:color w:val="000000"/>
          <w:sz w:val="18"/>
          <w:szCs w:val="18"/>
          <w:lang w:val="en-GB" w:eastAsia="en-GB"/>
        </w:rPr>
      </w:pPr>
    </w:p>
    <w:p w14:paraId="6D3706D7" w14:textId="77777777" w:rsidR="00831D87" w:rsidRPr="000C7CFA" w:rsidRDefault="00831D87" w:rsidP="00A459A9">
      <w:pPr>
        <w:pStyle w:val="BodyText"/>
        <w:keepNext/>
        <w:tabs>
          <w:tab w:val="left" w:pos="2905"/>
        </w:tabs>
        <w:rPr>
          <w:rFonts w:ascii="Verdana" w:hAnsi="Verdana"/>
          <w:color w:val="000000"/>
          <w:sz w:val="18"/>
          <w:szCs w:val="18"/>
        </w:rPr>
      </w:pPr>
    </w:p>
    <w:p w14:paraId="7EBC5BDF" w14:textId="1A12B1C4" w:rsidR="00A459A9" w:rsidRPr="000C7CFA" w:rsidRDefault="00831D87" w:rsidP="00A459A9">
      <w:pPr>
        <w:pStyle w:val="BodyText"/>
        <w:keepNext/>
        <w:tabs>
          <w:tab w:val="left" w:pos="2905"/>
        </w:tabs>
        <w:rPr>
          <w:rFonts w:ascii="Verdana" w:hAnsi="Verdana"/>
          <w:b/>
          <w:i/>
          <w:sz w:val="18"/>
          <w:szCs w:val="18"/>
        </w:rPr>
      </w:pPr>
      <w:r w:rsidRPr="000C7CFA">
        <w:rPr>
          <w:rFonts w:ascii="Verdana" w:hAnsi="Verdana"/>
          <w:b/>
          <w:i/>
          <w:sz w:val="18"/>
          <w:szCs w:val="18"/>
        </w:rPr>
        <w:t>Overview of soil toxicity data</w:t>
      </w:r>
    </w:p>
    <w:p w14:paraId="1B1D84A2" w14:textId="24CE8F53" w:rsidR="00A459A9" w:rsidRPr="000C7CFA" w:rsidRDefault="00AA3971" w:rsidP="00A459A9">
      <w:pPr>
        <w:pStyle w:val="BodyText"/>
        <w:rPr>
          <w:rFonts w:ascii="Verdana" w:hAnsi="Verdana"/>
          <w:sz w:val="18"/>
          <w:szCs w:val="18"/>
        </w:rPr>
      </w:pPr>
      <w:r w:rsidRPr="000C7CFA">
        <w:rPr>
          <w:rFonts w:ascii="Verdana" w:hAnsi="Verdana"/>
          <w:sz w:val="18"/>
          <w:szCs w:val="18"/>
        </w:rPr>
        <w:t>Dechlorane Plus</w:t>
      </w:r>
      <w:r w:rsidR="00A459A9" w:rsidRPr="000C7CFA">
        <w:rPr>
          <w:rFonts w:ascii="Verdana" w:hAnsi="Verdana"/>
          <w:sz w:val="18"/>
          <w:szCs w:val="18"/>
        </w:rPr>
        <w:t xml:space="preserve"> is expected to have a high affinity for organic carbon (see Section 3.2) and soil is likely to be an important compartment for </w:t>
      </w:r>
      <w:r w:rsidR="00555709" w:rsidRPr="000C7CFA">
        <w:rPr>
          <w:rFonts w:ascii="Verdana" w:hAnsi="Verdana"/>
          <w:sz w:val="18"/>
          <w:szCs w:val="18"/>
        </w:rPr>
        <w:t>its</w:t>
      </w:r>
      <w:r w:rsidR="00A459A9" w:rsidRPr="000C7CFA">
        <w:rPr>
          <w:rFonts w:ascii="Verdana" w:hAnsi="Verdana"/>
          <w:sz w:val="18"/>
          <w:szCs w:val="18"/>
        </w:rPr>
        <w:t xml:space="preserve"> environmental fate. The waiver put forward by the </w:t>
      </w:r>
      <w:r w:rsidR="007666BB" w:rsidRPr="000C7CFA">
        <w:rPr>
          <w:rFonts w:ascii="Verdana" w:hAnsi="Verdana"/>
          <w:sz w:val="18"/>
          <w:szCs w:val="18"/>
        </w:rPr>
        <w:t>Registrant</w:t>
      </w:r>
      <w:r w:rsidR="00A459A9" w:rsidRPr="000C7CFA">
        <w:rPr>
          <w:rFonts w:ascii="Verdana" w:hAnsi="Verdana"/>
          <w:sz w:val="18"/>
          <w:szCs w:val="18"/>
        </w:rPr>
        <w:t xml:space="preserve"> is not considered to be </w:t>
      </w:r>
      <w:r w:rsidR="00555709" w:rsidRPr="000C7CFA">
        <w:rPr>
          <w:rFonts w:ascii="Verdana" w:hAnsi="Verdana"/>
          <w:sz w:val="18"/>
          <w:szCs w:val="18"/>
        </w:rPr>
        <w:t>appropriate</w:t>
      </w:r>
      <w:r w:rsidR="00A459A9" w:rsidRPr="000C7CFA">
        <w:rPr>
          <w:rFonts w:ascii="Verdana" w:hAnsi="Verdana"/>
          <w:sz w:val="18"/>
          <w:szCs w:val="18"/>
        </w:rPr>
        <w:t xml:space="preserve"> because it is not </w:t>
      </w:r>
      <w:r w:rsidR="00555709" w:rsidRPr="000C7CFA">
        <w:rPr>
          <w:rFonts w:ascii="Verdana" w:hAnsi="Verdana"/>
          <w:sz w:val="18"/>
          <w:szCs w:val="18"/>
        </w:rPr>
        <w:t>relevant</w:t>
      </w:r>
      <w:r w:rsidR="00A459A9" w:rsidRPr="000C7CFA">
        <w:rPr>
          <w:rFonts w:ascii="Verdana" w:hAnsi="Verdana"/>
          <w:sz w:val="18"/>
          <w:szCs w:val="18"/>
        </w:rPr>
        <w:t xml:space="preserve"> to discount terrestrial toxicity studies based on low water solubility, the</w:t>
      </w:r>
      <w:r w:rsidR="00555709" w:rsidRPr="000C7CFA">
        <w:rPr>
          <w:rFonts w:ascii="Verdana" w:hAnsi="Verdana"/>
          <w:sz w:val="18"/>
          <w:szCs w:val="18"/>
        </w:rPr>
        <w:t>re are no reliable chronic</w:t>
      </w:r>
      <w:r w:rsidR="00A459A9" w:rsidRPr="000C7CFA">
        <w:rPr>
          <w:rFonts w:ascii="Verdana" w:hAnsi="Verdana"/>
          <w:sz w:val="18"/>
          <w:szCs w:val="18"/>
        </w:rPr>
        <w:t xml:space="preserve"> fish aquatic toxicity studies</w:t>
      </w:r>
      <w:r w:rsidR="00555709" w:rsidRPr="000C7CFA">
        <w:rPr>
          <w:rFonts w:ascii="Verdana" w:hAnsi="Verdana"/>
          <w:sz w:val="18"/>
          <w:szCs w:val="18"/>
        </w:rPr>
        <w:t xml:space="preserve"> involving dietary exposure</w:t>
      </w:r>
      <w:r w:rsidR="00A459A9" w:rsidRPr="000C7CFA">
        <w:rPr>
          <w:rFonts w:ascii="Verdana" w:hAnsi="Verdana"/>
          <w:sz w:val="18"/>
          <w:szCs w:val="18"/>
        </w:rPr>
        <w:t xml:space="preserve"> and the substance </w:t>
      </w:r>
      <w:r w:rsidR="00831D87" w:rsidRPr="000C7CFA">
        <w:rPr>
          <w:rFonts w:ascii="Verdana" w:hAnsi="Verdana"/>
          <w:sz w:val="18"/>
          <w:szCs w:val="18"/>
        </w:rPr>
        <w:t>can</w:t>
      </w:r>
      <w:r w:rsidR="00A459A9" w:rsidRPr="000C7CFA">
        <w:rPr>
          <w:rFonts w:ascii="Verdana" w:hAnsi="Verdana"/>
          <w:sz w:val="18"/>
          <w:szCs w:val="18"/>
        </w:rPr>
        <w:t xml:space="preserve"> bioaccumulate. </w:t>
      </w:r>
      <w:r w:rsidR="0099543E" w:rsidRPr="000C7CFA">
        <w:rPr>
          <w:rFonts w:ascii="Verdana" w:hAnsi="Verdana"/>
          <w:sz w:val="18"/>
          <w:szCs w:val="18"/>
        </w:rPr>
        <w:t>In addition, the molecular</w:t>
      </w:r>
      <w:r w:rsidR="00831D87" w:rsidRPr="000C7CFA">
        <w:rPr>
          <w:rFonts w:ascii="Verdana" w:hAnsi="Verdana"/>
          <w:sz w:val="18"/>
          <w:szCs w:val="18"/>
        </w:rPr>
        <w:t xml:space="preserve"> and biomarker</w:t>
      </w:r>
      <w:r w:rsidR="0099543E" w:rsidRPr="000C7CFA">
        <w:rPr>
          <w:rFonts w:ascii="Verdana" w:hAnsi="Verdana"/>
          <w:sz w:val="18"/>
          <w:szCs w:val="18"/>
        </w:rPr>
        <w:t xml:space="preserve"> end points measured by </w:t>
      </w:r>
      <w:r w:rsidR="0099543E" w:rsidRPr="000C7CFA">
        <w:rPr>
          <w:rFonts w:ascii="Verdana" w:hAnsi="Verdana"/>
          <w:color w:val="000000"/>
          <w:sz w:val="18"/>
          <w:szCs w:val="18"/>
        </w:rPr>
        <w:t xml:space="preserve">Zhang </w:t>
      </w:r>
      <w:r w:rsidR="0099543E" w:rsidRPr="000C7CFA">
        <w:rPr>
          <w:rFonts w:ascii="Verdana" w:hAnsi="Verdana"/>
          <w:i/>
          <w:color w:val="000000"/>
          <w:sz w:val="18"/>
          <w:szCs w:val="18"/>
        </w:rPr>
        <w:t>et al</w:t>
      </w:r>
      <w:r w:rsidR="0099543E" w:rsidRPr="000C7CFA">
        <w:rPr>
          <w:rFonts w:ascii="Verdana" w:hAnsi="Verdana"/>
          <w:color w:val="000000"/>
          <w:sz w:val="18"/>
          <w:szCs w:val="18"/>
        </w:rPr>
        <w:t xml:space="preserve">. (2014) </w:t>
      </w:r>
      <w:r w:rsidR="00831D87" w:rsidRPr="000C7CFA">
        <w:rPr>
          <w:rFonts w:ascii="Verdana" w:hAnsi="Verdana"/>
          <w:color w:val="000000"/>
          <w:sz w:val="18"/>
          <w:szCs w:val="18"/>
        </w:rPr>
        <w:t xml:space="preserve">and Yang </w:t>
      </w:r>
      <w:r w:rsidR="00831D87" w:rsidRPr="000C7CFA">
        <w:rPr>
          <w:rFonts w:ascii="Verdana" w:hAnsi="Verdana"/>
          <w:i/>
          <w:color w:val="000000"/>
          <w:sz w:val="18"/>
          <w:szCs w:val="18"/>
        </w:rPr>
        <w:t>et al</w:t>
      </w:r>
      <w:r w:rsidR="00831D87" w:rsidRPr="000C7CFA">
        <w:rPr>
          <w:rFonts w:ascii="Verdana" w:hAnsi="Verdana"/>
          <w:color w:val="000000"/>
          <w:sz w:val="18"/>
          <w:szCs w:val="18"/>
        </w:rPr>
        <w:t xml:space="preserve">. (2014) </w:t>
      </w:r>
      <w:r w:rsidR="0099543E" w:rsidRPr="000C7CFA">
        <w:rPr>
          <w:rFonts w:ascii="Verdana" w:hAnsi="Verdana"/>
          <w:color w:val="000000"/>
          <w:sz w:val="18"/>
          <w:szCs w:val="18"/>
        </w:rPr>
        <w:t xml:space="preserve">following 14 </w:t>
      </w:r>
      <w:r w:rsidR="00831D87" w:rsidRPr="000C7CFA">
        <w:rPr>
          <w:rFonts w:ascii="Verdana" w:hAnsi="Verdana"/>
          <w:color w:val="000000"/>
          <w:sz w:val="18"/>
          <w:szCs w:val="18"/>
        </w:rPr>
        <w:t xml:space="preserve">and 28 </w:t>
      </w:r>
      <w:r w:rsidR="0099543E" w:rsidRPr="000C7CFA">
        <w:rPr>
          <w:rFonts w:ascii="Verdana" w:hAnsi="Verdana"/>
          <w:color w:val="000000"/>
          <w:sz w:val="18"/>
          <w:szCs w:val="18"/>
        </w:rPr>
        <w:t>days’ exposure</w:t>
      </w:r>
      <w:r w:rsidR="00831D87" w:rsidRPr="000C7CFA">
        <w:rPr>
          <w:rFonts w:ascii="Verdana" w:hAnsi="Verdana"/>
          <w:color w:val="000000"/>
          <w:sz w:val="18"/>
          <w:szCs w:val="18"/>
        </w:rPr>
        <w:t>, respectively,</w:t>
      </w:r>
      <w:r w:rsidR="0099543E" w:rsidRPr="000C7CFA">
        <w:rPr>
          <w:rFonts w:ascii="Verdana" w:hAnsi="Verdana"/>
          <w:color w:val="000000"/>
          <w:sz w:val="18"/>
          <w:szCs w:val="18"/>
        </w:rPr>
        <w:t xml:space="preserve"> imply that effects over the longer term cannot be excluded in earthworms.</w:t>
      </w:r>
    </w:p>
    <w:p w14:paraId="3492228D" w14:textId="786F2CC2" w:rsidR="002F6E31" w:rsidRPr="000C7CFA" w:rsidRDefault="002F6E31" w:rsidP="002F6E31">
      <w:pPr>
        <w:pStyle w:val="Default"/>
        <w:spacing w:after="120"/>
        <w:jc w:val="both"/>
        <w:rPr>
          <w:rFonts w:ascii="Verdana" w:hAnsi="Verdana"/>
          <w:sz w:val="18"/>
          <w:szCs w:val="18"/>
        </w:rPr>
      </w:pPr>
      <w:r w:rsidRPr="000C7CFA">
        <w:rPr>
          <w:rFonts w:ascii="Verdana" w:hAnsi="Verdana"/>
          <w:sz w:val="18"/>
          <w:szCs w:val="18"/>
        </w:rPr>
        <w:t>Due to the lack of reliable information on Dechlorane Plus itself, Government of Canada (2016) adopted a read-across approach using chronic soil organism toxicity test data for chlordane and mirex to screen for soil hazards. The conclusion was that Dechlorane Plus has the potential to cause effects to soil organisms such as earthworms and insects at low concentrations. However, this is a very worst case approach, especially as the analogues were pesticides (i.e. it assumes that Dechlorane Plus has the same mode of action) and the structural similarity to mirex in particular is weak</w:t>
      </w:r>
      <w:r w:rsidR="00061464" w:rsidRPr="000C7CFA">
        <w:rPr>
          <w:rFonts w:ascii="Verdana" w:hAnsi="Verdana"/>
          <w:sz w:val="18"/>
          <w:szCs w:val="18"/>
        </w:rPr>
        <w:t xml:space="preserve"> (as discussed in the footnote in Section 1.4 of the </w:t>
      </w:r>
      <w:r w:rsidR="00FC761E" w:rsidRPr="000C7CFA">
        <w:rPr>
          <w:rFonts w:ascii="Verdana" w:hAnsi="Verdana"/>
          <w:sz w:val="18"/>
          <w:szCs w:val="18"/>
        </w:rPr>
        <w:t>main report</w:t>
      </w:r>
      <w:r w:rsidR="00061464" w:rsidRPr="000C7CFA">
        <w:rPr>
          <w:rFonts w:ascii="Verdana" w:hAnsi="Verdana"/>
          <w:sz w:val="18"/>
          <w:szCs w:val="18"/>
        </w:rPr>
        <w:t xml:space="preserve">, mirex is not a </w:t>
      </w:r>
      <w:r w:rsidR="0060361F" w:rsidRPr="000C7CFA">
        <w:rPr>
          <w:rFonts w:ascii="Verdana" w:hAnsi="Verdana"/>
          <w:sz w:val="18"/>
          <w:szCs w:val="18"/>
        </w:rPr>
        <w:t>suitable</w:t>
      </w:r>
      <w:r w:rsidR="00061464" w:rsidRPr="000C7CFA">
        <w:rPr>
          <w:rFonts w:ascii="Verdana" w:hAnsi="Verdana"/>
          <w:sz w:val="18"/>
          <w:szCs w:val="18"/>
        </w:rPr>
        <w:t xml:space="preserve"> analogue of Dechlorane Plus)</w:t>
      </w:r>
      <w:r w:rsidRPr="000C7CFA">
        <w:rPr>
          <w:rFonts w:ascii="Verdana" w:hAnsi="Verdana"/>
          <w:sz w:val="18"/>
          <w:szCs w:val="18"/>
        </w:rPr>
        <w:t xml:space="preserve">. The ECHA Read </w:t>
      </w:r>
      <w:proofErr w:type="gramStart"/>
      <w:r w:rsidRPr="000C7CFA">
        <w:rPr>
          <w:rFonts w:ascii="Verdana" w:hAnsi="Verdana"/>
          <w:sz w:val="18"/>
          <w:szCs w:val="18"/>
        </w:rPr>
        <w:t>Across</w:t>
      </w:r>
      <w:proofErr w:type="gramEnd"/>
      <w:r w:rsidRPr="000C7CFA">
        <w:rPr>
          <w:rFonts w:ascii="Verdana" w:hAnsi="Verdana"/>
          <w:sz w:val="18"/>
          <w:szCs w:val="18"/>
        </w:rPr>
        <w:t xml:space="preserve"> Assessment Framework outlines a number of steps that need to be considered (such as bioavailability</w:t>
      </w:r>
      <w:r w:rsidR="00061464" w:rsidRPr="000C7CFA">
        <w:rPr>
          <w:rFonts w:ascii="Verdana" w:hAnsi="Verdana"/>
          <w:sz w:val="18"/>
          <w:szCs w:val="18"/>
        </w:rPr>
        <w:t>, mode of action, etc.</w:t>
      </w:r>
      <w:r w:rsidRPr="000C7CFA">
        <w:rPr>
          <w:rFonts w:ascii="Verdana" w:hAnsi="Verdana"/>
          <w:sz w:val="18"/>
          <w:szCs w:val="18"/>
        </w:rPr>
        <w:t>), which were not part of the Canadian assessment. Whilst acceptable for screening purposes, it is not appropriate to assume this information presents a realistic level of toxicity for Dechlorane Plus.</w:t>
      </w:r>
    </w:p>
    <w:p w14:paraId="5675EFD3" w14:textId="18D6E921" w:rsidR="00E23497" w:rsidRPr="000C7CFA" w:rsidRDefault="00831D87" w:rsidP="00795AF6">
      <w:pPr>
        <w:pStyle w:val="BodyText"/>
        <w:rPr>
          <w:rFonts w:ascii="Verdana" w:hAnsi="Verdana"/>
          <w:sz w:val="18"/>
          <w:szCs w:val="18"/>
        </w:rPr>
      </w:pPr>
      <w:r w:rsidRPr="000C7CFA">
        <w:rPr>
          <w:rFonts w:ascii="Verdana" w:hAnsi="Verdana"/>
          <w:sz w:val="18"/>
          <w:szCs w:val="18"/>
        </w:rPr>
        <w:t>Further investigation of</w:t>
      </w:r>
      <w:r w:rsidR="00BA0ECA" w:rsidRPr="000C7CFA">
        <w:rPr>
          <w:rFonts w:ascii="Verdana" w:hAnsi="Verdana"/>
          <w:sz w:val="18"/>
          <w:szCs w:val="18"/>
        </w:rPr>
        <w:t xml:space="preserve"> long-term terrestrial toxicity study with worms could be considered, for which an OECD TG 222: Earthworm Reproduction Test (</w:t>
      </w:r>
      <w:r w:rsidR="00BA0ECA" w:rsidRPr="000C7CFA">
        <w:rPr>
          <w:rFonts w:ascii="Verdana" w:hAnsi="Verdana"/>
          <w:i/>
          <w:sz w:val="18"/>
          <w:szCs w:val="18"/>
        </w:rPr>
        <w:t>Eisenia fetida/Eisenia andrei</w:t>
      </w:r>
      <w:r w:rsidR="00BA0ECA" w:rsidRPr="000C7CFA">
        <w:rPr>
          <w:rFonts w:ascii="Verdana" w:hAnsi="Verdana"/>
          <w:sz w:val="18"/>
          <w:szCs w:val="18"/>
        </w:rPr>
        <w:t>) test method would be most appropriate.</w:t>
      </w:r>
    </w:p>
    <w:p w14:paraId="057E5B9B" w14:textId="6ADA2240" w:rsidR="0089163D" w:rsidRPr="000C7CFA" w:rsidRDefault="00BA0ECA" w:rsidP="0089163D">
      <w:pPr>
        <w:pStyle w:val="Heading2"/>
        <w:rPr>
          <w:rFonts w:ascii="Verdana" w:hAnsi="Verdana"/>
          <w:sz w:val="18"/>
          <w:szCs w:val="18"/>
        </w:rPr>
      </w:pPr>
      <w:bookmarkStart w:id="133" w:name="_Toc265765562"/>
      <w:bookmarkStart w:id="134" w:name="_Toc491862793"/>
      <w:r w:rsidRPr="000C7CFA">
        <w:rPr>
          <w:rFonts w:ascii="Verdana" w:hAnsi="Verdana"/>
          <w:sz w:val="18"/>
          <w:szCs w:val="18"/>
        </w:rPr>
        <w:t>Atmospheric compartment</w:t>
      </w:r>
      <w:bookmarkEnd w:id="133"/>
      <w:bookmarkEnd w:id="134"/>
    </w:p>
    <w:p w14:paraId="5B8CF6A4" w14:textId="005E3718" w:rsidR="008F6AC7" w:rsidRPr="000C7CFA" w:rsidRDefault="00BA0ECA" w:rsidP="00795AF6">
      <w:pPr>
        <w:pStyle w:val="BodyText"/>
        <w:rPr>
          <w:rFonts w:ascii="Verdana" w:hAnsi="Verdana"/>
          <w:sz w:val="18"/>
          <w:szCs w:val="18"/>
        </w:rPr>
      </w:pPr>
      <w:r w:rsidRPr="000C7CFA">
        <w:rPr>
          <w:rFonts w:ascii="Verdana" w:hAnsi="Verdana"/>
          <w:sz w:val="18"/>
          <w:szCs w:val="18"/>
        </w:rPr>
        <w:t>No data assessing effects in the atmospheric compartment are included in the</w:t>
      </w:r>
      <w:r w:rsidR="006E6BE9" w:rsidRPr="000C7CFA">
        <w:rPr>
          <w:rFonts w:ascii="Verdana" w:hAnsi="Verdana"/>
          <w:sz w:val="18"/>
          <w:szCs w:val="18"/>
        </w:rPr>
        <w:t xml:space="preserve"> registration dossier</w:t>
      </w:r>
      <w:r w:rsidRPr="000C7CFA">
        <w:rPr>
          <w:rFonts w:ascii="Verdana" w:hAnsi="Verdana"/>
          <w:sz w:val="18"/>
          <w:szCs w:val="18"/>
        </w:rPr>
        <w:t xml:space="preserve"> by the </w:t>
      </w:r>
      <w:r w:rsidR="007666BB" w:rsidRPr="000C7CFA">
        <w:rPr>
          <w:rFonts w:ascii="Verdana" w:hAnsi="Verdana"/>
          <w:sz w:val="18"/>
          <w:szCs w:val="18"/>
        </w:rPr>
        <w:t>Registrant</w:t>
      </w:r>
      <w:r w:rsidRPr="000C7CFA">
        <w:rPr>
          <w:rFonts w:ascii="Verdana" w:hAnsi="Verdana"/>
          <w:sz w:val="18"/>
          <w:szCs w:val="18"/>
        </w:rPr>
        <w:t xml:space="preserve">. </w:t>
      </w:r>
    </w:p>
    <w:p w14:paraId="49DEC74C" w14:textId="77777777" w:rsidR="00DE4EB1" w:rsidRPr="000C7CFA" w:rsidRDefault="00DE4EB1" w:rsidP="00DE4EB1">
      <w:pPr>
        <w:pStyle w:val="BodyText"/>
        <w:keepNext/>
        <w:tabs>
          <w:tab w:val="left" w:pos="2905"/>
        </w:tabs>
        <w:rPr>
          <w:rFonts w:ascii="Verdana" w:hAnsi="Verdana"/>
          <w:b/>
          <w:i/>
          <w:sz w:val="18"/>
          <w:szCs w:val="18"/>
        </w:rPr>
      </w:pPr>
      <w:r w:rsidRPr="000C7CFA">
        <w:rPr>
          <w:rFonts w:ascii="Verdana" w:hAnsi="Verdana"/>
          <w:b/>
          <w:i/>
          <w:sz w:val="18"/>
          <w:szCs w:val="18"/>
        </w:rPr>
        <w:lastRenderedPageBreak/>
        <w:t>Discussion</w:t>
      </w:r>
    </w:p>
    <w:p w14:paraId="029080A9" w14:textId="2800F70E" w:rsidR="008F6AC7" w:rsidRPr="000C7CFA" w:rsidRDefault="00BA0ECA" w:rsidP="00795AF6">
      <w:pPr>
        <w:pStyle w:val="BodyText"/>
        <w:rPr>
          <w:rFonts w:ascii="Verdana" w:hAnsi="Verdana"/>
          <w:sz w:val="18"/>
          <w:szCs w:val="18"/>
        </w:rPr>
      </w:pPr>
      <w:r w:rsidRPr="000C7CFA">
        <w:rPr>
          <w:rFonts w:ascii="Verdana" w:hAnsi="Verdana"/>
          <w:sz w:val="18"/>
          <w:szCs w:val="18"/>
        </w:rPr>
        <w:t xml:space="preserve">The substance is not considered to have the potential to cause adverse effects in the atmospheric compartment because only </w:t>
      </w:r>
      <w:r w:rsidR="004F6E5F" w:rsidRPr="000C7CFA">
        <w:rPr>
          <w:rFonts w:ascii="Verdana" w:hAnsi="Verdana"/>
          <w:bCs/>
          <w:color w:val="000000"/>
          <w:sz w:val="18"/>
          <w:szCs w:val="18"/>
          <w:lang w:eastAsia="en-GB"/>
        </w:rPr>
        <w:t>9×10</w:t>
      </w:r>
      <w:r w:rsidR="004F6E5F" w:rsidRPr="000C7CFA">
        <w:rPr>
          <w:rFonts w:ascii="Verdana" w:hAnsi="Verdana"/>
          <w:bCs/>
          <w:color w:val="000000"/>
          <w:sz w:val="18"/>
          <w:szCs w:val="18"/>
          <w:vertAlign w:val="superscript"/>
          <w:lang w:eastAsia="en-GB"/>
        </w:rPr>
        <w:t>-</w:t>
      </w:r>
      <w:r w:rsidR="00AF7606" w:rsidRPr="000C7CFA">
        <w:rPr>
          <w:rFonts w:ascii="Verdana" w:hAnsi="Verdana"/>
          <w:bCs/>
          <w:color w:val="000000"/>
          <w:sz w:val="18"/>
          <w:szCs w:val="18"/>
          <w:vertAlign w:val="superscript"/>
          <w:lang w:eastAsia="en-GB"/>
        </w:rPr>
        <w:t xml:space="preserve">5 </w:t>
      </w:r>
      <w:r w:rsidR="00AF7606" w:rsidRPr="000C7CFA">
        <w:rPr>
          <w:rFonts w:ascii="Verdana" w:hAnsi="Verdana"/>
          <w:bCs/>
          <w:color w:val="000000"/>
          <w:sz w:val="18"/>
          <w:szCs w:val="18"/>
          <w:lang w:eastAsia="en-GB"/>
        </w:rPr>
        <w:t>%</w:t>
      </w:r>
      <w:r w:rsidR="004F6E5F" w:rsidRPr="000C7CFA">
        <w:rPr>
          <w:rFonts w:ascii="Verdana" w:hAnsi="Verdana"/>
          <w:bCs/>
          <w:color w:val="000000"/>
          <w:sz w:val="18"/>
          <w:szCs w:val="18"/>
          <w:lang w:eastAsia="en-GB"/>
        </w:rPr>
        <w:t xml:space="preserve"> to 4×10</w:t>
      </w:r>
      <w:r w:rsidR="004F6E5F" w:rsidRPr="000C7CFA">
        <w:rPr>
          <w:rFonts w:ascii="Verdana" w:hAnsi="Verdana"/>
          <w:bCs/>
          <w:color w:val="000000"/>
          <w:sz w:val="18"/>
          <w:szCs w:val="18"/>
          <w:vertAlign w:val="superscript"/>
          <w:lang w:eastAsia="en-GB"/>
        </w:rPr>
        <w:t>-</w:t>
      </w:r>
      <w:r w:rsidR="00AF7606" w:rsidRPr="000C7CFA">
        <w:rPr>
          <w:rFonts w:ascii="Verdana" w:hAnsi="Verdana"/>
          <w:bCs/>
          <w:color w:val="000000"/>
          <w:sz w:val="18"/>
          <w:szCs w:val="18"/>
          <w:vertAlign w:val="superscript"/>
          <w:lang w:eastAsia="en-GB"/>
        </w:rPr>
        <w:t xml:space="preserve">3 </w:t>
      </w:r>
      <w:r w:rsidR="00AF7606" w:rsidRPr="000C7CFA">
        <w:rPr>
          <w:rFonts w:ascii="Verdana" w:hAnsi="Verdana"/>
          <w:bCs/>
          <w:color w:val="000000"/>
          <w:sz w:val="18"/>
          <w:szCs w:val="18"/>
          <w:lang w:eastAsia="en-GB"/>
        </w:rPr>
        <w:t>%</w:t>
      </w:r>
      <w:r w:rsidR="00294709" w:rsidRPr="000C7CFA">
        <w:rPr>
          <w:rFonts w:ascii="Verdana" w:hAnsi="Verdana"/>
          <w:bCs/>
          <w:color w:val="000000"/>
          <w:sz w:val="18"/>
          <w:szCs w:val="18"/>
          <w:vertAlign w:val="superscript"/>
          <w:lang w:eastAsia="en-GB"/>
        </w:rPr>
        <w:t xml:space="preserve"> </w:t>
      </w:r>
      <w:r w:rsidRPr="000C7CFA">
        <w:rPr>
          <w:rFonts w:ascii="Verdana" w:hAnsi="Verdana"/>
          <w:bCs/>
          <w:color w:val="000000"/>
          <w:sz w:val="18"/>
          <w:szCs w:val="18"/>
          <w:lang w:eastAsia="en-GB"/>
        </w:rPr>
        <w:t>of Dechlorane Plus is predicted to end up in the atmosphere (see Section 3.2.3).</w:t>
      </w:r>
    </w:p>
    <w:p w14:paraId="7CA482E5" w14:textId="4ED57CED" w:rsidR="0089163D" w:rsidRPr="000C7CFA" w:rsidRDefault="00BA0ECA" w:rsidP="0089163D">
      <w:pPr>
        <w:pStyle w:val="Heading2"/>
        <w:rPr>
          <w:rFonts w:ascii="Verdana" w:hAnsi="Verdana"/>
          <w:sz w:val="18"/>
          <w:szCs w:val="18"/>
        </w:rPr>
      </w:pPr>
      <w:bookmarkStart w:id="135" w:name="_Toc265765563"/>
      <w:bookmarkStart w:id="136" w:name="_Toc491862794"/>
      <w:r w:rsidRPr="000C7CFA">
        <w:rPr>
          <w:rFonts w:ascii="Verdana" w:hAnsi="Verdana"/>
          <w:sz w:val="18"/>
          <w:szCs w:val="18"/>
        </w:rPr>
        <w:t>Microbiological activity in sewage treatment systems</w:t>
      </w:r>
      <w:bookmarkEnd w:id="135"/>
      <w:bookmarkEnd w:id="136"/>
    </w:p>
    <w:p w14:paraId="4E3E918A" w14:textId="701B4217" w:rsidR="0089163D" w:rsidRPr="000C7CFA" w:rsidRDefault="00BA0ECA" w:rsidP="0089163D">
      <w:pPr>
        <w:pStyle w:val="Heading3"/>
        <w:keepNext w:val="0"/>
        <w:rPr>
          <w:rFonts w:ascii="Verdana" w:hAnsi="Verdana"/>
          <w:sz w:val="18"/>
          <w:szCs w:val="18"/>
        </w:rPr>
      </w:pPr>
      <w:bookmarkStart w:id="137" w:name="_Toc265765564"/>
      <w:bookmarkStart w:id="138" w:name="_Toc491862795"/>
      <w:r w:rsidRPr="000C7CFA">
        <w:rPr>
          <w:rFonts w:ascii="Verdana" w:hAnsi="Verdana"/>
          <w:sz w:val="18"/>
          <w:szCs w:val="18"/>
        </w:rPr>
        <w:t>Toxicity to aquatic micro-organisms</w:t>
      </w:r>
      <w:bookmarkEnd w:id="137"/>
      <w:bookmarkEnd w:id="138"/>
    </w:p>
    <w:p w14:paraId="51623FC3" w14:textId="77777777" w:rsidR="00B31B04" w:rsidRPr="000C7CFA" w:rsidRDefault="00BA0ECA" w:rsidP="00795AF6">
      <w:pPr>
        <w:pStyle w:val="BodyText"/>
        <w:rPr>
          <w:rFonts w:ascii="Verdana" w:hAnsi="Verdana"/>
          <w:sz w:val="18"/>
          <w:szCs w:val="18"/>
        </w:rPr>
      </w:pPr>
      <w:r w:rsidRPr="000C7CFA">
        <w:rPr>
          <w:rFonts w:ascii="Verdana" w:hAnsi="Verdana"/>
          <w:sz w:val="18"/>
          <w:szCs w:val="18"/>
        </w:rPr>
        <w:t xml:space="preserve">Toxicity to aquatic micro-organisms is waived by the </w:t>
      </w:r>
      <w:r w:rsidR="007666BB" w:rsidRPr="000C7CFA">
        <w:rPr>
          <w:rFonts w:ascii="Verdana" w:hAnsi="Verdana"/>
          <w:sz w:val="18"/>
          <w:szCs w:val="18"/>
        </w:rPr>
        <w:t>Registrant</w:t>
      </w:r>
      <w:r w:rsidRPr="000C7CFA">
        <w:rPr>
          <w:rFonts w:ascii="Verdana" w:hAnsi="Verdana"/>
          <w:sz w:val="18"/>
          <w:szCs w:val="18"/>
        </w:rPr>
        <w:t xml:space="preserve"> based on the justification that Dechlorane Plus is highly insoluble in water and is not hazardous.</w:t>
      </w:r>
    </w:p>
    <w:p w14:paraId="4134F382" w14:textId="77777777" w:rsidR="00DE4EB1" w:rsidRPr="000C7CFA" w:rsidRDefault="00DE4EB1" w:rsidP="00DE4EB1">
      <w:pPr>
        <w:pStyle w:val="BodyText"/>
        <w:keepNext/>
        <w:tabs>
          <w:tab w:val="left" w:pos="2905"/>
        </w:tabs>
        <w:rPr>
          <w:rFonts w:ascii="Verdana" w:hAnsi="Verdana"/>
          <w:b/>
          <w:i/>
          <w:sz w:val="18"/>
          <w:szCs w:val="18"/>
        </w:rPr>
      </w:pPr>
      <w:r w:rsidRPr="000C7CFA">
        <w:rPr>
          <w:rFonts w:ascii="Verdana" w:hAnsi="Verdana"/>
          <w:b/>
          <w:i/>
          <w:sz w:val="18"/>
          <w:szCs w:val="18"/>
        </w:rPr>
        <w:t>Discussion</w:t>
      </w:r>
    </w:p>
    <w:p w14:paraId="276E89A3" w14:textId="1F7B46E6" w:rsidR="00B31B04" w:rsidRPr="000C7CFA" w:rsidRDefault="00FE4149" w:rsidP="00532B38">
      <w:pPr>
        <w:pStyle w:val="BodyText"/>
        <w:rPr>
          <w:rFonts w:ascii="Verdana" w:hAnsi="Verdana"/>
          <w:sz w:val="18"/>
          <w:szCs w:val="18"/>
        </w:rPr>
      </w:pPr>
      <w:r w:rsidRPr="000C7CFA">
        <w:rPr>
          <w:rFonts w:ascii="Verdana" w:hAnsi="Verdana"/>
          <w:sz w:val="18"/>
          <w:szCs w:val="18"/>
        </w:rPr>
        <w:t>I</w:t>
      </w:r>
      <w:r w:rsidR="00BA0ECA" w:rsidRPr="000C7CFA">
        <w:rPr>
          <w:rFonts w:ascii="Verdana" w:hAnsi="Verdana"/>
          <w:sz w:val="18"/>
          <w:szCs w:val="18"/>
        </w:rPr>
        <w:t xml:space="preserve">t is not necessary to conduct a toxicity to microorganisms study based on its </w:t>
      </w:r>
      <w:r w:rsidR="00F32AF2" w:rsidRPr="000C7CFA">
        <w:rPr>
          <w:rFonts w:ascii="Verdana" w:hAnsi="Verdana"/>
          <w:sz w:val="18"/>
          <w:szCs w:val="18"/>
        </w:rPr>
        <w:t xml:space="preserve">very </w:t>
      </w:r>
      <w:r w:rsidR="00BA0ECA" w:rsidRPr="000C7CFA">
        <w:rPr>
          <w:rFonts w:ascii="Verdana" w:hAnsi="Verdana"/>
          <w:sz w:val="18"/>
          <w:szCs w:val="18"/>
        </w:rPr>
        <w:t xml:space="preserve">low water solubility and therefore limited bioavailability. Low water solubility is a REACH Annex VIII Column 2 adaptation for this endpoint. </w:t>
      </w:r>
    </w:p>
    <w:p w14:paraId="1DF6BF4D" w14:textId="39C1C489" w:rsidR="00CF2973" w:rsidRPr="000C7CFA" w:rsidRDefault="00CF2973">
      <w:pPr>
        <w:spacing w:after="0"/>
        <w:rPr>
          <w:rFonts w:ascii="Verdana" w:hAnsi="Verdana"/>
          <w:b/>
          <w:sz w:val="18"/>
          <w:szCs w:val="18"/>
          <w:lang w:val="en-GB"/>
        </w:rPr>
      </w:pPr>
      <w:bookmarkStart w:id="139" w:name="_Toc202255586"/>
      <w:bookmarkStart w:id="140" w:name="_Toc265765565"/>
    </w:p>
    <w:p w14:paraId="56A2E9A9" w14:textId="76D914DB" w:rsidR="0089163D" w:rsidRPr="000C7CFA" w:rsidRDefault="00BA0ECA" w:rsidP="0089163D">
      <w:pPr>
        <w:pStyle w:val="Heading2"/>
        <w:keepNext w:val="0"/>
        <w:tabs>
          <w:tab w:val="clear" w:pos="839"/>
          <w:tab w:val="left" w:pos="960"/>
        </w:tabs>
        <w:ind w:left="960" w:hanging="960"/>
        <w:jc w:val="left"/>
        <w:rPr>
          <w:rFonts w:ascii="Verdana" w:hAnsi="Verdana"/>
          <w:sz w:val="18"/>
          <w:szCs w:val="18"/>
        </w:rPr>
      </w:pPr>
      <w:bookmarkStart w:id="141" w:name="_Toc491862796"/>
      <w:r w:rsidRPr="000C7CFA">
        <w:rPr>
          <w:rFonts w:ascii="Verdana" w:hAnsi="Verdana"/>
          <w:sz w:val="18"/>
          <w:szCs w:val="18"/>
        </w:rPr>
        <w:t xml:space="preserve">Non compartment specific effects relevant for the food </w:t>
      </w:r>
      <w:r w:rsidRPr="000C7CFA">
        <w:rPr>
          <w:rFonts w:ascii="Verdana" w:hAnsi="Verdana"/>
          <w:sz w:val="18"/>
          <w:szCs w:val="18"/>
        </w:rPr>
        <w:br/>
        <w:t>chain (secondary poisoning)</w:t>
      </w:r>
      <w:bookmarkEnd w:id="139"/>
      <w:bookmarkEnd w:id="140"/>
      <w:bookmarkEnd w:id="141"/>
    </w:p>
    <w:p w14:paraId="42EAE21E" w14:textId="12362DDD" w:rsidR="0089163D" w:rsidRPr="000C7CFA" w:rsidRDefault="00BA0ECA" w:rsidP="0089163D">
      <w:pPr>
        <w:pStyle w:val="Heading3"/>
        <w:keepNext w:val="0"/>
        <w:tabs>
          <w:tab w:val="clear" w:pos="839"/>
          <w:tab w:val="left" w:pos="960"/>
          <w:tab w:val="num" w:pos="1317"/>
        </w:tabs>
        <w:ind w:left="1317" w:hanging="1317"/>
        <w:rPr>
          <w:rFonts w:ascii="Verdana" w:hAnsi="Verdana"/>
          <w:sz w:val="18"/>
          <w:szCs w:val="18"/>
        </w:rPr>
      </w:pPr>
      <w:bookmarkStart w:id="142" w:name="_Toc202255587"/>
      <w:bookmarkStart w:id="143" w:name="_Toc265765566"/>
      <w:bookmarkStart w:id="144" w:name="_Toc491862797"/>
      <w:r w:rsidRPr="000C7CFA">
        <w:rPr>
          <w:rFonts w:ascii="Verdana" w:hAnsi="Verdana"/>
          <w:sz w:val="18"/>
          <w:szCs w:val="18"/>
        </w:rPr>
        <w:t>Toxicity to birds</w:t>
      </w:r>
      <w:bookmarkEnd w:id="142"/>
      <w:bookmarkEnd w:id="143"/>
      <w:bookmarkEnd w:id="144"/>
    </w:p>
    <w:p w14:paraId="47F17E0D" w14:textId="3D57B547" w:rsidR="00851E14" w:rsidRPr="000C7CFA" w:rsidRDefault="00BA0ECA" w:rsidP="00795AF6">
      <w:pPr>
        <w:pStyle w:val="BodyText"/>
        <w:rPr>
          <w:rFonts w:ascii="Verdana" w:hAnsi="Verdana"/>
          <w:sz w:val="18"/>
          <w:szCs w:val="18"/>
        </w:rPr>
      </w:pPr>
      <w:r w:rsidRPr="000C7CFA">
        <w:rPr>
          <w:rFonts w:ascii="Verdana" w:hAnsi="Verdana"/>
          <w:sz w:val="18"/>
          <w:szCs w:val="18"/>
        </w:rPr>
        <w:t>This is not an Annex IX requirement at the tonnage level of the registered substance and no</w:t>
      </w:r>
      <w:r w:rsidR="001F2938" w:rsidRPr="000C7CFA">
        <w:rPr>
          <w:rFonts w:ascii="Verdana" w:hAnsi="Verdana"/>
          <w:sz w:val="18"/>
          <w:szCs w:val="18"/>
        </w:rPr>
        <w:t xml:space="preserve"> standard regulatory</w:t>
      </w:r>
      <w:r w:rsidRPr="000C7CFA">
        <w:rPr>
          <w:rFonts w:ascii="Verdana" w:hAnsi="Verdana"/>
          <w:sz w:val="18"/>
          <w:szCs w:val="18"/>
        </w:rPr>
        <w:t xml:space="preserve"> data are presented in the</w:t>
      </w:r>
      <w:r w:rsidR="006E6BE9" w:rsidRPr="000C7CFA">
        <w:rPr>
          <w:rFonts w:ascii="Verdana" w:hAnsi="Verdana"/>
          <w:sz w:val="18"/>
          <w:szCs w:val="18"/>
        </w:rPr>
        <w:t xml:space="preserve"> registration dossier</w:t>
      </w:r>
      <w:r w:rsidRPr="000C7CFA">
        <w:rPr>
          <w:rFonts w:ascii="Verdana" w:hAnsi="Verdana"/>
          <w:sz w:val="18"/>
          <w:szCs w:val="18"/>
        </w:rPr>
        <w:t xml:space="preserve"> by the </w:t>
      </w:r>
      <w:r w:rsidR="007666BB" w:rsidRPr="000C7CFA">
        <w:rPr>
          <w:rFonts w:ascii="Verdana" w:hAnsi="Verdana"/>
          <w:sz w:val="18"/>
          <w:szCs w:val="18"/>
        </w:rPr>
        <w:t>Registrant</w:t>
      </w:r>
      <w:r w:rsidRPr="000C7CFA">
        <w:rPr>
          <w:rFonts w:ascii="Verdana" w:hAnsi="Verdana"/>
          <w:sz w:val="18"/>
          <w:szCs w:val="18"/>
        </w:rPr>
        <w:t>.</w:t>
      </w:r>
    </w:p>
    <w:p w14:paraId="6BA8A1C2" w14:textId="1376F0F9" w:rsidR="00854EF0" w:rsidRPr="000C7CFA" w:rsidRDefault="00BA0ECA" w:rsidP="000411B4">
      <w:pPr>
        <w:pStyle w:val="NoSpacing"/>
        <w:spacing w:after="120"/>
        <w:jc w:val="both"/>
        <w:rPr>
          <w:rFonts w:ascii="Verdana" w:hAnsi="Verdana" w:cs="Times New Roman"/>
          <w:color w:val="000000"/>
          <w:sz w:val="18"/>
          <w:szCs w:val="18"/>
        </w:rPr>
      </w:pPr>
      <w:r w:rsidRPr="000C7CFA">
        <w:rPr>
          <w:rFonts w:ascii="Verdana" w:hAnsi="Verdana" w:cs="Times New Roman"/>
          <w:sz w:val="18"/>
          <w:szCs w:val="18"/>
        </w:rPr>
        <w:t>A 90-day bioaccumulation study in Common Quail</w:t>
      </w:r>
      <w:r w:rsidR="00607B38" w:rsidRPr="000C7CFA">
        <w:rPr>
          <w:rFonts w:ascii="Verdana" w:hAnsi="Verdana" w:cs="Times New Roman"/>
          <w:sz w:val="18"/>
          <w:szCs w:val="18"/>
        </w:rPr>
        <w:t xml:space="preserve"> (</w:t>
      </w:r>
      <w:r w:rsidR="00607B38" w:rsidRPr="000C7CFA">
        <w:rPr>
          <w:rFonts w:ascii="Verdana" w:hAnsi="Verdana" w:cs="Times New Roman"/>
          <w:i/>
          <w:sz w:val="18"/>
          <w:szCs w:val="18"/>
        </w:rPr>
        <w:t>Coturnix coturnix</w:t>
      </w:r>
      <w:r w:rsidR="001F2938" w:rsidRPr="000C7CFA">
        <w:rPr>
          <w:rFonts w:ascii="Verdana" w:hAnsi="Verdana" w:cs="Times New Roman"/>
          <w:i/>
          <w:sz w:val="18"/>
          <w:szCs w:val="18"/>
        </w:rPr>
        <w:t xml:space="preserve"> japonica</w:t>
      </w:r>
      <w:r w:rsidR="00607B38" w:rsidRPr="000C7CFA">
        <w:rPr>
          <w:rFonts w:ascii="Verdana" w:hAnsi="Verdana" w:cs="Times New Roman"/>
          <w:sz w:val="18"/>
          <w:szCs w:val="18"/>
        </w:rPr>
        <w:t>)</w:t>
      </w:r>
      <w:r w:rsidR="002C38E6" w:rsidRPr="000C7CFA">
        <w:rPr>
          <w:rFonts w:ascii="Verdana" w:hAnsi="Verdana" w:cs="Times New Roman"/>
          <w:sz w:val="18"/>
          <w:szCs w:val="18"/>
        </w:rPr>
        <w:t xml:space="preserve"> </w:t>
      </w:r>
      <w:r w:rsidR="001F2938" w:rsidRPr="000C7CFA">
        <w:rPr>
          <w:rFonts w:ascii="Verdana" w:hAnsi="Verdana" w:cs="Times New Roman"/>
          <w:sz w:val="18"/>
          <w:szCs w:val="18"/>
        </w:rPr>
        <w:t xml:space="preserve">by </w:t>
      </w:r>
      <w:r w:rsidR="008A27E9" w:rsidRPr="000C7CFA">
        <w:rPr>
          <w:rFonts w:ascii="Verdana" w:hAnsi="Verdana" w:cs="Times New Roman"/>
          <w:sz w:val="18"/>
          <w:szCs w:val="18"/>
          <w:u w:val="single"/>
        </w:rPr>
        <w:t xml:space="preserve">Li </w:t>
      </w:r>
      <w:r w:rsidR="008A27E9" w:rsidRPr="000C7CFA">
        <w:rPr>
          <w:rFonts w:ascii="Verdana" w:hAnsi="Verdana" w:cs="Times New Roman"/>
          <w:i/>
          <w:sz w:val="18"/>
          <w:szCs w:val="18"/>
          <w:u w:val="single"/>
        </w:rPr>
        <w:t>et al</w:t>
      </w:r>
      <w:r w:rsidR="008A27E9" w:rsidRPr="000C7CFA">
        <w:rPr>
          <w:rFonts w:ascii="Verdana" w:hAnsi="Verdana" w:cs="Times New Roman"/>
          <w:sz w:val="18"/>
          <w:szCs w:val="18"/>
          <w:u w:val="single"/>
        </w:rPr>
        <w:t>.</w:t>
      </w:r>
      <w:r w:rsidR="001F2938" w:rsidRPr="000C7CFA">
        <w:rPr>
          <w:rFonts w:ascii="Verdana" w:hAnsi="Verdana" w:cs="Times New Roman"/>
          <w:sz w:val="18"/>
          <w:szCs w:val="18"/>
          <w:u w:val="single"/>
        </w:rPr>
        <w:t xml:space="preserve"> (</w:t>
      </w:r>
      <w:r w:rsidR="008A27E9" w:rsidRPr="000C7CFA">
        <w:rPr>
          <w:rFonts w:ascii="Verdana" w:hAnsi="Verdana" w:cs="Times New Roman"/>
          <w:sz w:val="18"/>
          <w:szCs w:val="18"/>
          <w:u w:val="single"/>
        </w:rPr>
        <w:t>2013</w:t>
      </w:r>
      <w:r w:rsidR="006956C8" w:rsidRPr="000C7CFA">
        <w:rPr>
          <w:rFonts w:ascii="Verdana" w:hAnsi="Verdana" w:cs="Times New Roman"/>
          <w:sz w:val="18"/>
          <w:szCs w:val="18"/>
          <w:u w:val="single"/>
        </w:rPr>
        <w:t>a</w:t>
      </w:r>
      <w:r w:rsidRPr="000C7CFA">
        <w:rPr>
          <w:rFonts w:ascii="Verdana" w:hAnsi="Verdana" w:cs="Times New Roman"/>
          <w:sz w:val="18"/>
          <w:szCs w:val="18"/>
          <w:u w:val="single"/>
        </w:rPr>
        <w:t>)</w:t>
      </w:r>
      <w:r w:rsidR="00125C56" w:rsidRPr="000C7CFA">
        <w:rPr>
          <w:rFonts w:ascii="Verdana" w:hAnsi="Verdana" w:cs="Times New Roman"/>
          <w:sz w:val="18"/>
          <w:szCs w:val="18"/>
        </w:rPr>
        <w:t xml:space="preserve"> </w:t>
      </w:r>
      <w:r w:rsidR="001F2938" w:rsidRPr="000C7CFA">
        <w:rPr>
          <w:rFonts w:ascii="Verdana" w:hAnsi="Verdana" w:cs="Times New Roman"/>
          <w:sz w:val="18"/>
          <w:szCs w:val="18"/>
        </w:rPr>
        <w:t>included some measures of sub-chronic toxicity</w:t>
      </w:r>
      <w:r w:rsidR="00B56E91" w:rsidRPr="000C7CFA">
        <w:rPr>
          <w:rFonts w:ascii="Verdana" w:hAnsi="Verdana" w:cs="Times New Roman"/>
          <w:sz w:val="18"/>
          <w:szCs w:val="18"/>
        </w:rPr>
        <w:t xml:space="preserve"> (this study is also discussed in Section 3.4.2.1)</w:t>
      </w:r>
      <w:r w:rsidR="001F2938" w:rsidRPr="000C7CFA">
        <w:rPr>
          <w:rFonts w:ascii="Verdana" w:hAnsi="Verdana" w:cs="Times New Roman"/>
          <w:sz w:val="18"/>
          <w:szCs w:val="18"/>
        </w:rPr>
        <w:t xml:space="preserve">. </w:t>
      </w:r>
      <w:r w:rsidR="001F2938" w:rsidRPr="000C7CFA">
        <w:rPr>
          <w:rFonts w:ascii="Verdana" w:hAnsi="Verdana" w:cs="Times New Roman"/>
          <w:color w:val="000000"/>
          <w:sz w:val="18"/>
          <w:szCs w:val="18"/>
        </w:rPr>
        <w:t xml:space="preserve">A total of 60 male </w:t>
      </w:r>
      <w:r w:rsidR="00854EF0" w:rsidRPr="000C7CFA">
        <w:rPr>
          <w:rFonts w:ascii="Verdana" w:hAnsi="Verdana" w:cs="Times New Roman"/>
          <w:color w:val="000000"/>
          <w:sz w:val="18"/>
          <w:szCs w:val="18"/>
        </w:rPr>
        <w:t>birds</w:t>
      </w:r>
      <w:r w:rsidR="001F2938" w:rsidRPr="000C7CFA">
        <w:rPr>
          <w:rFonts w:ascii="Verdana" w:hAnsi="Verdana" w:cs="Times New Roman"/>
          <w:color w:val="000000"/>
          <w:sz w:val="18"/>
          <w:szCs w:val="18"/>
        </w:rPr>
        <w:t xml:space="preserve"> (6-8 weeks of age, with an average weight of 125 g) were acclimatised individually in suspended, unattached cages in a mass air-displacement room at 20-26</w:t>
      </w:r>
      <w:r w:rsidR="00854EF0" w:rsidRPr="000C7CFA">
        <w:rPr>
          <w:rFonts w:ascii="Verdana" w:hAnsi="Verdana" w:cs="Times New Roman"/>
          <w:color w:val="000000"/>
          <w:sz w:val="18"/>
          <w:szCs w:val="18"/>
        </w:rPr>
        <w:t> </w:t>
      </w:r>
      <w:r w:rsidR="001F2938" w:rsidRPr="000C7CFA">
        <w:rPr>
          <w:rFonts w:ascii="Verdana" w:hAnsi="Verdana" w:cs="Times New Roman"/>
          <w:color w:val="000000"/>
          <w:sz w:val="18"/>
          <w:szCs w:val="18"/>
        </w:rPr>
        <w:t xml:space="preserve">°C for 14 days. They were then randomly separated into four treatment groups </w:t>
      </w:r>
      <w:r w:rsidR="00854EF0" w:rsidRPr="000C7CFA">
        <w:rPr>
          <w:rFonts w:ascii="Verdana" w:hAnsi="Verdana" w:cs="Times New Roman"/>
          <w:color w:val="000000"/>
          <w:sz w:val="18"/>
          <w:szCs w:val="18"/>
        </w:rPr>
        <w:t xml:space="preserve">(15 males/group) </w:t>
      </w:r>
      <w:r w:rsidR="001F2938" w:rsidRPr="000C7CFA">
        <w:rPr>
          <w:rFonts w:ascii="Verdana" w:hAnsi="Verdana" w:cs="Times New Roman"/>
          <w:color w:val="000000"/>
          <w:sz w:val="18"/>
          <w:szCs w:val="18"/>
        </w:rPr>
        <w:t xml:space="preserve">and orally administered </w:t>
      </w:r>
      <w:r w:rsidR="00854EF0" w:rsidRPr="000C7CFA">
        <w:rPr>
          <w:rFonts w:ascii="Verdana" w:hAnsi="Verdana" w:cs="Times New Roman"/>
          <w:color w:val="000000"/>
          <w:sz w:val="18"/>
          <w:szCs w:val="18"/>
        </w:rPr>
        <w:t>the commercial substance (purity ≥ 9</w:t>
      </w:r>
      <w:r w:rsidR="00AF7606" w:rsidRPr="000C7CFA">
        <w:rPr>
          <w:rFonts w:ascii="Verdana" w:hAnsi="Verdana" w:cs="Times New Roman"/>
          <w:color w:val="000000"/>
          <w:sz w:val="18"/>
          <w:szCs w:val="18"/>
        </w:rPr>
        <w:t>9 %</w:t>
      </w:r>
      <w:r w:rsidR="00854EF0" w:rsidRPr="000C7CFA">
        <w:rPr>
          <w:rFonts w:ascii="Verdana" w:hAnsi="Verdana" w:cs="Times New Roman"/>
          <w:color w:val="000000"/>
          <w:sz w:val="18"/>
          <w:szCs w:val="18"/>
        </w:rPr>
        <w:t xml:space="preserve"> w/w) dissolved in corn oil by gavage at nominal doses of 0, 1, 10 and 100 mg/kg bw/d for 90 days. </w:t>
      </w:r>
      <w:r w:rsidR="001F2938" w:rsidRPr="000C7CFA">
        <w:rPr>
          <w:rFonts w:ascii="Verdana" w:hAnsi="Verdana" w:cs="Times New Roman"/>
          <w:color w:val="000000"/>
          <w:sz w:val="18"/>
          <w:szCs w:val="18"/>
        </w:rPr>
        <w:t xml:space="preserve">All </w:t>
      </w:r>
      <w:r w:rsidR="00854EF0" w:rsidRPr="000C7CFA">
        <w:rPr>
          <w:rFonts w:ascii="Verdana" w:hAnsi="Verdana" w:cs="Times New Roman"/>
          <w:color w:val="000000"/>
          <w:sz w:val="18"/>
          <w:szCs w:val="18"/>
        </w:rPr>
        <w:t>birds</w:t>
      </w:r>
      <w:r w:rsidR="001F2938" w:rsidRPr="000C7CFA">
        <w:rPr>
          <w:rFonts w:ascii="Verdana" w:hAnsi="Verdana" w:cs="Times New Roman"/>
          <w:color w:val="000000"/>
          <w:sz w:val="18"/>
          <w:szCs w:val="18"/>
        </w:rPr>
        <w:t xml:space="preserve"> were euthanized after the experiment</w:t>
      </w:r>
      <w:r w:rsidR="00854EF0" w:rsidRPr="000C7CFA">
        <w:rPr>
          <w:rFonts w:ascii="Verdana" w:hAnsi="Verdana" w:cs="Times New Roman"/>
          <w:color w:val="000000"/>
          <w:sz w:val="18"/>
          <w:szCs w:val="18"/>
        </w:rPr>
        <w:t xml:space="preserve">, and their livers weighed then subject to </w:t>
      </w:r>
      <w:r w:rsidR="001F2938" w:rsidRPr="000C7CFA">
        <w:rPr>
          <w:rFonts w:ascii="Verdana" w:hAnsi="Verdana" w:cs="Times New Roman"/>
          <w:color w:val="000000"/>
          <w:sz w:val="18"/>
          <w:szCs w:val="18"/>
        </w:rPr>
        <w:t>enzyme activity analyses</w:t>
      </w:r>
      <w:r w:rsidR="00854EF0" w:rsidRPr="000C7CFA">
        <w:rPr>
          <w:rFonts w:ascii="Verdana" w:hAnsi="Verdana" w:cs="Times New Roman"/>
          <w:color w:val="000000"/>
          <w:sz w:val="18"/>
          <w:szCs w:val="18"/>
        </w:rPr>
        <w:t xml:space="preserve"> (the selected enzymes were involved with xenobiotic biotransformation processes and oxidative stress) and measurement of </w:t>
      </w:r>
      <w:r w:rsidR="000411B4" w:rsidRPr="000C7CFA">
        <w:rPr>
          <w:rFonts w:ascii="Verdana" w:hAnsi="Verdana" w:cs="Times New Roman"/>
          <w:color w:val="000000"/>
          <w:sz w:val="18"/>
          <w:szCs w:val="18"/>
        </w:rPr>
        <w:t xml:space="preserve">two antioxidants (catalase (CAT) and superoxide dismutase (SOD)), glutathione and </w:t>
      </w:r>
      <w:r w:rsidR="00854EF0" w:rsidRPr="000C7CFA">
        <w:rPr>
          <w:rFonts w:ascii="Verdana" w:hAnsi="Verdana" w:cs="Times New Roman"/>
          <w:color w:val="000000"/>
          <w:sz w:val="18"/>
          <w:szCs w:val="18"/>
        </w:rPr>
        <w:t>maleic dialdehyde</w:t>
      </w:r>
      <w:r w:rsidR="000411B4" w:rsidRPr="000C7CFA">
        <w:rPr>
          <w:rFonts w:ascii="Verdana" w:hAnsi="Verdana" w:cs="Times New Roman"/>
          <w:color w:val="000000"/>
          <w:sz w:val="18"/>
          <w:szCs w:val="18"/>
        </w:rPr>
        <w:t xml:space="preserve"> (MDA) (an indicator of lipid peroxidation).</w:t>
      </w:r>
    </w:p>
    <w:p w14:paraId="3F526FE9" w14:textId="77777777" w:rsidR="000411B4" w:rsidRPr="000C7CFA" w:rsidRDefault="00854EF0" w:rsidP="00854EF0">
      <w:pPr>
        <w:pStyle w:val="NoSpacing"/>
        <w:spacing w:after="120"/>
        <w:jc w:val="both"/>
        <w:rPr>
          <w:rFonts w:ascii="Verdana" w:hAnsi="Verdana" w:cs="Times New Roman"/>
          <w:color w:val="000000"/>
          <w:sz w:val="18"/>
          <w:szCs w:val="18"/>
        </w:rPr>
      </w:pPr>
      <w:r w:rsidRPr="000C7CFA">
        <w:rPr>
          <w:rFonts w:ascii="Verdana" w:hAnsi="Verdana" w:cs="Times New Roman"/>
          <w:color w:val="000000"/>
          <w:sz w:val="18"/>
          <w:szCs w:val="18"/>
        </w:rPr>
        <w:t>A NOAEL was not derived by the study authors, but no mortality</w:t>
      </w:r>
      <w:r w:rsidR="000411B4" w:rsidRPr="000C7CFA">
        <w:rPr>
          <w:rFonts w:ascii="Verdana" w:hAnsi="Verdana" w:cs="Times New Roman"/>
          <w:color w:val="000000"/>
          <w:sz w:val="18"/>
          <w:szCs w:val="18"/>
        </w:rPr>
        <w:t xml:space="preserve"> or change in body</w:t>
      </w:r>
      <w:r w:rsidRPr="000C7CFA">
        <w:rPr>
          <w:rFonts w:ascii="Verdana" w:hAnsi="Verdana" w:cs="Times New Roman"/>
          <w:color w:val="000000"/>
          <w:sz w:val="18"/>
          <w:szCs w:val="18"/>
        </w:rPr>
        <w:t xml:space="preserve"> or liver </w:t>
      </w:r>
      <w:r w:rsidR="000411B4" w:rsidRPr="000C7CFA">
        <w:rPr>
          <w:rFonts w:ascii="Verdana" w:hAnsi="Verdana" w:cs="Times New Roman"/>
          <w:color w:val="000000"/>
          <w:sz w:val="18"/>
          <w:szCs w:val="18"/>
        </w:rPr>
        <w:t xml:space="preserve">weight </w:t>
      </w:r>
      <w:r w:rsidRPr="000C7CFA">
        <w:rPr>
          <w:rFonts w:ascii="Verdana" w:hAnsi="Verdana" w:cs="Times New Roman"/>
          <w:color w:val="000000"/>
          <w:sz w:val="18"/>
          <w:szCs w:val="18"/>
        </w:rPr>
        <w:t xml:space="preserve">was seen following 90 days’ exposure up to 100 mg/kg bw/d. </w:t>
      </w:r>
    </w:p>
    <w:p w14:paraId="589C0ECA" w14:textId="77777777" w:rsidR="00854EF0" w:rsidRPr="000C7CFA" w:rsidRDefault="000411B4" w:rsidP="00854EF0">
      <w:pPr>
        <w:pStyle w:val="NoSpacing"/>
        <w:spacing w:after="120"/>
        <w:jc w:val="both"/>
        <w:rPr>
          <w:rFonts w:ascii="Verdana" w:hAnsi="Verdana" w:cs="Times New Roman"/>
          <w:color w:val="000000"/>
          <w:sz w:val="18"/>
          <w:szCs w:val="18"/>
        </w:rPr>
      </w:pPr>
      <w:r w:rsidRPr="000C7CFA">
        <w:rPr>
          <w:rFonts w:ascii="Verdana" w:hAnsi="Verdana" w:cs="Times New Roman"/>
          <w:color w:val="000000"/>
          <w:sz w:val="18"/>
          <w:szCs w:val="18"/>
        </w:rPr>
        <w:t xml:space="preserve">The activities of 7-ethoxyresoruﬁn (EROD), 7-methoxyresoruﬁn (MROD), 7-pentoxyresoruﬁn (PROD) and 7-benzyloxy-4-triﬂuoromethylcoumarin debenzylase (BFCD) were lower in the 1, 10, and 100 mg/kg/d groups compared to that in the control group. The activities of PROD were significantly decreased in the exposed groups compared to the control. For hepatic microsomal erythromycin N-demethylase (ERND), the 10 and 100 mg/kg/d dosed groups showed higher enzyme activities than the control group. </w:t>
      </w:r>
    </w:p>
    <w:p w14:paraId="75F050B8" w14:textId="77777777" w:rsidR="00854EF0" w:rsidRPr="000C7CFA" w:rsidRDefault="000411B4" w:rsidP="00854EF0">
      <w:pPr>
        <w:pStyle w:val="NoSpacing"/>
        <w:spacing w:after="120"/>
        <w:jc w:val="both"/>
        <w:rPr>
          <w:rFonts w:ascii="Verdana" w:hAnsi="Verdana" w:cs="Times New Roman"/>
          <w:color w:val="000000"/>
          <w:sz w:val="18"/>
          <w:szCs w:val="18"/>
        </w:rPr>
      </w:pPr>
      <w:r w:rsidRPr="000C7CFA">
        <w:rPr>
          <w:rFonts w:ascii="Verdana" w:hAnsi="Verdana" w:cs="Times New Roman"/>
          <w:color w:val="000000"/>
          <w:sz w:val="18"/>
          <w:szCs w:val="18"/>
        </w:rPr>
        <w:t>The</w:t>
      </w:r>
      <w:r w:rsidR="00854EF0" w:rsidRPr="000C7CFA">
        <w:rPr>
          <w:rFonts w:ascii="Verdana" w:hAnsi="Verdana" w:cs="Times New Roman"/>
          <w:color w:val="000000"/>
          <w:sz w:val="18"/>
          <w:szCs w:val="18"/>
        </w:rPr>
        <w:t xml:space="preserve"> activities or </w:t>
      </w:r>
      <w:r w:rsidRPr="000C7CFA">
        <w:rPr>
          <w:rFonts w:ascii="Verdana" w:hAnsi="Verdana" w:cs="Times New Roman"/>
          <w:color w:val="000000"/>
          <w:sz w:val="18"/>
          <w:szCs w:val="18"/>
        </w:rPr>
        <w:t>levels</w:t>
      </w:r>
      <w:r w:rsidR="00854EF0" w:rsidRPr="000C7CFA">
        <w:rPr>
          <w:rFonts w:ascii="Verdana" w:hAnsi="Verdana" w:cs="Times New Roman"/>
          <w:color w:val="000000"/>
          <w:sz w:val="18"/>
          <w:szCs w:val="18"/>
        </w:rPr>
        <w:t xml:space="preserve"> of </w:t>
      </w:r>
      <w:r w:rsidRPr="000C7CFA">
        <w:rPr>
          <w:rFonts w:ascii="Verdana" w:hAnsi="Verdana" w:cs="Times New Roman"/>
          <w:color w:val="000000"/>
          <w:sz w:val="18"/>
          <w:szCs w:val="18"/>
        </w:rPr>
        <w:t>glutathione</w:t>
      </w:r>
      <w:r w:rsidR="00B56E91" w:rsidRPr="000C7CFA">
        <w:rPr>
          <w:rFonts w:ascii="Verdana" w:hAnsi="Verdana" w:cs="Times New Roman"/>
          <w:color w:val="000000"/>
          <w:sz w:val="18"/>
          <w:szCs w:val="18"/>
        </w:rPr>
        <w:t>,</w:t>
      </w:r>
      <w:r w:rsidR="00854EF0" w:rsidRPr="000C7CFA">
        <w:rPr>
          <w:rFonts w:ascii="Verdana" w:hAnsi="Verdana" w:cs="Times New Roman"/>
          <w:color w:val="000000"/>
          <w:sz w:val="18"/>
          <w:szCs w:val="18"/>
        </w:rPr>
        <w:t xml:space="preserve"> CAT, SOD and MDA </w:t>
      </w:r>
      <w:r w:rsidRPr="000C7CFA">
        <w:rPr>
          <w:rFonts w:ascii="Verdana" w:hAnsi="Verdana" w:cs="Times New Roman"/>
          <w:color w:val="000000"/>
          <w:sz w:val="18"/>
          <w:szCs w:val="18"/>
        </w:rPr>
        <w:t>showed a</w:t>
      </w:r>
      <w:r w:rsidR="00854EF0" w:rsidRPr="000C7CFA">
        <w:rPr>
          <w:rFonts w:ascii="Verdana" w:hAnsi="Verdana" w:cs="Times New Roman"/>
          <w:color w:val="000000"/>
          <w:sz w:val="18"/>
          <w:szCs w:val="18"/>
        </w:rPr>
        <w:t>n increasing trend among the exposed groups compared to the control group. A signiﬁcant increase occurred in the 10 and 100 mg/kg/d groups for CAT (</w:t>
      </w:r>
      <w:r w:rsidR="00854EF0" w:rsidRPr="000C7CFA">
        <w:rPr>
          <w:rFonts w:ascii="Verdana" w:hAnsi="Verdana" w:cs="Times New Roman"/>
          <w:i/>
          <w:color w:val="000000"/>
          <w:sz w:val="18"/>
          <w:szCs w:val="18"/>
        </w:rPr>
        <w:t>p</w:t>
      </w:r>
      <w:r w:rsidR="00854EF0" w:rsidRPr="000C7CFA">
        <w:rPr>
          <w:rFonts w:ascii="Verdana" w:hAnsi="Verdana" w:cs="Times New Roman"/>
          <w:color w:val="000000"/>
          <w:sz w:val="18"/>
          <w:szCs w:val="18"/>
        </w:rPr>
        <w:t xml:space="preserve"> = 0.009 and 0.004, respectively) and in the 1 mg/kg/d group for SOD (</w:t>
      </w:r>
      <w:r w:rsidR="00854EF0" w:rsidRPr="000C7CFA">
        <w:rPr>
          <w:rFonts w:ascii="Verdana" w:hAnsi="Verdana" w:cs="Times New Roman"/>
          <w:i/>
          <w:color w:val="000000"/>
          <w:sz w:val="18"/>
          <w:szCs w:val="18"/>
        </w:rPr>
        <w:t>p</w:t>
      </w:r>
      <w:r w:rsidR="00854EF0" w:rsidRPr="000C7CFA">
        <w:rPr>
          <w:rFonts w:ascii="Verdana" w:hAnsi="Verdana" w:cs="Times New Roman"/>
          <w:color w:val="000000"/>
          <w:sz w:val="18"/>
          <w:szCs w:val="18"/>
        </w:rPr>
        <w:t xml:space="preserve"> = 0.006), suggesting that </w:t>
      </w:r>
      <w:r w:rsidRPr="000C7CFA">
        <w:rPr>
          <w:rFonts w:ascii="Verdana" w:hAnsi="Verdana" w:cs="Times New Roman"/>
          <w:color w:val="000000"/>
          <w:sz w:val="18"/>
          <w:szCs w:val="18"/>
        </w:rPr>
        <w:t>Dechlorane Plus</w:t>
      </w:r>
      <w:r w:rsidR="00854EF0" w:rsidRPr="000C7CFA">
        <w:rPr>
          <w:rFonts w:ascii="Verdana" w:hAnsi="Verdana" w:cs="Times New Roman"/>
          <w:color w:val="000000"/>
          <w:sz w:val="18"/>
          <w:szCs w:val="18"/>
        </w:rPr>
        <w:t xml:space="preserve"> exposure may induce oxidative stress. </w:t>
      </w:r>
    </w:p>
    <w:p w14:paraId="1F558DEB" w14:textId="488FA644" w:rsidR="00CD2CFB" w:rsidRPr="000C7CFA" w:rsidRDefault="00CD2CFB" w:rsidP="00CD2CFB">
      <w:pPr>
        <w:pStyle w:val="NoSpacing"/>
        <w:spacing w:after="120"/>
        <w:jc w:val="both"/>
        <w:rPr>
          <w:rFonts w:ascii="Verdana" w:hAnsi="Verdana" w:cs="Times New Roman"/>
          <w:color w:val="000000"/>
          <w:sz w:val="18"/>
          <w:szCs w:val="18"/>
        </w:rPr>
      </w:pPr>
      <w:r w:rsidRPr="000C7CFA">
        <w:rPr>
          <w:rFonts w:ascii="Verdana" w:hAnsi="Verdana" w:cs="Times New Roman"/>
          <w:sz w:val="18"/>
          <w:szCs w:val="18"/>
        </w:rPr>
        <w:t>This</w:t>
      </w:r>
      <w:r w:rsidRPr="000C7CFA">
        <w:rPr>
          <w:rFonts w:ascii="Verdana" w:hAnsi="Verdana" w:cs="Times New Roman"/>
          <w:color w:val="000000"/>
          <w:sz w:val="18"/>
          <w:szCs w:val="18"/>
        </w:rPr>
        <w:t xml:space="preserve"> study is included in the registration dossier but its validity is considered to be unassignable since it is not a classical study design and only very few sub-chronic toxicity parameters were recorded (mortality and </w:t>
      </w:r>
      <w:r w:rsidR="00B56E91" w:rsidRPr="000C7CFA">
        <w:rPr>
          <w:rFonts w:ascii="Verdana" w:hAnsi="Verdana" w:cs="Times New Roman"/>
          <w:color w:val="000000"/>
          <w:sz w:val="18"/>
          <w:szCs w:val="18"/>
        </w:rPr>
        <w:t>body/</w:t>
      </w:r>
      <w:r w:rsidRPr="000C7CFA">
        <w:rPr>
          <w:rFonts w:ascii="Verdana" w:hAnsi="Verdana" w:cs="Times New Roman"/>
          <w:color w:val="000000"/>
          <w:sz w:val="18"/>
          <w:szCs w:val="18"/>
        </w:rPr>
        <w:t xml:space="preserve">liver weight). No information on behaviour </w:t>
      </w:r>
      <w:r w:rsidRPr="000C7CFA">
        <w:rPr>
          <w:rFonts w:ascii="Verdana" w:hAnsi="Verdana" w:cs="Times New Roman"/>
          <w:color w:val="000000"/>
          <w:sz w:val="18"/>
          <w:szCs w:val="18"/>
        </w:rPr>
        <w:lastRenderedPageBreak/>
        <w:t xml:space="preserve">or organs other than liver was provided. </w:t>
      </w:r>
      <w:r w:rsidR="00854EF0" w:rsidRPr="000C7CFA">
        <w:rPr>
          <w:rFonts w:ascii="Verdana" w:hAnsi="Verdana" w:cs="Times New Roman"/>
          <w:color w:val="000000"/>
          <w:sz w:val="18"/>
          <w:szCs w:val="18"/>
        </w:rPr>
        <w:t xml:space="preserve">Observations post-exposure were not possible. </w:t>
      </w:r>
      <w:r w:rsidRPr="000C7CFA">
        <w:rPr>
          <w:rFonts w:ascii="Verdana" w:hAnsi="Verdana" w:cs="Times New Roman"/>
          <w:color w:val="000000"/>
          <w:sz w:val="18"/>
          <w:szCs w:val="18"/>
        </w:rPr>
        <w:t>In addition, rather high levels of Dechlorane Plus were detected in the control group tissues (e.g. average concentrations of the syn- and anti- isomers in muscle were 5</w:t>
      </w:r>
      <w:r w:rsidR="008610EB" w:rsidRPr="000C7CFA">
        <w:rPr>
          <w:rFonts w:ascii="Verdana" w:hAnsi="Verdana" w:cs="Times New Roman"/>
          <w:color w:val="000000"/>
          <w:sz w:val="18"/>
          <w:szCs w:val="18"/>
        </w:rPr>
        <w:t> </w:t>
      </w:r>
      <w:r w:rsidRPr="000C7CFA">
        <w:rPr>
          <w:rFonts w:ascii="Verdana" w:hAnsi="Verdana" w:cs="Times New Roman"/>
          <w:color w:val="000000"/>
          <w:sz w:val="18"/>
          <w:szCs w:val="18"/>
        </w:rPr>
        <w:t>800 ± 2</w:t>
      </w:r>
      <w:r w:rsidR="008610EB" w:rsidRPr="000C7CFA">
        <w:rPr>
          <w:rFonts w:ascii="Verdana" w:hAnsi="Verdana" w:cs="Times New Roman"/>
          <w:color w:val="000000"/>
          <w:sz w:val="18"/>
          <w:szCs w:val="18"/>
        </w:rPr>
        <w:t> </w:t>
      </w:r>
      <w:r w:rsidRPr="000C7CFA">
        <w:rPr>
          <w:rFonts w:ascii="Verdana" w:hAnsi="Verdana" w:cs="Times New Roman"/>
          <w:color w:val="000000"/>
          <w:sz w:val="18"/>
          <w:szCs w:val="18"/>
        </w:rPr>
        <w:t>000 and 1</w:t>
      </w:r>
      <w:r w:rsidR="008610EB" w:rsidRPr="000C7CFA">
        <w:rPr>
          <w:rFonts w:ascii="Verdana" w:hAnsi="Verdana" w:cs="Times New Roman"/>
          <w:color w:val="000000"/>
          <w:sz w:val="18"/>
          <w:szCs w:val="18"/>
        </w:rPr>
        <w:t> </w:t>
      </w:r>
      <w:r w:rsidRPr="000C7CFA">
        <w:rPr>
          <w:rFonts w:ascii="Verdana" w:hAnsi="Verdana" w:cs="Times New Roman"/>
          <w:color w:val="000000"/>
          <w:sz w:val="18"/>
          <w:szCs w:val="18"/>
        </w:rPr>
        <w:t xml:space="preserve">000 ± 330 ng/g </w:t>
      </w:r>
      <w:proofErr w:type="gramStart"/>
      <w:r w:rsidRPr="000C7CFA">
        <w:rPr>
          <w:rFonts w:ascii="Verdana" w:hAnsi="Verdana" w:cs="Times New Roman"/>
          <w:color w:val="000000"/>
          <w:sz w:val="18"/>
          <w:szCs w:val="18"/>
        </w:rPr>
        <w:t>lw</w:t>
      </w:r>
      <w:proofErr w:type="gramEnd"/>
      <w:r w:rsidRPr="000C7CFA">
        <w:rPr>
          <w:rFonts w:ascii="Verdana" w:hAnsi="Verdana" w:cs="Times New Roman"/>
          <w:color w:val="000000"/>
          <w:sz w:val="18"/>
          <w:szCs w:val="18"/>
        </w:rPr>
        <w:t xml:space="preserve">, respectively). </w:t>
      </w:r>
    </w:p>
    <w:p w14:paraId="11D7A801" w14:textId="77777777" w:rsidR="00F678F1" w:rsidRPr="000C7CFA" w:rsidRDefault="00F678F1" w:rsidP="00F678F1">
      <w:pPr>
        <w:pStyle w:val="NoSpacing"/>
        <w:spacing w:after="120"/>
        <w:jc w:val="both"/>
        <w:rPr>
          <w:rFonts w:ascii="Verdana" w:hAnsi="Verdana" w:cs="Times New Roman"/>
          <w:sz w:val="18"/>
          <w:szCs w:val="18"/>
        </w:rPr>
      </w:pPr>
    </w:p>
    <w:p w14:paraId="1954DB8C" w14:textId="77777777" w:rsidR="00F678F1" w:rsidRPr="000C7CFA" w:rsidRDefault="00F678F1" w:rsidP="00F678F1">
      <w:pPr>
        <w:pStyle w:val="NoSpacing"/>
        <w:spacing w:after="120"/>
        <w:jc w:val="both"/>
        <w:rPr>
          <w:rFonts w:ascii="Verdana" w:hAnsi="Verdana" w:cs="Times New Roman"/>
          <w:sz w:val="18"/>
          <w:szCs w:val="18"/>
        </w:rPr>
      </w:pPr>
      <w:r w:rsidRPr="000C7CFA">
        <w:rPr>
          <w:rFonts w:ascii="Verdana" w:hAnsi="Verdana" w:cs="Times New Roman"/>
          <w:sz w:val="18"/>
          <w:szCs w:val="18"/>
          <w:u w:val="single"/>
        </w:rPr>
        <w:t xml:space="preserve">Crump </w:t>
      </w:r>
      <w:r w:rsidRPr="000C7CFA">
        <w:rPr>
          <w:rFonts w:ascii="Verdana" w:hAnsi="Verdana" w:cs="Times New Roman"/>
          <w:i/>
          <w:sz w:val="18"/>
          <w:szCs w:val="18"/>
          <w:u w:val="single"/>
        </w:rPr>
        <w:t>et al</w:t>
      </w:r>
      <w:r w:rsidRPr="000C7CFA">
        <w:rPr>
          <w:rFonts w:ascii="Verdana" w:hAnsi="Verdana" w:cs="Times New Roman"/>
          <w:sz w:val="18"/>
          <w:szCs w:val="18"/>
          <w:u w:val="single"/>
        </w:rPr>
        <w:t xml:space="preserve">. (2011) </w:t>
      </w:r>
      <w:r w:rsidRPr="000C7CFA">
        <w:rPr>
          <w:rFonts w:ascii="Verdana" w:hAnsi="Verdana" w:cs="Times New Roman"/>
          <w:sz w:val="18"/>
          <w:szCs w:val="18"/>
        </w:rPr>
        <w:t>investigated the effects of Dechlorane Plus in Domestic Chicken (</w:t>
      </w:r>
      <w:r w:rsidRPr="000C7CFA">
        <w:rPr>
          <w:rFonts w:ascii="Verdana" w:hAnsi="Verdana" w:cs="Times New Roman"/>
          <w:i/>
          <w:sz w:val="18"/>
          <w:szCs w:val="18"/>
        </w:rPr>
        <w:t>Gallus gallus domesticus</w:t>
      </w:r>
      <w:r w:rsidRPr="000C7CFA">
        <w:rPr>
          <w:rFonts w:ascii="Verdana" w:hAnsi="Verdana" w:cs="Times New Roman"/>
          <w:sz w:val="18"/>
          <w:szCs w:val="18"/>
        </w:rPr>
        <w:t xml:space="preserve">, White Leghorn strain) embryonic hepatocytes </w:t>
      </w:r>
      <w:r w:rsidRPr="000C7CFA">
        <w:rPr>
          <w:rFonts w:ascii="Verdana" w:hAnsi="Verdana" w:cs="Times New Roman"/>
          <w:i/>
          <w:sz w:val="18"/>
          <w:szCs w:val="18"/>
        </w:rPr>
        <w:t>in vitro</w:t>
      </w:r>
      <w:r w:rsidRPr="000C7CFA">
        <w:rPr>
          <w:rFonts w:ascii="Verdana" w:hAnsi="Verdana" w:cs="Times New Roman"/>
          <w:sz w:val="18"/>
          <w:szCs w:val="18"/>
        </w:rPr>
        <w:t xml:space="preserve"> and embryos following egg injection. Cultured hepatocytes were prepared from pooled liver samples taken from day-19 embryos (n=50), and exposure up to a maximum concentration of 3 μM of Dechlorane Plus took place in 48 well plates at 37 °C for 24 or 36 hours (three replicate wells per treatment group, including solvent and untreated controls), and then assessed for viability. The air space of eggs was injected with ~1 μL of either test solution (nominal concentration of 10, 100, 250 or 500 ng/g [µg/kg]) or solvent per gram of egg via a small drilled hole, which was subsequently sealed with tape (n=20 per treatment group). Pipping success was determined by dividing the number of embryos that pipped (i.e. when they start becoming active and chirping) by day 22 of incubation by the number of total fertile eggs per treatment group. Embryos that pipped successfully were euthanized and portions of the liver were removed for further analysis of gene expression (in addition, whole livers from five individuals per treatment group were randomly sampled for chemical analysis). mRNA was extracted from both embryonic hepatocytes (n=3 replicate wells for two treatment groups (i.e. 0.01 and 3 μM)) and liver (n=5–10/treatment group) for analysis of expression levels of transcripts for eleven hepatic genes previously determined to be responsive to hexabromocyclododecane (HBCDD) (related to the xenobiotic-sensing orphan nuclear receptor, the thyroid hormone pathway, lipid regulation and growth). Test solutions were prepared in dimethyl sulfoxide (DMSO), and concentrations were measured by GC-MS (ECNI).</w:t>
      </w:r>
    </w:p>
    <w:p w14:paraId="677751A3" w14:textId="77777777" w:rsidR="00F678F1" w:rsidRPr="000C7CFA" w:rsidRDefault="00F678F1" w:rsidP="00F678F1">
      <w:pPr>
        <w:pStyle w:val="NoSpacing"/>
        <w:spacing w:after="120"/>
        <w:jc w:val="both"/>
        <w:rPr>
          <w:rFonts w:ascii="Verdana" w:hAnsi="Verdana" w:cs="Times New Roman"/>
          <w:sz w:val="18"/>
          <w:szCs w:val="18"/>
        </w:rPr>
      </w:pPr>
      <w:r w:rsidRPr="000C7CFA">
        <w:rPr>
          <w:rFonts w:ascii="Verdana" w:hAnsi="Verdana" w:cs="Times New Roman"/>
          <w:sz w:val="18"/>
          <w:szCs w:val="18"/>
        </w:rPr>
        <w:t>Dechlorane Plus did not affect embryonic hepatocyte viability in comparison to solvent controls up to the highest test concentration of 3 μM (1.96 mg/L)</w:t>
      </w:r>
      <w:r w:rsidRPr="000C7CFA">
        <w:rPr>
          <w:rStyle w:val="FootnoteReference"/>
          <w:rFonts w:ascii="Verdana" w:hAnsi="Verdana" w:cs="Times New Roman"/>
          <w:sz w:val="18"/>
          <w:szCs w:val="18"/>
        </w:rPr>
        <w:footnoteReference w:id="45"/>
      </w:r>
      <w:r w:rsidRPr="000C7CFA">
        <w:rPr>
          <w:rFonts w:ascii="Verdana" w:hAnsi="Verdana" w:cs="Times New Roman"/>
          <w:sz w:val="18"/>
          <w:szCs w:val="18"/>
        </w:rPr>
        <w:t xml:space="preserve">. The two treatment groups selected for mRNA isolation did not show a significant difference in viability compared to the untreated or vehicle control. </w:t>
      </w:r>
    </w:p>
    <w:p w14:paraId="6783DADD" w14:textId="44740E84" w:rsidR="00F678F1" w:rsidRPr="000C7CFA" w:rsidRDefault="00F678F1" w:rsidP="00F678F1">
      <w:pPr>
        <w:pStyle w:val="NoSpacing"/>
        <w:spacing w:after="120"/>
        <w:jc w:val="both"/>
        <w:rPr>
          <w:rFonts w:ascii="Verdana" w:hAnsi="Verdana" w:cs="Times New Roman"/>
          <w:sz w:val="18"/>
          <w:szCs w:val="18"/>
        </w:rPr>
      </w:pPr>
      <w:r w:rsidRPr="000C7CFA">
        <w:rPr>
          <w:rFonts w:ascii="Verdana" w:hAnsi="Verdana" w:cs="Times New Roman"/>
          <w:sz w:val="18"/>
          <w:szCs w:val="18"/>
        </w:rPr>
        <w:t xml:space="preserve">The paper reports that </w:t>
      </w:r>
      <w:r w:rsidRPr="000C7CFA">
        <w:rPr>
          <w:rFonts w:ascii="Verdana" w:hAnsi="Verdana" w:cs="Times New Roman"/>
          <w:i/>
          <w:sz w:val="18"/>
          <w:szCs w:val="18"/>
        </w:rPr>
        <w:t>in ovo</w:t>
      </w:r>
      <w:r w:rsidRPr="000C7CFA">
        <w:rPr>
          <w:rFonts w:ascii="Verdana" w:hAnsi="Verdana" w:cs="Times New Roman"/>
          <w:sz w:val="18"/>
          <w:szCs w:val="18"/>
        </w:rPr>
        <w:t xml:space="preserve"> exposure did not affect pipping success since all treatment groups fell within the historical control range for DMSO-injected eggs in this laboratory (80–100</w:t>
      </w:r>
      <w:r w:rsidR="00AA3971" w:rsidRPr="000C7CFA">
        <w:rPr>
          <w:rFonts w:ascii="Verdana" w:hAnsi="Verdana" w:cs="Times New Roman"/>
          <w:sz w:val="18"/>
          <w:szCs w:val="18"/>
        </w:rPr>
        <w:t xml:space="preserve"> </w:t>
      </w:r>
      <w:r w:rsidRPr="000C7CFA">
        <w:rPr>
          <w:rFonts w:ascii="Verdana" w:hAnsi="Verdana" w:cs="Times New Roman"/>
          <w:sz w:val="18"/>
          <w:szCs w:val="18"/>
        </w:rPr>
        <w:t>%). Nevertheless, there appeared to be a dose-dependent decrease in pipping success: 9</w:t>
      </w:r>
      <w:r w:rsidR="00AF7606" w:rsidRPr="000C7CFA">
        <w:rPr>
          <w:rFonts w:ascii="Verdana" w:hAnsi="Verdana" w:cs="Times New Roman"/>
          <w:sz w:val="18"/>
          <w:szCs w:val="18"/>
        </w:rPr>
        <w:t>5 %</w:t>
      </w:r>
      <w:r w:rsidRPr="000C7CFA">
        <w:rPr>
          <w:rFonts w:ascii="Verdana" w:hAnsi="Verdana" w:cs="Times New Roman"/>
          <w:sz w:val="18"/>
          <w:szCs w:val="18"/>
        </w:rPr>
        <w:t xml:space="preserve"> in the vehicle control, 95</w:t>
      </w:r>
      <w:r w:rsidR="00AA3971" w:rsidRPr="000C7CFA">
        <w:rPr>
          <w:rFonts w:ascii="Verdana" w:hAnsi="Verdana" w:cs="Times New Roman"/>
          <w:sz w:val="18"/>
          <w:szCs w:val="18"/>
        </w:rPr>
        <w:t xml:space="preserve"> </w:t>
      </w:r>
      <w:r w:rsidRPr="000C7CFA">
        <w:rPr>
          <w:rFonts w:ascii="Verdana" w:hAnsi="Verdana" w:cs="Times New Roman"/>
          <w:sz w:val="18"/>
          <w:szCs w:val="18"/>
        </w:rPr>
        <w:t>% at the 10 (9.1) ng/g dose, 94</w:t>
      </w:r>
      <w:r w:rsidR="00AA3971" w:rsidRPr="000C7CFA">
        <w:rPr>
          <w:rFonts w:ascii="Verdana" w:hAnsi="Verdana" w:cs="Times New Roman"/>
          <w:sz w:val="18"/>
          <w:szCs w:val="18"/>
        </w:rPr>
        <w:t xml:space="preserve"> </w:t>
      </w:r>
      <w:r w:rsidRPr="000C7CFA">
        <w:rPr>
          <w:rFonts w:ascii="Verdana" w:hAnsi="Verdana" w:cs="Times New Roman"/>
          <w:sz w:val="18"/>
          <w:szCs w:val="18"/>
        </w:rPr>
        <w:t>% at the 100 (50) ng/g dose, 90% at the 250 (150) ng/g dose and 83</w:t>
      </w:r>
      <w:r w:rsidR="00AA3971" w:rsidRPr="000C7CFA">
        <w:rPr>
          <w:rFonts w:ascii="Verdana" w:hAnsi="Verdana" w:cs="Times New Roman"/>
          <w:sz w:val="18"/>
          <w:szCs w:val="18"/>
        </w:rPr>
        <w:t xml:space="preserve"> </w:t>
      </w:r>
      <w:r w:rsidRPr="000C7CFA">
        <w:rPr>
          <w:rFonts w:ascii="Verdana" w:hAnsi="Verdana" w:cs="Times New Roman"/>
          <w:sz w:val="18"/>
          <w:szCs w:val="18"/>
        </w:rPr>
        <w:t>% at the 500 (191) ng/g dose (measured concentrations are given in brackets, and the difference was believed to be due to problems with dissolving the substance in DMSO). No statistical analysis was presented in the paper. Pipping success was independent of embryo sex.</w:t>
      </w:r>
    </w:p>
    <w:p w14:paraId="48704BC4" w14:textId="79E9212C" w:rsidR="00F678F1" w:rsidRPr="000C7CFA" w:rsidRDefault="00F678F1" w:rsidP="00F678F1">
      <w:pPr>
        <w:pStyle w:val="NoSpacing"/>
        <w:spacing w:after="120"/>
        <w:jc w:val="both"/>
        <w:rPr>
          <w:rFonts w:ascii="Verdana" w:hAnsi="Verdana" w:cs="Times New Roman"/>
          <w:sz w:val="18"/>
          <w:szCs w:val="18"/>
        </w:rPr>
      </w:pPr>
      <w:r w:rsidRPr="000C7CFA">
        <w:rPr>
          <w:rFonts w:ascii="Verdana" w:hAnsi="Verdana" w:cs="Times New Roman"/>
          <w:sz w:val="18"/>
          <w:szCs w:val="18"/>
        </w:rPr>
        <w:t>Hepatic accumulation was highly variable and did not follow a linear uptake pattern based on actual injection concentration, although mean hepatic Dechlorane Plus concentrations did increase with dose group to a maximum of 85.6 ng/g ww. Liver lipid content ranged from 11 to 15</w:t>
      </w:r>
      <w:r w:rsidR="00AA3971" w:rsidRPr="000C7CFA">
        <w:rPr>
          <w:rFonts w:ascii="Verdana" w:hAnsi="Verdana" w:cs="Times New Roman"/>
          <w:sz w:val="18"/>
          <w:szCs w:val="18"/>
        </w:rPr>
        <w:t xml:space="preserve"> </w:t>
      </w:r>
      <w:r w:rsidRPr="000C7CFA">
        <w:rPr>
          <w:rFonts w:ascii="Verdana" w:hAnsi="Verdana" w:cs="Times New Roman"/>
          <w:sz w:val="18"/>
          <w:szCs w:val="18"/>
        </w:rPr>
        <w:t xml:space="preserve">% and regardless of whether ww or lipid weight was used in the calculation, the concentration in the highest dose group was significantly greater than the 50 ng/g dose group (Dechlorane Plus was not </w:t>
      </w:r>
      <w:r w:rsidR="0076237E" w:rsidRPr="000C7CFA">
        <w:rPr>
          <w:rFonts w:ascii="Verdana" w:hAnsi="Verdana" w:cs="Times New Roman"/>
          <w:sz w:val="18"/>
          <w:szCs w:val="18"/>
        </w:rPr>
        <w:t>quantifiable</w:t>
      </w:r>
      <w:r w:rsidRPr="000C7CFA">
        <w:rPr>
          <w:rFonts w:ascii="Verdana" w:hAnsi="Verdana" w:cs="Times New Roman"/>
          <w:sz w:val="18"/>
          <w:szCs w:val="18"/>
        </w:rPr>
        <w:t xml:space="preserve"> in livers from the 9.1 ng/g dose group). Wet weight hepatic levels were substantially lower than the measured egg injection concentrations. Hepatic enrichment factors were 0.08, 0.04 and 0.4 for the 50, 150 and 191 ng/g dose groups, respectively.</w:t>
      </w:r>
    </w:p>
    <w:p w14:paraId="1717853B" w14:textId="77777777" w:rsidR="00F678F1" w:rsidRPr="000C7CFA" w:rsidRDefault="00F678F1" w:rsidP="00F678F1">
      <w:pPr>
        <w:pStyle w:val="NoSpacing"/>
        <w:spacing w:after="120"/>
        <w:jc w:val="both"/>
        <w:rPr>
          <w:rFonts w:ascii="Verdana" w:hAnsi="Verdana" w:cs="Times New Roman"/>
          <w:sz w:val="18"/>
          <w:szCs w:val="18"/>
        </w:rPr>
      </w:pPr>
      <w:r w:rsidRPr="000C7CFA">
        <w:rPr>
          <w:rFonts w:ascii="Verdana" w:hAnsi="Verdana" w:cs="Times New Roman"/>
          <w:sz w:val="18"/>
          <w:szCs w:val="18"/>
        </w:rPr>
        <w:t>A significant shift in isomer ratio was detected between stock solutions of the commercial mixture and hepatic tissue; the proportion of the syn- isomer increased from 0.34 to 0.65 with a concomitant decrease of anti- isomer from 0.66 to 0.35. An enrichment of the syn- isomer could be explained by a number of different factors including isomer-specific bioavailability, half-life and uptake rate and/or variable depuration kinetics.</w:t>
      </w:r>
    </w:p>
    <w:p w14:paraId="7C5EF8E7" w14:textId="77777777" w:rsidR="00F678F1" w:rsidRPr="000C7CFA" w:rsidRDefault="00F678F1" w:rsidP="00F678F1">
      <w:pPr>
        <w:pStyle w:val="NoSpacing"/>
        <w:spacing w:after="120"/>
        <w:jc w:val="both"/>
        <w:rPr>
          <w:rFonts w:ascii="Verdana" w:hAnsi="Verdana" w:cs="Times New Roman"/>
          <w:sz w:val="18"/>
          <w:szCs w:val="18"/>
        </w:rPr>
      </w:pPr>
      <w:r w:rsidRPr="000C7CFA">
        <w:rPr>
          <w:rFonts w:ascii="Verdana" w:hAnsi="Verdana" w:cs="Times New Roman"/>
          <w:sz w:val="18"/>
          <w:szCs w:val="18"/>
        </w:rPr>
        <w:lastRenderedPageBreak/>
        <w:t xml:space="preserve">None of the investigated mRNA transcripts changed as a result of </w:t>
      </w:r>
      <w:r w:rsidRPr="000C7CFA">
        <w:rPr>
          <w:rFonts w:ascii="Verdana" w:hAnsi="Verdana" w:cs="Times New Roman"/>
          <w:i/>
          <w:sz w:val="18"/>
          <w:szCs w:val="18"/>
        </w:rPr>
        <w:t>in vitro</w:t>
      </w:r>
      <w:r w:rsidRPr="000C7CFA">
        <w:rPr>
          <w:rFonts w:ascii="Verdana" w:hAnsi="Verdana" w:cs="Times New Roman"/>
          <w:sz w:val="18"/>
          <w:szCs w:val="18"/>
        </w:rPr>
        <w:t xml:space="preserve"> or </w:t>
      </w:r>
      <w:r w:rsidRPr="000C7CFA">
        <w:rPr>
          <w:rFonts w:ascii="Verdana" w:hAnsi="Verdana" w:cs="Times New Roman"/>
          <w:i/>
          <w:sz w:val="18"/>
          <w:szCs w:val="18"/>
        </w:rPr>
        <w:t>in ovo</w:t>
      </w:r>
      <w:r w:rsidRPr="000C7CFA">
        <w:rPr>
          <w:rFonts w:ascii="Verdana" w:hAnsi="Verdana" w:cs="Times New Roman"/>
          <w:sz w:val="18"/>
          <w:szCs w:val="18"/>
        </w:rPr>
        <w:t xml:space="preserve"> exposure (given the lack of transcriptional response for all eleven genes following </w:t>
      </w:r>
      <w:r w:rsidRPr="000C7CFA">
        <w:rPr>
          <w:rFonts w:ascii="Verdana" w:hAnsi="Verdana" w:cs="Times New Roman"/>
          <w:i/>
          <w:sz w:val="18"/>
          <w:szCs w:val="18"/>
        </w:rPr>
        <w:t>in vitro</w:t>
      </w:r>
      <w:r w:rsidRPr="000C7CFA">
        <w:rPr>
          <w:rFonts w:ascii="Verdana" w:hAnsi="Verdana" w:cs="Times New Roman"/>
          <w:sz w:val="18"/>
          <w:szCs w:val="18"/>
        </w:rPr>
        <w:t xml:space="preserve"> exposure, only a sub-set of four gene targets were included for the hepatic mRNA expression assessment: CYP3A37, DI2, L-FABP and IGF-1). The relationship between these findings and the level of Dechlorane Plus in the livers is unclear given the non-linear uptake patterns into hepatic tissue.</w:t>
      </w:r>
    </w:p>
    <w:p w14:paraId="627FB944" w14:textId="32F376A5" w:rsidR="00F678F1" w:rsidRPr="000C7CFA" w:rsidRDefault="00F678F1" w:rsidP="00F678F1">
      <w:pPr>
        <w:pStyle w:val="NoSpacing"/>
        <w:spacing w:after="120"/>
        <w:jc w:val="both"/>
        <w:rPr>
          <w:rFonts w:ascii="Verdana" w:hAnsi="Verdana" w:cs="Times New Roman"/>
          <w:sz w:val="18"/>
          <w:szCs w:val="18"/>
        </w:rPr>
      </w:pPr>
      <w:r w:rsidRPr="000C7CFA">
        <w:rPr>
          <w:rFonts w:ascii="Verdana" w:hAnsi="Verdana" w:cs="Times New Roman"/>
          <w:sz w:val="18"/>
          <w:szCs w:val="18"/>
        </w:rPr>
        <w:t xml:space="preserve">The study authors concluded that there were no adverse effects of Dechlorane Plus on embryonic viability or pathways associated with the genes assessed in this species. </w:t>
      </w:r>
      <w:r w:rsidR="00FE4149" w:rsidRPr="000C7CFA">
        <w:rPr>
          <w:rFonts w:ascii="Verdana" w:hAnsi="Verdana" w:cs="Times New Roman"/>
          <w:sz w:val="18"/>
          <w:szCs w:val="18"/>
        </w:rPr>
        <w:t>A</w:t>
      </w:r>
      <w:r w:rsidRPr="000C7CFA">
        <w:rPr>
          <w:rFonts w:ascii="Verdana" w:hAnsi="Verdana" w:cs="Times New Roman"/>
          <w:sz w:val="18"/>
          <w:szCs w:val="18"/>
        </w:rPr>
        <w:t>n effect on pipping success cann</w:t>
      </w:r>
      <w:r w:rsidR="00FE4149" w:rsidRPr="000C7CFA">
        <w:rPr>
          <w:rFonts w:ascii="Verdana" w:hAnsi="Verdana" w:cs="Times New Roman"/>
          <w:sz w:val="18"/>
          <w:szCs w:val="18"/>
        </w:rPr>
        <w:t xml:space="preserve">ot be completely ruled out, but </w:t>
      </w:r>
      <w:r w:rsidRPr="000C7CFA">
        <w:rPr>
          <w:rFonts w:ascii="Verdana" w:hAnsi="Verdana" w:cs="Times New Roman"/>
          <w:sz w:val="18"/>
          <w:szCs w:val="18"/>
        </w:rPr>
        <w:t>the genes identified as being sensitive to HBCDD might not be relevant to Dechlorane Plus.</w:t>
      </w:r>
      <w:r w:rsidRPr="000C7CFA">
        <w:rPr>
          <w:rFonts w:ascii="Verdana" w:hAnsi="Verdana"/>
          <w:sz w:val="18"/>
          <w:szCs w:val="18"/>
        </w:rPr>
        <w:t xml:space="preserve"> </w:t>
      </w:r>
      <w:r w:rsidRPr="000C7CFA">
        <w:rPr>
          <w:rFonts w:ascii="Verdana" w:hAnsi="Verdana" w:cs="Times New Roman"/>
          <w:sz w:val="18"/>
          <w:szCs w:val="18"/>
        </w:rPr>
        <w:t xml:space="preserve">In addition, the embryos might not have been fully exposed to the actual administered dose (which was injected into the air space of the egg), and so the data cannot be reliably compared to concentrations observed in eggs from wild birds (in which the substance will be present within the tissues of the egg). The findings </w:t>
      </w:r>
      <w:r w:rsidR="00FE4149" w:rsidRPr="000C7CFA">
        <w:rPr>
          <w:rFonts w:ascii="Verdana" w:hAnsi="Verdana" w:cs="Times New Roman"/>
          <w:sz w:val="18"/>
          <w:szCs w:val="18"/>
        </w:rPr>
        <w:t>are therefore</w:t>
      </w:r>
      <w:r w:rsidRPr="000C7CFA">
        <w:rPr>
          <w:rFonts w:ascii="Verdana" w:hAnsi="Verdana" w:cs="Times New Roman"/>
          <w:sz w:val="18"/>
          <w:szCs w:val="18"/>
        </w:rPr>
        <w:t xml:space="preserve"> inconclusive.</w:t>
      </w:r>
    </w:p>
    <w:p w14:paraId="58F34F93" w14:textId="77777777" w:rsidR="00D238C7" w:rsidRPr="000C7CFA" w:rsidRDefault="00D238C7" w:rsidP="00F678F1">
      <w:pPr>
        <w:pStyle w:val="NoSpacing"/>
        <w:spacing w:after="120"/>
        <w:jc w:val="both"/>
        <w:rPr>
          <w:rFonts w:ascii="Verdana" w:hAnsi="Verdana"/>
          <w:sz w:val="18"/>
          <w:szCs w:val="18"/>
        </w:rPr>
      </w:pPr>
      <w:r w:rsidRPr="000C7CFA">
        <w:rPr>
          <w:rFonts w:ascii="Verdana" w:hAnsi="Verdana" w:cs="Times New Roman"/>
          <w:sz w:val="18"/>
          <w:szCs w:val="18"/>
        </w:rPr>
        <w:t>This study is not included in the registration dossier.</w:t>
      </w:r>
    </w:p>
    <w:p w14:paraId="0940AD7F" w14:textId="77777777" w:rsidR="00CE49CD" w:rsidRPr="000C7CFA" w:rsidRDefault="00CE49CD" w:rsidP="00CE49CD">
      <w:pPr>
        <w:pStyle w:val="BodyText"/>
        <w:keepNext/>
        <w:tabs>
          <w:tab w:val="left" w:pos="2905"/>
        </w:tabs>
        <w:rPr>
          <w:rFonts w:ascii="Verdana" w:hAnsi="Verdana"/>
          <w:b/>
          <w:i/>
          <w:sz w:val="18"/>
          <w:szCs w:val="18"/>
        </w:rPr>
      </w:pPr>
      <w:r w:rsidRPr="000C7CFA">
        <w:rPr>
          <w:rFonts w:ascii="Verdana" w:hAnsi="Verdana"/>
          <w:b/>
          <w:i/>
          <w:sz w:val="18"/>
          <w:szCs w:val="18"/>
        </w:rPr>
        <w:t>Discussion</w:t>
      </w:r>
    </w:p>
    <w:p w14:paraId="114C949E" w14:textId="77777777" w:rsidR="00F678F1" w:rsidRPr="000C7CFA" w:rsidRDefault="00CE49CD" w:rsidP="00CE49CD">
      <w:pPr>
        <w:pStyle w:val="BodyText"/>
        <w:rPr>
          <w:rFonts w:ascii="Verdana" w:hAnsi="Verdana"/>
          <w:sz w:val="18"/>
          <w:szCs w:val="18"/>
        </w:rPr>
      </w:pPr>
      <w:r w:rsidRPr="000C7CFA">
        <w:rPr>
          <w:rFonts w:ascii="Verdana" w:hAnsi="Verdana"/>
          <w:sz w:val="18"/>
          <w:szCs w:val="18"/>
        </w:rPr>
        <w:t>The available data do not suggest significant toxicity in birds, but a standard test guideline study is not available so the findings cannot be considered conclusive.</w:t>
      </w:r>
      <w:r w:rsidR="00B56E91" w:rsidRPr="000C7CFA">
        <w:rPr>
          <w:rFonts w:ascii="Verdana" w:hAnsi="Verdana"/>
          <w:sz w:val="18"/>
          <w:szCs w:val="18"/>
        </w:rPr>
        <w:t xml:space="preserve"> Significant molecular changes were found to occur in liver following exposure of Common Quail (</w:t>
      </w:r>
      <w:r w:rsidR="00B56E91" w:rsidRPr="000C7CFA">
        <w:rPr>
          <w:rFonts w:ascii="Verdana" w:hAnsi="Verdana"/>
          <w:i/>
          <w:sz w:val="18"/>
          <w:szCs w:val="18"/>
        </w:rPr>
        <w:t>Coturnix coturnix japonica</w:t>
      </w:r>
      <w:r w:rsidR="00B56E91" w:rsidRPr="000C7CFA">
        <w:rPr>
          <w:rFonts w:ascii="Verdana" w:hAnsi="Verdana"/>
          <w:sz w:val="18"/>
          <w:szCs w:val="18"/>
        </w:rPr>
        <w:t xml:space="preserve">) to a dose of 1 mg/kg bw/d for 90 days, although there was an unclear dose-response relationship. The implications of these changes are therefore also unclear. Li </w:t>
      </w:r>
      <w:r w:rsidR="00B56E91" w:rsidRPr="000C7CFA">
        <w:rPr>
          <w:rFonts w:ascii="Verdana" w:hAnsi="Verdana"/>
          <w:i/>
          <w:sz w:val="18"/>
          <w:szCs w:val="18"/>
        </w:rPr>
        <w:t>et al</w:t>
      </w:r>
      <w:r w:rsidR="00B56E91" w:rsidRPr="000C7CFA">
        <w:rPr>
          <w:rFonts w:ascii="Verdana" w:hAnsi="Verdana"/>
          <w:sz w:val="18"/>
          <w:szCs w:val="18"/>
        </w:rPr>
        <w:t xml:space="preserve">. (2013a) stated that they might indicate </w:t>
      </w:r>
      <w:r w:rsidR="00B56E91" w:rsidRPr="000C7CFA">
        <w:rPr>
          <w:rFonts w:ascii="Verdana" w:hAnsi="Verdana"/>
          <w:color w:val="000000"/>
          <w:sz w:val="18"/>
          <w:szCs w:val="18"/>
        </w:rPr>
        <w:t>an adverse effect, since PROD activity is an indicator of CYP2B in mammals, which is, in turn, involved in the metabolism or inactivation of several endogenous chemicals such as steroid and gonadal hormones. An increased ERND activity might alter the detoxiﬁcation and metabolism activities of CYP3A to endogenous and exogenous compounds. Changes in antioxidant levels suggest that Dechlorane Plus exposure may also induce oxidative stress.</w:t>
      </w:r>
    </w:p>
    <w:p w14:paraId="41EE1CB5" w14:textId="39CE386C" w:rsidR="00937B2F" w:rsidRPr="000C7CFA" w:rsidRDefault="00BA0ECA" w:rsidP="00F264BE">
      <w:pPr>
        <w:pStyle w:val="Heading3"/>
        <w:tabs>
          <w:tab w:val="clear" w:pos="839"/>
          <w:tab w:val="left" w:pos="960"/>
          <w:tab w:val="num" w:pos="1317"/>
        </w:tabs>
        <w:ind w:left="1315" w:hanging="1315"/>
        <w:rPr>
          <w:rFonts w:ascii="Verdana" w:hAnsi="Verdana"/>
          <w:sz w:val="18"/>
          <w:szCs w:val="18"/>
        </w:rPr>
      </w:pPr>
      <w:bookmarkStart w:id="145" w:name="_Toc491862798"/>
      <w:r w:rsidRPr="000C7CFA">
        <w:rPr>
          <w:rFonts w:ascii="Verdana" w:hAnsi="Verdana"/>
          <w:sz w:val="18"/>
          <w:szCs w:val="18"/>
        </w:rPr>
        <w:t>Toxicity to mammals</w:t>
      </w:r>
      <w:bookmarkEnd w:id="145"/>
    </w:p>
    <w:p w14:paraId="74D112EE" w14:textId="77777777" w:rsidR="00AA3971" w:rsidRPr="000C7CFA" w:rsidRDefault="00AA3971" w:rsidP="00AA3971">
      <w:pPr>
        <w:pStyle w:val="BodyText"/>
        <w:rPr>
          <w:rFonts w:ascii="Verdana" w:hAnsi="Verdana"/>
          <w:sz w:val="18"/>
          <w:szCs w:val="18"/>
        </w:rPr>
      </w:pPr>
      <w:r w:rsidRPr="000C7CFA">
        <w:rPr>
          <w:rFonts w:ascii="Verdana" w:hAnsi="Verdana"/>
          <w:sz w:val="18"/>
          <w:szCs w:val="18"/>
        </w:rPr>
        <w:t>S</w:t>
      </w:r>
      <w:r w:rsidR="00BA0ECA" w:rsidRPr="000C7CFA">
        <w:rPr>
          <w:rFonts w:ascii="Verdana" w:hAnsi="Verdana"/>
          <w:sz w:val="18"/>
          <w:szCs w:val="18"/>
        </w:rPr>
        <w:t>ee Section 4.</w:t>
      </w:r>
    </w:p>
    <w:p w14:paraId="7663CDD1" w14:textId="13D03411" w:rsidR="00454A2D" w:rsidRPr="000C7CFA" w:rsidRDefault="00BA0ECA" w:rsidP="00AA3971">
      <w:pPr>
        <w:pStyle w:val="BodyText"/>
        <w:rPr>
          <w:rFonts w:ascii="Verdana" w:hAnsi="Verdana"/>
          <w:b/>
          <w:sz w:val="18"/>
          <w:szCs w:val="18"/>
        </w:rPr>
      </w:pPr>
      <w:r w:rsidRPr="000C7CFA">
        <w:rPr>
          <w:rFonts w:ascii="Verdana" w:hAnsi="Verdana"/>
          <w:sz w:val="18"/>
          <w:szCs w:val="18"/>
        </w:rPr>
        <w:t xml:space="preserve"> </w:t>
      </w:r>
    </w:p>
    <w:p w14:paraId="476F6DC5" w14:textId="77777777" w:rsidR="00893752" w:rsidRPr="000C7CFA" w:rsidRDefault="00893752">
      <w:pPr>
        <w:spacing w:after="0"/>
        <w:rPr>
          <w:rFonts w:ascii="Verdana" w:hAnsi="Verdana"/>
          <w:b/>
          <w:caps/>
          <w:sz w:val="18"/>
          <w:szCs w:val="18"/>
          <w:lang w:val="en-GB"/>
        </w:rPr>
      </w:pPr>
      <w:r w:rsidRPr="000C7CFA">
        <w:rPr>
          <w:rFonts w:ascii="Verdana" w:hAnsi="Verdana"/>
          <w:sz w:val="18"/>
          <w:szCs w:val="18"/>
        </w:rPr>
        <w:br w:type="page"/>
      </w:r>
    </w:p>
    <w:p w14:paraId="05632D95" w14:textId="5259BE6F" w:rsidR="00F9495C" w:rsidRPr="000C7CFA" w:rsidRDefault="00924035" w:rsidP="004C3F39">
      <w:pPr>
        <w:pStyle w:val="Heading1"/>
        <w:rPr>
          <w:rFonts w:ascii="Verdana" w:hAnsi="Verdana"/>
          <w:sz w:val="18"/>
          <w:szCs w:val="18"/>
        </w:rPr>
      </w:pPr>
      <w:bookmarkStart w:id="146" w:name="_Toc491862799"/>
      <w:r w:rsidRPr="000C7CFA">
        <w:rPr>
          <w:rFonts w:ascii="Verdana" w:hAnsi="Verdana"/>
          <w:sz w:val="18"/>
          <w:szCs w:val="18"/>
        </w:rPr>
        <w:lastRenderedPageBreak/>
        <w:t>M</w:t>
      </w:r>
      <w:r w:rsidR="0038040F" w:rsidRPr="000C7CFA">
        <w:rPr>
          <w:rFonts w:ascii="Verdana" w:hAnsi="Verdana"/>
          <w:sz w:val="18"/>
          <w:szCs w:val="18"/>
        </w:rPr>
        <w:t>onitoring data</w:t>
      </w:r>
      <w:bookmarkEnd w:id="146"/>
    </w:p>
    <w:p w14:paraId="151435FB" w14:textId="77777777" w:rsidR="00100172" w:rsidRPr="000C7CFA" w:rsidRDefault="00100172" w:rsidP="00C66397">
      <w:pPr>
        <w:pStyle w:val="BodyText"/>
        <w:rPr>
          <w:rFonts w:ascii="Verdana" w:hAnsi="Verdana"/>
          <w:color w:val="000000"/>
          <w:sz w:val="18"/>
          <w:szCs w:val="18"/>
        </w:rPr>
      </w:pPr>
      <w:r w:rsidRPr="000C7CFA">
        <w:rPr>
          <w:rFonts w:ascii="Verdana" w:hAnsi="Verdana"/>
          <w:color w:val="000000"/>
          <w:sz w:val="18"/>
          <w:szCs w:val="18"/>
          <w:lang w:val="fr-FR"/>
        </w:rPr>
        <w:t xml:space="preserve">Sverko </w:t>
      </w:r>
      <w:r w:rsidRPr="000C7CFA">
        <w:rPr>
          <w:rFonts w:ascii="Verdana" w:hAnsi="Verdana"/>
          <w:i/>
          <w:color w:val="000000"/>
          <w:sz w:val="18"/>
          <w:szCs w:val="18"/>
          <w:lang w:val="fr-FR"/>
        </w:rPr>
        <w:t>et al</w:t>
      </w:r>
      <w:r w:rsidRPr="000C7CFA">
        <w:rPr>
          <w:rFonts w:ascii="Verdana" w:hAnsi="Verdana"/>
          <w:color w:val="000000"/>
          <w:sz w:val="18"/>
          <w:szCs w:val="18"/>
          <w:lang w:val="fr-FR"/>
        </w:rPr>
        <w:t xml:space="preserve">. (2011) and Xian </w:t>
      </w:r>
      <w:r w:rsidRPr="000C7CFA">
        <w:rPr>
          <w:rFonts w:ascii="Verdana" w:hAnsi="Verdana"/>
          <w:i/>
          <w:color w:val="000000"/>
          <w:sz w:val="18"/>
          <w:szCs w:val="18"/>
          <w:lang w:val="fr-FR"/>
        </w:rPr>
        <w:t>et al</w:t>
      </w:r>
      <w:r w:rsidRPr="000C7CFA">
        <w:rPr>
          <w:rFonts w:ascii="Verdana" w:hAnsi="Verdana"/>
          <w:color w:val="000000"/>
          <w:sz w:val="18"/>
          <w:szCs w:val="18"/>
          <w:lang w:val="fr-FR"/>
        </w:rPr>
        <w:t xml:space="preserve">. </w:t>
      </w:r>
      <w:r w:rsidRPr="000C7CFA">
        <w:rPr>
          <w:rFonts w:ascii="Verdana" w:hAnsi="Verdana"/>
          <w:color w:val="000000"/>
          <w:sz w:val="18"/>
          <w:szCs w:val="18"/>
        </w:rPr>
        <w:t>(2011) discuss analytical issues.</w:t>
      </w:r>
    </w:p>
    <w:p w14:paraId="4367A883" w14:textId="69EAACDD" w:rsidR="00BB49BC" w:rsidRPr="000C7CFA" w:rsidRDefault="00700C58" w:rsidP="00BB49BC">
      <w:pPr>
        <w:pStyle w:val="BodyText"/>
        <w:rPr>
          <w:rFonts w:ascii="Verdana" w:hAnsi="Verdana"/>
          <w:sz w:val="18"/>
          <w:szCs w:val="18"/>
        </w:rPr>
      </w:pPr>
      <w:r w:rsidRPr="000C7CFA">
        <w:rPr>
          <w:rFonts w:ascii="Verdana" w:hAnsi="Verdana"/>
          <w:sz w:val="18"/>
          <w:szCs w:val="18"/>
        </w:rPr>
        <w:t>Environmental monitoring data measured in Europe are available in the public domain</w:t>
      </w:r>
      <w:r w:rsidR="005D3A2B" w:rsidRPr="000C7CFA">
        <w:rPr>
          <w:rFonts w:ascii="Verdana" w:hAnsi="Verdana"/>
          <w:sz w:val="18"/>
          <w:szCs w:val="18"/>
        </w:rPr>
        <w:t xml:space="preserve">, and summarised in </w:t>
      </w:r>
      <w:r w:rsidR="008C3195" w:rsidRPr="000C7CFA">
        <w:rPr>
          <w:rFonts w:ascii="Verdana" w:hAnsi="Verdana"/>
          <w:sz w:val="18"/>
          <w:szCs w:val="18"/>
        </w:rPr>
        <w:fldChar w:fldCharType="begin"/>
      </w:r>
      <w:r w:rsidR="005D3A2B" w:rsidRPr="000C7CFA">
        <w:rPr>
          <w:rFonts w:ascii="Verdana" w:hAnsi="Verdana"/>
          <w:sz w:val="18"/>
          <w:szCs w:val="18"/>
        </w:rPr>
        <w:instrText xml:space="preserve"> REF _Ref427766663 \h </w:instrText>
      </w:r>
      <w:r w:rsidR="008640CB" w:rsidRPr="000C7CFA">
        <w:rPr>
          <w:rFonts w:ascii="Verdana" w:hAnsi="Verdana"/>
          <w:sz w:val="18"/>
          <w:szCs w:val="18"/>
        </w:rPr>
        <w:instrText xml:space="preserve"> \* MERGEFORMAT </w:instrText>
      </w:r>
      <w:r w:rsidR="008C3195" w:rsidRPr="000C7CFA">
        <w:rPr>
          <w:rFonts w:ascii="Verdana" w:hAnsi="Verdana"/>
          <w:sz w:val="18"/>
          <w:szCs w:val="18"/>
        </w:rPr>
      </w:r>
      <w:r w:rsidR="008C3195" w:rsidRPr="000C7CFA">
        <w:rPr>
          <w:rFonts w:ascii="Verdana" w:hAnsi="Verdana"/>
          <w:sz w:val="18"/>
          <w:szCs w:val="18"/>
        </w:rPr>
        <w:fldChar w:fldCharType="separate"/>
      </w:r>
      <w:r w:rsidR="00BA2885" w:rsidRPr="000C7CFA">
        <w:rPr>
          <w:rFonts w:ascii="Verdana" w:hAnsi="Verdana"/>
          <w:sz w:val="18"/>
          <w:szCs w:val="18"/>
        </w:rPr>
        <w:t xml:space="preserve">Table </w:t>
      </w:r>
      <w:r w:rsidR="00BA2885" w:rsidRPr="000C7CFA">
        <w:rPr>
          <w:rFonts w:ascii="Verdana" w:hAnsi="Verdana"/>
          <w:noProof/>
          <w:sz w:val="18"/>
          <w:szCs w:val="18"/>
        </w:rPr>
        <w:t>1</w:t>
      </w:r>
      <w:r w:rsidR="008C3195" w:rsidRPr="000C7CFA">
        <w:rPr>
          <w:rFonts w:ascii="Verdana" w:hAnsi="Verdana"/>
          <w:sz w:val="18"/>
          <w:szCs w:val="18"/>
        </w:rPr>
        <w:fldChar w:fldCharType="end"/>
      </w:r>
      <w:r w:rsidR="005D3A2B" w:rsidRPr="000C7CFA">
        <w:rPr>
          <w:rFonts w:ascii="Verdana" w:hAnsi="Verdana"/>
          <w:sz w:val="18"/>
          <w:szCs w:val="18"/>
        </w:rPr>
        <w:t xml:space="preserve"> </w:t>
      </w:r>
      <w:r w:rsidR="00AB0731" w:rsidRPr="000C7CFA">
        <w:rPr>
          <w:rFonts w:ascii="Verdana" w:hAnsi="Verdana"/>
          <w:sz w:val="18"/>
          <w:szCs w:val="18"/>
        </w:rPr>
        <w:t>of</w:t>
      </w:r>
      <w:r w:rsidR="005D3A2B" w:rsidRPr="000C7CFA">
        <w:rPr>
          <w:rFonts w:ascii="Verdana" w:hAnsi="Verdana"/>
          <w:sz w:val="18"/>
          <w:szCs w:val="18"/>
        </w:rPr>
        <w:t xml:space="preserve"> Section </w:t>
      </w:r>
      <w:r w:rsidR="008C3195" w:rsidRPr="000C7CFA">
        <w:rPr>
          <w:rFonts w:ascii="Verdana" w:hAnsi="Verdana"/>
          <w:sz w:val="18"/>
          <w:szCs w:val="18"/>
        </w:rPr>
        <w:fldChar w:fldCharType="begin"/>
      </w:r>
      <w:r w:rsidR="005D3A2B" w:rsidRPr="000C7CFA">
        <w:rPr>
          <w:rFonts w:ascii="Verdana" w:hAnsi="Verdana"/>
          <w:sz w:val="18"/>
          <w:szCs w:val="18"/>
        </w:rPr>
        <w:instrText xml:space="preserve"> REF _Ref428449927 \r \h </w:instrText>
      </w:r>
      <w:r w:rsidR="008640CB" w:rsidRPr="000C7CFA">
        <w:rPr>
          <w:rFonts w:ascii="Verdana" w:hAnsi="Verdana"/>
          <w:sz w:val="18"/>
          <w:szCs w:val="18"/>
        </w:rPr>
        <w:instrText xml:space="preserve"> \* MERGEFORMAT </w:instrText>
      </w:r>
      <w:r w:rsidR="008C3195" w:rsidRPr="000C7CFA">
        <w:rPr>
          <w:rFonts w:ascii="Verdana" w:hAnsi="Verdana"/>
          <w:sz w:val="18"/>
          <w:szCs w:val="18"/>
        </w:rPr>
      </w:r>
      <w:r w:rsidR="008C3195" w:rsidRPr="000C7CFA">
        <w:rPr>
          <w:rFonts w:ascii="Verdana" w:hAnsi="Verdana"/>
          <w:sz w:val="18"/>
          <w:szCs w:val="18"/>
        </w:rPr>
        <w:fldChar w:fldCharType="separate"/>
      </w:r>
      <w:r w:rsidR="00BA2885" w:rsidRPr="000C7CFA">
        <w:rPr>
          <w:rFonts w:ascii="Verdana" w:hAnsi="Verdana"/>
          <w:sz w:val="18"/>
          <w:szCs w:val="18"/>
        </w:rPr>
        <w:t>0</w:t>
      </w:r>
      <w:r w:rsidR="008C3195" w:rsidRPr="000C7CFA">
        <w:rPr>
          <w:rFonts w:ascii="Verdana" w:hAnsi="Verdana"/>
          <w:sz w:val="18"/>
          <w:szCs w:val="18"/>
        </w:rPr>
        <w:fldChar w:fldCharType="end"/>
      </w:r>
      <w:r w:rsidR="005D3A2B" w:rsidRPr="000C7CFA">
        <w:rPr>
          <w:rFonts w:ascii="Verdana" w:hAnsi="Verdana"/>
          <w:sz w:val="18"/>
          <w:szCs w:val="18"/>
        </w:rPr>
        <w:t xml:space="preserve"> (remote regions)</w:t>
      </w:r>
      <w:r w:rsidR="00AB0731" w:rsidRPr="000C7CFA">
        <w:rPr>
          <w:rFonts w:ascii="Verdana" w:hAnsi="Verdana"/>
          <w:sz w:val="18"/>
          <w:szCs w:val="18"/>
        </w:rPr>
        <w:t>,</w:t>
      </w:r>
      <w:r w:rsidR="005D3A2B" w:rsidRPr="000C7CFA">
        <w:rPr>
          <w:rFonts w:ascii="Verdana" w:hAnsi="Verdana"/>
          <w:sz w:val="18"/>
          <w:szCs w:val="18"/>
        </w:rPr>
        <w:t xml:space="preserve"> </w:t>
      </w:r>
      <w:r w:rsidR="0000000F" w:rsidRPr="000C7CFA">
        <w:rPr>
          <w:rFonts w:ascii="Verdana" w:hAnsi="Verdana"/>
          <w:sz w:val="18"/>
          <w:szCs w:val="18"/>
        </w:rPr>
        <w:t xml:space="preserve">Appendix </w:t>
      </w:r>
      <w:r w:rsidR="0038040F" w:rsidRPr="000C7CFA">
        <w:rPr>
          <w:rFonts w:ascii="Verdana" w:hAnsi="Verdana"/>
          <w:sz w:val="18"/>
          <w:szCs w:val="18"/>
        </w:rPr>
        <w:t>3 and 4</w:t>
      </w:r>
      <w:r w:rsidR="00AB0731" w:rsidRPr="000C7CFA">
        <w:rPr>
          <w:rFonts w:ascii="Verdana" w:hAnsi="Verdana"/>
          <w:sz w:val="18"/>
          <w:szCs w:val="18"/>
        </w:rPr>
        <w:t xml:space="preserve"> (biota)</w:t>
      </w:r>
      <w:r w:rsidR="005D3A2B" w:rsidRPr="000C7CFA">
        <w:rPr>
          <w:rFonts w:ascii="Verdana" w:hAnsi="Verdana"/>
          <w:sz w:val="18"/>
          <w:szCs w:val="18"/>
        </w:rPr>
        <w:t xml:space="preserve">, and Appendix </w:t>
      </w:r>
      <w:r w:rsidR="0038040F" w:rsidRPr="000C7CFA">
        <w:rPr>
          <w:rFonts w:ascii="Verdana" w:hAnsi="Verdana"/>
          <w:sz w:val="18"/>
          <w:szCs w:val="18"/>
        </w:rPr>
        <w:t>5</w:t>
      </w:r>
      <w:r w:rsidR="00AB0731" w:rsidRPr="000C7CFA">
        <w:rPr>
          <w:rFonts w:ascii="Verdana" w:hAnsi="Verdana"/>
          <w:sz w:val="18"/>
          <w:szCs w:val="18"/>
        </w:rPr>
        <w:t xml:space="preserve"> (other compartments)</w:t>
      </w:r>
      <w:r w:rsidRPr="000C7CFA">
        <w:rPr>
          <w:rFonts w:ascii="Verdana" w:hAnsi="Verdana"/>
          <w:sz w:val="18"/>
          <w:szCs w:val="18"/>
        </w:rPr>
        <w:t xml:space="preserve">. </w:t>
      </w:r>
    </w:p>
    <w:p w14:paraId="5D012036" w14:textId="77777777" w:rsidR="00893752" w:rsidRPr="000C7CFA" w:rsidRDefault="00893752">
      <w:pPr>
        <w:spacing w:after="0"/>
        <w:rPr>
          <w:rFonts w:ascii="Verdana" w:hAnsi="Verdana"/>
          <w:b/>
          <w:caps/>
          <w:sz w:val="18"/>
          <w:szCs w:val="18"/>
          <w:lang w:val="en-GB"/>
        </w:rPr>
      </w:pPr>
      <w:r w:rsidRPr="000C7CFA">
        <w:rPr>
          <w:rFonts w:ascii="Verdana" w:hAnsi="Verdana"/>
          <w:sz w:val="18"/>
          <w:szCs w:val="18"/>
        </w:rPr>
        <w:br w:type="page"/>
      </w:r>
    </w:p>
    <w:p w14:paraId="70AC2629" w14:textId="5FF74AF2" w:rsidR="00235A68" w:rsidRPr="000C7CFA" w:rsidRDefault="00BA0ECA" w:rsidP="00D90792">
      <w:pPr>
        <w:pStyle w:val="Heading1"/>
        <w:numPr>
          <w:ilvl w:val="0"/>
          <w:numId w:val="0"/>
        </w:numPr>
        <w:tabs>
          <w:tab w:val="clear" w:pos="839"/>
          <w:tab w:val="left" w:pos="1701"/>
        </w:tabs>
        <w:ind w:left="1701" w:hanging="1701"/>
        <w:rPr>
          <w:rFonts w:ascii="Verdana" w:hAnsi="Verdana"/>
          <w:sz w:val="18"/>
          <w:szCs w:val="18"/>
        </w:rPr>
      </w:pPr>
      <w:bookmarkStart w:id="147" w:name="_Toc491862800"/>
      <w:r w:rsidRPr="000C7CFA">
        <w:rPr>
          <w:rFonts w:ascii="Verdana" w:hAnsi="Verdana"/>
          <w:sz w:val="18"/>
          <w:szCs w:val="18"/>
        </w:rPr>
        <w:lastRenderedPageBreak/>
        <w:t>ANNEX</w:t>
      </w:r>
      <w:r w:rsidR="00D90792" w:rsidRPr="000C7CFA">
        <w:rPr>
          <w:rFonts w:ascii="Verdana" w:hAnsi="Verdana"/>
          <w:sz w:val="18"/>
          <w:szCs w:val="18"/>
        </w:rPr>
        <w:tab/>
        <w:t>Literature search</w:t>
      </w:r>
      <w:bookmarkEnd w:id="147"/>
    </w:p>
    <w:p w14:paraId="1740E803" w14:textId="77777777" w:rsidR="00235A68" w:rsidRPr="000C7CFA" w:rsidRDefault="00235A68" w:rsidP="00235A68">
      <w:pPr>
        <w:jc w:val="both"/>
        <w:rPr>
          <w:rFonts w:ascii="Verdana" w:hAnsi="Verdana"/>
          <w:bCs/>
          <w:sz w:val="18"/>
          <w:szCs w:val="18"/>
          <w:lang w:val="en-GB"/>
        </w:rPr>
      </w:pPr>
    </w:p>
    <w:p w14:paraId="30116AF8" w14:textId="77777777" w:rsidR="00235A68" w:rsidRPr="000C7CFA" w:rsidRDefault="00BA0ECA" w:rsidP="00235A68">
      <w:pPr>
        <w:jc w:val="both"/>
        <w:rPr>
          <w:rFonts w:ascii="Verdana" w:hAnsi="Verdana"/>
          <w:bCs/>
          <w:sz w:val="18"/>
          <w:szCs w:val="18"/>
          <w:lang w:val="en-GB"/>
        </w:rPr>
      </w:pPr>
      <w:r w:rsidRPr="000C7CFA">
        <w:rPr>
          <w:rFonts w:ascii="Verdana" w:hAnsi="Verdana"/>
          <w:bCs/>
          <w:sz w:val="18"/>
          <w:szCs w:val="18"/>
          <w:lang w:val="en-GB"/>
        </w:rPr>
        <w:t>A</w:t>
      </w:r>
      <w:r w:rsidR="00E06B9A" w:rsidRPr="000C7CFA">
        <w:rPr>
          <w:rFonts w:ascii="Verdana" w:hAnsi="Verdana"/>
          <w:bCs/>
          <w:sz w:val="18"/>
          <w:szCs w:val="18"/>
          <w:lang w:val="en-GB"/>
        </w:rPr>
        <w:t>n initial</w:t>
      </w:r>
      <w:r w:rsidRPr="000C7CFA">
        <w:rPr>
          <w:rFonts w:ascii="Verdana" w:hAnsi="Verdana"/>
          <w:bCs/>
          <w:sz w:val="18"/>
          <w:szCs w:val="18"/>
          <w:lang w:val="en-GB"/>
        </w:rPr>
        <w:t xml:space="preserve"> literature search was carried out on the 5</w:t>
      </w:r>
      <w:r w:rsidRPr="000C7CFA">
        <w:rPr>
          <w:rFonts w:ascii="Verdana" w:hAnsi="Verdana"/>
          <w:bCs/>
          <w:sz w:val="18"/>
          <w:szCs w:val="18"/>
          <w:vertAlign w:val="superscript"/>
          <w:lang w:val="en-GB"/>
        </w:rPr>
        <w:t>th</w:t>
      </w:r>
      <w:r w:rsidRPr="000C7CFA">
        <w:rPr>
          <w:rFonts w:ascii="Verdana" w:hAnsi="Verdana"/>
          <w:bCs/>
          <w:sz w:val="18"/>
          <w:szCs w:val="18"/>
          <w:lang w:val="en-GB"/>
        </w:rPr>
        <w:t xml:space="preserve"> of December 2013</w:t>
      </w:r>
      <w:r w:rsidR="00235A68" w:rsidRPr="000C7CFA">
        <w:rPr>
          <w:rFonts w:ascii="Verdana" w:hAnsi="Verdana"/>
          <w:bCs/>
          <w:sz w:val="18"/>
          <w:szCs w:val="18"/>
          <w:lang w:val="en-GB"/>
        </w:rPr>
        <w:t>, using available online including Chemical Abstracts and Toxnet. A combination of the following search terms were used in the search:</w:t>
      </w:r>
    </w:p>
    <w:p w14:paraId="2741888F" w14:textId="77777777" w:rsidR="00235A68" w:rsidRPr="000C7CFA" w:rsidRDefault="00235A68" w:rsidP="006E78BA">
      <w:pPr>
        <w:ind w:left="284" w:right="657"/>
        <w:jc w:val="both"/>
        <w:rPr>
          <w:rFonts w:ascii="Verdana" w:hAnsi="Verdana"/>
          <w:bCs/>
          <w:sz w:val="18"/>
          <w:szCs w:val="18"/>
          <w:lang w:val="en-GB"/>
        </w:rPr>
      </w:pPr>
      <w:r w:rsidRPr="000C7CFA">
        <w:rPr>
          <w:rFonts w:ascii="Verdana" w:hAnsi="Verdana"/>
          <w:bCs/>
          <w:sz w:val="18"/>
          <w:szCs w:val="18"/>
          <w:lang w:val="en-GB"/>
        </w:rPr>
        <w:t>59459-11-9 or 60880-74-2 or dechlorane or 11114-14-0 or 13560-89-9 or 39386-10-2 or 40372-58-5 NOT Document Type: p AND bioaccumlat* or bioconcentrat* or toxic* or ecotox* or biodegrad* or genotox* or physicochem*</w:t>
      </w:r>
    </w:p>
    <w:p w14:paraId="18208EF9" w14:textId="77777777" w:rsidR="006E78BA" w:rsidRPr="000C7CFA" w:rsidRDefault="006E78BA" w:rsidP="006E78BA">
      <w:pPr>
        <w:jc w:val="both"/>
        <w:rPr>
          <w:rFonts w:ascii="Verdana" w:hAnsi="Verdana"/>
          <w:bCs/>
          <w:sz w:val="18"/>
          <w:szCs w:val="18"/>
          <w:lang w:val="en-GB"/>
        </w:rPr>
      </w:pPr>
      <w:r w:rsidRPr="000C7CFA">
        <w:rPr>
          <w:rFonts w:ascii="Verdana" w:hAnsi="Verdana"/>
          <w:bCs/>
          <w:sz w:val="18"/>
          <w:szCs w:val="18"/>
          <w:lang w:val="en-GB"/>
        </w:rPr>
        <w:t>A further literature search was performed on 15 May 2015 using the abstract and citation database Scopus using the simple criteria of “Dechlorane Plus”. A final literature search was undertaken on the 17 November 2015 covering the time period May 2015 to 17 November 2015. The search was carried out using PubMed using the simple criteria of “dechlorane” and “dechlorane plus”. In addition a search of the non-patent literature was undertaken using Chemical Abstracts and the following combination of search terms:</w:t>
      </w:r>
    </w:p>
    <w:p w14:paraId="3419A2B3" w14:textId="77777777" w:rsidR="006E78BA" w:rsidRPr="000C7CFA" w:rsidRDefault="006E78BA" w:rsidP="006E78BA">
      <w:pPr>
        <w:ind w:left="284" w:right="657"/>
        <w:jc w:val="both"/>
        <w:rPr>
          <w:rFonts w:ascii="Verdana" w:hAnsi="Verdana"/>
          <w:bCs/>
          <w:sz w:val="18"/>
          <w:szCs w:val="18"/>
          <w:lang w:val="en-GB"/>
        </w:rPr>
      </w:pPr>
      <w:r w:rsidRPr="000C7CFA">
        <w:rPr>
          <w:rFonts w:ascii="Verdana" w:hAnsi="Verdana"/>
          <w:bCs/>
          <w:sz w:val="18"/>
          <w:szCs w:val="18"/>
          <w:lang w:val="en-GB"/>
        </w:rPr>
        <w:t>13560-89-9 or 135821-74-8 or 135821-03-3 AND bioaccumlat* or bioconcentrat* or biomag* or magnification or toxic* or ecotox* or biodegrad* or degrad* or physicochem*.</w:t>
      </w:r>
    </w:p>
    <w:p w14:paraId="0F1341BD" w14:textId="0D3B7E18" w:rsidR="00235A68" w:rsidRPr="000C7CFA" w:rsidRDefault="00BA0ECA" w:rsidP="00235A68">
      <w:pPr>
        <w:jc w:val="both"/>
        <w:rPr>
          <w:rFonts w:ascii="Verdana" w:hAnsi="Verdana"/>
          <w:sz w:val="18"/>
          <w:szCs w:val="18"/>
          <w:lang w:val="en-GB"/>
        </w:rPr>
      </w:pPr>
      <w:r w:rsidRPr="000C7CFA">
        <w:rPr>
          <w:rFonts w:ascii="Verdana" w:hAnsi="Verdana"/>
          <w:sz w:val="18"/>
          <w:szCs w:val="18"/>
          <w:lang w:val="en-GB"/>
        </w:rPr>
        <w:t>Since the substance is sometimes included in screening studies involving many other halogenated compounds, this search strategy might not identify every study that reports data on it. The reference lists of the cited studies were therefore also checked for additional studies.</w:t>
      </w:r>
      <w:r w:rsidR="0052607C" w:rsidRPr="000C7CFA">
        <w:rPr>
          <w:rFonts w:ascii="Verdana" w:hAnsi="Verdana"/>
          <w:sz w:val="18"/>
          <w:szCs w:val="18"/>
          <w:lang w:val="en-GB"/>
        </w:rPr>
        <w:t xml:space="preserve"> </w:t>
      </w:r>
      <w:r w:rsidRPr="000C7CFA">
        <w:rPr>
          <w:rFonts w:ascii="Verdana" w:hAnsi="Verdana"/>
          <w:sz w:val="18"/>
          <w:szCs w:val="18"/>
          <w:lang w:val="en-GB"/>
        </w:rPr>
        <w:t xml:space="preserve">Grey literature was also considered. </w:t>
      </w:r>
    </w:p>
    <w:p w14:paraId="7D3CE66E" w14:textId="2BCC3CB1" w:rsidR="0052607C" w:rsidRPr="000C7CFA" w:rsidRDefault="0052607C" w:rsidP="00235A68">
      <w:pPr>
        <w:jc w:val="both"/>
        <w:rPr>
          <w:rFonts w:ascii="Verdana" w:hAnsi="Verdana"/>
          <w:sz w:val="18"/>
          <w:szCs w:val="18"/>
          <w:lang w:val="en-GB"/>
        </w:rPr>
      </w:pPr>
      <w:r w:rsidRPr="000C7CFA">
        <w:rPr>
          <w:rFonts w:ascii="Verdana" w:hAnsi="Verdana"/>
          <w:sz w:val="18"/>
          <w:szCs w:val="18"/>
          <w:lang w:val="en-GB"/>
        </w:rPr>
        <w:t>Given the very large number of studies</w:t>
      </w:r>
      <w:r w:rsidR="00522C41" w:rsidRPr="000C7CFA">
        <w:rPr>
          <w:rFonts w:ascii="Verdana" w:hAnsi="Verdana"/>
          <w:sz w:val="18"/>
          <w:szCs w:val="18"/>
          <w:lang w:val="en-GB"/>
        </w:rPr>
        <w:t xml:space="preserve"> published annually (</w:t>
      </w:r>
      <w:r w:rsidRPr="000C7CFA">
        <w:rPr>
          <w:rFonts w:ascii="Verdana" w:hAnsi="Verdana"/>
          <w:sz w:val="18"/>
          <w:szCs w:val="18"/>
          <w:lang w:val="en-GB"/>
        </w:rPr>
        <w:t>often providing similar information</w:t>
      </w:r>
      <w:r w:rsidR="00522C41" w:rsidRPr="000C7CFA">
        <w:rPr>
          <w:rFonts w:ascii="Verdana" w:hAnsi="Verdana"/>
          <w:sz w:val="18"/>
          <w:szCs w:val="18"/>
          <w:lang w:val="en-GB"/>
        </w:rPr>
        <w:t xml:space="preserve"> to existing studies)</w:t>
      </w:r>
      <w:r w:rsidRPr="000C7CFA">
        <w:rPr>
          <w:rFonts w:ascii="Verdana" w:hAnsi="Verdana"/>
          <w:sz w:val="18"/>
          <w:szCs w:val="18"/>
          <w:lang w:val="en-GB"/>
        </w:rPr>
        <w:t xml:space="preserve">, no formal additional literature search has been performed since November 2015. Nevertheless, the publication of a draft Canadian screening assessment </w:t>
      </w:r>
      <w:r w:rsidR="00522C41" w:rsidRPr="000C7CFA">
        <w:rPr>
          <w:rFonts w:ascii="Verdana" w:hAnsi="Verdana"/>
          <w:sz w:val="18"/>
          <w:szCs w:val="18"/>
          <w:lang w:val="en-GB"/>
        </w:rPr>
        <w:t xml:space="preserve">in 2016 </w:t>
      </w:r>
      <w:r w:rsidRPr="000C7CFA">
        <w:rPr>
          <w:rFonts w:ascii="Verdana" w:hAnsi="Verdana"/>
          <w:sz w:val="18"/>
          <w:szCs w:val="18"/>
          <w:lang w:val="en-GB"/>
        </w:rPr>
        <w:t xml:space="preserve">and some more recent </w:t>
      </w:r>
      <w:r w:rsidR="00522C41" w:rsidRPr="000C7CFA">
        <w:rPr>
          <w:rFonts w:ascii="Verdana" w:hAnsi="Verdana"/>
          <w:sz w:val="18"/>
          <w:szCs w:val="18"/>
          <w:lang w:val="en-GB"/>
        </w:rPr>
        <w:t xml:space="preserve">ecotoxicity </w:t>
      </w:r>
      <w:r w:rsidRPr="000C7CFA">
        <w:rPr>
          <w:rFonts w:ascii="Verdana" w:hAnsi="Verdana"/>
          <w:sz w:val="18"/>
          <w:szCs w:val="18"/>
          <w:lang w:val="en-GB"/>
        </w:rPr>
        <w:t xml:space="preserve">studies </w:t>
      </w:r>
      <w:r w:rsidR="00522C41" w:rsidRPr="000C7CFA">
        <w:rPr>
          <w:rFonts w:ascii="Verdana" w:hAnsi="Verdana"/>
          <w:sz w:val="18"/>
          <w:szCs w:val="18"/>
          <w:lang w:val="en-GB"/>
        </w:rPr>
        <w:t>have been considered</w:t>
      </w:r>
      <w:r w:rsidR="00812457" w:rsidRPr="000C7CFA">
        <w:rPr>
          <w:rFonts w:ascii="Verdana" w:hAnsi="Verdana"/>
          <w:sz w:val="18"/>
          <w:szCs w:val="18"/>
          <w:lang w:val="en-GB"/>
        </w:rPr>
        <w:t xml:space="preserve"> as these are relevant to the T criterion</w:t>
      </w:r>
      <w:r w:rsidR="00522C41" w:rsidRPr="000C7CFA">
        <w:rPr>
          <w:rFonts w:ascii="Verdana" w:hAnsi="Verdana"/>
          <w:sz w:val="18"/>
          <w:szCs w:val="18"/>
          <w:lang w:val="en-GB"/>
        </w:rPr>
        <w:t>. If other relevant studies are highlighted during public consultation, these can be considered in due course.</w:t>
      </w:r>
    </w:p>
    <w:p w14:paraId="70CD9CFD" w14:textId="77777777" w:rsidR="009B57F2" w:rsidRPr="000C7CFA" w:rsidRDefault="009B57F2" w:rsidP="002551A5">
      <w:pPr>
        <w:spacing w:after="0"/>
        <w:jc w:val="both"/>
        <w:rPr>
          <w:rFonts w:ascii="Verdana" w:hAnsi="Verdana"/>
          <w:sz w:val="18"/>
          <w:szCs w:val="18"/>
          <w:lang w:val="en-GB"/>
        </w:rPr>
      </w:pPr>
      <w:r w:rsidRPr="000C7CFA">
        <w:rPr>
          <w:rFonts w:ascii="Verdana" w:hAnsi="Verdana"/>
          <w:sz w:val="18"/>
          <w:szCs w:val="18"/>
          <w:lang w:val="en-GB"/>
        </w:rPr>
        <w:t>The following list of references were screened (abstracts only) for relevance, and considered to be of low importance for this report. The reason is provided after each reference.</w:t>
      </w:r>
    </w:p>
    <w:p w14:paraId="1B0C91FE" w14:textId="77777777" w:rsidR="002854F3" w:rsidRPr="000C7CFA" w:rsidRDefault="002854F3" w:rsidP="002854F3">
      <w:pPr>
        <w:spacing w:after="0"/>
        <w:jc w:val="both"/>
        <w:rPr>
          <w:rFonts w:ascii="Verdana" w:hAnsi="Verdana"/>
          <w:sz w:val="18"/>
          <w:szCs w:val="18"/>
          <w:lang w:val="en-GB"/>
        </w:rPr>
      </w:pPr>
    </w:p>
    <w:p w14:paraId="554127F1" w14:textId="77777777" w:rsidR="00812457" w:rsidRPr="000C7CFA" w:rsidRDefault="006E78BA" w:rsidP="006E78BA">
      <w:pPr>
        <w:spacing w:after="0"/>
        <w:jc w:val="both"/>
        <w:rPr>
          <w:rFonts w:ascii="Verdana" w:hAnsi="Verdana"/>
          <w:sz w:val="18"/>
          <w:szCs w:val="18"/>
        </w:rPr>
      </w:pPr>
      <w:r w:rsidRPr="000C7CFA">
        <w:rPr>
          <w:rFonts w:ascii="Verdana" w:hAnsi="Verdana"/>
          <w:sz w:val="18"/>
          <w:szCs w:val="18"/>
          <w:lang w:val="en-GB"/>
        </w:rPr>
        <w:t>Abbasi NA, Malik RN, Frantz A and Jaspers VL. A review on current knowledge and future prospects of organohalogen contaminants (OHCs) in Asian birds.</w:t>
      </w:r>
      <w:r w:rsidRPr="000C7CFA">
        <w:rPr>
          <w:rFonts w:ascii="Verdana" w:hAnsi="Verdana"/>
          <w:sz w:val="18"/>
          <w:szCs w:val="18"/>
        </w:rPr>
        <w:t xml:space="preserve"> </w:t>
      </w:r>
      <w:r w:rsidRPr="000C7CFA">
        <w:rPr>
          <w:rFonts w:ascii="Verdana" w:hAnsi="Verdana"/>
          <w:sz w:val="18"/>
          <w:szCs w:val="18"/>
          <w:lang w:val="en-GB"/>
        </w:rPr>
        <w:t xml:space="preserve">Science of the Total Environment, 2015 Oct 29; 542(Pt A):411-426. </w:t>
      </w:r>
      <w:proofErr w:type="gramStart"/>
      <w:r w:rsidRPr="000C7CFA">
        <w:rPr>
          <w:rFonts w:ascii="Verdana" w:hAnsi="Verdana"/>
          <w:sz w:val="18"/>
          <w:szCs w:val="18"/>
          <w:lang w:val="en-GB"/>
        </w:rPr>
        <w:t>doi</w:t>
      </w:r>
      <w:proofErr w:type="gramEnd"/>
      <w:r w:rsidRPr="000C7CFA">
        <w:rPr>
          <w:rFonts w:ascii="Verdana" w:hAnsi="Verdana"/>
          <w:sz w:val="18"/>
          <w:szCs w:val="18"/>
          <w:lang w:val="en-GB"/>
        </w:rPr>
        <w:t>: 10.1016/j.scitotenv.2015.10.088. [Epub ahead of print].</w:t>
      </w:r>
      <w:r w:rsidRPr="000C7CFA">
        <w:rPr>
          <w:rFonts w:ascii="Verdana" w:hAnsi="Verdana"/>
          <w:sz w:val="18"/>
          <w:szCs w:val="18"/>
        </w:rPr>
        <w:t xml:space="preserve"> </w:t>
      </w:r>
    </w:p>
    <w:p w14:paraId="4C498F52" w14:textId="3FA639FE" w:rsidR="006E78BA" w:rsidRPr="000C7CFA" w:rsidRDefault="006E78BA" w:rsidP="006E78BA">
      <w:pPr>
        <w:spacing w:after="0"/>
        <w:jc w:val="both"/>
        <w:rPr>
          <w:rFonts w:ascii="Verdana" w:hAnsi="Verdana"/>
          <w:i/>
          <w:sz w:val="18"/>
          <w:szCs w:val="18"/>
          <w:lang w:val="en-GB"/>
        </w:rPr>
      </w:pPr>
      <w:r w:rsidRPr="000C7CFA">
        <w:rPr>
          <w:rFonts w:ascii="Verdana" w:hAnsi="Verdana"/>
          <w:i/>
          <w:sz w:val="18"/>
          <w:szCs w:val="18"/>
          <w:lang w:val="en-GB"/>
        </w:rPr>
        <w:t>Reason for omission: Review article.</w:t>
      </w:r>
    </w:p>
    <w:p w14:paraId="3D0C12A8" w14:textId="77777777" w:rsidR="006E78BA" w:rsidRPr="000C7CFA" w:rsidRDefault="006E78BA" w:rsidP="0028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006AF5B5" w14:textId="77777777" w:rsidR="00583CF2" w:rsidRPr="000C7CFA" w:rsidRDefault="00583CF2" w:rsidP="00583CF2">
      <w:pPr>
        <w:pStyle w:val="NoSpacing"/>
        <w:jc w:val="both"/>
        <w:rPr>
          <w:rFonts w:ascii="Verdana" w:hAnsi="Verdana" w:cs="Times New Roman"/>
          <w:sz w:val="18"/>
          <w:szCs w:val="18"/>
        </w:rPr>
      </w:pPr>
      <w:r w:rsidRPr="000C7CFA">
        <w:rPr>
          <w:rFonts w:ascii="Verdana" w:hAnsi="Verdana" w:cs="Times New Roman"/>
          <w:sz w:val="18"/>
          <w:szCs w:val="18"/>
        </w:rPr>
        <w:t>Abbasi G, Saini A, Goosey E and Diamond ML (2016). Product screening for sources of halogenated flame retardants in Canadian house and office dust. Science of the Total Environment, 545–546, 299–307.</w:t>
      </w:r>
    </w:p>
    <w:p w14:paraId="2260E444" w14:textId="7D5626ED" w:rsidR="00583CF2" w:rsidRPr="000C7CFA" w:rsidRDefault="00583CF2" w:rsidP="00583CF2">
      <w:pPr>
        <w:pStyle w:val="NoSpacing"/>
        <w:jc w:val="both"/>
        <w:rPr>
          <w:rFonts w:ascii="Verdana" w:hAnsi="Verdana" w:cs="Times New Roman"/>
          <w:i/>
          <w:sz w:val="18"/>
          <w:szCs w:val="18"/>
        </w:rPr>
      </w:pPr>
      <w:r w:rsidRPr="000C7CFA">
        <w:rPr>
          <w:rFonts w:ascii="Verdana" w:hAnsi="Verdana"/>
          <w:i/>
          <w:sz w:val="18"/>
          <w:szCs w:val="18"/>
        </w:rPr>
        <w:t>Reason for omission</w:t>
      </w:r>
      <w:r w:rsidRPr="000C7CFA">
        <w:rPr>
          <w:rFonts w:ascii="Verdana" w:hAnsi="Verdana" w:cs="Times New Roman"/>
          <w:i/>
          <w:sz w:val="18"/>
          <w:szCs w:val="18"/>
        </w:rPr>
        <w:t>: Levels in indoor products and dust from North America.</w:t>
      </w:r>
    </w:p>
    <w:p w14:paraId="7A21D16D" w14:textId="77777777" w:rsidR="00583CF2" w:rsidRPr="000C7CFA" w:rsidRDefault="00583CF2" w:rsidP="00583CF2">
      <w:pPr>
        <w:pStyle w:val="NoSpacing"/>
        <w:jc w:val="both"/>
        <w:rPr>
          <w:rFonts w:ascii="Verdana" w:hAnsi="Verdana" w:cs="Times New Roman"/>
          <w:sz w:val="18"/>
          <w:szCs w:val="18"/>
        </w:rPr>
      </w:pPr>
    </w:p>
    <w:p w14:paraId="13349704" w14:textId="77777777" w:rsidR="002854F3" w:rsidRPr="000C7CFA" w:rsidRDefault="002854F3" w:rsidP="0028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Ali U, Mahmood A, Syed JH, Li J, Zhang G, Katsoyiannis A, Jones KC and Malik RN (2015). Assessing the combined influence of TOC and black carbon in soil-air partitioning of PBDEs and DPs from the Indus River Basin, Pakistan. Environmental Pollution, 201, 131-140. </w:t>
      </w:r>
    </w:p>
    <w:p w14:paraId="63924214" w14:textId="77777777" w:rsidR="002854F3" w:rsidRPr="000C7CFA" w:rsidRDefault="002854F3" w:rsidP="002854F3">
      <w:pPr>
        <w:spacing w:after="0"/>
        <w:jc w:val="both"/>
        <w:rPr>
          <w:rFonts w:ascii="Verdana" w:hAnsi="Verdana"/>
          <w:sz w:val="18"/>
          <w:szCs w:val="18"/>
          <w:lang w:val="en-GB"/>
        </w:rPr>
      </w:pPr>
      <w:r w:rsidRPr="000C7CFA">
        <w:rPr>
          <w:rFonts w:ascii="Verdana" w:hAnsi="Verdana"/>
          <w:i/>
          <w:sz w:val="18"/>
          <w:szCs w:val="18"/>
          <w:lang w:val="en-GB"/>
        </w:rPr>
        <w:t>Reason for omission: Levels in soils, outside Europe</w:t>
      </w:r>
      <w:r w:rsidRPr="000C7CFA">
        <w:rPr>
          <w:rFonts w:ascii="Verdana" w:hAnsi="Verdana"/>
          <w:sz w:val="18"/>
          <w:szCs w:val="18"/>
          <w:lang w:val="en-GB"/>
        </w:rPr>
        <w:t>.</w:t>
      </w:r>
    </w:p>
    <w:p w14:paraId="7CFDD9FF" w14:textId="77777777" w:rsidR="00E61D4D" w:rsidRPr="000C7CFA" w:rsidRDefault="00E61D4D" w:rsidP="002551A5">
      <w:pPr>
        <w:spacing w:after="0"/>
        <w:jc w:val="both"/>
        <w:rPr>
          <w:rFonts w:ascii="Verdana" w:hAnsi="Verdana"/>
          <w:sz w:val="18"/>
          <w:szCs w:val="18"/>
          <w:lang w:val="en-GB"/>
        </w:rPr>
      </w:pPr>
    </w:p>
    <w:p w14:paraId="31A0F895" w14:textId="77777777" w:rsidR="00FF171A" w:rsidRPr="000C7CFA" w:rsidRDefault="00FF171A" w:rsidP="00FF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Bao L-J, Wei Y-L, Yao Y, Ruan Q-Q and Zeng EY </w:t>
      </w:r>
      <w:r w:rsidR="00986C13" w:rsidRPr="000C7CFA">
        <w:rPr>
          <w:rFonts w:ascii="Verdana" w:hAnsi="Verdana"/>
          <w:sz w:val="18"/>
          <w:szCs w:val="18"/>
          <w:lang w:eastAsia="en-GB"/>
        </w:rPr>
        <w:t>(2015</w:t>
      </w:r>
      <w:r w:rsidRPr="000C7CFA">
        <w:rPr>
          <w:rFonts w:ascii="Verdana" w:hAnsi="Verdana"/>
          <w:sz w:val="18"/>
          <w:szCs w:val="18"/>
          <w:lang w:eastAsia="en-GB"/>
        </w:rPr>
        <w:t xml:space="preserve">). Global trends of research on emerging contaminants in the environment and humans: a literature assimilation. Environmental Science and Pollution Research. </w:t>
      </w:r>
      <w:r w:rsidR="00986C13" w:rsidRPr="000C7CFA">
        <w:rPr>
          <w:rFonts w:ascii="Verdana" w:hAnsi="Verdana"/>
          <w:sz w:val="18"/>
          <w:szCs w:val="18"/>
          <w:lang w:eastAsia="en-GB"/>
        </w:rPr>
        <w:t>22, 1635-1643</w:t>
      </w:r>
      <w:r w:rsidRPr="000C7CFA">
        <w:rPr>
          <w:rFonts w:ascii="Verdana" w:hAnsi="Verdana"/>
          <w:sz w:val="18"/>
          <w:szCs w:val="18"/>
          <w:lang w:eastAsia="en-GB"/>
        </w:rPr>
        <w:t xml:space="preserve">. </w:t>
      </w:r>
    </w:p>
    <w:p w14:paraId="076D4A2B" w14:textId="77777777" w:rsidR="00FF171A" w:rsidRPr="000C7CFA" w:rsidRDefault="00FF171A" w:rsidP="00FF171A">
      <w:pPr>
        <w:spacing w:after="0"/>
        <w:jc w:val="both"/>
        <w:rPr>
          <w:rFonts w:ascii="Verdana" w:hAnsi="Verdana"/>
          <w:sz w:val="18"/>
          <w:szCs w:val="18"/>
          <w:lang w:val="en-GB"/>
        </w:rPr>
      </w:pPr>
      <w:r w:rsidRPr="000C7CFA">
        <w:rPr>
          <w:rFonts w:ascii="Verdana" w:hAnsi="Verdana"/>
          <w:i/>
          <w:sz w:val="18"/>
          <w:szCs w:val="18"/>
          <w:lang w:val="en-GB"/>
        </w:rPr>
        <w:t>Reason for omission: Review article only</w:t>
      </w:r>
      <w:r w:rsidRPr="000C7CFA">
        <w:rPr>
          <w:rFonts w:ascii="Verdana" w:hAnsi="Verdana"/>
          <w:sz w:val="18"/>
          <w:szCs w:val="18"/>
          <w:lang w:val="en-GB"/>
        </w:rPr>
        <w:t>.</w:t>
      </w:r>
    </w:p>
    <w:p w14:paraId="06C30587" w14:textId="77777777" w:rsidR="00FF171A" w:rsidRPr="000C7CFA" w:rsidRDefault="00FF171A" w:rsidP="00FF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02B7BE79" w14:textId="77777777" w:rsidR="00FF171A" w:rsidRPr="000C7CFA" w:rsidRDefault="00FF171A" w:rsidP="00FF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Cao Z, Xu F, Covaci A, Wu M, Wang H, Yu G, Wang B, Deng S, Huang J and Wang X (2014). Distribution patterns of brominated, chlorinated, and phosphorus flame retardants with particle size in indoor and outdoor dust and implications for human exposure. Environmental Science and Technology, 48 (15), 8839-8846. </w:t>
      </w:r>
    </w:p>
    <w:p w14:paraId="5E12E4CC" w14:textId="77777777" w:rsidR="00FF171A" w:rsidRPr="000C7CFA" w:rsidRDefault="00FF171A" w:rsidP="00FF171A">
      <w:pPr>
        <w:spacing w:after="0"/>
        <w:jc w:val="both"/>
        <w:rPr>
          <w:rFonts w:ascii="Verdana" w:hAnsi="Verdana"/>
          <w:sz w:val="18"/>
          <w:szCs w:val="18"/>
          <w:lang w:val="en-GB"/>
        </w:rPr>
      </w:pPr>
      <w:r w:rsidRPr="000C7CFA">
        <w:rPr>
          <w:rFonts w:ascii="Verdana" w:hAnsi="Verdana"/>
          <w:i/>
          <w:sz w:val="18"/>
          <w:szCs w:val="18"/>
          <w:lang w:val="en-GB"/>
        </w:rPr>
        <w:lastRenderedPageBreak/>
        <w:t>Reason for omission: Levels in indoor and roadside dust, outside Europe</w:t>
      </w:r>
      <w:r w:rsidRPr="000C7CFA">
        <w:rPr>
          <w:rFonts w:ascii="Verdana" w:hAnsi="Verdana"/>
          <w:sz w:val="18"/>
          <w:szCs w:val="18"/>
          <w:lang w:val="en-GB"/>
        </w:rPr>
        <w:t>.</w:t>
      </w:r>
    </w:p>
    <w:p w14:paraId="15E052D6" w14:textId="77777777" w:rsidR="00541B58" w:rsidRPr="000C7CFA" w:rsidRDefault="00541B58" w:rsidP="0054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59D6955C" w14:textId="77777777" w:rsidR="00893458" w:rsidRPr="000C7CFA" w:rsidRDefault="00893458" w:rsidP="0089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Chen, S.J., Tian, M., Wang, J., Shi, T., Luo, Y., Luo, X.J., Mai, B.X., (2011). Dechlorane </w:t>
      </w:r>
      <w:proofErr w:type="gramStart"/>
      <w:r w:rsidRPr="000C7CFA">
        <w:rPr>
          <w:rFonts w:ascii="Verdana" w:hAnsi="Verdana"/>
          <w:sz w:val="18"/>
          <w:szCs w:val="18"/>
          <w:lang w:eastAsia="en-GB"/>
        </w:rPr>
        <w:t>Plus</w:t>
      </w:r>
      <w:proofErr w:type="gramEnd"/>
      <w:r w:rsidRPr="000C7CFA">
        <w:rPr>
          <w:rFonts w:ascii="Verdana" w:hAnsi="Verdana"/>
          <w:sz w:val="18"/>
          <w:szCs w:val="18"/>
          <w:lang w:eastAsia="en-GB"/>
        </w:rPr>
        <w:t xml:space="preserve"> (DP) in air and plants at an electronic waste (e-waste) site in South China. Environ. </w:t>
      </w:r>
      <w:proofErr w:type="gramStart"/>
      <w:r w:rsidRPr="000C7CFA">
        <w:rPr>
          <w:rFonts w:ascii="Verdana" w:hAnsi="Verdana"/>
          <w:sz w:val="18"/>
          <w:szCs w:val="18"/>
          <w:lang w:eastAsia="en-GB"/>
        </w:rPr>
        <w:t>Pollut.,</w:t>
      </w:r>
      <w:proofErr w:type="gramEnd"/>
      <w:r w:rsidRPr="000C7CFA">
        <w:rPr>
          <w:rFonts w:ascii="Verdana" w:hAnsi="Verdana"/>
          <w:sz w:val="18"/>
          <w:szCs w:val="18"/>
          <w:lang w:eastAsia="en-GB"/>
        </w:rPr>
        <w:t xml:space="preserve"> 159, 1290–1296.</w:t>
      </w:r>
    </w:p>
    <w:p w14:paraId="182CDE6A" w14:textId="77777777" w:rsidR="00893458" w:rsidRPr="000C7CFA" w:rsidRDefault="00893458" w:rsidP="00893458">
      <w:pPr>
        <w:spacing w:after="0"/>
        <w:jc w:val="both"/>
        <w:rPr>
          <w:rFonts w:ascii="Verdana" w:hAnsi="Verdana"/>
          <w:sz w:val="18"/>
          <w:szCs w:val="18"/>
          <w:lang w:val="en-GB"/>
        </w:rPr>
      </w:pPr>
      <w:r w:rsidRPr="000C7CFA">
        <w:rPr>
          <w:rFonts w:ascii="Verdana" w:hAnsi="Verdana"/>
          <w:i/>
          <w:sz w:val="18"/>
          <w:szCs w:val="18"/>
          <w:lang w:val="en-GB"/>
        </w:rPr>
        <w:t>Reason for omission: Levels in air and tree bark, outside Europe</w:t>
      </w:r>
      <w:r w:rsidRPr="000C7CFA">
        <w:rPr>
          <w:rFonts w:ascii="Verdana" w:hAnsi="Verdana"/>
          <w:sz w:val="18"/>
          <w:szCs w:val="18"/>
          <w:lang w:val="en-GB"/>
        </w:rPr>
        <w:t>.</w:t>
      </w:r>
    </w:p>
    <w:p w14:paraId="0C5D42E1" w14:textId="77777777" w:rsidR="00477924" w:rsidRPr="000C7CFA" w:rsidRDefault="00477924" w:rsidP="0047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70DB7851" w14:textId="77777777" w:rsidR="00477924" w:rsidRPr="000C7CFA" w:rsidRDefault="00477924" w:rsidP="0047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Davis EF, Klosterhaus SL and Stapleton HM (2010). Measurement of current use flame retardant chemical in biosolids. Organohalogen Compd., 72, 1121–1224.</w:t>
      </w:r>
    </w:p>
    <w:p w14:paraId="2EA3BFAD" w14:textId="77777777" w:rsidR="00477924" w:rsidRPr="000C7CFA" w:rsidRDefault="00477924" w:rsidP="00477924">
      <w:pPr>
        <w:spacing w:after="0"/>
        <w:jc w:val="both"/>
        <w:rPr>
          <w:rFonts w:ascii="Verdana" w:hAnsi="Verdana"/>
          <w:sz w:val="18"/>
          <w:szCs w:val="18"/>
          <w:lang w:val="en-GB"/>
        </w:rPr>
      </w:pPr>
      <w:r w:rsidRPr="000C7CFA">
        <w:rPr>
          <w:rFonts w:ascii="Verdana" w:hAnsi="Verdana"/>
          <w:i/>
          <w:sz w:val="18"/>
          <w:szCs w:val="18"/>
          <w:lang w:val="en-GB"/>
        </w:rPr>
        <w:t>Reason for omission: Levels in wastewater treatment plant, outside Europe</w:t>
      </w:r>
      <w:r w:rsidRPr="000C7CFA">
        <w:rPr>
          <w:rFonts w:ascii="Verdana" w:hAnsi="Verdana"/>
          <w:sz w:val="18"/>
          <w:szCs w:val="18"/>
          <w:lang w:val="en-GB"/>
        </w:rPr>
        <w:t>.</w:t>
      </w:r>
    </w:p>
    <w:p w14:paraId="5AFD1A40" w14:textId="77777777" w:rsidR="00477924" w:rsidRPr="000C7CFA" w:rsidRDefault="00477924" w:rsidP="00477924">
      <w:pPr>
        <w:spacing w:after="0"/>
        <w:jc w:val="both"/>
        <w:rPr>
          <w:rFonts w:ascii="Verdana" w:hAnsi="Verdana"/>
          <w:sz w:val="18"/>
          <w:szCs w:val="18"/>
          <w:lang w:val="en-GB"/>
        </w:rPr>
      </w:pPr>
    </w:p>
    <w:p w14:paraId="3AE4F140" w14:textId="77777777" w:rsidR="00094EDF" w:rsidRPr="000C7CFA" w:rsidRDefault="00094EDF" w:rsidP="0009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Davis EF, Klosterhaus and Stapleton HM (2012). Measurement of flame retardants and triclosan in municipal sewage sludge and biosolids. Environment International, 40, 1–7.</w:t>
      </w:r>
    </w:p>
    <w:p w14:paraId="7C080295" w14:textId="77777777" w:rsidR="00094EDF" w:rsidRPr="000C7CFA" w:rsidRDefault="00094EDF" w:rsidP="00094EDF">
      <w:pPr>
        <w:spacing w:after="0"/>
        <w:jc w:val="both"/>
        <w:rPr>
          <w:rFonts w:ascii="Verdana" w:hAnsi="Verdana"/>
          <w:sz w:val="18"/>
          <w:szCs w:val="18"/>
          <w:lang w:val="en-GB"/>
        </w:rPr>
      </w:pPr>
      <w:r w:rsidRPr="000C7CFA">
        <w:rPr>
          <w:rFonts w:ascii="Verdana" w:hAnsi="Verdana"/>
          <w:i/>
          <w:sz w:val="18"/>
          <w:szCs w:val="18"/>
          <w:lang w:val="en-GB"/>
        </w:rPr>
        <w:t>Reason for omission: Levels in wastewater treatment plant, outside Europe</w:t>
      </w:r>
      <w:r w:rsidRPr="000C7CFA">
        <w:rPr>
          <w:rFonts w:ascii="Verdana" w:hAnsi="Verdana"/>
          <w:sz w:val="18"/>
          <w:szCs w:val="18"/>
          <w:lang w:val="en-GB"/>
        </w:rPr>
        <w:t>.</w:t>
      </w:r>
    </w:p>
    <w:p w14:paraId="23C312A1" w14:textId="77777777" w:rsidR="00D90792" w:rsidRPr="000C7CFA" w:rsidRDefault="00D90792" w:rsidP="00D9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0DAE8142" w14:textId="77777777" w:rsidR="00D90792" w:rsidRPr="000C7CFA" w:rsidRDefault="00D90792" w:rsidP="00D9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val="en-GB" w:eastAsia="en-GB"/>
        </w:rPr>
        <w:t xml:space="preserve">de la Torre A, Concejero MA, Sverko E, Shen L, Martinez MA, Reiner E and Alaee M (2010). </w:t>
      </w:r>
      <w:r w:rsidRPr="000C7CFA">
        <w:rPr>
          <w:rFonts w:ascii="Verdana" w:hAnsi="Verdana"/>
          <w:sz w:val="18"/>
          <w:szCs w:val="18"/>
          <w:lang w:eastAsia="en-GB"/>
        </w:rPr>
        <w:t>Effect of source temperature on the ECNI/MS spectra of Dechlorane Plus isomers. Organohalogen Compd., 72, 1737–1740.</w:t>
      </w:r>
    </w:p>
    <w:p w14:paraId="7AA1817D" w14:textId="77777777" w:rsidR="00D90792" w:rsidRPr="000C7CFA" w:rsidRDefault="00D90792" w:rsidP="00D90792">
      <w:pPr>
        <w:spacing w:after="0"/>
        <w:jc w:val="both"/>
        <w:rPr>
          <w:rFonts w:ascii="Verdana" w:hAnsi="Verdana"/>
          <w:sz w:val="18"/>
          <w:szCs w:val="18"/>
          <w:lang w:val="en-GB"/>
        </w:rPr>
      </w:pPr>
      <w:r w:rsidRPr="000C7CFA">
        <w:rPr>
          <w:rFonts w:ascii="Verdana" w:hAnsi="Verdana"/>
          <w:i/>
          <w:sz w:val="18"/>
          <w:szCs w:val="18"/>
          <w:lang w:val="en-GB"/>
        </w:rPr>
        <w:t>Reason for omission: Analytical chemistry</w:t>
      </w:r>
      <w:r w:rsidRPr="000C7CFA">
        <w:rPr>
          <w:rFonts w:ascii="Verdana" w:hAnsi="Verdana"/>
          <w:sz w:val="18"/>
          <w:szCs w:val="18"/>
          <w:lang w:val="en-GB"/>
        </w:rPr>
        <w:t>.</w:t>
      </w:r>
    </w:p>
    <w:p w14:paraId="0DBA40F2" w14:textId="77777777" w:rsidR="00D90792" w:rsidRPr="000C7CFA" w:rsidRDefault="00D90792" w:rsidP="00D90792">
      <w:pPr>
        <w:pStyle w:val="NoSpacing"/>
        <w:jc w:val="both"/>
        <w:rPr>
          <w:rFonts w:ascii="Verdana" w:hAnsi="Verdana" w:cs="Times New Roman"/>
          <w:sz w:val="18"/>
          <w:szCs w:val="18"/>
        </w:rPr>
      </w:pPr>
    </w:p>
    <w:p w14:paraId="3D5A3584" w14:textId="77777777" w:rsidR="00D90792" w:rsidRPr="000C7CFA" w:rsidRDefault="00D90792" w:rsidP="00D90792">
      <w:pPr>
        <w:pStyle w:val="NoSpacing"/>
        <w:jc w:val="both"/>
        <w:rPr>
          <w:rFonts w:ascii="Verdana" w:hAnsi="Verdana" w:cs="Times New Roman"/>
          <w:sz w:val="18"/>
          <w:szCs w:val="18"/>
        </w:rPr>
      </w:pPr>
      <w:r w:rsidRPr="000C7CFA">
        <w:rPr>
          <w:rFonts w:ascii="Verdana" w:hAnsi="Verdana" w:cs="Times New Roman"/>
          <w:sz w:val="18"/>
          <w:szCs w:val="18"/>
        </w:rPr>
        <w:t xml:space="preserve">Drage DS, Newton S, de Wit CA and Harrad S (2016). Concentrations of legacy and emerging flame retardants in air and soil on </w:t>
      </w:r>
      <w:proofErr w:type="gramStart"/>
      <w:r w:rsidRPr="000C7CFA">
        <w:rPr>
          <w:rFonts w:ascii="Verdana" w:hAnsi="Verdana" w:cs="Times New Roman"/>
          <w:sz w:val="18"/>
          <w:szCs w:val="18"/>
        </w:rPr>
        <w:t>a transect</w:t>
      </w:r>
      <w:proofErr w:type="gramEnd"/>
      <w:r w:rsidRPr="000C7CFA">
        <w:rPr>
          <w:rFonts w:ascii="Verdana" w:hAnsi="Verdana" w:cs="Times New Roman"/>
          <w:sz w:val="18"/>
          <w:szCs w:val="18"/>
        </w:rPr>
        <w:t xml:space="preserve"> in the UK West Midlands. Chemosphere, 148, 195-203.</w:t>
      </w:r>
    </w:p>
    <w:p w14:paraId="48C3EC3C" w14:textId="77777777" w:rsidR="00D90792" w:rsidRPr="000C7CFA" w:rsidRDefault="00D90792" w:rsidP="00D90792">
      <w:pPr>
        <w:pStyle w:val="NoSpacing"/>
        <w:jc w:val="both"/>
        <w:rPr>
          <w:rFonts w:ascii="Verdana" w:hAnsi="Verdana" w:cs="Times New Roman"/>
          <w:i/>
          <w:sz w:val="18"/>
          <w:szCs w:val="18"/>
        </w:rPr>
      </w:pPr>
      <w:r w:rsidRPr="000C7CFA">
        <w:rPr>
          <w:rFonts w:ascii="Verdana" w:hAnsi="Verdana" w:cs="Times New Roman"/>
          <w:i/>
          <w:sz w:val="18"/>
          <w:szCs w:val="18"/>
        </w:rPr>
        <w:t>Relevance: Measurements of concentrations in ambient air and soil in the UK.</w:t>
      </w:r>
    </w:p>
    <w:p w14:paraId="7AB54E8B" w14:textId="77777777" w:rsidR="00F32AF2" w:rsidRPr="000C7CFA" w:rsidRDefault="00F32AF2" w:rsidP="00F32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189322D5" w14:textId="77777777" w:rsidR="00D5540B" w:rsidRPr="000C7CFA" w:rsidRDefault="00D5540B" w:rsidP="00D5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Feo ML, Barón E, Eljarrat E and Barceló D (2012). Dechlorane Plus and related compounds in aquatic and terrestrial biota: a review. Anal. Bioanal. Chem., 404, 2625–2637.</w:t>
      </w:r>
    </w:p>
    <w:p w14:paraId="5FAC146D" w14:textId="77777777" w:rsidR="00D5540B" w:rsidRPr="000C7CFA" w:rsidRDefault="00D5540B" w:rsidP="00D5540B">
      <w:pPr>
        <w:spacing w:after="0"/>
        <w:jc w:val="both"/>
        <w:rPr>
          <w:rFonts w:ascii="Verdana" w:hAnsi="Verdana"/>
          <w:i/>
          <w:sz w:val="18"/>
          <w:szCs w:val="18"/>
          <w:lang w:val="en-GB"/>
        </w:rPr>
      </w:pPr>
      <w:r w:rsidRPr="000C7CFA">
        <w:rPr>
          <w:rFonts w:ascii="Verdana" w:hAnsi="Verdana"/>
          <w:i/>
          <w:sz w:val="18"/>
          <w:szCs w:val="18"/>
          <w:lang w:val="en-GB"/>
        </w:rPr>
        <w:t>Reason for omission: Review article.</w:t>
      </w:r>
    </w:p>
    <w:p w14:paraId="67988BA3" w14:textId="77777777" w:rsidR="00D5540B" w:rsidRPr="000C7CFA" w:rsidRDefault="00D5540B" w:rsidP="00D5540B">
      <w:pPr>
        <w:pStyle w:val="NoSpacing"/>
        <w:jc w:val="both"/>
        <w:rPr>
          <w:rFonts w:ascii="Verdana" w:hAnsi="Verdana" w:cs="AdvTT5235d5a9"/>
          <w:color w:val="000000"/>
          <w:sz w:val="18"/>
          <w:szCs w:val="18"/>
        </w:rPr>
      </w:pPr>
    </w:p>
    <w:p w14:paraId="6231D796" w14:textId="77777777" w:rsidR="001B4351" w:rsidRPr="000C7CFA" w:rsidRDefault="001B4351" w:rsidP="001B4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val="en-GB" w:eastAsia="en-GB"/>
        </w:rPr>
        <w:t>Guerra</w:t>
      </w:r>
      <w:hyperlink r:id="rId22" w:anchor="aff1" w:tooltip="Affiliation: a" w:history="1"/>
      <w:r w:rsidRPr="000C7CFA">
        <w:rPr>
          <w:rFonts w:ascii="Verdana" w:hAnsi="Verdana"/>
          <w:sz w:val="18"/>
          <w:szCs w:val="18"/>
          <w:lang w:val="en-GB" w:eastAsia="en-GB"/>
        </w:rPr>
        <w:t xml:space="preserve"> P, Eljarrat E and Barceló D</w:t>
      </w:r>
      <w:hyperlink r:id="rId23" w:anchor="aff1" w:tooltip="Affiliation: a" w:history="1"/>
      <w:r w:rsidRPr="000C7CFA">
        <w:rPr>
          <w:rFonts w:ascii="Verdana" w:hAnsi="Verdana"/>
          <w:sz w:val="18"/>
          <w:szCs w:val="18"/>
          <w:lang w:val="en-GB" w:eastAsia="en-GB"/>
        </w:rPr>
        <w:t xml:space="preserve"> (2011). </w:t>
      </w:r>
      <w:r w:rsidRPr="000C7CFA">
        <w:rPr>
          <w:rFonts w:ascii="Verdana" w:hAnsi="Verdana"/>
          <w:sz w:val="18"/>
          <w:szCs w:val="18"/>
          <w:lang w:eastAsia="en-GB"/>
        </w:rPr>
        <w:t>Determination of halogenated flame retardants by liquid chromatography coupled to mass spectrometry. TrAC Trends in Analytical Chemistry, 30, 842–855.</w:t>
      </w:r>
    </w:p>
    <w:p w14:paraId="2D287A7F" w14:textId="77777777" w:rsidR="001B4351" w:rsidRPr="000C7CFA" w:rsidRDefault="001B4351" w:rsidP="001B4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i/>
          <w:sz w:val="18"/>
          <w:szCs w:val="18"/>
          <w:lang w:val="en-GB"/>
        </w:rPr>
        <w:t>Reason for omission: Review article.</w:t>
      </w:r>
    </w:p>
    <w:p w14:paraId="04F02E49" w14:textId="77777777" w:rsidR="001B4351" w:rsidRPr="000C7CFA" w:rsidRDefault="001B4351" w:rsidP="0028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0D2C5953" w14:textId="77777777" w:rsidR="002854F3" w:rsidRPr="000C7CFA" w:rsidRDefault="002854F3" w:rsidP="0028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Hassan, Y and Shoeib T (2015). Levels of polybrominated diphenyl ethers and novel flame retardants in microenvironment dust from Egypt: An assessment of human exposure. Science of the Total Environment, 505, 47-55. </w:t>
      </w:r>
    </w:p>
    <w:p w14:paraId="796B7E78" w14:textId="77777777" w:rsidR="002854F3" w:rsidRPr="000C7CFA" w:rsidRDefault="002854F3" w:rsidP="002854F3">
      <w:pPr>
        <w:spacing w:after="0"/>
        <w:jc w:val="both"/>
        <w:rPr>
          <w:rFonts w:ascii="Verdana" w:hAnsi="Verdana"/>
          <w:sz w:val="18"/>
          <w:szCs w:val="18"/>
          <w:lang w:val="en-GB"/>
        </w:rPr>
      </w:pPr>
      <w:r w:rsidRPr="000C7CFA">
        <w:rPr>
          <w:rFonts w:ascii="Verdana" w:hAnsi="Verdana"/>
          <w:i/>
          <w:sz w:val="18"/>
          <w:szCs w:val="18"/>
          <w:lang w:val="en-GB"/>
        </w:rPr>
        <w:t>Reason for omission: Levels in indoor dust, outside Europe</w:t>
      </w:r>
      <w:r w:rsidRPr="000C7CFA">
        <w:rPr>
          <w:rFonts w:ascii="Verdana" w:hAnsi="Verdana"/>
          <w:sz w:val="18"/>
          <w:szCs w:val="18"/>
          <w:lang w:val="en-GB"/>
        </w:rPr>
        <w:t>.</w:t>
      </w:r>
    </w:p>
    <w:p w14:paraId="003C2FED" w14:textId="77777777" w:rsidR="00541B58" w:rsidRPr="000C7CFA" w:rsidRDefault="00541B58" w:rsidP="0054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200740C3" w14:textId="77777777" w:rsidR="00902E5A" w:rsidRPr="000C7CFA" w:rsidRDefault="00902E5A" w:rsidP="0090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val="de-DE" w:eastAsia="en-GB"/>
        </w:rPr>
        <w:t xml:space="preserve">He C, Jin J, Ma Z, Wang Y, Zhaxi Z and Ma L (2013). </w:t>
      </w:r>
      <w:r w:rsidRPr="000C7CFA">
        <w:rPr>
          <w:rFonts w:ascii="Verdana" w:hAnsi="Verdana"/>
          <w:sz w:val="18"/>
          <w:szCs w:val="18"/>
          <w:lang w:eastAsia="en-GB"/>
        </w:rPr>
        <w:t>Levels and sources of decabromodiphenyl ether and dechlorane plus in Xining and Tianjun, Qinghai Province, China. Huanjing Kexue/Environmental Science, 34(3):1129-1135.</w:t>
      </w:r>
    </w:p>
    <w:p w14:paraId="514C2C04" w14:textId="77777777" w:rsidR="00902E5A" w:rsidRPr="000C7CFA" w:rsidRDefault="00902E5A" w:rsidP="00902E5A">
      <w:pPr>
        <w:spacing w:after="0"/>
        <w:jc w:val="both"/>
        <w:rPr>
          <w:rFonts w:ascii="Verdana" w:hAnsi="Verdana"/>
          <w:sz w:val="18"/>
          <w:szCs w:val="18"/>
          <w:lang w:val="en-GB"/>
        </w:rPr>
      </w:pPr>
      <w:r w:rsidRPr="000C7CFA">
        <w:rPr>
          <w:rFonts w:ascii="Verdana" w:hAnsi="Verdana"/>
          <w:i/>
          <w:sz w:val="18"/>
          <w:szCs w:val="18"/>
          <w:lang w:val="en-GB"/>
        </w:rPr>
        <w:t>Reason for omission: Levels in air, outside Europe</w:t>
      </w:r>
      <w:r w:rsidRPr="000C7CFA">
        <w:rPr>
          <w:rFonts w:ascii="Verdana" w:hAnsi="Verdana"/>
          <w:sz w:val="18"/>
          <w:szCs w:val="18"/>
          <w:lang w:val="en-GB"/>
        </w:rPr>
        <w:t>.</w:t>
      </w:r>
    </w:p>
    <w:p w14:paraId="5DD16FC1" w14:textId="77777777" w:rsidR="00D90792" w:rsidRPr="000C7CFA" w:rsidRDefault="00D90792" w:rsidP="00D90792">
      <w:pPr>
        <w:pStyle w:val="NoSpacing"/>
        <w:jc w:val="both"/>
        <w:rPr>
          <w:rFonts w:ascii="Verdana" w:hAnsi="Verdana" w:cs="Times New Roman"/>
          <w:sz w:val="18"/>
          <w:szCs w:val="18"/>
        </w:rPr>
      </w:pPr>
    </w:p>
    <w:p w14:paraId="0F0A9603" w14:textId="77777777" w:rsidR="00D90792" w:rsidRPr="000C7CFA" w:rsidRDefault="00D90792" w:rsidP="00D9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He C, Jin J, Wang Y, Ma Z, He S and Li M (2014). Polybrominated diphenyl ethers, dechlorane plus, and polychlorinated biphenyls in tree bark near the upper Yellow River, China. Environmental Toxicology and Chemistry, 33 (8), 1732-1738.</w:t>
      </w:r>
    </w:p>
    <w:p w14:paraId="2429A6F7" w14:textId="77777777" w:rsidR="00D90792" w:rsidRPr="000C7CFA" w:rsidRDefault="00D90792" w:rsidP="00D90792">
      <w:pPr>
        <w:spacing w:after="0"/>
        <w:jc w:val="both"/>
        <w:rPr>
          <w:rFonts w:ascii="Verdana" w:hAnsi="Verdana"/>
          <w:sz w:val="18"/>
          <w:szCs w:val="18"/>
          <w:lang w:val="en-GB"/>
        </w:rPr>
      </w:pPr>
      <w:r w:rsidRPr="000C7CFA">
        <w:rPr>
          <w:rFonts w:ascii="Verdana" w:hAnsi="Verdana"/>
          <w:i/>
          <w:sz w:val="18"/>
          <w:szCs w:val="18"/>
          <w:lang w:val="en-GB"/>
        </w:rPr>
        <w:t>Reason for omission: Levels in air, outside Europe</w:t>
      </w:r>
      <w:r w:rsidRPr="000C7CFA">
        <w:rPr>
          <w:rFonts w:ascii="Verdana" w:hAnsi="Verdana"/>
          <w:sz w:val="18"/>
          <w:szCs w:val="18"/>
          <w:lang w:val="en-GB"/>
        </w:rPr>
        <w:t>.</w:t>
      </w:r>
    </w:p>
    <w:p w14:paraId="72418000" w14:textId="77777777" w:rsidR="00902E5A" w:rsidRPr="000C7CFA" w:rsidRDefault="00902E5A" w:rsidP="0090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55D86514" w14:textId="6D20476F" w:rsidR="00A430BE" w:rsidRPr="000C7CFA" w:rsidRDefault="00A430BE" w:rsidP="00A43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Kakimoto K, Nagayoshi H, Akutsu K, Konishi Y, Kajimura K, Hayakawa K and Toriba A (2014). Dechlorane Plus and decabromodiphenyl ether in atmospheric particles of northeast Asian cities. Environmental Science and Pollution Research. Published on-line 16 April 2014. </w:t>
      </w:r>
    </w:p>
    <w:p w14:paraId="69AA8B73" w14:textId="5380246B" w:rsidR="00A430BE" w:rsidRPr="000C7CFA" w:rsidRDefault="00A430BE" w:rsidP="00A430BE">
      <w:pPr>
        <w:spacing w:after="0"/>
        <w:jc w:val="both"/>
        <w:rPr>
          <w:rFonts w:ascii="Verdana" w:hAnsi="Verdana"/>
          <w:sz w:val="18"/>
          <w:szCs w:val="18"/>
          <w:lang w:val="en-GB"/>
        </w:rPr>
      </w:pPr>
      <w:r w:rsidRPr="000C7CFA">
        <w:rPr>
          <w:rFonts w:ascii="Verdana" w:hAnsi="Verdana"/>
          <w:i/>
          <w:sz w:val="18"/>
          <w:szCs w:val="18"/>
          <w:lang w:val="en-GB"/>
        </w:rPr>
        <w:t>Reason for omission: Levels in air, outside Europe.</w:t>
      </w:r>
      <w:r w:rsidR="007B006B" w:rsidRPr="000C7CFA">
        <w:rPr>
          <w:rFonts w:ascii="Verdana" w:hAnsi="Verdana"/>
          <w:i/>
          <w:sz w:val="18"/>
          <w:szCs w:val="18"/>
          <w:lang w:val="en-GB"/>
        </w:rPr>
        <w:t xml:space="preserve"> Similarities to BDE-209, especially in winter, was assumed to reflect a common end usage and release mechanism</w:t>
      </w:r>
    </w:p>
    <w:p w14:paraId="4EB4BD27" w14:textId="77777777" w:rsidR="00A430BE" w:rsidRPr="000C7CFA" w:rsidRDefault="00A430BE" w:rsidP="00A43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06C95D1C" w14:textId="77777777" w:rsidR="00266E96" w:rsidRPr="000C7CFA" w:rsidRDefault="00266E96" w:rsidP="0026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La Guardia MJ, Hale RC, Harvey E and Chen D (2010). Flame-retardants and other organohalogens detected in sewage sludge by electron capture negative ion mass spectrometry. Environ Sci Technol, 44, 4658–4664.</w:t>
      </w:r>
    </w:p>
    <w:p w14:paraId="7605A9C6" w14:textId="77777777" w:rsidR="00266E96" w:rsidRPr="000C7CFA" w:rsidRDefault="00266E96" w:rsidP="00266E96">
      <w:pPr>
        <w:spacing w:after="0"/>
        <w:jc w:val="both"/>
        <w:rPr>
          <w:rFonts w:ascii="Verdana" w:hAnsi="Verdana"/>
          <w:sz w:val="18"/>
          <w:szCs w:val="18"/>
          <w:lang w:val="en-GB"/>
        </w:rPr>
      </w:pPr>
      <w:r w:rsidRPr="000C7CFA">
        <w:rPr>
          <w:rFonts w:ascii="Verdana" w:hAnsi="Verdana"/>
          <w:i/>
          <w:sz w:val="18"/>
          <w:szCs w:val="18"/>
          <w:lang w:val="en-GB"/>
        </w:rPr>
        <w:t>Reason for omission: Levels in sewage sludge, outside Europe</w:t>
      </w:r>
      <w:r w:rsidRPr="000C7CFA">
        <w:rPr>
          <w:rFonts w:ascii="Verdana" w:hAnsi="Verdana"/>
          <w:sz w:val="18"/>
          <w:szCs w:val="18"/>
          <w:lang w:val="en-GB"/>
        </w:rPr>
        <w:t>.</w:t>
      </w:r>
    </w:p>
    <w:p w14:paraId="524F1062" w14:textId="77777777" w:rsidR="00266E96" w:rsidRPr="000C7CFA" w:rsidRDefault="00266E96" w:rsidP="0026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3E345864" w14:textId="77777777" w:rsidR="00541B58" w:rsidRPr="000C7CFA" w:rsidRDefault="00541B58" w:rsidP="0054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Lee S, Hong I-K, Ahn Y and Lee JW (2014). In-line monitoring the dispersion of highly energetic material stimulant. Polymer (Korea), 38 (3), 272-277. </w:t>
      </w:r>
    </w:p>
    <w:p w14:paraId="792FD788" w14:textId="77777777" w:rsidR="00541B58" w:rsidRPr="000C7CFA" w:rsidRDefault="00541B58" w:rsidP="00541B58">
      <w:pPr>
        <w:spacing w:after="0"/>
        <w:jc w:val="both"/>
        <w:rPr>
          <w:rFonts w:ascii="Verdana" w:hAnsi="Verdana"/>
          <w:sz w:val="18"/>
          <w:szCs w:val="18"/>
          <w:lang w:val="en-GB"/>
        </w:rPr>
      </w:pPr>
      <w:r w:rsidRPr="000C7CFA">
        <w:rPr>
          <w:rFonts w:ascii="Verdana" w:hAnsi="Verdana"/>
          <w:i/>
          <w:sz w:val="18"/>
          <w:szCs w:val="18"/>
          <w:lang w:val="en-GB"/>
        </w:rPr>
        <w:lastRenderedPageBreak/>
        <w:t>Reason for omission: Polymer manufacturing techniques</w:t>
      </w:r>
      <w:r w:rsidRPr="000C7CFA">
        <w:rPr>
          <w:rFonts w:ascii="Verdana" w:hAnsi="Verdana"/>
          <w:sz w:val="18"/>
          <w:szCs w:val="18"/>
          <w:lang w:val="en-GB"/>
        </w:rPr>
        <w:t>.</w:t>
      </w:r>
    </w:p>
    <w:p w14:paraId="3B6C6921" w14:textId="77777777" w:rsidR="006E78BA" w:rsidRPr="000C7CFA" w:rsidRDefault="006E78BA" w:rsidP="006E7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4909E00B" w14:textId="77777777" w:rsidR="006E78BA" w:rsidRPr="000C7CFA" w:rsidRDefault="006E78BA" w:rsidP="006E7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Li WL, Qi H, Ma WL, Liu LY, Zhang Z, Zhu NZ, Mohammed MO and Li YF (2015). Occurrence, behavior and human health risk assessment of dechlorane plus and related compounds in indoor dust of China. Chemosphere, 134, 166-171</w:t>
      </w:r>
    </w:p>
    <w:p w14:paraId="1AE4E3A9" w14:textId="77777777" w:rsidR="006E78BA" w:rsidRPr="000C7CFA" w:rsidRDefault="006E78BA" w:rsidP="006E7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i/>
          <w:sz w:val="18"/>
          <w:szCs w:val="18"/>
          <w:lang w:eastAsia="en-GB"/>
        </w:rPr>
      </w:pPr>
      <w:r w:rsidRPr="000C7CFA">
        <w:rPr>
          <w:rFonts w:ascii="Verdana" w:hAnsi="Verdana"/>
          <w:i/>
          <w:sz w:val="18"/>
          <w:szCs w:val="18"/>
          <w:lang w:eastAsia="en-GB"/>
        </w:rPr>
        <w:t>Reason for omission: Indoor air levels, outside Europe.</w:t>
      </w:r>
    </w:p>
    <w:p w14:paraId="59FE7FD1" w14:textId="77777777" w:rsidR="006E78BA" w:rsidRPr="000C7CFA" w:rsidRDefault="006E78BA" w:rsidP="006E7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i/>
          <w:sz w:val="18"/>
          <w:szCs w:val="18"/>
          <w:lang w:eastAsia="en-GB"/>
        </w:rPr>
      </w:pPr>
    </w:p>
    <w:p w14:paraId="137A6253" w14:textId="77777777" w:rsidR="006E78BA" w:rsidRPr="000C7CFA" w:rsidRDefault="006E78BA" w:rsidP="006E7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Liu LY, Jia HL, Qi H, Ma WL, Zhang Z, Ren NQ, Cai DJ, Wan XN, Xu DD, Liu WP and Li YF (201X). Concurrently monitoring of POPs in Chinese air and surface soil - a review. Frontier of Environmental Science and Engineering, accepted for publication.</w:t>
      </w:r>
    </w:p>
    <w:p w14:paraId="591AC51F" w14:textId="77777777" w:rsidR="006E78BA" w:rsidRPr="000C7CFA" w:rsidRDefault="006E78BA" w:rsidP="006E7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http://www.china-pops.net/yjnew_view.asp?id=822</w:t>
      </w:r>
    </w:p>
    <w:p w14:paraId="73090E3A" w14:textId="77777777" w:rsidR="006E78BA" w:rsidRPr="000C7CFA" w:rsidRDefault="006E78BA" w:rsidP="006E7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i/>
          <w:sz w:val="18"/>
          <w:szCs w:val="18"/>
          <w:lang w:eastAsia="en-GB"/>
        </w:rPr>
      </w:pPr>
      <w:r w:rsidRPr="000C7CFA">
        <w:rPr>
          <w:rFonts w:ascii="Verdana" w:hAnsi="Verdana"/>
          <w:i/>
          <w:sz w:val="18"/>
          <w:szCs w:val="18"/>
          <w:lang w:eastAsia="en-GB"/>
        </w:rPr>
        <w:t>Reason for omission: Review articles of levels in air and soil, outside EU.</w:t>
      </w:r>
    </w:p>
    <w:p w14:paraId="3D73AA5A" w14:textId="77777777" w:rsidR="006E78BA" w:rsidRPr="000C7CFA" w:rsidRDefault="006E78BA" w:rsidP="004B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195B0C19" w14:textId="77777777" w:rsidR="004B4990" w:rsidRPr="000C7CFA" w:rsidRDefault="004B4990" w:rsidP="004B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val="de-DE" w:eastAsia="en-GB"/>
        </w:rPr>
        <w:t xml:space="preserve">Luo XJ, Chen SJ, Mai BX and Fu JM (2010). </w:t>
      </w:r>
      <w:r w:rsidRPr="000C7CFA">
        <w:rPr>
          <w:rFonts w:ascii="Verdana" w:hAnsi="Verdana"/>
          <w:sz w:val="18"/>
          <w:szCs w:val="18"/>
          <w:lang w:eastAsia="en-GB"/>
        </w:rPr>
        <w:t>Advances in the study of current-use non-PBDE brominated flame retardants and Dechlorane Plus in the environment and humans. Sci. China Chem., 53, 961-973.</w:t>
      </w:r>
    </w:p>
    <w:p w14:paraId="54EBE6E9" w14:textId="77777777" w:rsidR="004B4990" w:rsidRPr="000C7CFA" w:rsidRDefault="004B4990" w:rsidP="004B4990">
      <w:pPr>
        <w:spacing w:after="0"/>
        <w:jc w:val="both"/>
        <w:rPr>
          <w:rFonts w:ascii="Verdana" w:hAnsi="Verdana"/>
          <w:sz w:val="18"/>
          <w:szCs w:val="18"/>
          <w:lang w:val="en-GB"/>
        </w:rPr>
      </w:pPr>
      <w:r w:rsidRPr="000C7CFA">
        <w:rPr>
          <w:rFonts w:ascii="Verdana" w:hAnsi="Verdana"/>
          <w:i/>
          <w:sz w:val="18"/>
          <w:szCs w:val="18"/>
          <w:lang w:val="en-GB"/>
        </w:rPr>
        <w:t>Reason for omission: Review article</w:t>
      </w:r>
      <w:r w:rsidRPr="000C7CFA">
        <w:rPr>
          <w:rFonts w:ascii="Verdana" w:hAnsi="Verdana"/>
          <w:sz w:val="18"/>
          <w:szCs w:val="18"/>
          <w:lang w:val="en-GB"/>
        </w:rPr>
        <w:t>.</w:t>
      </w:r>
    </w:p>
    <w:p w14:paraId="79064B96" w14:textId="77777777" w:rsidR="009A366F" w:rsidRPr="000C7CFA" w:rsidRDefault="009A366F" w:rsidP="009A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018EBC9F" w14:textId="77777777" w:rsidR="004B65D9" w:rsidRPr="000C7CFA" w:rsidRDefault="004B65D9" w:rsidP="004B65D9">
      <w:pPr>
        <w:autoSpaceDE w:val="0"/>
        <w:autoSpaceDN w:val="0"/>
        <w:adjustRightInd w:val="0"/>
        <w:spacing w:after="0"/>
        <w:jc w:val="both"/>
        <w:rPr>
          <w:rFonts w:ascii="Verdana" w:eastAsia="Calibri" w:hAnsi="Verdana"/>
          <w:sz w:val="18"/>
          <w:szCs w:val="18"/>
          <w:lang w:val="en-GB"/>
        </w:rPr>
      </w:pPr>
      <w:r w:rsidRPr="000C7CFA">
        <w:rPr>
          <w:rFonts w:ascii="Verdana" w:eastAsia="Calibri" w:hAnsi="Verdana"/>
          <w:sz w:val="18"/>
          <w:szCs w:val="18"/>
          <w:lang w:val="en-GB"/>
        </w:rPr>
        <w:t xml:space="preserve">Luo P, Bao L-J, Wu F-C, Li S-M and Zeng EY (2014). Health risk characterization for resident inhalation exposure to particle-bound halogenated flame retardants in a typical e-waste recycling zone. Environmental Science and Technology, 48 (15), 8815-8822. </w:t>
      </w:r>
    </w:p>
    <w:p w14:paraId="5BE6CE71" w14:textId="77777777" w:rsidR="004B65D9" w:rsidRPr="000C7CFA" w:rsidRDefault="00B23360" w:rsidP="004B65D9">
      <w:pPr>
        <w:autoSpaceDE w:val="0"/>
        <w:autoSpaceDN w:val="0"/>
        <w:adjustRightInd w:val="0"/>
        <w:spacing w:after="0"/>
        <w:jc w:val="both"/>
        <w:rPr>
          <w:rFonts w:ascii="Verdana" w:eastAsia="Calibri" w:hAnsi="Verdana"/>
          <w:i/>
          <w:sz w:val="18"/>
          <w:szCs w:val="18"/>
          <w:lang w:val="en-GB"/>
        </w:rPr>
      </w:pPr>
      <w:r w:rsidRPr="000C7CFA">
        <w:rPr>
          <w:rFonts w:ascii="Verdana" w:hAnsi="Verdana"/>
          <w:i/>
          <w:sz w:val="18"/>
          <w:szCs w:val="18"/>
        </w:rPr>
        <w:t>Reason for omission</w:t>
      </w:r>
      <w:r w:rsidR="004B65D9" w:rsidRPr="000C7CFA">
        <w:rPr>
          <w:rFonts w:ascii="Verdana" w:eastAsia="Calibri" w:hAnsi="Verdana"/>
          <w:i/>
          <w:sz w:val="18"/>
          <w:szCs w:val="18"/>
          <w:lang w:val="en-GB"/>
        </w:rPr>
        <w:t>: Levels in air at e-waste recycling sites</w:t>
      </w:r>
      <w:r w:rsidR="002D4F89" w:rsidRPr="000C7CFA">
        <w:rPr>
          <w:rFonts w:ascii="Verdana" w:hAnsi="Verdana"/>
          <w:i/>
          <w:sz w:val="18"/>
          <w:szCs w:val="18"/>
          <w:lang w:val="en-GB"/>
        </w:rPr>
        <w:t>, outside Europe</w:t>
      </w:r>
      <w:r w:rsidR="004B65D9" w:rsidRPr="000C7CFA">
        <w:rPr>
          <w:rFonts w:ascii="Verdana" w:eastAsia="Calibri" w:hAnsi="Verdana"/>
          <w:i/>
          <w:sz w:val="18"/>
          <w:szCs w:val="18"/>
          <w:lang w:val="en-GB"/>
        </w:rPr>
        <w:t xml:space="preserve">. </w:t>
      </w:r>
    </w:p>
    <w:p w14:paraId="408AA51C" w14:textId="77777777" w:rsidR="00B23360" w:rsidRPr="000C7CFA" w:rsidRDefault="00B23360" w:rsidP="00116103">
      <w:pPr>
        <w:autoSpaceDE w:val="0"/>
        <w:autoSpaceDN w:val="0"/>
        <w:adjustRightInd w:val="0"/>
        <w:spacing w:after="0"/>
        <w:jc w:val="both"/>
        <w:rPr>
          <w:rFonts w:ascii="Verdana" w:eastAsia="Calibri" w:hAnsi="Verdana"/>
          <w:sz w:val="18"/>
          <w:szCs w:val="18"/>
          <w:lang w:val="en-GB"/>
        </w:rPr>
      </w:pPr>
    </w:p>
    <w:p w14:paraId="21ED033B" w14:textId="77777777" w:rsidR="00116103" w:rsidRPr="000C7CFA" w:rsidRDefault="00116103" w:rsidP="00116103">
      <w:pPr>
        <w:autoSpaceDE w:val="0"/>
        <w:autoSpaceDN w:val="0"/>
        <w:adjustRightInd w:val="0"/>
        <w:spacing w:after="0"/>
        <w:jc w:val="both"/>
        <w:rPr>
          <w:rFonts w:ascii="Verdana" w:eastAsia="Calibri" w:hAnsi="Verdana"/>
          <w:sz w:val="18"/>
          <w:szCs w:val="18"/>
          <w:lang w:val="en-GB"/>
        </w:rPr>
      </w:pPr>
      <w:r w:rsidRPr="000C7CFA">
        <w:rPr>
          <w:rFonts w:ascii="Verdana" w:eastAsia="Calibri" w:hAnsi="Verdana"/>
          <w:sz w:val="18"/>
          <w:szCs w:val="18"/>
          <w:lang w:val="en-GB"/>
        </w:rPr>
        <w:t>Ma WL, Liu LY, Qi H, Sun DZ, Shen JM, Wang DG and Li YF (2011). Dechlorane Plus in multimedia in northeastern Chinese urban region. Environ. Int., 37, 66–70.</w:t>
      </w:r>
    </w:p>
    <w:p w14:paraId="1CA1C308" w14:textId="77777777" w:rsidR="00116103" w:rsidRPr="000C7CFA" w:rsidRDefault="00116103" w:rsidP="00116103">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Levels in freshwater and soils</w:t>
      </w:r>
      <w:r w:rsidR="002D4F89" w:rsidRPr="000C7CFA">
        <w:rPr>
          <w:rFonts w:ascii="Verdana" w:hAnsi="Verdana"/>
          <w:i/>
          <w:sz w:val="18"/>
          <w:szCs w:val="18"/>
          <w:lang w:val="en-GB"/>
        </w:rPr>
        <w:t>, outside Europe</w:t>
      </w:r>
      <w:r w:rsidRPr="000C7CFA">
        <w:rPr>
          <w:rFonts w:ascii="Verdana" w:hAnsi="Verdana"/>
          <w:i/>
          <w:sz w:val="18"/>
          <w:szCs w:val="18"/>
        </w:rPr>
        <w:t>.</w:t>
      </w:r>
    </w:p>
    <w:p w14:paraId="04C3C029" w14:textId="77777777" w:rsidR="00116103" w:rsidRPr="000C7CFA" w:rsidRDefault="00116103" w:rsidP="0054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64AF857D" w14:textId="77777777" w:rsidR="00D64FA1" w:rsidRPr="000C7CFA" w:rsidRDefault="00D64FA1" w:rsidP="00D64FA1">
      <w:pPr>
        <w:autoSpaceDE w:val="0"/>
        <w:autoSpaceDN w:val="0"/>
        <w:adjustRightInd w:val="0"/>
        <w:spacing w:after="0"/>
        <w:jc w:val="both"/>
        <w:rPr>
          <w:rFonts w:ascii="Verdana" w:hAnsi="Verdana"/>
          <w:i/>
          <w:sz w:val="18"/>
          <w:szCs w:val="18"/>
        </w:rPr>
      </w:pPr>
      <w:r w:rsidRPr="000C7CFA">
        <w:rPr>
          <w:rFonts w:ascii="Verdana" w:hAnsi="Verdana"/>
          <w:sz w:val="18"/>
          <w:szCs w:val="18"/>
        </w:rPr>
        <w:t>Ma Y, Salamova A, Venier M and Hites RA (2013). Has the phase-out of PBDEs affected their atmospheric levels? Trends of PBDEs and their replacements in the Great Lakes atmosphere. Environmental Science and Technology, 47, 11457-11464</w:t>
      </w:r>
      <w:r w:rsidRPr="000C7CFA">
        <w:rPr>
          <w:rFonts w:ascii="Verdana" w:hAnsi="Verdana"/>
          <w:i/>
          <w:sz w:val="18"/>
          <w:szCs w:val="18"/>
        </w:rPr>
        <w:t xml:space="preserve">. </w:t>
      </w:r>
    </w:p>
    <w:p w14:paraId="3CA0E6C6" w14:textId="77777777" w:rsidR="00D64FA1" w:rsidRPr="000C7CFA" w:rsidRDefault="00D64FA1" w:rsidP="00D64FA1">
      <w:pPr>
        <w:autoSpaceDE w:val="0"/>
        <w:autoSpaceDN w:val="0"/>
        <w:adjustRightInd w:val="0"/>
        <w:spacing w:after="0"/>
        <w:jc w:val="both"/>
        <w:rPr>
          <w:rFonts w:ascii="Verdana" w:hAnsi="Verdana"/>
          <w:i/>
          <w:sz w:val="18"/>
          <w:szCs w:val="18"/>
        </w:rPr>
      </w:pPr>
      <w:r w:rsidRPr="000C7CFA">
        <w:rPr>
          <w:rFonts w:ascii="Verdana" w:hAnsi="Verdana"/>
          <w:i/>
          <w:sz w:val="18"/>
          <w:szCs w:val="18"/>
        </w:rPr>
        <w:t xml:space="preserve">Relevance: Levels in air and precipitation from the North American Great Lakes, outside Europe. </w:t>
      </w:r>
    </w:p>
    <w:p w14:paraId="03C21605" w14:textId="77777777" w:rsidR="00D64FA1" w:rsidRPr="000C7CFA" w:rsidRDefault="00D64FA1" w:rsidP="0054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47D37A5C" w14:textId="77777777" w:rsidR="00541B58" w:rsidRPr="000C7CFA" w:rsidRDefault="00541B58" w:rsidP="0054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val="en-GB" w:eastAsia="en-GB"/>
        </w:rPr>
        <w:t xml:space="preserve">Ma J, Qiu X, Liu D, Zhao Y, Yang Q and Fang  D (2014). </w:t>
      </w:r>
      <w:r w:rsidRPr="000C7CFA">
        <w:rPr>
          <w:rFonts w:ascii="Verdana" w:hAnsi="Verdana"/>
          <w:sz w:val="18"/>
          <w:szCs w:val="18"/>
          <w:lang w:eastAsia="en-GB"/>
        </w:rPr>
        <w:t xml:space="preserve">Dechlorane Plus in surface soil of North China: Levels, isomer profiles, and spatial distribution. Environmental Science and Pollution Research, 21 (14), 8870-8877. </w:t>
      </w:r>
    </w:p>
    <w:p w14:paraId="1709EC46" w14:textId="77777777" w:rsidR="00541B58" w:rsidRPr="000C7CFA" w:rsidRDefault="00541B58" w:rsidP="00541B58">
      <w:pPr>
        <w:spacing w:after="0"/>
        <w:jc w:val="both"/>
        <w:rPr>
          <w:rFonts w:ascii="Verdana" w:hAnsi="Verdana"/>
          <w:sz w:val="18"/>
          <w:szCs w:val="18"/>
          <w:lang w:val="en-GB"/>
        </w:rPr>
      </w:pPr>
      <w:r w:rsidRPr="000C7CFA">
        <w:rPr>
          <w:rFonts w:ascii="Verdana" w:hAnsi="Verdana"/>
          <w:i/>
          <w:sz w:val="18"/>
          <w:szCs w:val="18"/>
          <w:lang w:val="en-GB"/>
        </w:rPr>
        <w:t>Reason for omission: Levels in soils, outside Europe</w:t>
      </w:r>
      <w:r w:rsidRPr="000C7CFA">
        <w:rPr>
          <w:rFonts w:ascii="Verdana" w:hAnsi="Verdana"/>
          <w:sz w:val="18"/>
          <w:szCs w:val="18"/>
          <w:lang w:val="en-GB"/>
        </w:rPr>
        <w:t>.</w:t>
      </w:r>
    </w:p>
    <w:p w14:paraId="72B9EC87" w14:textId="77777777" w:rsidR="002854F3" w:rsidRPr="000C7CFA" w:rsidRDefault="002854F3" w:rsidP="002854F3">
      <w:pPr>
        <w:spacing w:after="0"/>
        <w:jc w:val="both"/>
        <w:rPr>
          <w:rFonts w:ascii="Verdana" w:hAnsi="Verdana"/>
          <w:sz w:val="18"/>
          <w:szCs w:val="18"/>
          <w:lang w:val="en-GB"/>
        </w:rPr>
      </w:pPr>
    </w:p>
    <w:p w14:paraId="61B3F299" w14:textId="77777777" w:rsidR="002854F3" w:rsidRPr="000C7CFA" w:rsidRDefault="002854F3" w:rsidP="0028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Mahmood A, Malik RN, Li J and Zhang G (2015). Distribution, congener profile, and risk of polybrominated diphenyl ethers and dechlorane plus in water and sediment from two tributaries of the Chenab River, Pakistan. Archives of Environmental Contamination and Toxicology, 68 (1), 83-91. </w:t>
      </w:r>
    </w:p>
    <w:p w14:paraId="4F6EC5A7" w14:textId="77777777" w:rsidR="002854F3" w:rsidRPr="000C7CFA" w:rsidRDefault="002854F3" w:rsidP="002854F3">
      <w:pPr>
        <w:spacing w:after="0"/>
        <w:jc w:val="both"/>
        <w:rPr>
          <w:rFonts w:ascii="Verdana" w:hAnsi="Verdana"/>
          <w:sz w:val="18"/>
          <w:szCs w:val="18"/>
          <w:lang w:val="en-GB"/>
        </w:rPr>
      </w:pPr>
      <w:r w:rsidRPr="000C7CFA">
        <w:rPr>
          <w:rFonts w:ascii="Verdana" w:hAnsi="Verdana"/>
          <w:i/>
          <w:sz w:val="18"/>
          <w:szCs w:val="18"/>
          <w:lang w:val="en-GB"/>
        </w:rPr>
        <w:t>Reason for omission: Levels in freshwaters and their sediments, outside Europe</w:t>
      </w:r>
      <w:r w:rsidRPr="000C7CFA">
        <w:rPr>
          <w:rFonts w:ascii="Verdana" w:hAnsi="Verdana"/>
          <w:sz w:val="18"/>
          <w:szCs w:val="18"/>
          <w:lang w:val="en-GB"/>
        </w:rPr>
        <w:t>.</w:t>
      </w:r>
    </w:p>
    <w:p w14:paraId="67A16AFC" w14:textId="77777777" w:rsidR="002854F3" w:rsidRPr="000C7CFA" w:rsidRDefault="002854F3" w:rsidP="0028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36924527" w14:textId="778EE1DA" w:rsidR="002A5A76" w:rsidRPr="000C7CFA" w:rsidRDefault="002A5A76" w:rsidP="002A5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Mahmood A, Malik RN, Syed JH, Li J and Zhang G (2015). Dietary exposure and screening-level risk assessment of polybrominated diphenyl ethers (PBDEs) and dechloran plus (DP) in wheat, rice, soil and air along two tributaries of the River Chenab, Pakistan. Chemosphere, 118, 57–64.</w:t>
      </w:r>
    </w:p>
    <w:p w14:paraId="2473A975" w14:textId="77777777" w:rsidR="002A5A76" w:rsidRPr="000C7CFA" w:rsidRDefault="002A5A76" w:rsidP="002A5A76">
      <w:pPr>
        <w:spacing w:after="0"/>
        <w:jc w:val="both"/>
        <w:rPr>
          <w:rFonts w:ascii="Verdana" w:hAnsi="Verdana"/>
          <w:sz w:val="18"/>
          <w:szCs w:val="18"/>
          <w:lang w:val="en-GB"/>
        </w:rPr>
      </w:pPr>
      <w:r w:rsidRPr="000C7CFA">
        <w:rPr>
          <w:rFonts w:ascii="Verdana" w:hAnsi="Verdana"/>
          <w:i/>
          <w:sz w:val="18"/>
          <w:szCs w:val="18"/>
          <w:lang w:val="en-GB"/>
        </w:rPr>
        <w:t>Reason for omission: Levels in crops, soil and air, outside Europe</w:t>
      </w:r>
      <w:r w:rsidRPr="000C7CFA">
        <w:rPr>
          <w:rFonts w:ascii="Verdana" w:hAnsi="Verdana"/>
          <w:sz w:val="18"/>
          <w:szCs w:val="18"/>
          <w:lang w:val="en-GB"/>
        </w:rPr>
        <w:t>.</w:t>
      </w:r>
    </w:p>
    <w:p w14:paraId="0438C181" w14:textId="77777777" w:rsidR="002A5A76" w:rsidRPr="000C7CFA" w:rsidRDefault="002A5A76" w:rsidP="00670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106416BB" w14:textId="77777777" w:rsidR="00670AFC" w:rsidRPr="000C7CFA" w:rsidRDefault="00670AFC" w:rsidP="00670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Qi H, Liu L, Jia H, Li Y-F, Ren N-Q, You H, Shi X, Fan L and Ding Y (2010). Dechlorane Plus in surficial water and sediment in a </w:t>
      </w:r>
      <w:r w:rsidR="007F4067" w:rsidRPr="000C7CFA">
        <w:rPr>
          <w:rFonts w:ascii="Verdana" w:hAnsi="Verdana"/>
          <w:sz w:val="18"/>
          <w:szCs w:val="18"/>
          <w:lang w:eastAsia="en-GB"/>
        </w:rPr>
        <w:t>n</w:t>
      </w:r>
      <w:r w:rsidRPr="000C7CFA">
        <w:rPr>
          <w:rFonts w:ascii="Verdana" w:hAnsi="Verdana"/>
          <w:sz w:val="18"/>
          <w:szCs w:val="18"/>
          <w:lang w:eastAsia="en-GB"/>
        </w:rPr>
        <w:t>ortheastern Chinese river. Environ. Sci. Technol., 44, 2305–2308.</w:t>
      </w:r>
    </w:p>
    <w:p w14:paraId="6AC8C57E" w14:textId="77777777" w:rsidR="00670AFC" w:rsidRPr="000C7CFA" w:rsidRDefault="00670AFC" w:rsidP="00670AFC">
      <w:pPr>
        <w:spacing w:after="0"/>
        <w:jc w:val="both"/>
        <w:rPr>
          <w:rFonts w:ascii="Verdana" w:hAnsi="Verdana"/>
          <w:sz w:val="18"/>
          <w:szCs w:val="18"/>
          <w:lang w:val="en-GB"/>
        </w:rPr>
      </w:pPr>
      <w:r w:rsidRPr="000C7CFA">
        <w:rPr>
          <w:rFonts w:ascii="Verdana" w:hAnsi="Verdana"/>
          <w:i/>
          <w:sz w:val="18"/>
          <w:szCs w:val="18"/>
          <w:lang w:val="en-GB"/>
        </w:rPr>
        <w:t>Reason for omission: Levels in freshwaters and their sediments, outside Europe</w:t>
      </w:r>
      <w:r w:rsidRPr="000C7CFA">
        <w:rPr>
          <w:rFonts w:ascii="Verdana" w:hAnsi="Verdana"/>
          <w:sz w:val="18"/>
          <w:szCs w:val="18"/>
          <w:lang w:val="en-GB"/>
        </w:rPr>
        <w:t>.</w:t>
      </w:r>
    </w:p>
    <w:p w14:paraId="334D7081" w14:textId="77777777" w:rsidR="00116103" w:rsidRPr="000C7CFA" w:rsidRDefault="00116103" w:rsidP="00116103">
      <w:pPr>
        <w:autoSpaceDE w:val="0"/>
        <w:autoSpaceDN w:val="0"/>
        <w:adjustRightInd w:val="0"/>
        <w:spacing w:after="0"/>
        <w:jc w:val="both"/>
        <w:rPr>
          <w:rFonts w:ascii="Verdana" w:eastAsia="Calibri" w:hAnsi="Verdana"/>
          <w:sz w:val="18"/>
          <w:szCs w:val="18"/>
          <w:lang w:val="en-GB"/>
        </w:rPr>
      </w:pPr>
    </w:p>
    <w:p w14:paraId="3CE1D6E9" w14:textId="77777777" w:rsidR="00902F30" w:rsidRPr="000C7CFA" w:rsidRDefault="00902F30" w:rsidP="00902F30">
      <w:pPr>
        <w:spacing w:after="0"/>
        <w:jc w:val="both"/>
        <w:rPr>
          <w:rFonts w:ascii="Verdana" w:hAnsi="Verdana"/>
          <w:sz w:val="18"/>
          <w:szCs w:val="18"/>
          <w:lang w:eastAsia="en-GB"/>
        </w:rPr>
      </w:pPr>
      <w:r w:rsidRPr="000C7CFA">
        <w:rPr>
          <w:rFonts w:ascii="Verdana" w:hAnsi="Verdana"/>
          <w:sz w:val="18"/>
          <w:szCs w:val="18"/>
          <w:lang w:val="de-DE" w:eastAsia="en-GB"/>
        </w:rPr>
        <w:t xml:space="preserve">Qiu X, Zhu T and Hu J (2010). </w:t>
      </w:r>
      <w:r w:rsidRPr="000C7CFA">
        <w:rPr>
          <w:rFonts w:ascii="Verdana" w:hAnsi="Verdana"/>
          <w:sz w:val="18"/>
          <w:szCs w:val="18"/>
          <w:lang w:eastAsia="en-GB"/>
        </w:rPr>
        <w:t>Polybrominated diphenyl ethers (PBDEs) and other flame retardants in the atmosphere and water from Taihu Lake, East China. Chemosphere, 80, 1207–1212.</w:t>
      </w:r>
    </w:p>
    <w:p w14:paraId="3EFE7E83" w14:textId="77777777" w:rsidR="00902F30" w:rsidRPr="000C7CFA" w:rsidRDefault="00902F30" w:rsidP="00902F30">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Levels in ai</w:t>
      </w:r>
      <w:r w:rsidR="002D4F89" w:rsidRPr="000C7CFA">
        <w:rPr>
          <w:rFonts w:ascii="Verdana" w:hAnsi="Verdana"/>
          <w:i/>
          <w:sz w:val="18"/>
          <w:szCs w:val="18"/>
        </w:rPr>
        <w:t>r</w:t>
      </w:r>
      <w:r w:rsidR="008374C3" w:rsidRPr="000C7CFA">
        <w:rPr>
          <w:rFonts w:ascii="Verdana" w:hAnsi="Verdana"/>
          <w:i/>
          <w:sz w:val="18"/>
          <w:szCs w:val="18"/>
        </w:rPr>
        <w:t xml:space="preserve"> and water</w:t>
      </w:r>
      <w:r w:rsidR="002D4F89" w:rsidRPr="000C7CFA">
        <w:rPr>
          <w:rFonts w:ascii="Verdana" w:hAnsi="Verdana"/>
          <w:i/>
          <w:sz w:val="18"/>
          <w:szCs w:val="18"/>
          <w:lang w:val="en-GB"/>
        </w:rPr>
        <w:t>, outside Europe</w:t>
      </w:r>
      <w:r w:rsidRPr="000C7CFA">
        <w:rPr>
          <w:rFonts w:ascii="Verdana" w:hAnsi="Verdana"/>
          <w:i/>
          <w:sz w:val="18"/>
          <w:szCs w:val="18"/>
        </w:rPr>
        <w:t>.</w:t>
      </w:r>
    </w:p>
    <w:p w14:paraId="44484793" w14:textId="77777777" w:rsidR="00902F30" w:rsidRPr="000C7CFA" w:rsidRDefault="00902F30" w:rsidP="00116103">
      <w:pPr>
        <w:autoSpaceDE w:val="0"/>
        <w:autoSpaceDN w:val="0"/>
        <w:adjustRightInd w:val="0"/>
        <w:spacing w:after="0"/>
        <w:jc w:val="both"/>
        <w:rPr>
          <w:rFonts w:ascii="Verdana" w:hAnsi="Verdana"/>
          <w:sz w:val="18"/>
          <w:szCs w:val="18"/>
        </w:rPr>
      </w:pPr>
    </w:p>
    <w:p w14:paraId="23EEA008" w14:textId="77777777" w:rsidR="00116103" w:rsidRPr="000C7CFA" w:rsidRDefault="00116103" w:rsidP="00116103">
      <w:pPr>
        <w:autoSpaceDE w:val="0"/>
        <w:autoSpaceDN w:val="0"/>
        <w:adjustRightInd w:val="0"/>
        <w:spacing w:after="0"/>
        <w:jc w:val="both"/>
        <w:rPr>
          <w:rFonts w:ascii="Verdana" w:hAnsi="Verdana"/>
          <w:sz w:val="18"/>
          <w:szCs w:val="18"/>
        </w:rPr>
      </w:pPr>
      <w:r w:rsidRPr="000C7CFA">
        <w:rPr>
          <w:rFonts w:ascii="Verdana" w:hAnsi="Verdana"/>
          <w:sz w:val="18"/>
          <w:szCs w:val="18"/>
        </w:rPr>
        <w:lastRenderedPageBreak/>
        <w:t>Ren GF, Yu ZQ, Ma ST, Chen LG, Luo XF, Sheng GY and Fu JM (2010). Dechlorane Plus in indoor and outdoor air of an urban city in southern China. Organohalogen Compd., 72, 852–855.</w:t>
      </w:r>
    </w:p>
    <w:p w14:paraId="147E0D47" w14:textId="77777777" w:rsidR="00116103" w:rsidRPr="000C7CFA" w:rsidRDefault="00116103" w:rsidP="00116103">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Levels in air</w:t>
      </w:r>
      <w:r w:rsidR="002D4F89" w:rsidRPr="000C7CFA">
        <w:rPr>
          <w:rFonts w:ascii="Verdana" w:hAnsi="Verdana"/>
          <w:i/>
          <w:sz w:val="18"/>
          <w:szCs w:val="18"/>
          <w:lang w:val="en-GB"/>
        </w:rPr>
        <w:t>, outside Europe</w:t>
      </w:r>
      <w:r w:rsidRPr="000C7CFA">
        <w:rPr>
          <w:rFonts w:ascii="Verdana" w:hAnsi="Verdana"/>
          <w:i/>
          <w:sz w:val="18"/>
          <w:szCs w:val="18"/>
        </w:rPr>
        <w:t>.</w:t>
      </w:r>
    </w:p>
    <w:p w14:paraId="42D02360" w14:textId="77777777" w:rsidR="00116103" w:rsidRPr="000C7CFA" w:rsidRDefault="00116103" w:rsidP="00116103">
      <w:pPr>
        <w:autoSpaceDE w:val="0"/>
        <w:autoSpaceDN w:val="0"/>
        <w:adjustRightInd w:val="0"/>
        <w:spacing w:after="0"/>
        <w:jc w:val="both"/>
        <w:rPr>
          <w:rFonts w:ascii="Verdana" w:eastAsia="Calibri" w:hAnsi="Verdana"/>
          <w:sz w:val="18"/>
          <w:szCs w:val="18"/>
          <w:lang w:val="en-GB"/>
        </w:rPr>
      </w:pPr>
    </w:p>
    <w:p w14:paraId="45E9F7C3" w14:textId="52AB6ED9" w:rsidR="00116103" w:rsidRPr="000C7CFA" w:rsidRDefault="00116103" w:rsidP="00116103">
      <w:pPr>
        <w:autoSpaceDE w:val="0"/>
        <w:autoSpaceDN w:val="0"/>
        <w:adjustRightInd w:val="0"/>
        <w:spacing w:after="0"/>
        <w:jc w:val="both"/>
        <w:rPr>
          <w:rFonts w:ascii="Verdana" w:hAnsi="Verdana"/>
          <w:sz w:val="18"/>
          <w:szCs w:val="18"/>
        </w:rPr>
      </w:pPr>
      <w:r w:rsidRPr="000C7CFA">
        <w:rPr>
          <w:rFonts w:ascii="Verdana" w:hAnsi="Verdana"/>
          <w:sz w:val="18"/>
          <w:szCs w:val="18"/>
        </w:rPr>
        <w:t>Salamova RA and Venier M (2010). Dechlorane Plus in Great Lakes air. Organohalogen Compd., 72, 423–426.</w:t>
      </w:r>
    </w:p>
    <w:p w14:paraId="3BD2BE2B" w14:textId="77777777" w:rsidR="00116103" w:rsidRPr="000C7CFA" w:rsidRDefault="00116103" w:rsidP="00116103">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Levels in air</w:t>
      </w:r>
      <w:r w:rsidR="008374C3" w:rsidRPr="000C7CFA">
        <w:rPr>
          <w:rFonts w:ascii="Verdana" w:hAnsi="Verdana"/>
          <w:i/>
          <w:sz w:val="18"/>
          <w:szCs w:val="18"/>
          <w:lang w:val="en-GB"/>
        </w:rPr>
        <w:t>, outside Europe</w:t>
      </w:r>
      <w:r w:rsidRPr="000C7CFA">
        <w:rPr>
          <w:rFonts w:ascii="Verdana" w:hAnsi="Verdana"/>
          <w:i/>
          <w:sz w:val="18"/>
          <w:szCs w:val="18"/>
        </w:rPr>
        <w:t>.</w:t>
      </w:r>
    </w:p>
    <w:p w14:paraId="1ED658A8" w14:textId="77777777" w:rsidR="00116103" w:rsidRPr="000C7CFA" w:rsidRDefault="00116103" w:rsidP="00116103">
      <w:pPr>
        <w:autoSpaceDE w:val="0"/>
        <w:autoSpaceDN w:val="0"/>
        <w:adjustRightInd w:val="0"/>
        <w:spacing w:after="0"/>
        <w:jc w:val="both"/>
        <w:rPr>
          <w:rFonts w:ascii="Verdana" w:hAnsi="Verdana"/>
          <w:sz w:val="18"/>
          <w:szCs w:val="18"/>
        </w:rPr>
      </w:pPr>
    </w:p>
    <w:p w14:paraId="2013E120" w14:textId="77777777" w:rsidR="003146AB" w:rsidRPr="000C7CFA" w:rsidRDefault="003146AB" w:rsidP="003146AB">
      <w:pPr>
        <w:autoSpaceDE w:val="0"/>
        <w:autoSpaceDN w:val="0"/>
        <w:adjustRightInd w:val="0"/>
        <w:spacing w:after="0"/>
        <w:jc w:val="both"/>
        <w:rPr>
          <w:rFonts w:ascii="Verdana" w:hAnsi="Verdana"/>
          <w:sz w:val="18"/>
          <w:szCs w:val="18"/>
        </w:rPr>
      </w:pPr>
      <w:r w:rsidRPr="000C7CFA">
        <w:rPr>
          <w:rFonts w:ascii="Verdana" w:hAnsi="Verdana"/>
          <w:sz w:val="18"/>
          <w:szCs w:val="18"/>
        </w:rPr>
        <w:t xml:space="preserve">Salamova A and Hites RA (2010). </w:t>
      </w:r>
      <w:r w:rsidR="00477924" w:rsidRPr="000C7CFA">
        <w:rPr>
          <w:rFonts w:ascii="Verdana" w:hAnsi="Verdana"/>
          <w:sz w:val="18"/>
          <w:szCs w:val="18"/>
        </w:rPr>
        <w:t>Evaluation of tree bark as a p</w:t>
      </w:r>
      <w:r w:rsidRPr="000C7CFA">
        <w:rPr>
          <w:rFonts w:ascii="Verdana" w:hAnsi="Verdana"/>
          <w:sz w:val="18"/>
          <w:szCs w:val="18"/>
        </w:rPr>
        <w:t>assive atmospheric sampler for flame retardants, PCBs, and organochlorine pesticides. Environ. Sci. Technol., 44, 6196–6201.</w:t>
      </w:r>
    </w:p>
    <w:p w14:paraId="35B05607" w14:textId="77777777" w:rsidR="003146AB" w:rsidRPr="000C7CFA" w:rsidRDefault="003146AB" w:rsidP="003146AB">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Levels in air in North America.</w:t>
      </w:r>
    </w:p>
    <w:p w14:paraId="48E1165F" w14:textId="77777777" w:rsidR="003146AB" w:rsidRPr="000C7CFA" w:rsidRDefault="003146AB" w:rsidP="003146AB">
      <w:pPr>
        <w:autoSpaceDE w:val="0"/>
        <w:autoSpaceDN w:val="0"/>
        <w:adjustRightInd w:val="0"/>
        <w:spacing w:after="0"/>
        <w:jc w:val="both"/>
        <w:rPr>
          <w:rFonts w:ascii="Verdana" w:hAnsi="Verdana"/>
          <w:sz w:val="18"/>
          <w:szCs w:val="18"/>
        </w:rPr>
      </w:pPr>
    </w:p>
    <w:p w14:paraId="7E240D74" w14:textId="77777777" w:rsidR="00A72DAF" w:rsidRPr="000C7CFA" w:rsidRDefault="00A72DAF" w:rsidP="00A72DAF">
      <w:pPr>
        <w:autoSpaceDE w:val="0"/>
        <w:autoSpaceDN w:val="0"/>
        <w:adjustRightInd w:val="0"/>
        <w:spacing w:after="0"/>
        <w:jc w:val="both"/>
        <w:rPr>
          <w:rFonts w:ascii="Verdana" w:hAnsi="Verdana"/>
          <w:sz w:val="18"/>
          <w:szCs w:val="18"/>
        </w:rPr>
      </w:pPr>
      <w:r w:rsidRPr="000C7CFA">
        <w:rPr>
          <w:rFonts w:ascii="Verdana" w:hAnsi="Verdana"/>
          <w:sz w:val="18"/>
          <w:szCs w:val="18"/>
        </w:rPr>
        <w:t>Salamova A and Hites RA (2011). Dechlorane Plus in the atmosphere and precipitation near the Great Lakes. Environ. Sci. Technol., 45, 9924−9930.</w:t>
      </w:r>
    </w:p>
    <w:p w14:paraId="48251E44" w14:textId="77777777" w:rsidR="00A72DAF" w:rsidRPr="000C7CFA" w:rsidRDefault="00A72DAF" w:rsidP="00A72DAF">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Levels in air in the Great Lakes region of North America.</w:t>
      </w:r>
    </w:p>
    <w:p w14:paraId="5306EBBF" w14:textId="77777777" w:rsidR="00A72DAF" w:rsidRPr="000C7CFA" w:rsidRDefault="00A72DAF" w:rsidP="00116103">
      <w:pPr>
        <w:autoSpaceDE w:val="0"/>
        <w:autoSpaceDN w:val="0"/>
        <w:adjustRightInd w:val="0"/>
        <w:spacing w:after="0"/>
        <w:jc w:val="both"/>
        <w:rPr>
          <w:rFonts w:ascii="Verdana" w:eastAsia="Calibri" w:hAnsi="Verdana"/>
          <w:sz w:val="18"/>
          <w:szCs w:val="18"/>
          <w:lang w:val="en-GB"/>
        </w:rPr>
      </w:pPr>
    </w:p>
    <w:p w14:paraId="4B8EDE72" w14:textId="77777777" w:rsidR="003146AB" w:rsidRPr="000C7CFA" w:rsidRDefault="000C7CFA" w:rsidP="003146AB">
      <w:pPr>
        <w:autoSpaceDE w:val="0"/>
        <w:autoSpaceDN w:val="0"/>
        <w:adjustRightInd w:val="0"/>
        <w:spacing w:after="0"/>
        <w:jc w:val="both"/>
        <w:rPr>
          <w:rFonts w:ascii="Verdana" w:hAnsi="Verdana"/>
          <w:sz w:val="18"/>
          <w:szCs w:val="18"/>
        </w:rPr>
      </w:pPr>
      <w:hyperlink r:id="rId24" w:tooltip="Show Author Details" w:history="1">
        <w:r w:rsidR="003146AB" w:rsidRPr="000C7CFA">
          <w:rPr>
            <w:rFonts w:ascii="Verdana" w:hAnsi="Verdana"/>
            <w:sz w:val="18"/>
            <w:szCs w:val="18"/>
          </w:rPr>
          <w:t>Shen KK and</w:t>
        </w:r>
      </w:hyperlink>
      <w:r w:rsidR="003146AB" w:rsidRPr="000C7CFA">
        <w:rPr>
          <w:rFonts w:ascii="Verdana" w:hAnsi="Verdana"/>
          <w:sz w:val="18"/>
          <w:szCs w:val="18"/>
        </w:rPr>
        <w:t xml:space="preserve"> </w:t>
      </w:r>
      <w:hyperlink r:id="rId25" w:tooltip="Show Author Details" w:history="1">
        <w:r w:rsidR="003146AB" w:rsidRPr="000C7CFA">
          <w:rPr>
            <w:rFonts w:ascii="Verdana" w:hAnsi="Verdana"/>
            <w:sz w:val="18"/>
            <w:szCs w:val="18"/>
          </w:rPr>
          <w:t>Sprague RW</w:t>
        </w:r>
      </w:hyperlink>
      <w:r w:rsidR="003146AB" w:rsidRPr="000C7CFA">
        <w:rPr>
          <w:rFonts w:ascii="Verdana" w:hAnsi="Verdana"/>
          <w:sz w:val="18"/>
          <w:szCs w:val="18"/>
        </w:rPr>
        <w:t xml:space="preserve"> (1982). Zinc borate as a flame retardant and smoke suppressant in epoxy systems. </w:t>
      </w:r>
      <w:hyperlink r:id="rId26" w:tooltip="Go to the information page for this source" w:history="1">
        <w:r w:rsidR="003146AB" w:rsidRPr="000C7CFA">
          <w:rPr>
            <w:rFonts w:ascii="Verdana" w:hAnsi="Verdana"/>
            <w:sz w:val="18"/>
            <w:szCs w:val="18"/>
          </w:rPr>
          <w:t>The Journal of Fire Retardant Chemistry</w:t>
        </w:r>
      </w:hyperlink>
      <w:r w:rsidR="003146AB" w:rsidRPr="000C7CFA">
        <w:rPr>
          <w:rFonts w:ascii="Verdana" w:hAnsi="Verdana"/>
          <w:sz w:val="18"/>
          <w:szCs w:val="18"/>
        </w:rPr>
        <w:t>, 9, 161-170.</w:t>
      </w:r>
    </w:p>
    <w:p w14:paraId="42F89002" w14:textId="77777777" w:rsidR="003146AB" w:rsidRPr="000C7CFA" w:rsidRDefault="003146AB" w:rsidP="003146AB">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Describes use as a flame retardant in epoxy resins.</w:t>
      </w:r>
    </w:p>
    <w:p w14:paraId="54B97956" w14:textId="77777777" w:rsidR="003146AB" w:rsidRPr="000C7CFA" w:rsidRDefault="003146AB" w:rsidP="003146AB">
      <w:pPr>
        <w:autoSpaceDE w:val="0"/>
        <w:autoSpaceDN w:val="0"/>
        <w:adjustRightInd w:val="0"/>
        <w:spacing w:after="0"/>
        <w:jc w:val="both"/>
        <w:rPr>
          <w:rFonts w:ascii="Verdana" w:hAnsi="Verdana"/>
          <w:sz w:val="18"/>
          <w:szCs w:val="18"/>
        </w:rPr>
      </w:pPr>
    </w:p>
    <w:p w14:paraId="6A70C58F" w14:textId="77777777" w:rsidR="006100C0" w:rsidRPr="000C7CFA" w:rsidRDefault="006100C0" w:rsidP="006100C0">
      <w:pPr>
        <w:autoSpaceDE w:val="0"/>
        <w:autoSpaceDN w:val="0"/>
        <w:adjustRightInd w:val="0"/>
        <w:spacing w:after="0"/>
        <w:jc w:val="both"/>
        <w:rPr>
          <w:rFonts w:ascii="Verdana" w:hAnsi="Verdana"/>
          <w:sz w:val="18"/>
          <w:szCs w:val="18"/>
        </w:rPr>
      </w:pPr>
      <w:r w:rsidRPr="000C7CFA">
        <w:rPr>
          <w:rFonts w:ascii="Verdana" w:hAnsi="Verdana"/>
          <w:sz w:val="18"/>
          <w:szCs w:val="18"/>
        </w:rPr>
        <w:t>Sun J, Zhang A, Fang L, Wang J and Liu W (2013). Levels and distribution of dechlorane plus and related compounds in surficial sediments of the Qiantang River in eastern China: the results of urbanization and tide. Science of the Total Environment, 443, 194-199.</w:t>
      </w:r>
    </w:p>
    <w:p w14:paraId="0357FFAE" w14:textId="77777777" w:rsidR="006100C0" w:rsidRPr="000C7CFA" w:rsidRDefault="006100C0" w:rsidP="006100C0">
      <w:pPr>
        <w:spacing w:after="0"/>
        <w:jc w:val="both"/>
        <w:rPr>
          <w:rFonts w:ascii="Verdana" w:hAnsi="Verdana"/>
          <w:sz w:val="18"/>
          <w:szCs w:val="18"/>
          <w:lang w:val="en-GB"/>
        </w:rPr>
      </w:pPr>
      <w:r w:rsidRPr="000C7CFA">
        <w:rPr>
          <w:rFonts w:ascii="Verdana" w:hAnsi="Verdana"/>
          <w:i/>
          <w:sz w:val="18"/>
          <w:szCs w:val="18"/>
          <w:lang w:val="en-GB"/>
        </w:rPr>
        <w:t>Reason for omission: Levels in sediments, outside Europe</w:t>
      </w:r>
      <w:r w:rsidRPr="000C7CFA">
        <w:rPr>
          <w:rFonts w:ascii="Verdana" w:hAnsi="Verdana"/>
          <w:sz w:val="18"/>
          <w:szCs w:val="18"/>
          <w:lang w:val="en-GB"/>
        </w:rPr>
        <w:t>.</w:t>
      </w:r>
    </w:p>
    <w:p w14:paraId="61F86BEF" w14:textId="77777777" w:rsidR="006100C0" w:rsidRPr="000C7CFA" w:rsidRDefault="006100C0" w:rsidP="006100C0">
      <w:pPr>
        <w:autoSpaceDE w:val="0"/>
        <w:autoSpaceDN w:val="0"/>
        <w:adjustRightInd w:val="0"/>
        <w:spacing w:after="0"/>
        <w:jc w:val="both"/>
        <w:rPr>
          <w:rFonts w:ascii="Verdana" w:hAnsi="Verdana"/>
          <w:sz w:val="18"/>
          <w:szCs w:val="18"/>
        </w:rPr>
      </w:pPr>
    </w:p>
    <w:p w14:paraId="125192BC" w14:textId="77777777" w:rsidR="00116103" w:rsidRPr="000C7CFA" w:rsidRDefault="00116103" w:rsidP="00116103">
      <w:pPr>
        <w:autoSpaceDE w:val="0"/>
        <w:autoSpaceDN w:val="0"/>
        <w:adjustRightInd w:val="0"/>
        <w:spacing w:after="0"/>
        <w:jc w:val="both"/>
        <w:rPr>
          <w:rFonts w:ascii="Verdana" w:eastAsia="Calibri" w:hAnsi="Verdana"/>
          <w:sz w:val="18"/>
          <w:szCs w:val="18"/>
          <w:lang w:val="en-GB"/>
        </w:rPr>
      </w:pPr>
      <w:r w:rsidRPr="000C7CFA">
        <w:rPr>
          <w:rFonts w:ascii="Verdana" w:eastAsia="Calibri" w:hAnsi="Verdana"/>
          <w:sz w:val="18"/>
          <w:szCs w:val="18"/>
          <w:lang w:val="en-GB"/>
        </w:rPr>
        <w:t>Sverko E, Tomy GT, Marvin CH, Zaruk D, Reiner E, Helm PA, Hill B and McCarry BE (2008). Dechlorane Plus levels in sediment of the lower Great Lakes. Environ. Sci. Technol., 42, 361–366.</w:t>
      </w:r>
    </w:p>
    <w:p w14:paraId="5E76E0C8" w14:textId="77777777" w:rsidR="00116103" w:rsidRPr="000C7CFA" w:rsidRDefault="00116103" w:rsidP="00116103">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Levels in freshwater sediments in the Great Lakes region of North America.</w:t>
      </w:r>
    </w:p>
    <w:p w14:paraId="119A3220" w14:textId="77777777" w:rsidR="00116103" w:rsidRPr="000C7CFA" w:rsidRDefault="00116103" w:rsidP="00116103">
      <w:pPr>
        <w:autoSpaceDE w:val="0"/>
        <w:autoSpaceDN w:val="0"/>
        <w:adjustRightInd w:val="0"/>
        <w:spacing w:after="0"/>
        <w:jc w:val="both"/>
        <w:rPr>
          <w:rFonts w:ascii="Verdana" w:hAnsi="Verdana"/>
          <w:sz w:val="18"/>
          <w:szCs w:val="18"/>
        </w:rPr>
      </w:pPr>
    </w:p>
    <w:p w14:paraId="6381A474" w14:textId="77777777" w:rsidR="00116103" w:rsidRPr="000C7CFA" w:rsidRDefault="00116103" w:rsidP="00116103">
      <w:pPr>
        <w:autoSpaceDE w:val="0"/>
        <w:autoSpaceDN w:val="0"/>
        <w:adjustRightInd w:val="0"/>
        <w:spacing w:after="0"/>
        <w:jc w:val="both"/>
        <w:rPr>
          <w:rFonts w:ascii="Verdana" w:hAnsi="Verdana"/>
          <w:sz w:val="18"/>
          <w:szCs w:val="18"/>
        </w:rPr>
      </w:pPr>
      <w:r w:rsidRPr="000C7CFA">
        <w:rPr>
          <w:rFonts w:ascii="Verdana" w:hAnsi="Verdana"/>
          <w:sz w:val="18"/>
          <w:szCs w:val="18"/>
        </w:rPr>
        <w:t>Venier M and Hites RA (2008). Flame retardants in the atmosphere near the Great Lakes. Environ. Sci. Technol., 42, 4745–4751.</w:t>
      </w:r>
    </w:p>
    <w:p w14:paraId="7F8EE422" w14:textId="77777777" w:rsidR="00116103" w:rsidRPr="000C7CFA" w:rsidRDefault="00116103" w:rsidP="00116103">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Levels in air in the Great Lakes region of North America.</w:t>
      </w:r>
    </w:p>
    <w:p w14:paraId="27D2DF12" w14:textId="77777777" w:rsidR="00116103" w:rsidRPr="000C7CFA" w:rsidRDefault="00116103" w:rsidP="00116103">
      <w:pPr>
        <w:autoSpaceDE w:val="0"/>
        <w:autoSpaceDN w:val="0"/>
        <w:adjustRightInd w:val="0"/>
        <w:spacing w:after="0"/>
        <w:jc w:val="both"/>
        <w:rPr>
          <w:rFonts w:ascii="Verdana" w:eastAsia="Calibri" w:hAnsi="Verdana"/>
          <w:sz w:val="18"/>
          <w:szCs w:val="18"/>
          <w:lang w:val="en-GB"/>
        </w:rPr>
      </w:pPr>
    </w:p>
    <w:p w14:paraId="5FC46C9C" w14:textId="7B752D67" w:rsidR="00D64FA1" w:rsidRPr="000C7CFA" w:rsidRDefault="00D64FA1" w:rsidP="00D64FA1">
      <w:pPr>
        <w:autoSpaceDE w:val="0"/>
        <w:autoSpaceDN w:val="0"/>
        <w:adjustRightInd w:val="0"/>
        <w:spacing w:after="0"/>
        <w:jc w:val="both"/>
        <w:rPr>
          <w:rFonts w:ascii="Verdana" w:hAnsi="Verdana"/>
          <w:sz w:val="18"/>
          <w:szCs w:val="18"/>
        </w:rPr>
      </w:pPr>
      <w:r w:rsidRPr="000C7CFA">
        <w:rPr>
          <w:rFonts w:ascii="Verdana" w:hAnsi="Verdana"/>
          <w:sz w:val="18"/>
          <w:szCs w:val="18"/>
        </w:rPr>
        <w:t>Venier M, Salamova A and Hites RA (2015). Halogenated flame retardants in the Great Lakes environment. Accounts of Chemical Research, 48, 1853-1861.</w:t>
      </w:r>
    </w:p>
    <w:p w14:paraId="0D8789EC" w14:textId="77777777" w:rsidR="00D64FA1" w:rsidRPr="000C7CFA" w:rsidRDefault="00D64FA1" w:rsidP="00D64FA1">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Review article.</w:t>
      </w:r>
    </w:p>
    <w:p w14:paraId="23C2CFC5" w14:textId="77777777" w:rsidR="00D64FA1" w:rsidRPr="000C7CFA" w:rsidRDefault="00D64FA1" w:rsidP="00D64FA1">
      <w:pPr>
        <w:autoSpaceDE w:val="0"/>
        <w:autoSpaceDN w:val="0"/>
        <w:adjustRightInd w:val="0"/>
        <w:spacing w:after="0"/>
        <w:jc w:val="both"/>
        <w:rPr>
          <w:rFonts w:ascii="Verdana" w:hAnsi="Verdana"/>
          <w:i/>
          <w:sz w:val="18"/>
          <w:szCs w:val="18"/>
        </w:rPr>
      </w:pPr>
    </w:p>
    <w:p w14:paraId="03A9726A" w14:textId="77777777" w:rsidR="00D64FA1" w:rsidRPr="000C7CFA" w:rsidRDefault="00D64FA1" w:rsidP="00D64FA1">
      <w:pPr>
        <w:autoSpaceDE w:val="0"/>
        <w:autoSpaceDN w:val="0"/>
        <w:adjustRightInd w:val="0"/>
        <w:spacing w:after="0"/>
        <w:jc w:val="both"/>
        <w:rPr>
          <w:rFonts w:ascii="Verdana" w:hAnsi="Verdana"/>
          <w:sz w:val="18"/>
          <w:szCs w:val="18"/>
        </w:rPr>
      </w:pPr>
      <w:r w:rsidRPr="000C7CFA">
        <w:rPr>
          <w:rFonts w:ascii="Verdana" w:hAnsi="Verdana"/>
          <w:sz w:val="18"/>
          <w:szCs w:val="18"/>
        </w:rPr>
        <w:t>Von Eyken A, Pijuan L, Martí R, Blanco MJ and Díaz-Ferrero J (2015). Determination of Dechlorane Plus and related compounds (dechlorane 602, 603 and 604) in fish and vegetable oils. Chemosphere, 144, 1256-1263.</w:t>
      </w:r>
    </w:p>
    <w:p w14:paraId="169708AE" w14:textId="77777777" w:rsidR="00D64FA1" w:rsidRPr="000C7CFA" w:rsidRDefault="00D64FA1" w:rsidP="00D64FA1">
      <w:pPr>
        <w:autoSpaceDE w:val="0"/>
        <w:autoSpaceDN w:val="0"/>
        <w:adjustRightInd w:val="0"/>
        <w:spacing w:after="0"/>
        <w:jc w:val="both"/>
        <w:rPr>
          <w:rFonts w:ascii="Verdana" w:eastAsia="Calibri" w:hAnsi="Verdana"/>
          <w:i/>
          <w:sz w:val="18"/>
          <w:szCs w:val="18"/>
          <w:lang w:val="en-GB"/>
        </w:rPr>
      </w:pPr>
      <w:r w:rsidRPr="000C7CFA">
        <w:rPr>
          <w:rFonts w:ascii="Verdana" w:eastAsia="Calibri" w:hAnsi="Verdana"/>
          <w:i/>
          <w:sz w:val="18"/>
          <w:szCs w:val="18"/>
          <w:lang w:val="en-GB"/>
        </w:rPr>
        <w:t>Reason for omission: Levels in fish oil for human consumption, but unlikely to provide relevant information on whole fish concentrations.</w:t>
      </w:r>
    </w:p>
    <w:p w14:paraId="3B34A938" w14:textId="77777777" w:rsidR="00D64FA1" w:rsidRPr="000C7CFA" w:rsidRDefault="00D64FA1" w:rsidP="00D64FA1">
      <w:pPr>
        <w:autoSpaceDE w:val="0"/>
        <w:autoSpaceDN w:val="0"/>
        <w:adjustRightInd w:val="0"/>
        <w:spacing w:after="0"/>
        <w:jc w:val="both"/>
        <w:rPr>
          <w:rFonts w:ascii="Verdana" w:eastAsia="Calibri" w:hAnsi="Verdana"/>
          <w:i/>
          <w:sz w:val="18"/>
          <w:szCs w:val="18"/>
          <w:lang w:val="en-GB"/>
        </w:rPr>
      </w:pPr>
    </w:p>
    <w:p w14:paraId="6E4C910C" w14:textId="77777777" w:rsidR="00D64FA1" w:rsidRPr="000C7CFA" w:rsidRDefault="00D64FA1" w:rsidP="00D64FA1">
      <w:pPr>
        <w:autoSpaceDE w:val="0"/>
        <w:autoSpaceDN w:val="0"/>
        <w:adjustRightInd w:val="0"/>
        <w:spacing w:after="0"/>
        <w:jc w:val="both"/>
        <w:rPr>
          <w:rFonts w:ascii="Verdana" w:eastAsia="Calibri" w:hAnsi="Verdana"/>
          <w:sz w:val="18"/>
          <w:szCs w:val="18"/>
          <w:lang w:val="en-GB"/>
        </w:rPr>
      </w:pPr>
      <w:r w:rsidRPr="000C7CFA">
        <w:rPr>
          <w:rFonts w:ascii="Verdana" w:eastAsia="Calibri" w:hAnsi="Verdana"/>
          <w:sz w:val="18"/>
          <w:szCs w:val="18"/>
          <w:lang w:val="en-GB"/>
        </w:rPr>
        <w:t xml:space="preserve">Vorkamp K and Rigét F (2013). Nye kontaminanter med relevans for det grønlandske miljø. DCE Technical Report no. 19. </w:t>
      </w:r>
      <w:hyperlink r:id="rId27" w:history="1">
        <w:r w:rsidRPr="000C7CFA">
          <w:rPr>
            <w:rStyle w:val="Hyperlink"/>
            <w:rFonts w:ascii="Verdana" w:eastAsia="Calibri" w:hAnsi="Verdana"/>
            <w:sz w:val="18"/>
            <w:szCs w:val="18"/>
          </w:rPr>
          <w:t>http://www.dmu.dk/Pub/TR19.pdf</w:t>
        </w:r>
      </w:hyperlink>
    </w:p>
    <w:p w14:paraId="0A65730C" w14:textId="77777777" w:rsidR="00D64FA1" w:rsidRPr="000C7CFA" w:rsidRDefault="00D64FA1" w:rsidP="00D64FA1">
      <w:pPr>
        <w:autoSpaceDE w:val="0"/>
        <w:autoSpaceDN w:val="0"/>
        <w:adjustRightInd w:val="0"/>
        <w:spacing w:after="0"/>
        <w:jc w:val="both"/>
        <w:rPr>
          <w:rFonts w:ascii="Verdana" w:eastAsia="Calibri" w:hAnsi="Verdana"/>
          <w:i/>
          <w:sz w:val="18"/>
          <w:szCs w:val="18"/>
          <w:lang w:val="en-GB"/>
        </w:rPr>
      </w:pPr>
      <w:r w:rsidRPr="000C7CFA">
        <w:rPr>
          <w:rFonts w:ascii="Verdana" w:eastAsia="Calibri" w:hAnsi="Verdana"/>
          <w:i/>
          <w:sz w:val="18"/>
          <w:szCs w:val="18"/>
          <w:lang w:val="en-GB"/>
        </w:rPr>
        <w:t>Reason for omission: Report is in Danish and appears to be a review of occurrence of new compounds in the Arctic. Might duplicate data in Vorkamp &amp; Rigét (2014/5).</w:t>
      </w:r>
    </w:p>
    <w:p w14:paraId="70FB463C" w14:textId="77777777" w:rsidR="00D64FA1" w:rsidRPr="000C7CFA" w:rsidRDefault="00D64FA1" w:rsidP="00116103">
      <w:pPr>
        <w:autoSpaceDE w:val="0"/>
        <w:autoSpaceDN w:val="0"/>
        <w:adjustRightInd w:val="0"/>
        <w:spacing w:after="0"/>
        <w:jc w:val="both"/>
        <w:rPr>
          <w:rFonts w:ascii="Verdana" w:eastAsia="Calibri" w:hAnsi="Verdana"/>
          <w:sz w:val="18"/>
          <w:szCs w:val="18"/>
          <w:lang w:val="en-GB"/>
        </w:rPr>
      </w:pPr>
    </w:p>
    <w:p w14:paraId="72C25272" w14:textId="77777777" w:rsidR="00116103" w:rsidRPr="000C7CFA" w:rsidRDefault="00116103" w:rsidP="00116103">
      <w:pPr>
        <w:autoSpaceDE w:val="0"/>
        <w:autoSpaceDN w:val="0"/>
        <w:adjustRightInd w:val="0"/>
        <w:spacing w:after="0"/>
        <w:jc w:val="both"/>
        <w:rPr>
          <w:rFonts w:ascii="Verdana" w:hAnsi="Verdana"/>
          <w:i/>
          <w:sz w:val="18"/>
          <w:szCs w:val="18"/>
        </w:rPr>
      </w:pPr>
      <w:r w:rsidRPr="000C7CFA">
        <w:rPr>
          <w:rFonts w:ascii="Verdana" w:eastAsia="Calibri" w:hAnsi="Verdana"/>
          <w:sz w:val="18"/>
          <w:szCs w:val="18"/>
          <w:lang w:val="en-GB"/>
        </w:rPr>
        <w:t>Wang B, Iino F, Huang J, Lu Y, Yu G and Morita M (2010). Dechlorane Plus pollution and inventory in soil of Huai’an City, China. Chemosphere, 80, 1285–1290.</w:t>
      </w:r>
    </w:p>
    <w:p w14:paraId="23E1D9ED" w14:textId="77777777" w:rsidR="00116103" w:rsidRPr="000C7CFA" w:rsidRDefault="00116103" w:rsidP="00116103">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Levels in air and soil</w:t>
      </w:r>
      <w:r w:rsidR="002D4F89" w:rsidRPr="000C7CFA">
        <w:rPr>
          <w:rFonts w:ascii="Verdana" w:hAnsi="Verdana"/>
          <w:i/>
          <w:sz w:val="18"/>
          <w:szCs w:val="18"/>
          <w:lang w:val="en-GB"/>
        </w:rPr>
        <w:t>, outside Europe</w:t>
      </w:r>
      <w:r w:rsidRPr="000C7CFA">
        <w:rPr>
          <w:rFonts w:ascii="Verdana" w:hAnsi="Verdana"/>
          <w:i/>
          <w:sz w:val="18"/>
          <w:szCs w:val="18"/>
        </w:rPr>
        <w:t>.</w:t>
      </w:r>
    </w:p>
    <w:p w14:paraId="2A720BFA" w14:textId="77777777" w:rsidR="00116103" w:rsidRPr="000C7CFA" w:rsidRDefault="00116103" w:rsidP="00116103">
      <w:pPr>
        <w:autoSpaceDE w:val="0"/>
        <w:autoSpaceDN w:val="0"/>
        <w:adjustRightInd w:val="0"/>
        <w:spacing w:after="0"/>
        <w:jc w:val="both"/>
        <w:rPr>
          <w:rFonts w:ascii="Verdana" w:hAnsi="Verdana"/>
          <w:sz w:val="18"/>
          <w:szCs w:val="18"/>
        </w:rPr>
      </w:pPr>
    </w:p>
    <w:p w14:paraId="7442361B" w14:textId="77777777" w:rsidR="00116103" w:rsidRPr="000C7CFA" w:rsidRDefault="00116103" w:rsidP="0011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Wang H, Huang J, Zhang K, Yu Y, Liu K, Yu G, Deng S and Wang B (2014). Effects of zero-valent metals together with quartz sand on the mechanochemical destruction of dechlorane plus coground in a planetary ball mill. Journal of Hazardous Materials, 264, 230-235. </w:t>
      </w:r>
    </w:p>
    <w:p w14:paraId="2B22A42B" w14:textId="77777777" w:rsidR="00116103" w:rsidRPr="000C7CFA" w:rsidRDefault="00116103" w:rsidP="00116103">
      <w:pPr>
        <w:spacing w:after="0"/>
        <w:jc w:val="both"/>
        <w:rPr>
          <w:rFonts w:ascii="Verdana" w:hAnsi="Verdana"/>
          <w:sz w:val="18"/>
          <w:szCs w:val="18"/>
          <w:lang w:val="en-GB"/>
        </w:rPr>
      </w:pPr>
      <w:r w:rsidRPr="000C7CFA">
        <w:rPr>
          <w:rFonts w:ascii="Verdana" w:hAnsi="Verdana"/>
          <w:i/>
          <w:sz w:val="18"/>
          <w:szCs w:val="18"/>
          <w:lang w:val="en-GB"/>
        </w:rPr>
        <w:t>Reason for omission: Disposal technique</w:t>
      </w:r>
      <w:r w:rsidRPr="000C7CFA">
        <w:rPr>
          <w:rFonts w:ascii="Verdana" w:hAnsi="Verdana"/>
          <w:sz w:val="18"/>
          <w:szCs w:val="18"/>
          <w:lang w:val="en-GB"/>
        </w:rPr>
        <w:t>.</w:t>
      </w:r>
    </w:p>
    <w:p w14:paraId="6B00D0EC" w14:textId="77777777" w:rsidR="00116103" w:rsidRPr="000C7CFA" w:rsidRDefault="00116103" w:rsidP="00116103">
      <w:pPr>
        <w:autoSpaceDE w:val="0"/>
        <w:autoSpaceDN w:val="0"/>
        <w:adjustRightInd w:val="0"/>
        <w:spacing w:after="0"/>
        <w:jc w:val="both"/>
        <w:rPr>
          <w:rFonts w:ascii="Verdana" w:eastAsia="Calibri" w:hAnsi="Verdana"/>
          <w:sz w:val="18"/>
          <w:szCs w:val="18"/>
          <w:lang w:val="en-GB"/>
        </w:rPr>
      </w:pPr>
    </w:p>
    <w:p w14:paraId="195BDCA2" w14:textId="55DACDFA" w:rsidR="00D64FA1" w:rsidRPr="000C7CFA" w:rsidRDefault="00D64FA1" w:rsidP="00D64FA1">
      <w:pPr>
        <w:spacing w:after="0"/>
        <w:jc w:val="both"/>
        <w:rPr>
          <w:rFonts w:ascii="Verdana" w:hAnsi="Verdana"/>
          <w:sz w:val="18"/>
          <w:szCs w:val="18"/>
          <w:lang w:val="en-GB"/>
        </w:rPr>
      </w:pPr>
      <w:r w:rsidRPr="000C7CFA">
        <w:rPr>
          <w:rFonts w:ascii="Verdana" w:hAnsi="Verdana"/>
          <w:sz w:val="18"/>
          <w:szCs w:val="18"/>
          <w:lang w:val="en-GB"/>
        </w:rPr>
        <w:lastRenderedPageBreak/>
        <w:t xml:space="preserve">Wang S, Wang Y, Song M, Luo C, Li J, Zhang G (2015). Distributions and compositions of old and emerging flame retardants in the rhizosphere and non-rhizosphere soil in an e-waste contaminated area of South China. </w:t>
      </w:r>
      <w:r w:rsidR="0076237E" w:rsidRPr="000C7CFA">
        <w:rPr>
          <w:rFonts w:ascii="Verdana" w:hAnsi="Verdana"/>
          <w:sz w:val="18"/>
          <w:szCs w:val="18"/>
          <w:lang w:val="en-GB"/>
        </w:rPr>
        <w:t>Environmental</w:t>
      </w:r>
      <w:r w:rsidRPr="000C7CFA">
        <w:rPr>
          <w:rFonts w:ascii="Verdana" w:hAnsi="Verdana"/>
          <w:sz w:val="18"/>
          <w:szCs w:val="18"/>
          <w:lang w:val="en-GB"/>
        </w:rPr>
        <w:t xml:space="preserve"> Pollution, 2015 Nov 6. </w:t>
      </w:r>
      <w:proofErr w:type="gramStart"/>
      <w:r w:rsidRPr="000C7CFA">
        <w:rPr>
          <w:rFonts w:ascii="Verdana" w:hAnsi="Verdana"/>
          <w:sz w:val="18"/>
          <w:szCs w:val="18"/>
          <w:lang w:val="en-GB"/>
        </w:rPr>
        <w:t>pii</w:t>
      </w:r>
      <w:proofErr w:type="gramEnd"/>
      <w:r w:rsidRPr="000C7CFA">
        <w:rPr>
          <w:rFonts w:ascii="Verdana" w:hAnsi="Verdana"/>
          <w:sz w:val="18"/>
          <w:szCs w:val="18"/>
          <w:lang w:val="en-GB"/>
        </w:rPr>
        <w:t xml:space="preserve">: S0269-7491(15)30139-1. </w:t>
      </w:r>
      <w:proofErr w:type="gramStart"/>
      <w:r w:rsidRPr="000C7CFA">
        <w:rPr>
          <w:rFonts w:ascii="Verdana" w:hAnsi="Verdana"/>
          <w:sz w:val="18"/>
          <w:szCs w:val="18"/>
          <w:lang w:val="en-GB"/>
        </w:rPr>
        <w:t>doi</w:t>
      </w:r>
      <w:proofErr w:type="gramEnd"/>
      <w:r w:rsidRPr="000C7CFA">
        <w:rPr>
          <w:rFonts w:ascii="Verdana" w:hAnsi="Verdana"/>
          <w:sz w:val="18"/>
          <w:szCs w:val="18"/>
          <w:lang w:val="en-GB"/>
        </w:rPr>
        <w:t>: 10.1016/j.envpol.2015.10.038.</w:t>
      </w:r>
      <w:r w:rsidRPr="000C7CFA">
        <w:rPr>
          <w:rFonts w:ascii="Verdana" w:hAnsi="Verdana"/>
          <w:sz w:val="18"/>
          <w:szCs w:val="18"/>
        </w:rPr>
        <w:t xml:space="preserve"> </w:t>
      </w:r>
      <w:r w:rsidRPr="000C7CFA">
        <w:rPr>
          <w:rFonts w:ascii="Verdana" w:hAnsi="Verdana"/>
          <w:sz w:val="18"/>
          <w:szCs w:val="18"/>
          <w:lang w:val="en-GB"/>
        </w:rPr>
        <w:t>[Epub ahead of print].</w:t>
      </w:r>
    </w:p>
    <w:p w14:paraId="742BDFBB" w14:textId="77777777" w:rsidR="00D64FA1" w:rsidRPr="000C7CFA" w:rsidRDefault="00D64FA1" w:rsidP="00D64FA1">
      <w:pPr>
        <w:spacing w:after="0"/>
        <w:jc w:val="both"/>
        <w:rPr>
          <w:rFonts w:ascii="Verdana" w:hAnsi="Verdana"/>
          <w:sz w:val="18"/>
          <w:szCs w:val="18"/>
          <w:lang w:val="en-GB"/>
        </w:rPr>
      </w:pPr>
      <w:r w:rsidRPr="000C7CFA">
        <w:rPr>
          <w:rFonts w:ascii="Verdana" w:hAnsi="Verdana"/>
          <w:i/>
          <w:sz w:val="18"/>
          <w:szCs w:val="18"/>
          <w:lang w:val="en-GB"/>
        </w:rPr>
        <w:t>Reason for omission: Levels in soil near to a source of emission, outside Europe.</w:t>
      </w:r>
    </w:p>
    <w:p w14:paraId="52330191" w14:textId="77777777" w:rsidR="00D64FA1" w:rsidRPr="000C7CFA" w:rsidRDefault="00D64FA1" w:rsidP="00146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09D0029A" w14:textId="77777777" w:rsidR="00146D4D" w:rsidRPr="000C7CFA" w:rsidRDefault="00146D4D" w:rsidP="00146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Xiang N, Chen L, Meng X-Z, Li Y-L, Liu Z, Wu B, Dai L and Dai X (2014). Polybrominated diphenyl ethers (PBDEs) and dechlorane plus (DP) in a conventional wastewater treatment plant (WWTP) in Shanghai: Seasonal variations and potential sources. Science of the Total Environment, 487 (1), 342-349. </w:t>
      </w:r>
    </w:p>
    <w:p w14:paraId="0C008924" w14:textId="77777777" w:rsidR="00146D4D" w:rsidRPr="000C7CFA" w:rsidRDefault="00146D4D" w:rsidP="00146D4D">
      <w:pPr>
        <w:spacing w:after="0"/>
        <w:jc w:val="both"/>
        <w:rPr>
          <w:rFonts w:ascii="Verdana" w:hAnsi="Verdana"/>
          <w:sz w:val="18"/>
          <w:szCs w:val="18"/>
          <w:lang w:val="en-GB"/>
        </w:rPr>
      </w:pPr>
      <w:r w:rsidRPr="000C7CFA">
        <w:rPr>
          <w:rFonts w:ascii="Verdana" w:hAnsi="Verdana"/>
          <w:i/>
          <w:sz w:val="18"/>
          <w:szCs w:val="18"/>
          <w:lang w:val="en-GB"/>
        </w:rPr>
        <w:t>Reason for omission: Levels in wastewater treatment plant</w:t>
      </w:r>
      <w:r w:rsidR="002D4F89" w:rsidRPr="000C7CFA">
        <w:rPr>
          <w:rFonts w:ascii="Verdana" w:hAnsi="Verdana"/>
          <w:i/>
          <w:sz w:val="18"/>
          <w:szCs w:val="18"/>
          <w:lang w:val="en-GB"/>
        </w:rPr>
        <w:t>, outside Europe</w:t>
      </w:r>
      <w:r w:rsidRPr="000C7CFA">
        <w:rPr>
          <w:rFonts w:ascii="Verdana" w:hAnsi="Verdana"/>
          <w:sz w:val="18"/>
          <w:szCs w:val="18"/>
          <w:lang w:val="en-GB"/>
        </w:rPr>
        <w:t>.</w:t>
      </w:r>
    </w:p>
    <w:p w14:paraId="2BAF8169" w14:textId="2F8D0CC2" w:rsidR="00D64FA1" w:rsidRPr="000C7CFA" w:rsidRDefault="00D64FA1">
      <w:pPr>
        <w:spacing w:after="0"/>
        <w:rPr>
          <w:rFonts w:ascii="Verdana" w:hAnsi="Verdana"/>
          <w:sz w:val="18"/>
          <w:szCs w:val="18"/>
          <w:lang w:val="en-GB"/>
        </w:rPr>
      </w:pPr>
    </w:p>
    <w:p w14:paraId="07046799" w14:textId="77777777" w:rsidR="00D64FA1" w:rsidRPr="000C7CFA" w:rsidRDefault="00D64FA1" w:rsidP="00D64FA1">
      <w:pPr>
        <w:spacing w:after="0"/>
        <w:jc w:val="both"/>
        <w:rPr>
          <w:rFonts w:ascii="Verdana" w:hAnsi="Verdana"/>
          <w:sz w:val="18"/>
          <w:szCs w:val="18"/>
          <w:lang w:val="en-GB"/>
        </w:rPr>
      </w:pPr>
      <w:r w:rsidRPr="000C7CFA">
        <w:rPr>
          <w:rFonts w:ascii="Verdana" w:hAnsi="Verdana"/>
          <w:sz w:val="18"/>
          <w:szCs w:val="18"/>
          <w:lang w:val="en-GB"/>
        </w:rPr>
        <w:t>Xu P, Tao B, Ye Z, Qi L, Ren Y, Zhou Z, Li N, Huang Y and Chen J (2015). Simultaneous determination of three alternative flame retardants (dechlorane plus, 1</w:t>
      </w:r>
      <w:proofErr w:type="gramStart"/>
      <w:r w:rsidRPr="000C7CFA">
        <w:rPr>
          <w:rFonts w:ascii="Verdana" w:hAnsi="Verdana"/>
          <w:sz w:val="18"/>
          <w:szCs w:val="18"/>
          <w:lang w:val="en-GB"/>
        </w:rPr>
        <w:t>,2</w:t>
      </w:r>
      <w:proofErr w:type="gramEnd"/>
      <w:r w:rsidRPr="000C7CFA">
        <w:rPr>
          <w:rFonts w:ascii="Verdana" w:hAnsi="Verdana"/>
          <w:sz w:val="18"/>
          <w:szCs w:val="18"/>
          <w:lang w:val="en-GB"/>
        </w:rPr>
        <w:t>-bis(2,4,6-tribromophenoxy) ethane, and decabromodiphenyl ethane) in soils by gas chromatography-high resolution mass spectrometry.</w:t>
      </w:r>
      <w:r w:rsidRPr="000C7CFA">
        <w:rPr>
          <w:rFonts w:ascii="Verdana" w:hAnsi="Verdana"/>
          <w:sz w:val="18"/>
          <w:szCs w:val="18"/>
        </w:rPr>
        <w:t xml:space="preserve"> </w:t>
      </w:r>
      <w:r w:rsidRPr="000C7CFA">
        <w:rPr>
          <w:rFonts w:ascii="Verdana" w:hAnsi="Verdana"/>
          <w:sz w:val="18"/>
          <w:szCs w:val="18"/>
          <w:lang w:val="en-GB"/>
        </w:rPr>
        <w:t>Talanta, 144, 1014-1020.</w:t>
      </w:r>
    </w:p>
    <w:p w14:paraId="4F0712E0" w14:textId="77777777" w:rsidR="00D64FA1" w:rsidRPr="000C7CFA" w:rsidRDefault="00D64FA1" w:rsidP="00D64FA1">
      <w:pPr>
        <w:spacing w:after="0"/>
        <w:jc w:val="both"/>
        <w:rPr>
          <w:rFonts w:ascii="Verdana" w:hAnsi="Verdana"/>
          <w:i/>
          <w:sz w:val="18"/>
          <w:szCs w:val="18"/>
          <w:lang w:val="en-GB"/>
        </w:rPr>
      </w:pPr>
      <w:r w:rsidRPr="000C7CFA">
        <w:rPr>
          <w:rFonts w:ascii="Verdana" w:hAnsi="Verdana"/>
          <w:i/>
          <w:sz w:val="18"/>
          <w:szCs w:val="18"/>
          <w:lang w:val="en-GB"/>
        </w:rPr>
        <w:t>Reason for omission: Analytical method development for levels in soils, outside Europe.</w:t>
      </w:r>
    </w:p>
    <w:p w14:paraId="5D6C015A" w14:textId="77777777" w:rsidR="00D64FA1" w:rsidRPr="000C7CFA" w:rsidRDefault="00D64FA1" w:rsidP="00D64FA1">
      <w:pPr>
        <w:autoSpaceDE w:val="0"/>
        <w:autoSpaceDN w:val="0"/>
        <w:adjustRightInd w:val="0"/>
        <w:spacing w:after="0"/>
        <w:jc w:val="both"/>
        <w:rPr>
          <w:rFonts w:ascii="Verdana" w:eastAsia="Calibri" w:hAnsi="Verdana"/>
          <w:sz w:val="18"/>
          <w:szCs w:val="18"/>
          <w:lang w:val="en-GB"/>
        </w:rPr>
      </w:pPr>
    </w:p>
    <w:p w14:paraId="137CBBB4" w14:textId="77777777" w:rsidR="00104DBD" w:rsidRPr="000C7CFA" w:rsidRDefault="00104DBD" w:rsidP="0010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Yang R, Wei H, Guo J, McLeod C, Li A and Sturchio NC (2011). Historically and currently used Dechloranes in the sediments of the Great Lakes. Environ. Sci. Technol., 45, 5156–5163.</w:t>
      </w:r>
    </w:p>
    <w:p w14:paraId="3339B259" w14:textId="77777777" w:rsidR="00104DBD" w:rsidRPr="000C7CFA" w:rsidRDefault="00104DBD" w:rsidP="00104DBD">
      <w:pPr>
        <w:spacing w:after="0"/>
        <w:jc w:val="both"/>
        <w:rPr>
          <w:rFonts w:ascii="Verdana" w:hAnsi="Verdana"/>
          <w:sz w:val="18"/>
          <w:szCs w:val="18"/>
          <w:lang w:val="en-GB"/>
        </w:rPr>
      </w:pPr>
      <w:r w:rsidRPr="000C7CFA">
        <w:rPr>
          <w:rFonts w:ascii="Verdana" w:hAnsi="Verdana"/>
          <w:i/>
          <w:sz w:val="18"/>
          <w:szCs w:val="18"/>
          <w:lang w:val="en-GB"/>
        </w:rPr>
        <w:t>Reason for omission: Levels in sediment, outside Europe</w:t>
      </w:r>
      <w:r w:rsidRPr="000C7CFA">
        <w:rPr>
          <w:rFonts w:ascii="Verdana" w:hAnsi="Verdana"/>
          <w:sz w:val="18"/>
          <w:szCs w:val="18"/>
          <w:lang w:val="en-GB"/>
        </w:rPr>
        <w:t>.</w:t>
      </w:r>
    </w:p>
    <w:p w14:paraId="477BBE86" w14:textId="77777777" w:rsidR="00104DBD" w:rsidRPr="000C7CFA" w:rsidRDefault="00104DBD" w:rsidP="00116103">
      <w:pPr>
        <w:autoSpaceDE w:val="0"/>
        <w:autoSpaceDN w:val="0"/>
        <w:adjustRightInd w:val="0"/>
        <w:spacing w:after="0"/>
        <w:jc w:val="both"/>
        <w:rPr>
          <w:rFonts w:ascii="Verdana" w:eastAsia="Calibri" w:hAnsi="Verdana"/>
          <w:sz w:val="18"/>
          <w:szCs w:val="18"/>
          <w:lang w:val="en-GB"/>
        </w:rPr>
      </w:pPr>
    </w:p>
    <w:p w14:paraId="7148EB60" w14:textId="77777777" w:rsidR="00116103" w:rsidRPr="000C7CFA" w:rsidRDefault="00116103" w:rsidP="00116103">
      <w:pPr>
        <w:autoSpaceDE w:val="0"/>
        <w:autoSpaceDN w:val="0"/>
        <w:adjustRightInd w:val="0"/>
        <w:spacing w:after="0"/>
        <w:jc w:val="both"/>
        <w:rPr>
          <w:rFonts w:ascii="Verdana" w:eastAsia="Calibri" w:hAnsi="Verdana"/>
          <w:sz w:val="18"/>
          <w:szCs w:val="18"/>
          <w:lang w:val="en-GB"/>
        </w:rPr>
      </w:pPr>
      <w:r w:rsidRPr="000C7CFA">
        <w:rPr>
          <w:rFonts w:ascii="Verdana" w:eastAsia="Calibri" w:hAnsi="Verdana"/>
          <w:sz w:val="18"/>
          <w:szCs w:val="18"/>
          <w:lang w:val="en-GB"/>
        </w:rPr>
        <w:t xml:space="preserve">Yu Z, Lu S, Gao S, Wang J, Li H, Zeng X, Sheng G and Fu J (2010). Levels and isomer profiles of Dechlorane Plus in the surface soils from e-waste recycling areas and industrial areas in south China. Environ. </w:t>
      </w:r>
      <w:proofErr w:type="gramStart"/>
      <w:r w:rsidRPr="000C7CFA">
        <w:rPr>
          <w:rFonts w:ascii="Verdana" w:eastAsia="Calibri" w:hAnsi="Verdana"/>
          <w:sz w:val="18"/>
          <w:szCs w:val="18"/>
          <w:lang w:val="en-GB"/>
        </w:rPr>
        <w:t>Pollut.,</w:t>
      </w:r>
      <w:proofErr w:type="gramEnd"/>
      <w:r w:rsidRPr="000C7CFA">
        <w:rPr>
          <w:rFonts w:ascii="Verdana" w:eastAsia="Calibri" w:hAnsi="Verdana"/>
          <w:sz w:val="18"/>
          <w:szCs w:val="18"/>
          <w:lang w:val="en-GB"/>
        </w:rPr>
        <w:t xml:space="preserve"> 158, 2920–2925.</w:t>
      </w:r>
    </w:p>
    <w:p w14:paraId="157AB3C5" w14:textId="77777777" w:rsidR="00116103" w:rsidRPr="000C7CFA" w:rsidRDefault="00116103" w:rsidP="00116103">
      <w:pPr>
        <w:autoSpaceDE w:val="0"/>
        <w:autoSpaceDN w:val="0"/>
        <w:adjustRightInd w:val="0"/>
        <w:spacing w:after="0"/>
        <w:jc w:val="both"/>
        <w:rPr>
          <w:rFonts w:ascii="Verdana" w:hAnsi="Verdana"/>
          <w:i/>
          <w:sz w:val="18"/>
          <w:szCs w:val="18"/>
        </w:rPr>
      </w:pPr>
      <w:r w:rsidRPr="000C7CFA">
        <w:rPr>
          <w:rFonts w:ascii="Verdana" w:hAnsi="Verdana"/>
          <w:i/>
          <w:sz w:val="18"/>
          <w:szCs w:val="18"/>
        </w:rPr>
        <w:t>Reason for omission: Levels in soils</w:t>
      </w:r>
      <w:r w:rsidR="002D4F89" w:rsidRPr="000C7CFA">
        <w:rPr>
          <w:rFonts w:ascii="Verdana" w:hAnsi="Verdana"/>
          <w:i/>
          <w:sz w:val="18"/>
          <w:szCs w:val="18"/>
          <w:lang w:val="en-GB"/>
        </w:rPr>
        <w:t>, outside Europe</w:t>
      </w:r>
      <w:r w:rsidRPr="000C7CFA">
        <w:rPr>
          <w:rFonts w:ascii="Verdana" w:hAnsi="Verdana"/>
          <w:i/>
          <w:sz w:val="18"/>
          <w:szCs w:val="18"/>
        </w:rPr>
        <w:t>.</w:t>
      </w:r>
    </w:p>
    <w:p w14:paraId="1F4F43A4" w14:textId="77777777" w:rsidR="00541B58" w:rsidRPr="000C7CFA" w:rsidRDefault="00541B58" w:rsidP="0054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3EE2B176" w14:textId="77777777" w:rsidR="002854F3" w:rsidRPr="000C7CFA" w:rsidRDefault="002854F3" w:rsidP="00E94E0C">
      <w:pPr>
        <w:autoSpaceDE w:val="0"/>
        <w:autoSpaceDN w:val="0"/>
        <w:adjustRightInd w:val="0"/>
        <w:spacing w:after="0"/>
        <w:jc w:val="both"/>
        <w:rPr>
          <w:rFonts w:ascii="Verdana" w:hAnsi="Verdana"/>
          <w:sz w:val="18"/>
          <w:szCs w:val="18"/>
          <w:lang w:eastAsia="en-GB"/>
        </w:rPr>
      </w:pPr>
      <w:r w:rsidRPr="000C7CFA">
        <w:rPr>
          <w:rFonts w:ascii="Verdana" w:hAnsi="Verdana"/>
          <w:sz w:val="18"/>
          <w:szCs w:val="18"/>
          <w:lang w:eastAsia="en-GB"/>
        </w:rPr>
        <w:t xml:space="preserve">Yu D, Yang J, Li T, Feng J, Xian Q and Zhu J </w:t>
      </w:r>
      <w:r w:rsidR="00E94E0C" w:rsidRPr="000C7CFA">
        <w:rPr>
          <w:rFonts w:ascii="Verdana" w:hAnsi="Verdana"/>
          <w:sz w:val="18"/>
          <w:szCs w:val="18"/>
          <w:lang w:eastAsia="en-GB"/>
        </w:rPr>
        <w:t>(2015</w:t>
      </w:r>
      <w:r w:rsidRPr="000C7CFA">
        <w:rPr>
          <w:rFonts w:ascii="Verdana" w:hAnsi="Verdana"/>
          <w:sz w:val="18"/>
          <w:szCs w:val="18"/>
          <w:lang w:eastAsia="en-GB"/>
        </w:rPr>
        <w:t xml:space="preserve">). Levels and distribution of Dechloranes in sediments of Lake Taihu, China. Environmental Science and Pollution Research, </w:t>
      </w:r>
      <w:r w:rsidR="00E94E0C" w:rsidRPr="000C7CFA">
        <w:rPr>
          <w:rFonts w:ascii="Verdana" w:hAnsi="Verdana"/>
          <w:sz w:val="18"/>
          <w:szCs w:val="18"/>
          <w:lang w:eastAsia="en-GB"/>
        </w:rPr>
        <w:t>22, 6601-6609</w:t>
      </w:r>
      <w:r w:rsidRPr="000C7CFA">
        <w:rPr>
          <w:rFonts w:ascii="Verdana" w:hAnsi="Verdana"/>
          <w:sz w:val="18"/>
          <w:szCs w:val="18"/>
          <w:lang w:eastAsia="en-GB"/>
        </w:rPr>
        <w:t xml:space="preserve">. </w:t>
      </w:r>
    </w:p>
    <w:p w14:paraId="19BECF44" w14:textId="77777777" w:rsidR="002854F3" w:rsidRPr="000C7CFA" w:rsidRDefault="002854F3" w:rsidP="002854F3">
      <w:pPr>
        <w:spacing w:after="0"/>
        <w:jc w:val="both"/>
        <w:rPr>
          <w:rFonts w:ascii="Verdana" w:hAnsi="Verdana"/>
          <w:sz w:val="18"/>
          <w:szCs w:val="18"/>
          <w:lang w:val="en-GB"/>
        </w:rPr>
      </w:pPr>
      <w:r w:rsidRPr="000C7CFA">
        <w:rPr>
          <w:rFonts w:ascii="Verdana" w:hAnsi="Verdana"/>
          <w:i/>
          <w:sz w:val="18"/>
          <w:szCs w:val="18"/>
          <w:lang w:val="en-GB"/>
        </w:rPr>
        <w:t>Reason for omission: Levels in freshwaters and their sediments, outside Europe</w:t>
      </w:r>
      <w:r w:rsidRPr="000C7CFA">
        <w:rPr>
          <w:rFonts w:ascii="Verdana" w:hAnsi="Verdana"/>
          <w:sz w:val="18"/>
          <w:szCs w:val="18"/>
          <w:lang w:val="en-GB"/>
        </w:rPr>
        <w:t>.</w:t>
      </w:r>
    </w:p>
    <w:p w14:paraId="48221D8C" w14:textId="77777777" w:rsidR="00AD15F5" w:rsidRPr="000C7CFA" w:rsidRDefault="00AD15F5" w:rsidP="00AD15F5">
      <w:pPr>
        <w:spacing w:after="0"/>
        <w:jc w:val="both"/>
        <w:rPr>
          <w:rFonts w:ascii="Verdana" w:hAnsi="Verdana"/>
          <w:sz w:val="18"/>
          <w:szCs w:val="18"/>
          <w:lang w:val="en-GB"/>
        </w:rPr>
      </w:pPr>
    </w:p>
    <w:p w14:paraId="5FD46663" w14:textId="77777777" w:rsidR="00D64FA1" w:rsidRPr="000C7CFA" w:rsidRDefault="00D64FA1" w:rsidP="00D64FA1">
      <w:pPr>
        <w:spacing w:after="0"/>
        <w:jc w:val="both"/>
        <w:rPr>
          <w:rFonts w:ascii="Verdana" w:hAnsi="Verdana"/>
          <w:sz w:val="18"/>
          <w:szCs w:val="18"/>
          <w:lang w:val="en-GB"/>
        </w:rPr>
      </w:pPr>
      <w:r w:rsidRPr="000C7CFA">
        <w:rPr>
          <w:rFonts w:ascii="Verdana" w:hAnsi="Verdana"/>
          <w:sz w:val="18"/>
          <w:szCs w:val="18"/>
          <w:lang w:val="en-GB"/>
        </w:rPr>
        <w:t>Yu Y, Hung H, Alexandrou N, Roach P and Nordin K (2015). Multiyear Measurements of Flame Retardants and Organochlorine Pesticides in Air in Canada’s Western Sub-Arctic. Environmental Science and Technology, 49, 8623-8630.</w:t>
      </w:r>
    </w:p>
    <w:p w14:paraId="7268DEB2" w14:textId="77777777" w:rsidR="00D64FA1" w:rsidRPr="000C7CFA" w:rsidRDefault="00D64FA1" w:rsidP="00D64FA1">
      <w:pPr>
        <w:spacing w:after="0"/>
        <w:jc w:val="both"/>
        <w:rPr>
          <w:rFonts w:ascii="Verdana" w:hAnsi="Verdana"/>
          <w:i/>
          <w:sz w:val="18"/>
          <w:szCs w:val="18"/>
          <w:lang w:val="en-GB"/>
        </w:rPr>
      </w:pPr>
      <w:r w:rsidRPr="000C7CFA">
        <w:rPr>
          <w:rFonts w:ascii="Verdana" w:hAnsi="Verdana"/>
          <w:i/>
          <w:sz w:val="18"/>
          <w:szCs w:val="18"/>
          <w:lang w:val="en-GB"/>
        </w:rPr>
        <w:t>Reason for omission: Levels in air, outside Europe.</w:t>
      </w:r>
    </w:p>
    <w:p w14:paraId="3C3440BC" w14:textId="77777777" w:rsidR="00D64FA1" w:rsidRPr="000C7CFA" w:rsidRDefault="00D64FA1" w:rsidP="00AD15F5">
      <w:pPr>
        <w:spacing w:after="0"/>
        <w:jc w:val="both"/>
        <w:rPr>
          <w:rFonts w:ascii="Verdana" w:hAnsi="Verdana"/>
          <w:sz w:val="18"/>
          <w:szCs w:val="18"/>
          <w:lang w:val="en-GB"/>
        </w:rPr>
      </w:pPr>
    </w:p>
    <w:p w14:paraId="3BA43FB1" w14:textId="77777777" w:rsidR="00AD15F5" w:rsidRPr="000C7CFA" w:rsidRDefault="00AD15F5" w:rsidP="00AD15F5">
      <w:pPr>
        <w:spacing w:after="0"/>
        <w:jc w:val="both"/>
        <w:rPr>
          <w:rFonts w:ascii="Verdana" w:hAnsi="Verdana"/>
          <w:sz w:val="18"/>
          <w:szCs w:val="18"/>
          <w:lang w:val="en-GB"/>
        </w:rPr>
      </w:pPr>
      <w:r w:rsidRPr="000C7CFA">
        <w:rPr>
          <w:rFonts w:ascii="Verdana" w:hAnsi="Verdana"/>
          <w:sz w:val="18"/>
          <w:szCs w:val="18"/>
          <w:lang w:val="en-GB"/>
        </w:rPr>
        <w:t xml:space="preserve">Zeng L, Yang R, Zhang Q, Zhang H, Xiao K, Zhang H, Wang Y, Lam PKS and Jiang G (2014). Current levels and composition profiles of emerging halogenated flame retardants and dehalogenated products in sewage sludge from municipal wastewater treatment plants in China. Environmental Science and Technology, 48 (21), 12586-12594. </w:t>
      </w:r>
    </w:p>
    <w:p w14:paraId="272C4983" w14:textId="77777777" w:rsidR="00AD15F5" w:rsidRPr="000C7CFA" w:rsidRDefault="00AD15F5" w:rsidP="00AD15F5">
      <w:pPr>
        <w:spacing w:after="0"/>
        <w:jc w:val="both"/>
        <w:rPr>
          <w:rFonts w:ascii="Verdana" w:hAnsi="Verdana"/>
          <w:i/>
          <w:sz w:val="18"/>
          <w:szCs w:val="18"/>
          <w:lang w:val="en-GB"/>
        </w:rPr>
      </w:pPr>
      <w:r w:rsidRPr="000C7CFA">
        <w:rPr>
          <w:rFonts w:ascii="Verdana" w:hAnsi="Verdana"/>
          <w:i/>
          <w:sz w:val="18"/>
          <w:szCs w:val="18"/>
          <w:lang w:val="en-GB"/>
        </w:rPr>
        <w:t>Reason for omission: Levels in wastewater treatment plant sludge</w:t>
      </w:r>
      <w:r w:rsidR="002D4F89" w:rsidRPr="000C7CFA">
        <w:rPr>
          <w:rFonts w:ascii="Verdana" w:hAnsi="Verdana"/>
          <w:i/>
          <w:sz w:val="18"/>
          <w:szCs w:val="18"/>
          <w:lang w:val="en-GB"/>
        </w:rPr>
        <w:t>, outside Europe</w:t>
      </w:r>
      <w:r w:rsidRPr="000C7CFA">
        <w:rPr>
          <w:rFonts w:ascii="Verdana" w:hAnsi="Verdana"/>
          <w:i/>
          <w:sz w:val="18"/>
          <w:szCs w:val="18"/>
          <w:lang w:val="en-GB"/>
        </w:rPr>
        <w:t xml:space="preserve">. </w:t>
      </w:r>
      <w:r w:rsidR="00E94E0C" w:rsidRPr="000C7CFA">
        <w:rPr>
          <w:rFonts w:ascii="Verdana" w:hAnsi="Verdana"/>
          <w:i/>
          <w:sz w:val="18"/>
          <w:szCs w:val="18"/>
          <w:lang w:val="en-GB"/>
        </w:rPr>
        <w:t>Statements made about stereoselective degradation based on anti-DP fractional abundance compared to the commercial substance are unreliable.</w:t>
      </w:r>
    </w:p>
    <w:p w14:paraId="690CE2C1" w14:textId="77777777" w:rsidR="005B1145" w:rsidRPr="000C7CFA" w:rsidRDefault="005B1145" w:rsidP="002F2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2E6400D9" w14:textId="77777777" w:rsidR="00E64618" w:rsidRPr="000C7CFA" w:rsidRDefault="00E64618" w:rsidP="00E64618">
      <w:pPr>
        <w:spacing w:after="0"/>
        <w:jc w:val="both"/>
        <w:rPr>
          <w:rFonts w:ascii="Verdana" w:hAnsi="Verdana"/>
          <w:sz w:val="18"/>
          <w:szCs w:val="18"/>
          <w:lang w:val="en-GB"/>
        </w:rPr>
      </w:pPr>
      <w:r w:rsidRPr="000C7CFA">
        <w:rPr>
          <w:rFonts w:ascii="Verdana" w:hAnsi="Verdana"/>
          <w:sz w:val="18"/>
          <w:szCs w:val="18"/>
          <w:lang w:val="en-GB"/>
        </w:rPr>
        <w:t>Zhang W, Huang J, Yu G, Deng S and Zhu W (2010). Mechanochemical destruction of Dechlorane</w:t>
      </w:r>
      <w:r w:rsidR="00AE482D" w:rsidRPr="000C7CFA">
        <w:rPr>
          <w:rFonts w:ascii="Verdana" w:hAnsi="Verdana"/>
          <w:sz w:val="18"/>
          <w:szCs w:val="18"/>
          <w:lang w:val="en-GB"/>
        </w:rPr>
        <w:t xml:space="preserve"> </w:t>
      </w:r>
      <w:r w:rsidRPr="000C7CFA">
        <w:rPr>
          <w:rFonts w:ascii="Verdana" w:hAnsi="Verdana"/>
          <w:sz w:val="18"/>
          <w:szCs w:val="18"/>
          <w:lang w:val="en-GB"/>
        </w:rPr>
        <w:t>Plus with calcium oxide. Chemosphere, 81, 345–350.</w:t>
      </w:r>
    </w:p>
    <w:p w14:paraId="4D814C8A" w14:textId="77777777" w:rsidR="00E64618" w:rsidRPr="000C7CFA" w:rsidRDefault="00E64618" w:rsidP="00E64618">
      <w:pPr>
        <w:spacing w:after="0"/>
        <w:jc w:val="both"/>
        <w:rPr>
          <w:rFonts w:ascii="Verdana" w:hAnsi="Verdana"/>
          <w:i/>
          <w:sz w:val="18"/>
          <w:szCs w:val="18"/>
          <w:lang w:val="en-GB"/>
        </w:rPr>
      </w:pPr>
      <w:r w:rsidRPr="000C7CFA">
        <w:rPr>
          <w:rFonts w:ascii="Verdana" w:hAnsi="Verdana"/>
          <w:i/>
          <w:sz w:val="18"/>
          <w:szCs w:val="18"/>
          <w:lang w:val="en-GB"/>
        </w:rPr>
        <w:t xml:space="preserve">Reason for omission: Destruction technique. </w:t>
      </w:r>
    </w:p>
    <w:p w14:paraId="74621D73" w14:textId="77777777" w:rsidR="00E64618" w:rsidRPr="000C7CFA" w:rsidRDefault="00E64618" w:rsidP="00E64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7310C461" w14:textId="77777777" w:rsidR="002854F3" w:rsidRPr="000C7CFA" w:rsidRDefault="002854F3" w:rsidP="002854F3">
      <w:pPr>
        <w:spacing w:after="0"/>
        <w:jc w:val="both"/>
        <w:rPr>
          <w:rFonts w:ascii="Verdana" w:hAnsi="Verdana"/>
          <w:sz w:val="18"/>
          <w:szCs w:val="18"/>
          <w:lang w:val="en-GB"/>
        </w:rPr>
      </w:pPr>
      <w:r w:rsidRPr="000C7CFA">
        <w:rPr>
          <w:rFonts w:ascii="Verdana" w:hAnsi="Verdana"/>
          <w:sz w:val="18"/>
          <w:szCs w:val="18"/>
          <w:lang w:val="en-GB"/>
        </w:rPr>
        <w:t xml:space="preserve">Zhang H, Bayen S and Kelly BC (2015). Multi-residue analysis of legacy POPs and emerging organic contaminants in Singapore's coastal waters using gas chromatography-triple quadrupole tandem mass spectrometry. Science of the Total Environment, 523, 219-232. </w:t>
      </w:r>
    </w:p>
    <w:p w14:paraId="654AA3F7" w14:textId="77777777" w:rsidR="002854F3" w:rsidRPr="000C7CFA" w:rsidRDefault="002854F3" w:rsidP="002854F3">
      <w:pPr>
        <w:spacing w:after="0"/>
        <w:jc w:val="both"/>
        <w:rPr>
          <w:rFonts w:ascii="Verdana" w:hAnsi="Verdana"/>
          <w:sz w:val="18"/>
          <w:szCs w:val="18"/>
          <w:lang w:val="en-GB"/>
        </w:rPr>
      </w:pPr>
      <w:r w:rsidRPr="000C7CFA">
        <w:rPr>
          <w:rFonts w:ascii="Verdana" w:hAnsi="Verdana"/>
          <w:i/>
          <w:sz w:val="18"/>
          <w:szCs w:val="18"/>
          <w:lang w:val="en-GB"/>
        </w:rPr>
        <w:t>Reason for omission: Levels in seawater</w:t>
      </w:r>
      <w:r w:rsidR="002D4F89" w:rsidRPr="000C7CFA">
        <w:rPr>
          <w:rFonts w:ascii="Verdana" w:hAnsi="Verdana"/>
          <w:i/>
          <w:sz w:val="18"/>
          <w:szCs w:val="18"/>
          <w:lang w:val="en-GB"/>
        </w:rPr>
        <w:t>,</w:t>
      </w:r>
      <w:r w:rsidRPr="000C7CFA">
        <w:rPr>
          <w:rFonts w:ascii="Verdana" w:hAnsi="Verdana"/>
          <w:i/>
          <w:sz w:val="18"/>
          <w:szCs w:val="18"/>
          <w:lang w:val="en-GB"/>
        </w:rPr>
        <w:t xml:space="preserve"> outside Europe</w:t>
      </w:r>
      <w:r w:rsidRPr="000C7CFA">
        <w:rPr>
          <w:rFonts w:ascii="Verdana" w:hAnsi="Verdana"/>
          <w:sz w:val="18"/>
          <w:szCs w:val="18"/>
          <w:lang w:val="en-GB"/>
        </w:rPr>
        <w:t>.</w:t>
      </w:r>
    </w:p>
    <w:p w14:paraId="7B8115C4" w14:textId="77777777" w:rsidR="00AD15F5" w:rsidRPr="000C7CFA" w:rsidRDefault="00AD15F5" w:rsidP="00AD15F5">
      <w:pPr>
        <w:spacing w:after="0"/>
        <w:jc w:val="both"/>
        <w:rPr>
          <w:rFonts w:ascii="Verdana" w:hAnsi="Verdana"/>
          <w:sz w:val="18"/>
          <w:szCs w:val="18"/>
          <w:lang w:val="en-GB"/>
        </w:rPr>
      </w:pPr>
    </w:p>
    <w:p w14:paraId="222CF4A5" w14:textId="77777777" w:rsidR="002854F3" w:rsidRPr="000C7CFA" w:rsidRDefault="002854F3" w:rsidP="00D6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Zheng Q, Nizzetto L, Li J, Mulder MD, Sáňka O, Lammel G, Bing H, Liu X, Jiang Y, Luo C and Zhang G (2015). Spatial distribution of old and emerging flame retardants in Chinese forest soils: Sources, trends and processes. Environmental Science and Technology, 49 (5), 2904-2911. </w:t>
      </w:r>
    </w:p>
    <w:p w14:paraId="31B21BE9" w14:textId="77777777" w:rsidR="002854F3" w:rsidRPr="000C7CFA" w:rsidRDefault="002854F3" w:rsidP="002854F3">
      <w:pPr>
        <w:spacing w:after="0"/>
        <w:jc w:val="both"/>
        <w:rPr>
          <w:rFonts w:ascii="Verdana" w:hAnsi="Verdana"/>
          <w:sz w:val="18"/>
          <w:szCs w:val="18"/>
          <w:lang w:val="en-GB"/>
        </w:rPr>
      </w:pPr>
      <w:r w:rsidRPr="000C7CFA">
        <w:rPr>
          <w:rFonts w:ascii="Verdana" w:hAnsi="Verdana"/>
          <w:i/>
          <w:sz w:val="18"/>
          <w:szCs w:val="18"/>
          <w:lang w:val="en-GB"/>
        </w:rPr>
        <w:t>Reason for omission: Levels in soils, outside Europe</w:t>
      </w:r>
      <w:r w:rsidRPr="000C7CFA">
        <w:rPr>
          <w:rFonts w:ascii="Verdana" w:hAnsi="Verdana"/>
          <w:sz w:val="18"/>
          <w:szCs w:val="18"/>
          <w:lang w:val="en-GB"/>
        </w:rPr>
        <w:t>.</w:t>
      </w:r>
    </w:p>
    <w:p w14:paraId="18E57571" w14:textId="77777777" w:rsidR="002854F3" w:rsidRPr="000C7CFA" w:rsidRDefault="002854F3" w:rsidP="002854F3">
      <w:pPr>
        <w:spacing w:after="0"/>
        <w:jc w:val="both"/>
        <w:rPr>
          <w:rFonts w:ascii="Verdana" w:hAnsi="Verdana"/>
          <w:sz w:val="18"/>
          <w:szCs w:val="18"/>
          <w:lang w:val="en-GB"/>
        </w:rPr>
      </w:pPr>
    </w:p>
    <w:p w14:paraId="35D72194" w14:textId="77777777" w:rsidR="002854F3" w:rsidRPr="000C7CFA" w:rsidRDefault="002854F3" w:rsidP="002854F3">
      <w:pPr>
        <w:spacing w:after="0"/>
        <w:jc w:val="both"/>
        <w:rPr>
          <w:rFonts w:ascii="Verdana" w:hAnsi="Verdana"/>
          <w:sz w:val="18"/>
          <w:szCs w:val="18"/>
          <w:lang w:val="en-GB"/>
        </w:rPr>
      </w:pPr>
      <w:r w:rsidRPr="000C7CFA">
        <w:rPr>
          <w:rFonts w:ascii="Verdana" w:hAnsi="Verdana"/>
          <w:sz w:val="18"/>
          <w:szCs w:val="18"/>
          <w:lang w:val="en-GB"/>
        </w:rPr>
        <w:lastRenderedPageBreak/>
        <w:t xml:space="preserve">Zheng X, Xu F, Chen K, Zeng Y, Luo X, Chen S, Mai B and Covaci A (2015). Flame retardants and organochlorines in indoor dust from several e-waste recycling sites in South China: Composition variations and implications for human exposure. Environment International, 78, 1-7. </w:t>
      </w:r>
    </w:p>
    <w:p w14:paraId="19300714" w14:textId="77777777" w:rsidR="002854F3" w:rsidRPr="000C7CFA" w:rsidRDefault="002854F3" w:rsidP="002854F3">
      <w:pPr>
        <w:spacing w:after="0"/>
        <w:jc w:val="both"/>
        <w:rPr>
          <w:rFonts w:ascii="Verdana" w:hAnsi="Verdana"/>
          <w:sz w:val="18"/>
          <w:szCs w:val="18"/>
          <w:lang w:val="en-GB"/>
        </w:rPr>
      </w:pPr>
      <w:r w:rsidRPr="000C7CFA">
        <w:rPr>
          <w:rFonts w:ascii="Verdana" w:hAnsi="Verdana"/>
          <w:i/>
          <w:sz w:val="18"/>
          <w:szCs w:val="18"/>
          <w:lang w:val="en-GB"/>
        </w:rPr>
        <w:t>Reason for omission: Levels in indoor dust, outside Europe</w:t>
      </w:r>
      <w:r w:rsidRPr="000C7CFA">
        <w:rPr>
          <w:rFonts w:ascii="Verdana" w:hAnsi="Verdana"/>
          <w:sz w:val="18"/>
          <w:szCs w:val="18"/>
          <w:lang w:val="en-GB"/>
        </w:rPr>
        <w:t>.</w:t>
      </w:r>
    </w:p>
    <w:p w14:paraId="628C5BB6" w14:textId="77777777" w:rsidR="002F274D" w:rsidRPr="000C7CFA" w:rsidRDefault="002F274D" w:rsidP="002551A5">
      <w:pPr>
        <w:spacing w:after="0"/>
        <w:jc w:val="both"/>
        <w:rPr>
          <w:rFonts w:ascii="Verdana" w:hAnsi="Verdana"/>
          <w:sz w:val="18"/>
          <w:szCs w:val="18"/>
          <w:lang w:val="en-GB"/>
        </w:rPr>
      </w:pPr>
    </w:p>
    <w:p w14:paraId="3DA73FF7" w14:textId="77777777" w:rsidR="002854F3" w:rsidRPr="000C7CFA" w:rsidRDefault="002854F3" w:rsidP="00670AFC">
      <w:pPr>
        <w:autoSpaceDE w:val="0"/>
        <w:autoSpaceDN w:val="0"/>
        <w:adjustRightInd w:val="0"/>
        <w:spacing w:after="0"/>
        <w:jc w:val="both"/>
        <w:rPr>
          <w:rFonts w:ascii="Verdana" w:hAnsi="Verdana"/>
          <w:sz w:val="18"/>
          <w:szCs w:val="18"/>
          <w:lang w:val="en-GB"/>
        </w:rPr>
      </w:pPr>
      <w:r w:rsidRPr="000C7CFA">
        <w:rPr>
          <w:rFonts w:ascii="Verdana" w:hAnsi="Verdana"/>
          <w:sz w:val="18"/>
          <w:szCs w:val="18"/>
          <w:lang w:val="en-GB"/>
        </w:rPr>
        <w:t xml:space="preserve">Zhu </w:t>
      </w:r>
      <w:r w:rsidR="00E64618" w:rsidRPr="000C7CFA">
        <w:rPr>
          <w:rFonts w:ascii="Verdana" w:hAnsi="Verdana"/>
          <w:sz w:val="18"/>
          <w:szCs w:val="18"/>
          <w:lang w:val="en-GB"/>
        </w:rPr>
        <w:t xml:space="preserve">J, Feng YL and Shoeib M </w:t>
      </w:r>
      <w:r w:rsidRPr="000C7CFA">
        <w:rPr>
          <w:rFonts w:ascii="Verdana" w:hAnsi="Verdana"/>
          <w:sz w:val="18"/>
          <w:szCs w:val="18"/>
          <w:lang w:val="en-GB"/>
        </w:rPr>
        <w:t>(2007). Detection of Dechlorane Plus in residential indoor dust in the city of Ottawa, Canada. Environ Sci. Technol., 41, 7694-</w:t>
      </w:r>
      <w:r w:rsidR="00167B3E" w:rsidRPr="000C7CFA">
        <w:rPr>
          <w:rFonts w:ascii="Verdana" w:hAnsi="Verdana"/>
          <w:sz w:val="18"/>
          <w:szCs w:val="18"/>
          <w:lang w:val="en-GB"/>
        </w:rPr>
        <w:t>769</w:t>
      </w:r>
      <w:r w:rsidRPr="000C7CFA">
        <w:rPr>
          <w:rFonts w:ascii="Verdana" w:hAnsi="Verdana"/>
          <w:sz w:val="18"/>
          <w:szCs w:val="18"/>
          <w:lang w:val="en-GB"/>
        </w:rPr>
        <w:t>8.</w:t>
      </w:r>
    </w:p>
    <w:p w14:paraId="544DC151" w14:textId="77777777" w:rsidR="002854F3" w:rsidRPr="000C7CFA" w:rsidRDefault="002854F3" w:rsidP="002551A5">
      <w:pPr>
        <w:spacing w:after="0"/>
        <w:jc w:val="both"/>
        <w:rPr>
          <w:rFonts w:ascii="Verdana" w:hAnsi="Verdana"/>
          <w:sz w:val="18"/>
          <w:szCs w:val="18"/>
          <w:lang w:val="en-GB"/>
        </w:rPr>
      </w:pPr>
      <w:r w:rsidRPr="000C7CFA">
        <w:rPr>
          <w:rFonts w:ascii="Verdana" w:hAnsi="Verdana"/>
          <w:i/>
          <w:sz w:val="18"/>
          <w:szCs w:val="18"/>
          <w:lang w:val="en-GB"/>
        </w:rPr>
        <w:t>Reason for omission: Levels in indoor dust, outside Europe</w:t>
      </w:r>
      <w:r w:rsidRPr="000C7CFA">
        <w:rPr>
          <w:rFonts w:ascii="Verdana" w:hAnsi="Verdana"/>
          <w:sz w:val="18"/>
          <w:szCs w:val="18"/>
          <w:lang w:val="en-GB"/>
        </w:rPr>
        <w:t>.</w:t>
      </w:r>
    </w:p>
    <w:p w14:paraId="45FE316B" w14:textId="77777777" w:rsidR="002854F3" w:rsidRPr="000C7CFA" w:rsidRDefault="002854F3" w:rsidP="002551A5">
      <w:pPr>
        <w:spacing w:after="0"/>
        <w:jc w:val="both"/>
        <w:rPr>
          <w:rFonts w:ascii="Verdana" w:hAnsi="Verdana"/>
          <w:sz w:val="18"/>
          <w:szCs w:val="18"/>
          <w:lang w:val="en-GB"/>
        </w:rPr>
      </w:pPr>
    </w:p>
    <w:p w14:paraId="43BAAC6A" w14:textId="77777777" w:rsidR="002B4DDA" w:rsidRPr="000C7CFA" w:rsidRDefault="002B4DDA" w:rsidP="002B4DDA">
      <w:pPr>
        <w:autoSpaceDE w:val="0"/>
        <w:autoSpaceDN w:val="0"/>
        <w:adjustRightInd w:val="0"/>
        <w:spacing w:after="0"/>
        <w:jc w:val="both"/>
        <w:rPr>
          <w:rFonts w:ascii="Verdana" w:hAnsi="Verdana"/>
          <w:sz w:val="18"/>
          <w:szCs w:val="18"/>
          <w:lang w:val="en-GB"/>
        </w:rPr>
      </w:pPr>
      <w:r w:rsidRPr="000C7CFA">
        <w:rPr>
          <w:rFonts w:ascii="Verdana" w:hAnsi="Verdana"/>
          <w:sz w:val="18"/>
          <w:szCs w:val="18"/>
          <w:lang w:val="en-GB"/>
        </w:rPr>
        <w:t xml:space="preserve">Zhu B, Lam JCW, Yang S and Lam PKS (2013). Conventional and emerging halogenated flame retardants (HFRs) in sediment of Yangtze River Delta (YRD) region, East China. </w:t>
      </w:r>
      <w:hyperlink r:id="rId28" w:tooltip="Go to Chemosphere on ScienceDirect" w:history="1">
        <w:r w:rsidRPr="000C7CFA">
          <w:rPr>
            <w:rFonts w:ascii="Verdana" w:hAnsi="Verdana"/>
            <w:sz w:val="18"/>
            <w:szCs w:val="18"/>
            <w:lang w:val="en-GB"/>
          </w:rPr>
          <w:t>Chemosphere</w:t>
        </w:r>
      </w:hyperlink>
      <w:r w:rsidRPr="000C7CFA">
        <w:rPr>
          <w:rFonts w:ascii="Verdana" w:hAnsi="Verdana"/>
          <w:sz w:val="18"/>
          <w:szCs w:val="18"/>
          <w:lang w:val="en-GB"/>
        </w:rPr>
        <w:t xml:space="preserve">, </w:t>
      </w:r>
      <w:hyperlink r:id="rId29" w:tooltip="Go to table of contents for this volume/issue" w:history="1">
        <w:r w:rsidRPr="000C7CFA">
          <w:rPr>
            <w:rFonts w:ascii="Verdana" w:hAnsi="Verdana"/>
            <w:sz w:val="18"/>
            <w:szCs w:val="18"/>
            <w:lang w:val="en-GB"/>
          </w:rPr>
          <w:t xml:space="preserve">93, </w:t>
        </w:r>
      </w:hyperlink>
      <w:r w:rsidRPr="000C7CFA">
        <w:rPr>
          <w:rFonts w:ascii="Verdana" w:hAnsi="Verdana"/>
          <w:sz w:val="18"/>
          <w:szCs w:val="18"/>
          <w:lang w:val="en-GB"/>
        </w:rPr>
        <w:t xml:space="preserve"> 555–560.</w:t>
      </w:r>
    </w:p>
    <w:p w14:paraId="6B75307A" w14:textId="77777777" w:rsidR="002B4DDA" w:rsidRPr="000C7CFA" w:rsidRDefault="002B4DDA" w:rsidP="002B4DDA">
      <w:pPr>
        <w:spacing w:after="0"/>
        <w:jc w:val="both"/>
        <w:rPr>
          <w:rFonts w:ascii="Verdana" w:hAnsi="Verdana"/>
          <w:sz w:val="18"/>
          <w:szCs w:val="18"/>
          <w:lang w:val="en-GB"/>
        </w:rPr>
      </w:pPr>
      <w:r w:rsidRPr="000C7CFA">
        <w:rPr>
          <w:rFonts w:ascii="Verdana" w:hAnsi="Verdana"/>
          <w:i/>
          <w:sz w:val="18"/>
          <w:szCs w:val="18"/>
          <w:lang w:val="en-GB"/>
        </w:rPr>
        <w:t>Reason for omission: Levels in sediments, outside Europe</w:t>
      </w:r>
      <w:r w:rsidRPr="000C7CFA">
        <w:rPr>
          <w:rFonts w:ascii="Verdana" w:hAnsi="Verdana"/>
          <w:sz w:val="18"/>
          <w:szCs w:val="18"/>
          <w:lang w:val="en-GB"/>
        </w:rPr>
        <w:t>.</w:t>
      </w:r>
    </w:p>
    <w:p w14:paraId="09D1AD96" w14:textId="77777777" w:rsidR="002B4DDA" w:rsidRPr="000C7CFA" w:rsidRDefault="002B4DDA" w:rsidP="002551A5">
      <w:pPr>
        <w:spacing w:after="0"/>
        <w:jc w:val="both"/>
        <w:rPr>
          <w:rFonts w:ascii="Verdana" w:hAnsi="Verdana"/>
          <w:sz w:val="18"/>
          <w:szCs w:val="18"/>
          <w:lang w:val="en-GB"/>
        </w:rPr>
        <w:sectPr w:rsidR="002B4DDA" w:rsidRPr="000C7CFA" w:rsidSect="00AC152A">
          <w:pgSz w:w="11906" w:h="16838" w:code="9"/>
          <w:pgMar w:top="1440" w:right="1797" w:bottom="1440" w:left="1797" w:header="709" w:footer="709" w:gutter="0"/>
          <w:cols w:space="708"/>
          <w:docGrid w:linePitch="360"/>
        </w:sectPr>
      </w:pPr>
    </w:p>
    <w:p w14:paraId="29450B3C" w14:textId="7B358AC3" w:rsidR="00DF46A5" w:rsidRPr="000C7CFA" w:rsidRDefault="00DF46A5" w:rsidP="00DF46A5">
      <w:pPr>
        <w:pStyle w:val="Heading1"/>
        <w:numPr>
          <w:ilvl w:val="0"/>
          <w:numId w:val="0"/>
        </w:numPr>
        <w:tabs>
          <w:tab w:val="clear" w:pos="839"/>
          <w:tab w:val="left" w:pos="1701"/>
        </w:tabs>
        <w:ind w:left="1701" w:hanging="1701"/>
        <w:rPr>
          <w:rFonts w:ascii="Verdana" w:eastAsia="BatangChe" w:hAnsi="Verdana"/>
          <w:sz w:val="18"/>
          <w:szCs w:val="18"/>
        </w:rPr>
      </w:pPr>
      <w:bookmarkStart w:id="148" w:name="_Toc491862801"/>
      <w:r w:rsidRPr="000C7CFA">
        <w:rPr>
          <w:rFonts w:ascii="Verdana" w:eastAsia="BatangChe" w:hAnsi="Verdana"/>
          <w:sz w:val="18"/>
          <w:szCs w:val="18"/>
        </w:rPr>
        <w:lastRenderedPageBreak/>
        <w:t>Appendix 2</w:t>
      </w:r>
      <w:r w:rsidRPr="000C7CFA">
        <w:rPr>
          <w:rFonts w:ascii="Verdana" w:eastAsia="BatangChe" w:hAnsi="Verdana"/>
          <w:sz w:val="18"/>
          <w:szCs w:val="18"/>
        </w:rPr>
        <w:tab/>
      </w:r>
      <w:r w:rsidR="00133EF6" w:rsidRPr="000C7CFA">
        <w:rPr>
          <w:rFonts w:ascii="Verdana" w:eastAsia="BatangChe" w:hAnsi="Verdana"/>
          <w:sz w:val="18"/>
          <w:szCs w:val="18"/>
        </w:rPr>
        <w:t xml:space="preserve">Transformation </w:t>
      </w:r>
      <w:r w:rsidRPr="000C7CFA">
        <w:rPr>
          <w:rFonts w:ascii="Verdana" w:eastAsia="BatangChe" w:hAnsi="Verdana"/>
          <w:sz w:val="18"/>
          <w:szCs w:val="18"/>
        </w:rPr>
        <w:t>products</w:t>
      </w:r>
      <w:bookmarkEnd w:id="148"/>
    </w:p>
    <w:p w14:paraId="3DC239B4" w14:textId="5B009057" w:rsidR="0038040F" w:rsidRPr="000C7CFA" w:rsidRDefault="00371E8D" w:rsidP="00BD73B0">
      <w:pPr>
        <w:autoSpaceDE w:val="0"/>
        <w:autoSpaceDN w:val="0"/>
        <w:adjustRightInd w:val="0"/>
        <w:spacing w:after="0"/>
        <w:jc w:val="both"/>
        <w:rPr>
          <w:rFonts w:ascii="Verdana" w:hAnsi="Verdana"/>
          <w:sz w:val="18"/>
          <w:szCs w:val="18"/>
        </w:rPr>
      </w:pPr>
      <w:r w:rsidRPr="000C7CFA">
        <w:rPr>
          <w:rFonts w:ascii="Verdana" w:hAnsi="Verdana"/>
          <w:sz w:val="18"/>
          <w:szCs w:val="18"/>
        </w:rPr>
        <w:t xml:space="preserve">A variety of substances derived from Dechlorane Plus </w:t>
      </w:r>
      <w:r w:rsidR="00DD6F2D" w:rsidRPr="000C7CFA">
        <w:rPr>
          <w:rFonts w:ascii="Verdana" w:hAnsi="Verdana"/>
          <w:sz w:val="18"/>
          <w:szCs w:val="18"/>
        </w:rPr>
        <w:t>have been detected in various monitoring studies</w:t>
      </w:r>
      <w:r w:rsidR="004D10EE" w:rsidRPr="000C7CFA">
        <w:rPr>
          <w:rFonts w:ascii="Verdana" w:hAnsi="Verdana"/>
          <w:sz w:val="18"/>
          <w:szCs w:val="18"/>
        </w:rPr>
        <w:t xml:space="preserve"> as highlighted in Section 1.3 of the main report (e.g. Sverko </w:t>
      </w:r>
      <w:r w:rsidR="004D10EE" w:rsidRPr="000C7CFA">
        <w:rPr>
          <w:rFonts w:ascii="Verdana" w:hAnsi="Verdana"/>
          <w:i/>
          <w:sz w:val="18"/>
          <w:szCs w:val="18"/>
        </w:rPr>
        <w:t>et al</w:t>
      </w:r>
      <w:r w:rsidR="004D10EE" w:rsidRPr="000C7CFA">
        <w:rPr>
          <w:rFonts w:ascii="Verdana" w:hAnsi="Verdana"/>
          <w:sz w:val="18"/>
          <w:szCs w:val="18"/>
        </w:rPr>
        <w:t xml:space="preserve">., 2008 &amp; 2010b; Muñoz-Arnanz </w:t>
      </w:r>
      <w:r w:rsidR="004D10EE" w:rsidRPr="000C7CFA">
        <w:rPr>
          <w:rFonts w:ascii="Verdana" w:hAnsi="Verdana"/>
          <w:i/>
          <w:sz w:val="18"/>
          <w:szCs w:val="18"/>
        </w:rPr>
        <w:t>et al</w:t>
      </w:r>
      <w:r w:rsidR="004D10EE" w:rsidRPr="000C7CFA">
        <w:rPr>
          <w:rFonts w:ascii="Verdana" w:hAnsi="Verdana"/>
          <w:sz w:val="18"/>
          <w:szCs w:val="18"/>
        </w:rPr>
        <w:t xml:space="preserve">., 2010; </w:t>
      </w:r>
      <w:r w:rsidR="004D10EE" w:rsidRPr="000C7CFA">
        <w:rPr>
          <w:rFonts w:ascii="Verdana" w:eastAsia="Calibri" w:hAnsi="Verdana"/>
          <w:sz w:val="18"/>
          <w:szCs w:val="18"/>
        </w:rPr>
        <w:t>M</w:t>
      </w:r>
      <w:r w:rsidR="004D10EE" w:rsidRPr="000C7CFA">
        <w:rPr>
          <w:rFonts w:ascii="Calibri" w:eastAsia="Calibri" w:hAnsi="Calibri" w:cs="Calibri"/>
          <w:sz w:val="18"/>
          <w:szCs w:val="18"/>
        </w:rPr>
        <w:t>ӧ</w:t>
      </w:r>
      <w:r w:rsidR="004D10EE" w:rsidRPr="000C7CFA">
        <w:rPr>
          <w:rFonts w:ascii="Verdana" w:eastAsia="Calibri" w:hAnsi="Verdana"/>
          <w:sz w:val="18"/>
          <w:szCs w:val="18"/>
        </w:rPr>
        <w:t>ller</w:t>
      </w:r>
      <w:r w:rsidR="004D10EE" w:rsidRPr="000C7CFA">
        <w:rPr>
          <w:rFonts w:ascii="Verdana" w:hAnsi="Verdana" w:cs="AdvOT863180fb"/>
          <w:i/>
          <w:color w:val="000000"/>
          <w:sz w:val="18"/>
          <w:szCs w:val="18"/>
          <w:lang w:eastAsia="en-GB"/>
        </w:rPr>
        <w:t xml:space="preserve"> </w:t>
      </w:r>
      <w:r w:rsidR="004D10EE" w:rsidRPr="000C7CFA">
        <w:rPr>
          <w:rFonts w:ascii="Verdana" w:hAnsi="Verdana"/>
          <w:i/>
          <w:sz w:val="18"/>
          <w:szCs w:val="18"/>
        </w:rPr>
        <w:t>et al</w:t>
      </w:r>
      <w:r w:rsidR="004D10EE" w:rsidRPr="000C7CFA">
        <w:rPr>
          <w:rFonts w:ascii="Verdana" w:hAnsi="Verdana" w:cs="AdvOT863180fb"/>
          <w:color w:val="000000"/>
          <w:sz w:val="18"/>
          <w:szCs w:val="18"/>
          <w:lang w:eastAsia="en-GB"/>
        </w:rPr>
        <w:t xml:space="preserve">., </w:t>
      </w:r>
      <w:r w:rsidR="004D10EE" w:rsidRPr="000C7CFA">
        <w:rPr>
          <w:rFonts w:ascii="Verdana" w:eastAsia="Calibri" w:hAnsi="Verdana"/>
          <w:sz w:val="18"/>
          <w:szCs w:val="18"/>
        </w:rPr>
        <w:t xml:space="preserve">2010; </w:t>
      </w:r>
      <w:r w:rsidR="004D10EE" w:rsidRPr="000C7CFA">
        <w:rPr>
          <w:rFonts w:ascii="Verdana" w:hAnsi="Verdana"/>
          <w:color w:val="000000"/>
          <w:sz w:val="18"/>
          <w:szCs w:val="18"/>
        </w:rPr>
        <w:t xml:space="preserve">Guerra </w:t>
      </w:r>
      <w:r w:rsidR="004D10EE" w:rsidRPr="000C7CFA">
        <w:rPr>
          <w:rFonts w:ascii="Verdana" w:hAnsi="Verdana"/>
          <w:i/>
          <w:color w:val="000000"/>
          <w:sz w:val="18"/>
          <w:szCs w:val="18"/>
        </w:rPr>
        <w:t>et al</w:t>
      </w:r>
      <w:r w:rsidR="004D10EE" w:rsidRPr="000C7CFA">
        <w:rPr>
          <w:rFonts w:ascii="Verdana" w:hAnsi="Verdana"/>
          <w:color w:val="000000"/>
          <w:sz w:val="18"/>
          <w:szCs w:val="18"/>
        </w:rPr>
        <w:t>., 2011;</w:t>
      </w:r>
      <w:r w:rsidR="004D10EE" w:rsidRPr="000C7CFA">
        <w:rPr>
          <w:rFonts w:ascii="Verdana" w:hAnsi="Verdana"/>
          <w:sz w:val="18"/>
          <w:szCs w:val="18"/>
        </w:rPr>
        <w:t xml:space="preserve"> Sun </w:t>
      </w:r>
      <w:r w:rsidR="004D10EE" w:rsidRPr="000C7CFA">
        <w:rPr>
          <w:rFonts w:ascii="Verdana" w:hAnsi="Verdana"/>
          <w:i/>
          <w:sz w:val="18"/>
          <w:szCs w:val="18"/>
        </w:rPr>
        <w:t>et al</w:t>
      </w:r>
      <w:r w:rsidR="004D10EE" w:rsidRPr="000C7CFA">
        <w:rPr>
          <w:rFonts w:ascii="Verdana" w:hAnsi="Verdana"/>
          <w:sz w:val="18"/>
          <w:szCs w:val="18"/>
        </w:rPr>
        <w:t xml:space="preserve">., 2012; Chen </w:t>
      </w:r>
      <w:r w:rsidR="004D10EE" w:rsidRPr="000C7CFA">
        <w:rPr>
          <w:rFonts w:ascii="Verdana" w:hAnsi="Verdana"/>
          <w:i/>
          <w:sz w:val="18"/>
          <w:szCs w:val="18"/>
        </w:rPr>
        <w:t>et al</w:t>
      </w:r>
      <w:r w:rsidR="004D10EE" w:rsidRPr="000C7CFA">
        <w:rPr>
          <w:rFonts w:ascii="Verdana" w:hAnsi="Verdana"/>
          <w:sz w:val="18"/>
          <w:szCs w:val="18"/>
        </w:rPr>
        <w:t xml:space="preserve">., 2013b; Yu </w:t>
      </w:r>
      <w:r w:rsidR="004D10EE" w:rsidRPr="000C7CFA">
        <w:rPr>
          <w:rFonts w:ascii="Verdana" w:hAnsi="Verdana"/>
          <w:i/>
          <w:sz w:val="18"/>
          <w:szCs w:val="18"/>
        </w:rPr>
        <w:t>et al</w:t>
      </w:r>
      <w:r w:rsidR="004D10EE" w:rsidRPr="000C7CFA">
        <w:rPr>
          <w:rFonts w:ascii="Verdana" w:hAnsi="Verdana"/>
          <w:sz w:val="18"/>
          <w:szCs w:val="18"/>
        </w:rPr>
        <w:t xml:space="preserve">., 2013; Ben </w:t>
      </w:r>
      <w:r w:rsidR="004D10EE" w:rsidRPr="000C7CFA">
        <w:rPr>
          <w:rFonts w:ascii="Verdana" w:hAnsi="Verdana"/>
          <w:i/>
          <w:sz w:val="18"/>
          <w:szCs w:val="18"/>
        </w:rPr>
        <w:t>et al</w:t>
      </w:r>
      <w:r w:rsidR="004D10EE" w:rsidRPr="000C7CFA">
        <w:rPr>
          <w:rFonts w:ascii="Verdana" w:hAnsi="Verdana"/>
          <w:sz w:val="18"/>
          <w:szCs w:val="18"/>
        </w:rPr>
        <w:t xml:space="preserve">., 2013 &amp; 2014; </w:t>
      </w:r>
      <w:r w:rsidR="004D10EE" w:rsidRPr="000C7CFA">
        <w:rPr>
          <w:rFonts w:ascii="Verdana" w:hAnsi="Verdana"/>
          <w:sz w:val="18"/>
          <w:szCs w:val="18"/>
          <w:lang w:eastAsia="en-GB"/>
        </w:rPr>
        <w:t xml:space="preserve">Zheng </w:t>
      </w:r>
      <w:r w:rsidR="004D10EE" w:rsidRPr="000C7CFA">
        <w:rPr>
          <w:rFonts w:ascii="Verdana" w:hAnsi="Verdana"/>
          <w:i/>
          <w:sz w:val="18"/>
          <w:szCs w:val="18"/>
          <w:lang w:eastAsia="en-GB"/>
        </w:rPr>
        <w:t>et al</w:t>
      </w:r>
      <w:r w:rsidR="004D10EE" w:rsidRPr="000C7CFA">
        <w:rPr>
          <w:rFonts w:ascii="Verdana" w:hAnsi="Verdana"/>
          <w:sz w:val="18"/>
          <w:szCs w:val="18"/>
          <w:lang w:eastAsia="en-GB"/>
        </w:rPr>
        <w:t xml:space="preserve">., 2014a; </w:t>
      </w:r>
      <w:r w:rsidR="004D10EE" w:rsidRPr="000C7CFA">
        <w:rPr>
          <w:rFonts w:ascii="Verdana" w:hAnsi="Verdana"/>
          <w:color w:val="000000"/>
          <w:sz w:val="18"/>
          <w:szCs w:val="18"/>
        </w:rPr>
        <w:t xml:space="preserve">Wang </w:t>
      </w:r>
      <w:r w:rsidR="004D10EE" w:rsidRPr="000C7CFA">
        <w:rPr>
          <w:rFonts w:ascii="Verdana" w:hAnsi="Verdana"/>
          <w:i/>
          <w:color w:val="000000"/>
          <w:sz w:val="18"/>
          <w:szCs w:val="18"/>
        </w:rPr>
        <w:t>et al</w:t>
      </w:r>
      <w:r w:rsidR="004D10EE" w:rsidRPr="000C7CFA">
        <w:rPr>
          <w:rFonts w:ascii="Verdana" w:hAnsi="Verdana"/>
          <w:color w:val="000000"/>
          <w:sz w:val="18"/>
          <w:szCs w:val="18"/>
        </w:rPr>
        <w:t>., 2015</w:t>
      </w:r>
      <w:r w:rsidR="004D10EE" w:rsidRPr="000C7CFA">
        <w:rPr>
          <w:rFonts w:ascii="Verdana" w:hAnsi="Verdana"/>
          <w:sz w:val="18"/>
          <w:szCs w:val="18"/>
        </w:rPr>
        <w:t>)</w:t>
      </w:r>
      <w:r w:rsidRPr="000C7CFA">
        <w:rPr>
          <w:rFonts w:ascii="Verdana" w:hAnsi="Verdana"/>
          <w:sz w:val="18"/>
          <w:szCs w:val="18"/>
        </w:rPr>
        <w:t xml:space="preserve">. There are no REACH registration dossiers for them, and reliable measured data are not available in the published scientific literature. </w:t>
      </w:r>
    </w:p>
    <w:p w14:paraId="4B5BE6A1" w14:textId="77777777" w:rsidR="0038040F" w:rsidRPr="000C7CFA" w:rsidRDefault="0038040F" w:rsidP="00BD73B0">
      <w:pPr>
        <w:autoSpaceDE w:val="0"/>
        <w:autoSpaceDN w:val="0"/>
        <w:adjustRightInd w:val="0"/>
        <w:spacing w:after="0"/>
        <w:jc w:val="both"/>
        <w:rPr>
          <w:rFonts w:ascii="Verdana" w:hAnsi="Verdana"/>
          <w:sz w:val="18"/>
          <w:szCs w:val="18"/>
        </w:rPr>
      </w:pPr>
    </w:p>
    <w:p w14:paraId="58CCBF55" w14:textId="5F2C8E4C" w:rsidR="00DD6F2D" w:rsidRPr="000C7CFA" w:rsidRDefault="00371E8D" w:rsidP="00BD73B0">
      <w:pPr>
        <w:autoSpaceDE w:val="0"/>
        <w:autoSpaceDN w:val="0"/>
        <w:adjustRightInd w:val="0"/>
        <w:spacing w:after="0"/>
        <w:jc w:val="both"/>
        <w:rPr>
          <w:rFonts w:ascii="Verdana" w:hAnsi="Verdana"/>
          <w:sz w:val="18"/>
          <w:szCs w:val="18"/>
        </w:rPr>
      </w:pPr>
      <w:r w:rsidRPr="000C7CFA">
        <w:rPr>
          <w:rFonts w:ascii="Verdana" w:hAnsi="Verdana"/>
          <w:sz w:val="18"/>
          <w:szCs w:val="18"/>
        </w:rPr>
        <w:t xml:space="preserve">The two dechlorinated </w:t>
      </w:r>
      <w:r w:rsidRPr="000C7CFA">
        <w:rPr>
          <w:rFonts w:ascii="Verdana" w:hAnsi="Verdana"/>
          <w:sz w:val="18"/>
          <w:szCs w:val="18"/>
          <w:lang w:val="en-GB"/>
        </w:rPr>
        <w:t>substances (DP-1Cl and DP-2C</w:t>
      </w:r>
      <w:r w:rsidRPr="000C7CFA">
        <w:rPr>
          <w:rFonts w:ascii="Verdana" w:eastAsiaTheme="minorHAnsi" w:hAnsi="Verdana"/>
          <w:color w:val="000000"/>
          <w:sz w:val="18"/>
          <w:szCs w:val="18"/>
          <w:lang w:val="en-GB"/>
        </w:rPr>
        <w:t>l</w:t>
      </w:r>
      <w:r w:rsidRPr="000C7CFA">
        <w:rPr>
          <w:rFonts w:ascii="Verdana" w:hAnsi="Verdana"/>
          <w:sz w:val="18"/>
          <w:szCs w:val="18"/>
          <w:lang w:val="en-GB"/>
        </w:rPr>
        <w:t>)</w:t>
      </w:r>
      <w:r w:rsidRPr="000C7CFA">
        <w:rPr>
          <w:rFonts w:ascii="Verdana" w:hAnsi="Verdana"/>
          <w:sz w:val="18"/>
          <w:szCs w:val="18"/>
        </w:rPr>
        <w:t xml:space="preserve"> are likely to be very hydrophobic and so their properties are probably similar </w:t>
      </w:r>
      <w:r w:rsidR="00DD6F2D" w:rsidRPr="000C7CFA">
        <w:rPr>
          <w:rFonts w:ascii="Verdana" w:hAnsi="Verdana"/>
          <w:sz w:val="18"/>
          <w:szCs w:val="18"/>
        </w:rPr>
        <w:t xml:space="preserve">to </w:t>
      </w:r>
      <w:r w:rsidR="00BD73B0" w:rsidRPr="000C7CFA">
        <w:rPr>
          <w:rFonts w:ascii="Verdana" w:hAnsi="Verdana"/>
          <w:sz w:val="18"/>
          <w:szCs w:val="18"/>
        </w:rPr>
        <w:t>Dechlorane Plus. This appendix therefore considers other substances that may potentially be formed through transformation processes in the environment.</w:t>
      </w:r>
      <w:r w:rsidR="00DD6F2D" w:rsidRPr="000C7CFA">
        <w:rPr>
          <w:rFonts w:ascii="Verdana" w:hAnsi="Verdana"/>
          <w:sz w:val="18"/>
          <w:szCs w:val="18"/>
        </w:rPr>
        <w:t xml:space="preserve"> </w:t>
      </w:r>
    </w:p>
    <w:p w14:paraId="41D5051B" w14:textId="77777777" w:rsidR="00DD6F2D" w:rsidRPr="000C7CFA" w:rsidRDefault="00DD6F2D" w:rsidP="00DF46A5">
      <w:pPr>
        <w:autoSpaceDE w:val="0"/>
        <w:autoSpaceDN w:val="0"/>
        <w:adjustRightInd w:val="0"/>
        <w:spacing w:after="0"/>
        <w:jc w:val="both"/>
        <w:rPr>
          <w:rFonts w:ascii="Verdana" w:hAnsi="Verdana"/>
          <w:sz w:val="18"/>
          <w:szCs w:val="18"/>
          <w:lang w:val="en-GB"/>
        </w:rPr>
      </w:pPr>
    </w:p>
    <w:p w14:paraId="2431C5DC" w14:textId="77777777" w:rsidR="00DF46A5" w:rsidRPr="000C7CFA" w:rsidRDefault="00DF46A5" w:rsidP="00DF46A5">
      <w:pPr>
        <w:autoSpaceDE w:val="0"/>
        <w:autoSpaceDN w:val="0"/>
        <w:adjustRightInd w:val="0"/>
        <w:spacing w:after="0"/>
        <w:jc w:val="both"/>
        <w:rPr>
          <w:rFonts w:ascii="Verdana" w:hAnsi="Verdana"/>
          <w:sz w:val="18"/>
          <w:szCs w:val="18"/>
          <w:lang w:val="en-GB"/>
        </w:rPr>
      </w:pPr>
      <w:r w:rsidRPr="000C7CFA">
        <w:rPr>
          <w:rFonts w:ascii="Verdana" w:hAnsi="Verdana"/>
          <w:sz w:val="18"/>
          <w:szCs w:val="18"/>
          <w:lang w:val="en-GB"/>
        </w:rPr>
        <w:t xml:space="preserve">Sverko </w:t>
      </w:r>
      <w:r w:rsidRPr="000C7CFA">
        <w:rPr>
          <w:rFonts w:ascii="Verdana" w:hAnsi="Verdana"/>
          <w:i/>
          <w:sz w:val="18"/>
          <w:szCs w:val="18"/>
          <w:lang w:val="en-GB"/>
        </w:rPr>
        <w:t>et al</w:t>
      </w:r>
      <w:r w:rsidRPr="000C7CFA">
        <w:rPr>
          <w:rFonts w:ascii="Verdana" w:hAnsi="Verdana"/>
          <w:sz w:val="18"/>
          <w:szCs w:val="18"/>
          <w:lang w:val="en-GB"/>
        </w:rPr>
        <w:t>. (2010b) analysed a sediment core collected from the Niagara River Bar in Lake Ontario, Canada in 2007 and samples of whole Lake Trout (</w:t>
      </w:r>
      <w:r w:rsidRPr="000C7CFA">
        <w:rPr>
          <w:rFonts w:ascii="Verdana" w:hAnsi="Verdana"/>
          <w:i/>
          <w:iCs/>
          <w:sz w:val="18"/>
          <w:szCs w:val="18"/>
          <w:lang w:val="en-GB"/>
        </w:rPr>
        <w:t>Salvelinus namaycush</w:t>
      </w:r>
      <w:r w:rsidRPr="000C7CFA">
        <w:rPr>
          <w:rFonts w:ascii="Verdana" w:hAnsi="Verdana"/>
          <w:sz w:val="18"/>
          <w:szCs w:val="18"/>
          <w:lang w:val="en-GB"/>
        </w:rPr>
        <w:t>) (n=4) collected between 2000 and 2003 (presumably from the same location). This site is 16 km from the mouth of the Niagara River where sediment from the river first collects. Analysis following extraction was initially by GC-MS with electron capture negative ionization (ECNI) detection. Four unknown peaks were detected from the sediment core that had the same molecular weight as Dechlorane Plus. By synthesising substances for comparison, the study authors identified one vinylcyclohexene Diels-Alder reaction product that matched one of the unidentified peaks and a 1,4-cyclooctadiene Diels-Alder reaction product matching the retention time of the largest unknown peak (equivalent to a maximum concentration around one tenth the concentration of Dechlorane Plus in the same sample). 1</w:t>
      </w:r>
      <w:proofErr w:type="gramStart"/>
      <w:r w:rsidRPr="000C7CFA">
        <w:rPr>
          <w:rFonts w:ascii="Verdana" w:hAnsi="Verdana"/>
          <w:sz w:val="18"/>
          <w:szCs w:val="18"/>
          <w:lang w:val="en-GB"/>
        </w:rPr>
        <w:t>,3</w:t>
      </w:r>
      <w:proofErr w:type="gramEnd"/>
      <w:r w:rsidRPr="000C7CFA">
        <w:rPr>
          <w:rFonts w:ascii="Verdana" w:hAnsi="Verdana"/>
          <w:sz w:val="18"/>
          <w:szCs w:val="18"/>
          <w:lang w:val="en-GB"/>
        </w:rPr>
        <w:t>-Cyclooctadiene Diels-Alder reaction products were not detected. The identity of the two remaining unknown compounds could not be confirmed, but were thought to possibly originate from 1</w:t>
      </w:r>
      <w:proofErr w:type="gramStart"/>
      <w:r w:rsidRPr="000C7CFA">
        <w:rPr>
          <w:rFonts w:ascii="Verdana" w:hAnsi="Verdana"/>
          <w:sz w:val="18"/>
          <w:szCs w:val="18"/>
          <w:lang w:val="en-GB"/>
        </w:rPr>
        <w:t>,5</w:t>
      </w:r>
      <w:proofErr w:type="gramEnd"/>
      <w:r w:rsidRPr="000C7CFA">
        <w:rPr>
          <w:rFonts w:ascii="Verdana" w:hAnsi="Verdana"/>
          <w:sz w:val="18"/>
          <w:szCs w:val="18"/>
          <w:lang w:val="en-GB"/>
        </w:rPr>
        <w:t>-cyclooctadiene. None of these substances were detected in the Lake Trout samples.</w:t>
      </w:r>
    </w:p>
    <w:p w14:paraId="248055BA" w14:textId="77777777" w:rsidR="00DF46A5" w:rsidRPr="000C7CFA" w:rsidRDefault="00DF46A5" w:rsidP="00DF46A5">
      <w:pPr>
        <w:autoSpaceDE w:val="0"/>
        <w:autoSpaceDN w:val="0"/>
        <w:adjustRightInd w:val="0"/>
        <w:spacing w:after="0"/>
        <w:jc w:val="both"/>
        <w:rPr>
          <w:rFonts w:ascii="Verdana" w:hAnsi="Verdana"/>
          <w:sz w:val="18"/>
          <w:szCs w:val="18"/>
          <w:lang w:val="en-GB"/>
        </w:rPr>
      </w:pPr>
    </w:p>
    <w:p w14:paraId="6A657B03" w14:textId="22477FD5" w:rsidR="00DF46A5" w:rsidRPr="000C7CFA" w:rsidRDefault="00DF46A5" w:rsidP="00DF46A5">
      <w:pPr>
        <w:autoSpaceDE w:val="0"/>
        <w:autoSpaceDN w:val="0"/>
        <w:adjustRightInd w:val="0"/>
        <w:spacing w:after="0"/>
        <w:jc w:val="both"/>
        <w:rPr>
          <w:rFonts w:ascii="Verdana" w:hAnsi="Verdana"/>
          <w:sz w:val="18"/>
          <w:szCs w:val="18"/>
          <w:lang w:val="en-GB"/>
        </w:rPr>
      </w:pPr>
      <w:r w:rsidRPr="000C7CFA">
        <w:rPr>
          <w:rFonts w:ascii="Verdana" w:hAnsi="Verdana"/>
          <w:sz w:val="18"/>
          <w:szCs w:val="18"/>
          <w:lang w:val="en-GB"/>
        </w:rPr>
        <w:t>In addition, 1</w:t>
      </w:r>
      <w:proofErr w:type="gramStart"/>
      <w:r w:rsidRPr="000C7CFA">
        <w:rPr>
          <w:rFonts w:ascii="Verdana" w:hAnsi="Verdana"/>
          <w:sz w:val="18"/>
          <w:szCs w:val="18"/>
          <w:lang w:val="en-GB"/>
        </w:rPr>
        <w:t>,5</w:t>
      </w:r>
      <w:proofErr w:type="gramEnd"/>
      <w:r w:rsidRPr="000C7CFA">
        <w:rPr>
          <w:rFonts w:ascii="Verdana" w:hAnsi="Verdana"/>
          <w:sz w:val="18"/>
          <w:szCs w:val="18"/>
          <w:lang w:val="en-GB"/>
        </w:rPr>
        <w:t>-DPMA (Dechlorane Plus monoadduct) and tentatively 1,3-DPMA were detected in the sediment core, with amounts relative to Dechlorane Plus varying over time (presumably due to difference in the purity of starting materials). 1,3-DPMA (but not 1,5-DPMA) was detected in Lake Trout at an a</w:t>
      </w:r>
      <w:r w:rsidR="008B5A83" w:rsidRPr="000C7CFA">
        <w:rPr>
          <w:rFonts w:ascii="Verdana" w:hAnsi="Verdana"/>
          <w:sz w:val="18"/>
          <w:szCs w:val="18"/>
          <w:lang w:val="en-GB"/>
        </w:rPr>
        <w:t>verage concentration of 34 ± 43 </w:t>
      </w:r>
      <w:r w:rsidRPr="000C7CFA">
        <w:rPr>
          <w:rFonts w:ascii="Verdana" w:hAnsi="Verdana"/>
          <w:sz w:val="18"/>
          <w:szCs w:val="18"/>
          <w:lang w:val="en-GB"/>
        </w:rPr>
        <w:t xml:space="preserve">µg/kg lw, which was around ten-fold higher than concentrations of Dechlorane Plus in the same samples reported by Tomy </w:t>
      </w:r>
      <w:r w:rsidRPr="000C7CFA">
        <w:rPr>
          <w:rFonts w:ascii="Verdana" w:hAnsi="Verdana"/>
          <w:i/>
          <w:sz w:val="18"/>
          <w:szCs w:val="18"/>
          <w:lang w:val="en-GB"/>
        </w:rPr>
        <w:t>et al</w:t>
      </w:r>
      <w:r w:rsidRPr="000C7CFA">
        <w:rPr>
          <w:rFonts w:ascii="Verdana" w:hAnsi="Verdana"/>
          <w:sz w:val="18"/>
          <w:szCs w:val="18"/>
          <w:lang w:val="en-GB"/>
        </w:rPr>
        <w:t xml:space="preserve">. (2007) (similar to another study by Ismail </w:t>
      </w:r>
      <w:r w:rsidRPr="000C7CFA">
        <w:rPr>
          <w:rFonts w:ascii="Verdana" w:hAnsi="Verdana"/>
          <w:i/>
          <w:sz w:val="18"/>
          <w:szCs w:val="18"/>
          <w:lang w:val="en-GB"/>
        </w:rPr>
        <w:t>et al</w:t>
      </w:r>
      <w:r w:rsidRPr="000C7CFA">
        <w:rPr>
          <w:rFonts w:ascii="Verdana" w:hAnsi="Verdana"/>
          <w:sz w:val="18"/>
          <w:szCs w:val="18"/>
          <w:lang w:val="en-GB"/>
        </w:rPr>
        <w:t>., 2009). No monoadduct compounds were detected in a technical Dechlorane Plus product (detection limit not stated).</w:t>
      </w:r>
    </w:p>
    <w:p w14:paraId="522D1601" w14:textId="77777777" w:rsidR="00DF46A5" w:rsidRPr="000C7CFA" w:rsidRDefault="00DF46A5" w:rsidP="00DF46A5">
      <w:pPr>
        <w:autoSpaceDE w:val="0"/>
        <w:autoSpaceDN w:val="0"/>
        <w:adjustRightInd w:val="0"/>
        <w:spacing w:after="0"/>
        <w:jc w:val="both"/>
        <w:rPr>
          <w:rFonts w:ascii="Verdana" w:hAnsi="Verdana"/>
          <w:sz w:val="18"/>
          <w:szCs w:val="18"/>
          <w:lang w:val="en-GB"/>
        </w:rPr>
      </w:pPr>
    </w:p>
    <w:p w14:paraId="26B1FE21" w14:textId="67FF0FED" w:rsidR="00BE6315" w:rsidRPr="000C7CFA" w:rsidRDefault="00BE6315" w:rsidP="00BE6315">
      <w:pPr>
        <w:autoSpaceDE w:val="0"/>
        <w:autoSpaceDN w:val="0"/>
        <w:adjustRightInd w:val="0"/>
        <w:spacing w:after="0"/>
        <w:jc w:val="both"/>
        <w:rPr>
          <w:rFonts w:ascii="Verdana" w:hAnsi="Verdana"/>
          <w:sz w:val="18"/>
          <w:szCs w:val="18"/>
          <w:lang w:val="en-GB"/>
        </w:rPr>
      </w:pPr>
      <w:r w:rsidRPr="000C7CFA">
        <w:rPr>
          <w:rFonts w:ascii="Verdana" w:hAnsi="Verdana"/>
          <w:sz w:val="18"/>
          <w:szCs w:val="18"/>
          <w:lang w:val="en-GB"/>
        </w:rPr>
        <w:t xml:space="preserve">Tomy </w:t>
      </w:r>
      <w:r w:rsidRPr="000C7CFA">
        <w:rPr>
          <w:rFonts w:ascii="Verdana" w:hAnsi="Verdana"/>
          <w:i/>
          <w:sz w:val="18"/>
          <w:szCs w:val="18"/>
          <w:lang w:val="en-GB"/>
        </w:rPr>
        <w:t>et al</w:t>
      </w:r>
      <w:r w:rsidRPr="000C7CFA">
        <w:rPr>
          <w:rFonts w:ascii="Verdana" w:hAnsi="Verdana"/>
          <w:sz w:val="18"/>
          <w:szCs w:val="18"/>
          <w:lang w:val="en-GB"/>
        </w:rPr>
        <w:t>. (2013) investigated the bioaccumulation behaviour of 1</w:t>
      </w:r>
      <w:proofErr w:type="gramStart"/>
      <w:r w:rsidRPr="000C7CFA">
        <w:rPr>
          <w:rFonts w:ascii="Verdana" w:hAnsi="Verdana"/>
          <w:sz w:val="18"/>
          <w:szCs w:val="18"/>
          <w:lang w:val="en-GB"/>
        </w:rPr>
        <w:t>,3</w:t>
      </w:r>
      <w:proofErr w:type="gramEnd"/>
      <w:r w:rsidRPr="000C7CFA">
        <w:rPr>
          <w:rFonts w:ascii="Verdana" w:hAnsi="Verdana"/>
          <w:sz w:val="18"/>
          <w:szCs w:val="18"/>
          <w:lang w:val="en-GB"/>
        </w:rPr>
        <w:t>-</w:t>
      </w:r>
      <w:r w:rsidR="008B5A83" w:rsidRPr="000C7CFA">
        <w:rPr>
          <w:rFonts w:ascii="Verdana" w:hAnsi="Verdana"/>
          <w:sz w:val="18"/>
          <w:szCs w:val="18"/>
          <w:lang w:val="en-GB"/>
        </w:rPr>
        <w:t xml:space="preserve"> </w:t>
      </w:r>
      <w:r w:rsidRPr="000C7CFA">
        <w:rPr>
          <w:rFonts w:ascii="Verdana" w:hAnsi="Verdana"/>
          <w:sz w:val="18"/>
          <w:szCs w:val="18"/>
          <w:lang w:val="en-GB"/>
        </w:rPr>
        <w:t xml:space="preserve">and 1,5-DPMA. </w:t>
      </w:r>
      <w:r w:rsidR="008B5A83" w:rsidRPr="000C7CFA">
        <w:rPr>
          <w:rFonts w:ascii="Verdana" w:hAnsi="Verdana"/>
          <w:sz w:val="18"/>
          <w:szCs w:val="18"/>
          <w:lang w:val="en-GB"/>
        </w:rPr>
        <w:t>L</w:t>
      </w:r>
      <w:r w:rsidRPr="000C7CFA">
        <w:rPr>
          <w:rFonts w:ascii="Verdana" w:hAnsi="Verdana"/>
          <w:sz w:val="18"/>
          <w:szCs w:val="18"/>
          <w:lang w:val="en-GB"/>
        </w:rPr>
        <w:t xml:space="preserve">evels </w:t>
      </w:r>
      <w:r w:rsidR="008B5A83" w:rsidRPr="000C7CFA">
        <w:rPr>
          <w:rFonts w:ascii="Verdana" w:hAnsi="Verdana"/>
          <w:sz w:val="18"/>
          <w:szCs w:val="18"/>
          <w:lang w:val="en-GB"/>
        </w:rPr>
        <w:t xml:space="preserve">were determined in plankton (n=1; TL=1), </w:t>
      </w:r>
      <w:r w:rsidR="008B5A83" w:rsidRPr="000C7CFA">
        <w:rPr>
          <w:rFonts w:ascii="Verdana" w:hAnsi="Verdana"/>
          <w:i/>
          <w:sz w:val="18"/>
          <w:szCs w:val="18"/>
          <w:lang w:val="en-GB"/>
        </w:rPr>
        <w:t>Dipoeria</w:t>
      </w:r>
      <w:r w:rsidR="008B5A83" w:rsidRPr="000C7CFA">
        <w:rPr>
          <w:rFonts w:ascii="Verdana" w:hAnsi="Verdana"/>
          <w:sz w:val="18"/>
          <w:szCs w:val="18"/>
          <w:lang w:val="en-GB"/>
        </w:rPr>
        <w:t xml:space="preserve"> (n=1; TL=1.86), Alewife (n=2; TL=2.18), Smelt (n=2; TL=3.21), Sculpin (n=3; TL=3.32) and Lake Trout (n=4; TL=3.8)</w:t>
      </w:r>
      <w:r w:rsidRPr="000C7CFA">
        <w:rPr>
          <w:rFonts w:ascii="Verdana" w:hAnsi="Verdana"/>
          <w:sz w:val="18"/>
          <w:szCs w:val="18"/>
          <w:lang w:val="en-GB"/>
        </w:rPr>
        <w:t xml:space="preserve"> in a Lake Ontario food web located downstream of a Dechlorane Plus manufacturing plant. 1,3-DPMA was </w:t>
      </w:r>
      <w:r w:rsidR="008B5A83" w:rsidRPr="000C7CFA">
        <w:rPr>
          <w:rFonts w:ascii="Verdana" w:hAnsi="Verdana"/>
          <w:sz w:val="18"/>
          <w:szCs w:val="18"/>
          <w:lang w:val="en-GB"/>
        </w:rPr>
        <w:t>found</w:t>
      </w:r>
      <w:r w:rsidRPr="000C7CFA">
        <w:rPr>
          <w:rFonts w:ascii="Verdana" w:hAnsi="Verdana"/>
          <w:sz w:val="18"/>
          <w:szCs w:val="18"/>
          <w:lang w:val="en-GB"/>
        </w:rPr>
        <w:t xml:space="preserve"> in all trophic levels (detected in 9</w:t>
      </w:r>
      <w:r w:rsidR="00AF7606" w:rsidRPr="000C7CFA">
        <w:rPr>
          <w:rFonts w:ascii="Verdana" w:hAnsi="Verdana"/>
          <w:sz w:val="18"/>
          <w:szCs w:val="18"/>
          <w:lang w:val="en-GB"/>
        </w:rPr>
        <w:t>2 %</w:t>
      </w:r>
      <w:r w:rsidRPr="000C7CFA">
        <w:rPr>
          <w:rFonts w:ascii="Verdana" w:hAnsi="Verdana"/>
          <w:sz w:val="18"/>
          <w:szCs w:val="18"/>
          <w:lang w:val="en-GB"/>
        </w:rPr>
        <w:t xml:space="preserve"> of samples) at concentrations between 0.12 and 199 μg/kg lipid, whereas 1,5-DPMA was detected only sporadically (38</w:t>
      </w:r>
      <w:r w:rsidR="00CF3DEF" w:rsidRPr="000C7CFA">
        <w:rPr>
          <w:rFonts w:ascii="Verdana" w:hAnsi="Verdana"/>
          <w:sz w:val="18"/>
          <w:szCs w:val="18"/>
          <w:lang w:val="en-GB"/>
        </w:rPr>
        <w:t xml:space="preserve"> </w:t>
      </w:r>
      <w:r w:rsidRPr="000C7CFA">
        <w:rPr>
          <w:rFonts w:ascii="Verdana" w:hAnsi="Verdana"/>
          <w:sz w:val="18"/>
          <w:szCs w:val="18"/>
          <w:lang w:val="en-GB"/>
        </w:rPr>
        <w:t xml:space="preserve">% of samples) at concentrations up to 25.8 μg/kg lipid and was not detectable in the top predator in the food chain (Lake Trout). Tomy </w:t>
      </w:r>
      <w:r w:rsidRPr="000C7CFA">
        <w:rPr>
          <w:rFonts w:ascii="Verdana" w:hAnsi="Verdana"/>
          <w:i/>
          <w:sz w:val="18"/>
          <w:szCs w:val="18"/>
          <w:lang w:val="en-GB"/>
        </w:rPr>
        <w:t>et al</w:t>
      </w:r>
      <w:r w:rsidRPr="000C7CFA">
        <w:rPr>
          <w:rFonts w:ascii="Verdana" w:hAnsi="Verdana"/>
          <w:sz w:val="18"/>
          <w:szCs w:val="18"/>
          <w:lang w:val="en-GB"/>
        </w:rPr>
        <w:t>. (2013) noted that, where detectable, the concentrations of DPMA isomers were generally greater than the total Dechlorane Plus concentration (0.010-2.5 μg/kg lipid). The concentrations of 1</w:t>
      </w:r>
      <w:proofErr w:type="gramStart"/>
      <w:r w:rsidRPr="000C7CFA">
        <w:rPr>
          <w:rFonts w:ascii="Verdana" w:hAnsi="Verdana"/>
          <w:sz w:val="18"/>
          <w:szCs w:val="18"/>
          <w:lang w:val="en-GB"/>
        </w:rPr>
        <w:t>,3</w:t>
      </w:r>
      <w:proofErr w:type="gramEnd"/>
      <w:r w:rsidRPr="000C7CFA">
        <w:rPr>
          <w:rFonts w:ascii="Verdana" w:hAnsi="Verdana"/>
          <w:sz w:val="18"/>
          <w:szCs w:val="18"/>
          <w:lang w:val="en-GB"/>
        </w:rPr>
        <w:t>-DPMA (and Dechlorane Plus) were generally highest in the lowest trophic levels and decreased with increasing trophic level, indicating that biodilution was occurring. 1</w:t>
      </w:r>
      <w:proofErr w:type="gramStart"/>
      <w:r w:rsidRPr="000C7CFA">
        <w:rPr>
          <w:rFonts w:ascii="Verdana" w:hAnsi="Verdana"/>
          <w:sz w:val="18"/>
          <w:szCs w:val="18"/>
          <w:lang w:val="en-GB"/>
        </w:rPr>
        <w:t>,5</w:t>
      </w:r>
      <w:proofErr w:type="gramEnd"/>
      <w:r w:rsidRPr="000C7CFA">
        <w:rPr>
          <w:rFonts w:ascii="Verdana" w:hAnsi="Verdana"/>
          <w:sz w:val="18"/>
          <w:szCs w:val="18"/>
          <w:lang w:val="en-GB"/>
        </w:rPr>
        <w:t xml:space="preserve">-DMPA was only detectable in two of the species (Alewife and Sculpin) and so it is not possible to identify any trends for this substance. It is important to note that the biota samples in this study were limited in number and, more importantly, were collected over a three year period (2000 to 2003). Therefore the findings in relation to biomagnification are uncertain. </w:t>
      </w:r>
    </w:p>
    <w:p w14:paraId="156F02B2" w14:textId="77777777" w:rsidR="00BE6315" w:rsidRPr="000C7CFA" w:rsidRDefault="00BE6315" w:rsidP="00BE6315">
      <w:pPr>
        <w:autoSpaceDE w:val="0"/>
        <w:autoSpaceDN w:val="0"/>
        <w:adjustRightInd w:val="0"/>
        <w:spacing w:after="0"/>
        <w:jc w:val="both"/>
        <w:rPr>
          <w:rFonts w:ascii="Verdana" w:hAnsi="Verdana"/>
          <w:sz w:val="18"/>
          <w:szCs w:val="18"/>
          <w:lang w:val="en-GB"/>
        </w:rPr>
      </w:pPr>
    </w:p>
    <w:p w14:paraId="5EC71DCF" w14:textId="77777777" w:rsidR="00BE6315" w:rsidRPr="000C7CFA" w:rsidRDefault="00BE6315" w:rsidP="00BE6315">
      <w:pPr>
        <w:autoSpaceDE w:val="0"/>
        <w:autoSpaceDN w:val="0"/>
        <w:adjustRightInd w:val="0"/>
        <w:spacing w:after="0"/>
        <w:jc w:val="both"/>
        <w:rPr>
          <w:rFonts w:ascii="Verdana" w:hAnsi="Verdana"/>
          <w:sz w:val="18"/>
          <w:szCs w:val="18"/>
          <w:lang w:val="en-GB"/>
        </w:rPr>
      </w:pPr>
      <w:r w:rsidRPr="000C7CFA">
        <w:rPr>
          <w:rFonts w:ascii="Verdana" w:hAnsi="Verdana"/>
          <w:sz w:val="18"/>
          <w:szCs w:val="18"/>
          <w:lang w:val="en-GB"/>
        </w:rPr>
        <w:t xml:space="preserve">Tomy </w:t>
      </w:r>
      <w:r w:rsidRPr="000C7CFA">
        <w:rPr>
          <w:rFonts w:ascii="Verdana" w:hAnsi="Verdana"/>
          <w:i/>
          <w:sz w:val="18"/>
          <w:szCs w:val="18"/>
          <w:lang w:val="en-GB"/>
        </w:rPr>
        <w:t>et al</w:t>
      </w:r>
      <w:r w:rsidRPr="000C7CFA">
        <w:rPr>
          <w:rFonts w:ascii="Verdana" w:hAnsi="Verdana"/>
          <w:sz w:val="18"/>
          <w:szCs w:val="18"/>
          <w:lang w:val="en-GB"/>
        </w:rPr>
        <w:t xml:space="preserve">. (2013) hypothesised that the prevalence of 1,3-DPMA in the food web, especially Lake Trout, may be a result of it being less readily metabolised than 1,5-DPMA. In order to test this, </w:t>
      </w:r>
      <w:r w:rsidRPr="000C7CFA">
        <w:rPr>
          <w:rFonts w:ascii="Verdana" w:hAnsi="Verdana"/>
          <w:i/>
          <w:sz w:val="18"/>
          <w:szCs w:val="18"/>
          <w:lang w:val="en-GB"/>
        </w:rPr>
        <w:t>in vitro</w:t>
      </w:r>
      <w:r w:rsidRPr="000C7CFA">
        <w:rPr>
          <w:rFonts w:ascii="Verdana" w:hAnsi="Verdana"/>
          <w:sz w:val="18"/>
          <w:szCs w:val="18"/>
          <w:lang w:val="en-GB"/>
        </w:rPr>
        <w:t xml:space="preserve"> metabolism studies were carried out using Lake Trout liver microsomes. The zero-order depuration rate constants were determined to be 92.2 and 134.6 pmole h</w:t>
      </w:r>
      <w:r w:rsidRPr="000C7CFA">
        <w:rPr>
          <w:rFonts w:ascii="Verdana" w:hAnsi="Verdana"/>
          <w:sz w:val="18"/>
          <w:szCs w:val="18"/>
          <w:vertAlign w:val="superscript"/>
          <w:lang w:val="en-GB"/>
        </w:rPr>
        <w:t>-1</w:t>
      </w:r>
      <w:r w:rsidRPr="000C7CFA">
        <w:rPr>
          <w:rFonts w:ascii="Verdana" w:hAnsi="Verdana"/>
          <w:sz w:val="18"/>
          <w:szCs w:val="18"/>
          <w:lang w:val="en-GB"/>
        </w:rPr>
        <w:t xml:space="preserve"> for 1,3-DPMA and 1,5-DPMA, respectively, which supported the hypothesis that 1,5-DPMA was metabolised more readily than 1,3-DPMA. </w:t>
      </w:r>
    </w:p>
    <w:p w14:paraId="17CF826A" w14:textId="77777777" w:rsidR="00BE6315" w:rsidRPr="000C7CFA" w:rsidRDefault="00BE6315" w:rsidP="00BE6315">
      <w:pPr>
        <w:autoSpaceDE w:val="0"/>
        <w:autoSpaceDN w:val="0"/>
        <w:adjustRightInd w:val="0"/>
        <w:spacing w:after="0"/>
        <w:jc w:val="both"/>
        <w:rPr>
          <w:rFonts w:ascii="Verdana" w:hAnsi="Verdana"/>
          <w:sz w:val="18"/>
          <w:szCs w:val="18"/>
          <w:lang w:val="en-GB"/>
        </w:rPr>
      </w:pPr>
    </w:p>
    <w:p w14:paraId="0ECAEBC9" w14:textId="492D9CD5" w:rsidR="00DF46A5" w:rsidRPr="000C7CFA" w:rsidRDefault="00DF46A5" w:rsidP="00DF46A5">
      <w:pPr>
        <w:autoSpaceDE w:val="0"/>
        <w:autoSpaceDN w:val="0"/>
        <w:adjustRightInd w:val="0"/>
        <w:spacing w:after="0"/>
        <w:jc w:val="both"/>
        <w:rPr>
          <w:rFonts w:ascii="Verdana" w:hAnsi="Verdana"/>
          <w:sz w:val="18"/>
          <w:szCs w:val="18"/>
          <w:lang w:val="en-GB"/>
        </w:rPr>
      </w:pPr>
      <w:r w:rsidRPr="000C7CFA">
        <w:rPr>
          <w:rFonts w:ascii="Verdana" w:hAnsi="Verdana"/>
          <w:sz w:val="18"/>
          <w:szCs w:val="18"/>
          <w:lang w:val="en-GB"/>
        </w:rPr>
        <w:t>Other studies have detected DPMA in various species of biota</w:t>
      </w:r>
      <w:r w:rsidR="00FB3AD7" w:rsidRPr="000C7CFA">
        <w:rPr>
          <w:rFonts w:ascii="Verdana" w:hAnsi="Verdana"/>
          <w:sz w:val="18"/>
          <w:szCs w:val="18"/>
          <w:lang w:val="en-GB"/>
        </w:rPr>
        <w:t xml:space="preserve"> (see Appendix 3</w:t>
      </w:r>
      <w:r w:rsidR="00DF5FEE" w:rsidRPr="000C7CFA">
        <w:rPr>
          <w:rFonts w:ascii="Verdana" w:hAnsi="Verdana"/>
          <w:sz w:val="18"/>
          <w:szCs w:val="18"/>
          <w:lang w:val="en-GB"/>
        </w:rPr>
        <w:t xml:space="preserve"> and </w:t>
      </w:r>
      <w:r w:rsidR="00FB3AD7" w:rsidRPr="000C7CFA">
        <w:rPr>
          <w:rFonts w:ascii="Verdana" w:hAnsi="Verdana"/>
          <w:sz w:val="18"/>
          <w:szCs w:val="18"/>
          <w:lang w:val="en-GB"/>
        </w:rPr>
        <w:t>4</w:t>
      </w:r>
      <w:r w:rsidR="00405F11" w:rsidRPr="000C7CFA">
        <w:rPr>
          <w:rFonts w:ascii="Verdana" w:hAnsi="Verdana"/>
          <w:sz w:val="18"/>
          <w:szCs w:val="18"/>
          <w:lang w:val="en-GB"/>
        </w:rPr>
        <w:t xml:space="preserve"> for details</w:t>
      </w:r>
      <w:r w:rsidR="00DF5FEE" w:rsidRPr="000C7CFA">
        <w:rPr>
          <w:rFonts w:ascii="Verdana" w:hAnsi="Verdana"/>
          <w:sz w:val="18"/>
          <w:szCs w:val="18"/>
          <w:lang w:val="en-GB"/>
        </w:rPr>
        <w:t>)</w:t>
      </w:r>
      <w:r w:rsidRPr="000C7CFA">
        <w:rPr>
          <w:rFonts w:ascii="Verdana" w:hAnsi="Verdana"/>
          <w:sz w:val="18"/>
          <w:szCs w:val="18"/>
          <w:lang w:val="en-GB"/>
        </w:rPr>
        <w:t>. For example:</w:t>
      </w:r>
    </w:p>
    <w:p w14:paraId="259B5293" w14:textId="77777777" w:rsidR="00814D1F" w:rsidRPr="000C7CFA" w:rsidRDefault="00814D1F" w:rsidP="00814D1F">
      <w:pPr>
        <w:pStyle w:val="ListParagraph"/>
        <w:autoSpaceDE w:val="0"/>
        <w:autoSpaceDN w:val="0"/>
        <w:adjustRightInd w:val="0"/>
        <w:spacing w:after="0" w:line="240" w:lineRule="auto"/>
        <w:ind w:left="426" w:right="232"/>
        <w:jc w:val="both"/>
        <w:rPr>
          <w:rFonts w:ascii="Verdana" w:hAnsi="Verdana"/>
          <w:sz w:val="18"/>
          <w:szCs w:val="18"/>
        </w:rPr>
      </w:pPr>
    </w:p>
    <w:p w14:paraId="52BB8E51" w14:textId="77777777" w:rsidR="00814D1F" w:rsidRPr="000C7CFA" w:rsidRDefault="00814D1F" w:rsidP="00814D1F">
      <w:pPr>
        <w:pStyle w:val="ListParagraph"/>
        <w:numPr>
          <w:ilvl w:val="0"/>
          <w:numId w:val="3"/>
        </w:numPr>
        <w:autoSpaceDE w:val="0"/>
        <w:autoSpaceDN w:val="0"/>
        <w:adjustRightInd w:val="0"/>
        <w:spacing w:after="0" w:line="240" w:lineRule="auto"/>
        <w:ind w:left="426" w:right="232" w:hanging="357"/>
        <w:jc w:val="both"/>
        <w:rPr>
          <w:rFonts w:ascii="Verdana" w:hAnsi="Verdana"/>
          <w:sz w:val="18"/>
          <w:szCs w:val="18"/>
        </w:rPr>
      </w:pPr>
      <w:r w:rsidRPr="000C7CFA">
        <w:rPr>
          <w:rFonts w:ascii="Verdana" w:hAnsi="Verdana"/>
          <w:sz w:val="18"/>
          <w:szCs w:val="18"/>
          <w:lang w:eastAsia="en-GB"/>
        </w:rPr>
        <w:t>Guerra</w:t>
      </w:r>
      <w:r w:rsidRPr="000C7CFA">
        <w:rPr>
          <w:rFonts w:ascii="Verdana" w:hAnsi="Verdana"/>
          <w:sz w:val="18"/>
          <w:szCs w:val="18"/>
        </w:rPr>
        <w:t xml:space="preserve"> </w:t>
      </w:r>
      <w:r w:rsidRPr="000C7CFA">
        <w:rPr>
          <w:rFonts w:ascii="Verdana" w:hAnsi="Verdana"/>
          <w:i/>
          <w:sz w:val="18"/>
          <w:szCs w:val="18"/>
        </w:rPr>
        <w:t>et al</w:t>
      </w:r>
      <w:r w:rsidRPr="000C7CFA">
        <w:rPr>
          <w:rFonts w:ascii="Verdana" w:hAnsi="Verdana"/>
          <w:sz w:val="18"/>
          <w:szCs w:val="18"/>
        </w:rPr>
        <w:t>. (2011) detected 1</w:t>
      </w:r>
      <w:proofErr w:type="gramStart"/>
      <w:r w:rsidRPr="000C7CFA">
        <w:rPr>
          <w:rFonts w:ascii="Verdana" w:hAnsi="Verdana"/>
          <w:sz w:val="18"/>
          <w:szCs w:val="18"/>
        </w:rPr>
        <w:t>,5</w:t>
      </w:r>
      <w:proofErr w:type="gramEnd"/>
      <w:r w:rsidRPr="000C7CFA">
        <w:rPr>
          <w:rFonts w:ascii="Verdana" w:hAnsi="Verdana"/>
          <w:sz w:val="18"/>
          <w:szCs w:val="18"/>
        </w:rPr>
        <w:noBreakHyphen/>
        <w:t xml:space="preserve">DPMA in 24 Peregrine Falcon </w:t>
      </w:r>
      <w:r w:rsidRPr="000C7CFA">
        <w:rPr>
          <w:rFonts w:ascii="Verdana" w:hAnsi="Verdana"/>
          <w:i/>
          <w:sz w:val="18"/>
          <w:szCs w:val="18"/>
        </w:rPr>
        <w:t>Falco peregrinus</w:t>
      </w:r>
      <w:r w:rsidRPr="000C7CFA">
        <w:rPr>
          <w:rFonts w:ascii="Verdana" w:hAnsi="Verdana"/>
          <w:sz w:val="18"/>
          <w:szCs w:val="18"/>
        </w:rPr>
        <w:t xml:space="preserve"> eggs with mean concentrations in the range 1.2 – 1 660 </w:t>
      </w:r>
      <w:r w:rsidRPr="000C7CFA">
        <w:rPr>
          <w:rFonts w:ascii="Verdana" w:hAnsi="Verdana"/>
          <w:color w:val="000000"/>
          <w:sz w:val="18"/>
          <w:szCs w:val="18"/>
        </w:rPr>
        <w:t xml:space="preserve">µg/kg </w:t>
      </w:r>
      <w:r w:rsidRPr="000C7CFA">
        <w:rPr>
          <w:rFonts w:ascii="Verdana" w:hAnsi="Verdana"/>
          <w:sz w:val="18"/>
          <w:szCs w:val="18"/>
        </w:rPr>
        <w:t xml:space="preserve">lw (Great Lakes Basin, Canada) and 1.7 – 469 </w:t>
      </w:r>
      <w:r w:rsidRPr="000C7CFA">
        <w:rPr>
          <w:rFonts w:ascii="Verdana" w:hAnsi="Verdana"/>
          <w:color w:val="000000"/>
          <w:sz w:val="18"/>
          <w:szCs w:val="18"/>
        </w:rPr>
        <w:t xml:space="preserve">µg/kg </w:t>
      </w:r>
      <w:r w:rsidRPr="000C7CFA">
        <w:rPr>
          <w:rFonts w:ascii="Verdana" w:hAnsi="Verdana"/>
          <w:sz w:val="18"/>
          <w:szCs w:val="18"/>
        </w:rPr>
        <w:t xml:space="preserve">lw (Bilbao, Spain) collected in the period 2003 and 2009. In contrast, it was not detected above the LoQ in White Stork </w:t>
      </w:r>
      <w:r w:rsidRPr="000C7CFA">
        <w:rPr>
          <w:rFonts w:ascii="Verdana" w:hAnsi="Verdana"/>
          <w:i/>
          <w:sz w:val="18"/>
          <w:szCs w:val="18"/>
        </w:rPr>
        <w:t>Ciconia ciconia</w:t>
      </w:r>
      <w:r w:rsidRPr="000C7CFA">
        <w:rPr>
          <w:rFonts w:ascii="Verdana" w:hAnsi="Verdana"/>
          <w:sz w:val="18"/>
          <w:szCs w:val="18"/>
        </w:rPr>
        <w:t xml:space="preserve"> eggs from near Madrid (sampled in 2005, n=10) and another in the Doñana National Park (sampled in 1999–2000, n=23), Spain (Muñoz-Arnanz </w:t>
      </w:r>
      <w:r w:rsidRPr="000C7CFA">
        <w:rPr>
          <w:rFonts w:ascii="Verdana" w:hAnsi="Verdana"/>
          <w:i/>
          <w:sz w:val="18"/>
          <w:szCs w:val="18"/>
        </w:rPr>
        <w:t>et al</w:t>
      </w:r>
      <w:r w:rsidRPr="000C7CFA">
        <w:rPr>
          <w:rFonts w:ascii="Verdana" w:hAnsi="Verdana"/>
          <w:sz w:val="18"/>
          <w:szCs w:val="18"/>
        </w:rPr>
        <w:t xml:space="preserve">., 2010). The actual LoQ is not provided. </w:t>
      </w:r>
    </w:p>
    <w:p w14:paraId="16EC66C0" w14:textId="77777777" w:rsidR="00DF46A5" w:rsidRPr="000C7CFA" w:rsidRDefault="00DF46A5" w:rsidP="008B5A83">
      <w:pPr>
        <w:pStyle w:val="ListParagraph"/>
        <w:autoSpaceDE w:val="0"/>
        <w:autoSpaceDN w:val="0"/>
        <w:adjustRightInd w:val="0"/>
        <w:spacing w:after="0" w:line="240" w:lineRule="auto"/>
        <w:ind w:left="426" w:right="232"/>
        <w:jc w:val="both"/>
        <w:rPr>
          <w:rFonts w:ascii="Verdana" w:hAnsi="Verdana"/>
          <w:sz w:val="18"/>
          <w:szCs w:val="18"/>
        </w:rPr>
      </w:pPr>
    </w:p>
    <w:p w14:paraId="062E9D55" w14:textId="77777777" w:rsidR="00DF46A5" w:rsidRPr="000C7CFA" w:rsidRDefault="00DF46A5" w:rsidP="008B5A83">
      <w:pPr>
        <w:pStyle w:val="ListParagraph"/>
        <w:numPr>
          <w:ilvl w:val="0"/>
          <w:numId w:val="3"/>
        </w:numPr>
        <w:autoSpaceDE w:val="0"/>
        <w:autoSpaceDN w:val="0"/>
        <w:adjustRightInd w:val="0"/>
        <w:spacing w:after="0" w:line="240" w:lineRule="auto"/>
        <w:ind w:left="426" w:right="232" w:hanging="357"/>
        <w:jc w:val="both"/>
        <w:rPr>
          <w:rFonts w:ascii="Verdana" w:hAnsi="Verdana"/>
          <w:sz w:val="18"/>
          <w:szCs w:val="18"/>
        </w:rPr>
      </w:pPr>
      <w:r w:rsidRPr="000C7CFA">
        <w:rPr>
          <w:rFonts w:ascii="Verdana" w:hAnsi="Verdana"/>
          <w:sz w:val="18"/>
          <w:szCs w:val="18"/>
        </w:rPr>
        <w:t>DPMA was detected in</w:t>
      </w:r>
      <w:r w:rsidR="00DF5FEE" w:rsidRPr="000C7CFA">
        <w:rPr>
          <w:rFonts w:ascii="Verdana" w:hAnsi="Verdana"/>
          <w:sz w:val="18"/>
          <w:szCs w:val="18"/>
        </w:rPr>
        <w:t xml:space="preserve"> some</w:t>
      </w:r>
      <w:r w:rsidRPr="000C7CFA">
        <w:rPr>
          <w:rFonts w:ascii="Verdana" w:hAnsi="Verdana"/>
          <w:sz w:val="18"/>
          <w:szCs w:val="18"/>
        </w:rPr>
        <w:t xml:space="preserve"> </w:t>
      </w:r>
      <w:r w:rsidR="00DF5FEE" w:rsidRPr="000C7CFA">
        <w:rPr>
          <w:rFonts w:ascii="Verdana" w:hAnsi="Verdana"/>
          <w:sz w:val="18"/>
          <w:szCs w:val="18"/>
        </w:rPr>
        <w:t xml:space="preserve">yellow </w:t>
      </w:r>
      <w:r w:rsidRPr="000C7CFA">
        <w:rPr>
          <w:rFonts w:ascii="Verdana" w:hAnsi="Verdana"/>
          <w:sz w:val="18"/>
          <w:szCs w:val="18"/>
          <w:lang w:eastAsia="en-GB"/>
        </w:rPr>
        <w:t xml:space="preserve">American Eel </w:t>
      </w:r>
      <w:r w:rsidRPr="000C7CFA">
        <w:rPr>
          <w:rFonts w:ascii="Verdana" w:hAnsi="Verdana"/>
          <w:i/>
          <w:sz w:val="18"/>
          <w:szCs w:val="18"/>
          <w:lang w:eastAsia="en-GB"/>
        </w:rPr>
        <w:t>Anguilla rostrata</w:t>
      </w:r>
      <w:r w:rsidRPr="000C7CFA">
        <w:rPr>
          <w:rFonts w:ascii="Verdana" w:hAnsi="Verdana"/>
          <w:sz w:val="18"/>
          <w:szCs w:val="18"/>
          <w:lang w:eastAsia="en-GB"/>
        </w:rPr>
        <w:t xml:space="preserve"> samples (w</w:t>
      </w:r>
      <w:r w:rsidRPr="000C7CFA">
        <w:rPr>
          <w:rFonts w:ascii="Verdana" w:hAnsi="Verdana"/>
          <w:sz w:val="18"/>
          <w:szCs w:val="18"/>
        </w:rPr>
        <w:t xml:space="preserve">hole body or </w:t>
      </w:r>
      <w:r w:rsidRPr="000C7CFA">
        <w:rPr>
          <w:rFonts w:ascii="Verdana" w:hAnsi="Verdana"/>
          <w:sz w:val="18"/>
          <w:szCs w:val="18"/>
          <w:lang w:eastAsia="en-GB"/>
        </w:rPr>
        <w:t xml:space="preserve">muscle) collected from </w:t>
      </w:r>
      <w:r w:rsidR="00DF5FEE" w:rsidRPr="000C7CFA">
        <w:rPr>
          <w:rFonts w:ascii="Verdana" w:hAnsi="Verdana"/>
          <w:sz w:val="18"/>
          <w:szCs w:val="18"/>
          <w:lang w:eastAsia="en-GB"/>
        </w:rPr>
        <w:t>Lake Ontario and the Saint Lawrence River, Canada</w:t>
      </w:r>
      <w:r w:rsidRPr="000C7CFA">
        <w:rPr>
          <w:rFonts w:ascii="Verdana" w:hAnsi="Verdana"/>
          <w:sz w:val="18"/>
          <w:szCs w:val="18"/>
          <w:lang w:eastAsia="en-GB"/>
        </w:rPr>
        <w:t xml:space="preserve"> </w:t>
      </w:r>
      <w:r w:rsidRPr="000C7CFA">
        <w:rPr>
          <w:rFonts w:ascii="Verdana" w:hAnsi="Verdana"/>
          <w:color w:val="000000"/>
          <w:sz w:val="18"/>
          <w:szCs w:val="18"/>
          <w:lang w:eastAsia="en-GB"/>
        </w:rPr>
        <w:t>in 2007</w:t>
      </w:r>
      <w:r w:rsidR="00DF5FEE" w:rsidRPr="000C7CFA">
        <w:rPr>
          <w:rFonts w:ascii="Verdana" w:hAnsi="Verdana"/>
          <w:color w:val="000000"/>
          <w:sz w:val="18"/>
          <w:szCs w:val="18"/>
          <w:lang w:eastAsia="en-GB"/>
        </w:rPr>
        <w:t>/</w:t>
      </w:r>
      <w:r w:rsidRPr="000C7CFA">
        <w:rPr>
          <w:rFonts w:ascii="Verdana" w:hAnsi="Verdana"/>
          <w:color w:val="000000"/>
          <w:sz w:val="18"/>
          <w:szCs w:val="18"/>
          <w:lang w:eastAsia="en-GB"/>
        </w:rPr>
        <w:t xml:space="preserve">8 by Sühring </w:t>
      </w:r>
      <w:r w:rsidRPr="000C7CFA">
        <w:rPr>
          <w:rFonts w:ascii="Verdana" w:hAnsi="Verdana"/>
          <w:i/>
          <w:color w:val="000000"/>
          <w:sz w:val="18"/>
          <w:szCs w:val="18"/>
          <w:lang w:eastAsia="en-GB"/>
        </w:rPr>
        <w:t>et al</w:t>
      </w:r>
      <w:r w:rsidRPr="000C7CFA">
        <w:rPr>
          <w:rFonts w:ascii="Verdana" w:hAnsi="Verdana"/>
          <w:color w:val="000000"/>
          <w:sz w:val="18"/>
          <w:szCs w:val="18"/>
          <w:lang w:eastAsia="en-GB"/>
        </w:rPr>
        <w:t>. (2014)</w:t>
      </w:r>
      <w:r w:rsidR="00DF5FEE" w:rsidRPr="000C7CFA">
        <w:rPr>
          <w:rFonts w:ascii="Verdana" w:hAnsi="Verdana"/>
          <w:color w:val="000000"/>
          <w:sz w:val="18"/>
          <w:szCs w:val="18"/>
          <w:lang w:eastAsia="en-GB"/>
        </w:rPr>
        <w:t xml:space="preserve"> at mean concentrations up to 0.1 </w:t>
      </w:r>
      <w:r w:rsidR="00DF5FEE" w:rsidRPr="000C7CFA">
        <w:rPr>
          <w:rFonts w:ascii="Verdana" w:hAnsi="Verdana"/>
          <w:sz w:val="18"/>
          <w:szCs w:val="18"/>
        </w:rPr>
        <w:t xml:space="preserve">µg/kg </w:t>
      </w:r>
      <w:r w:rsidR="00DF5FEE" w:rsidRPr="000C7CFA">
        <w:rPr>
          <w:rFonts w:ascii="Verdana" w:hAnsi="Verdana"/>
          <w:color w:val="000000"/>
          <w:sz w:val="18"/>
          <w:szCs w:val="18"/>
          <w:lang w:eastAsia="en-GB"/>
        </w:rPr>
        <w:t xml:space="preserve">ww (0.48 </w:t>
      </w:r>
      <w:r w:rsidR="00DF5FEE" w:rsidRPr="000C7CFA">
        <w:rPr>
          <w:rFonts w:ascii="Verdana" w:hAnsi="Verdana"/>
          <w:sz w:val="18"/>
          <w:szCs w:val="18"/>
        </w:rPr>
        <w:t xml:space="preserve">µg/kg </w:t>
      </w:r>
      <w:r w:rsidR="00DF5FEE" w:rsidRPr="000C7CFA">
        <w:rPr>
          <w:rFonts w:ascii="Verdana" w:hAnsi="Verdana"/>
          <w:color w:val="000000"/>
          <w:sz w:val="18"/>
          <w:szCs w:val="18"/>
          <w:lang w:eastAsia="en-GB"/>
        </w:rPr>
        <w:t>lw)</w:t>
      </w:r>
      <w:r w:rsidRPr="000C7CFA">
        <w:rPr>
          <w:rFonts w:ascii="Verdana" w:hAnsi="Verdana"/>
          <w:color w:val="000000"/>
          <w:sz w:val="18"/>
          <w:szCs w:val="18"/>
          <w:lang w:eastAsia="en-GB"/>
        </w:rPr>
        <w:t xml:space="preserve">. </w:t>
      </w:r>
      <w:r w:rsidR="00DF5FEE" w:rsidRPr="000C7CFA">
        <w:rPr>
          <w:rFonts w:ascii="Verdana" w:hAnsi="Verdana"/>
          <w:color w:val="000000"/>
          <w:sz w:val="18"/>
          <w:szCs w:val="18"/>
          <w:lang w:eastAsia="en-GB"/>
        </w:rPr>
        <w:t xml:space="preserve">It was not detected in glass eels, elvers, yellow or silver eels from France or Germany (LoD: 0.021 – 0.079 </w:t>
      </w:r>
      <w:r w:rsidR="00DF5FEE" w:rsidRPr="000C7CFA">
        <w:rPr>
          <w:rFonts w:ascii="Verdana" w:hAnsi="Verdana"/>
          <w:sz w:val="18"/>
          <w:szCs w:val="18"/>
        </w:rPr>
        <w:t xml:space="preserve">µg/kg </w:t>
      </w:r>
      <w:r w:rsidR="00DF5FEE" w:rsidRPr="000C7CFA">
        <w:rPr>
          <w:rFonts w:ascii="Verdana" w:hAnsi="Verdana"/>
          <w:color w:val="000000"/>
          <w:sz w:val="18"/>
          <w:szCs w:val="18"/>
          <w:lang w:eastAsia="en-GB"/>
        </w:rPr>
        <w:t>ww).</w:t>
      </w:r>
    </w:p>
    <w:p w14:paraId="6A9E6832" w14:textId="77777777" w:rsidR="00814D1F" w:rsidRPr="000C7CFA" w:rsidRDefault="00814D1F" w:rsidP="00814D1F">
      <w:pPr>
        <w:autoSpaceDE w:val="0"/>
        <w:autoSpaceDN w:val="0"/>
        <w:adjustRightInd w:val="0"/>
        <w:spacing w:after="0"/>
        <w:jc w:val="both"/>
        <w:rPr>
          <w:rFonts w:ascii="Verdana" w:hAnsi="Verdana"/>
          <w:sz w:val="18"/>
          <w:szCs w:val="18"/>
          <w:lang w:val="en-GB"/>
        </w:rPr>
      </w:pPr>
    </w:p>
    <w:p w14:paraId="5A104278" w14:textId="3499309D" w:rsidR="00814D1F" w:rsidRPr="000C7CFA" w:rsidRDefault="00814D1F" w:rsidP="00814D1F">
      <w:pPr>
        <w:pStyle w:val="ListParagraph"/>
        <w:numPr>
          <w:ilvl w:val="0"/>
          <w:numId w:val="3"/>
        </w:numPr>
        <w:autoSpaceDE w:val="0"/>
        <w:autoSpaceDN w:val="0"/>
        <w:adjustRightInd w:val="0"/>
        <w:spacing w:after="0" w:line="240" w:lineRule="auto"/>
        <w:ind w:left="426" w:right="232" w:hanging="357"/>
        <w:jc w:val="both"/>
        <w:rPr>
          <w:rFonts w:ascii="Verdana" w:hAnsi="Verdana"/>
          <w:sz w:val="18"/>
          <w:szCs w:val="18"/>
        </w:rPr>
      </w:pPr>
      <w:r w:rsidRPr="000C7CFA">
        <w:rPr>
          <w:rFonts w:ascii="Verdana" w:hAnsi="Verdana"/>
          <w:sz w:val="18"/>
          <w:szCs w:val="18"/>
        </w:rPr>
        <w:t xml:space="preserve">Wang </w:t>
      </w:r>
      <w:r w:rsidRPr="000C7CFA">
        <w:rPr>
          <w:rFonts w:ascii="Verdana" w:hAnsi="Verdana"/>
          <w:i/>
          <w:sz w:val="18"/>
          <w:szCs w:val="18"/>
        </w:rPr>
        <w:t>et al</w:t>
      </w:r>
      <w:r w:rsidRPr="000C7CFA">
        <w:rPr>
          <w:rFonts w:ascii="Verdana" w:hAnsi="Verdana"/>
          <w:sz w:val="18"/>
          <w:szCs w:val="18"/>
        </w:rPr>
        <w:t xml:space="preserve">. (2015) found </w:t>
      </w:r>
      <w:r w:rsidR="00CF3DEF" w:rsidRPr="000C7CFA">
        <w:rPr>
          <w:rFonts w:ascii="Verdana" w:hAnsi="Verdana"/>
          <w:sz w:val="18"/>
          <w:szCs w:val="18"/>
        </w:rPr>
        <w:t>DPMA</w:t>
      </w:r>
      <w:r w:rsidRPr="000C7CFA">
        <w:rPr>
          <w:rFonts w:ascii="Verdana" w:hAnsi="Verdana"/>
          <w:sz w:val="18"/>
          <w:szCs w:val="18"/>
        </w:rPr>
        <w:t xml:space="preserve"> to be present in a species of snail, a shrimp and five species of fish in a Chinese freshwater food chain, with mean levels between 13.3 and 65.6 µg/kg </w:t>
      </w:r>
      <w:proofErr w:type="gramStart"/>
      <w:r w:rsidRPr="000C7CFA">
        <w:rPr>
          <w:rFonts w:ascii="Verdana" w:hAnsi="Verdana"/>
          <w:sz w:val="18"/>
          <w:szCs w:val="18"/>
        </w:rPr>
        <w:t>lw</w:t>
      </w:r>
      <w:proofErr w:type="gramEnd"/>
      <w:r w:rsidRPr="000C7CFA">
        <w:rPr>
          <w:rFonts w:ascii="Verdana" w:hAnsi="Verdana"/>
          <w:sz w:val="18"/>
          <w:szCs w:val="18"/>
        </w:rPr>
        <w:t xml:space="preserve">. The highest concentration was for Northern Snakehead </w:t>
      </w:r>
      <w:r w:rsidRPr="000C7CFA">
        <w:rPr>
          <w:rFonts w:ascii="Verdana" w:hAnsi="Verdana"/>
          <w:i/>
          <w:sz w:val="18"/>
          <w:szCs w:val="18"/>
        </w:rPr>
        <w:t xml:space="preserve">Channa </w:t>
      </w:r>
      <w:proofErr w:type="gramStart"/>
      <w:r w:rsidRPr="000C7CFA">
        <w:rPr>
          <w:rFonts w:ascii="Verdana" w:hAnsi="Verdana"/>
          <w:i/>
          <w:sz w:val="18"/>
          <w:szCs w:val="18"/>
        </w:rPr>
        <w:t>argus</w:t>
      </w:r>
      <w:proofErr w:type="gramEnd"/>
      <w:r w:rsidRPr="000C7CFA">
        <w:rPr>
          <w:rFonts w:ascii="Verdana" w:hAnsi="Verdana"/>
          <w:sz w:val="18"/>
          <w:szCs w:val="18"/>
        </w:rPr>
        <w:t xml:space="preserve">, a predatory fish (although sample numbers were low; these levels are much lower than the Dechlorane Plus concentrations in the same samples). </w:t>
      </w:r>
    </w:p>
    <w:p w14:paraId="044C497D" w14:textId="77777777" w:rsidR="00CD7C1D" w:rsidRPr="000C7CFA" w:rsidRDefault="00CD7C1D" w:rsidP="00CD7C1D">
      <w:pPr>
        <w:pStyle w:val="ListParagraph"/>
        <w:rPr>
          <w:rFonts w:ascii="Verdana" w:hAnsi="Verdana"/>
          <w:sz w:val="18"/>
          <w:szCs w:val="18"/>
        </w:rPr>
      </w:pPr>
    </w:p>
    <w:p w14:paraId="7DABFE99" w14:textId="769CB76C" w:rsidR="00CD7C1D" w:rsidRPr="000C7CFA" w:rsidRDefault="00CD7C1D" w:rsidP="00CD7C1D">
      <w:pPr>
        <w:pStyle w:val="ListParagraph"/>
        <w:numPr>
          <w:ilvl w:val="0"/>
          <w:numId w:val="3"/>
        </w:numPr>
        <w:autoSpaceDE w:val="0"/>
        <w:autoSpaceDN w:val="0"/>
        <w:adjustRightInd w:val="0"/>
        <w:spacing w:after="0" w:line="240" w:lineRule="auto"/>
        <w:ind w:left="426" w:right="232" w:hanging="357"/>
        <w:jc w:val="both"/>
        <w:rPr>
          <w:rFonts w:ascii="Verdana" w:hAnsi="Verdana" w:cs="TimesNewRoman"/>
          <w:sz w:val="18"/>
          <w:szCs w:val="18"/>
        </w:rPr>
      </w:pPr>
      <w:r w:rsidRPr="000C7CFA">
        <w:rPr>
          <w:rFonts w:ascii="Verdana" w:hAnsi="Verdana"/>
          <w:sz w:val="18"/>
          <w:szCs w:val="18"/>
        </w:rPr>
        <w:t>Wolschke</w:t>
      </w:r>
      <w:r w:rsidRPr="000C7CFA">
        <w:rPr>
          <w:rFonts w:ascii="Verdana" w:hAnsi="Verdana" w:cs="TimesNewRoman"/>
          <w:sz w:val="18"/>
          <w:szCs w:val="18"/>
        </w:rPr>
        <w:t xml:space="preserve"> </w:t>
      </w:r>
      <w:r w:rsidRPr="000C7CFA">
        <w:rPr>
          <w:rFonts w:ascii="Verdana" w:hAnsi="Verdana" w:cs="TimesNewRoman"/>
          <w:i/>
          <w:sz w:val="18"/>
          <w:szCs w:val="18"/>
        </w:rPr>
        <w:t>et al</w:t>
      </w:r>
      <w:r w:rsidRPr="000C7CFA">
        <w:rPr>
          <w:rFonts w:ascii="Verdana" w:hAnsi="Verdana" w:cs="TimesNewRoman"/>
          <w:sz w:val="18"/>
          <w:szCs w:val="18"/>
        </w:rPr>
        <w:t xml:space="preserve">. (2015) detected 1,3-DPMA in tissue samples (except for blood) taken from a young Brown Skua </w:t>
      </w:r>
      <w:r w:rsidRPr="000C7CFA">
        <w:rPr>
          <w:rFonts w:ascii="Verdana" w:hAnsi="Verdana" w:cs="TimesNewRoman"/>
          <w:i/>
          <w:sz w:val="18"/>
          <w:szCs w:val="18"/>
        </w:rPr>
        <w:t>Stercorarius antarcticus</w:t>
      </w:r>
      <w:r w:rsidRPr="000C7CFA">
        <w:rPr>
          <w:rFonts w:ascii="Verdana" w:hAnsi="Verdana" w:cs="TimesNewRoman"/>
          <w:sz w:val="18"/>
          <w:szCs w:val="18"/>
        </w:rPr>
        <w:t xml:space="preserve"> found dead due to natural causes on King George Island, Antarctica in the period November 2010 to January 2011. Levels were in the range 52.8–136 pg/g [ng/kg] </w:t>
      </w:r>
      <w:proofErr w:type="gramStart"/>
      <w:r w:rsidRPr="000C7CFA">
        <w:rPr>
          <w:rFonts w:ascii="Verdana" w:hAnsi="Verdana" w:cs="TimesNewRoman"/>
          <w:sz w:val="18"/>
          <w:szCs w:val="18"/>
        </w:rPr>
        <w:t>dw</w:t>
      </w:r>
      <w:proofErr w:type="gramEnd"/>
      <w:r w:rsidRPr="000C7CFA">
        <w:rPr>
          <w:rFonts w:ascii="Verdana" w:hAnsi="Verdana" w:cs="TimesNewRoman"/>
          <w:sz w:val="18"/>
          <w:szCs w:val="18"/>
        </w:rPr>
        <w:t xml:space="preserve">. Levels in a single Antarctic Rock Cod </w:t>
      </w:r>
      <w:r w:rsidRPr="000C7CFA">
        <w:rPr>
          <w:rFonts w:ascii="Verdana" w:hAnsi="Verdana" w:cs="TimesNewRoman"/>
          <w:i/>
          <w:sz w:val="18"/>
          <w:szCs w:val="18"/>
        </w:rPr>
        <w:t>Trematomus bernacchii</w:t>
      </w:r>
      <w:r w:rsidRPr="000C7CFA">
        <w:rPr>
          <w:rFonts w:ascii="Verdana" w:hAnsi="Verdana" w:cs="TimesNewRoman"/>
          <w:sz w:val="18"/>
          <w:szCs w:val="18"/>
        </w:rPr>
        <w:t xml:space="preserve"> and a young Gentoo Penguin </w:t>
      </w:r>
      <w:r w:rsidRPr="000C7CFA">
        <w:rPr>
          <w:rFonts w:ascii="Verdana" w:hAnsi="Verdana" w:cs="TimesNewRoman"/>
          <w:i/>
          <w:sz w:val="18"/>
          <w:szCs w:val="18"/>
        </w:rPr>
        <w:t>Pygoscelis papua</w:t>
      </w:r>
      <w:r w:rsidRPr="000C7CFA">
        <w:rPr>
          <w:rFonts w:ascii="Verdana" w:hAnsi="Verdana" w:cs="TimesNewRoman"/>
          <w:sz w:val="18"/>
          <w:szCs w:val="18"/>
        </w:rPr>
        <w:t xml:space="preserve"> (also found dead) collected from the same area were below the detection limit. The detection frequency in the samples was 21 % for DPMA, but 7.1 % for anti-Dechlorane Plus (with a highest level of 8.9 pg/g </w:t>
      </w:r>
      <w:proofErr w:type="gramStart"/>
      <w:r w:rsidRPr="000C7CFA">
        <w:rPr>
          <w:rFonts w:ascii="Verdana" w:hAnsi="Verdana" w:cs="TimesNewRoman"/>
          <w:sz w:val="18"/>
          <w:szCs w:val="18"/>
        </w:rPr>
        <w:t>dw</w:t>
      </w:r>
      <w:proofErr w:type="gramEnd"/>
      <w:r w:rsidRPr="000C7CFA">
        <w:rPr>
          <w:rFonts w:ascii="Verdana" w:hAnsi="Verdana" w:cs="TimesNewRoman"/>
          <w:sz w:val="18"/>
          <w:szCs w:val="18"/>
        </w:rPr>
        <w:t xml:space="preserve">). No </w:t>
      </w:r>
      <w:r w:rsidRPr="000C7CFA">
        <w:rPr>
          <w:rFonts w:ascii="Verdana" w:eastAsia="Times New Roman" w:hAnsi="Verdana" w:cs="TimesNewRoman"/>
          <w:sz w:val="18"/>
          <w:szCs w:val="18"/>
        </w:rPr>
        <w:t>syn-D</w:t>
      </w:r>
      <w:r w:rsidRPr="000C7CFA">
        <w:rPr>
          <w:rFonts w:ascii="Verdana" w:hAnsi="Verdana" w:cs="TimesNewRoman"/>
          <w:sz w:val="18"/>
          <w:szCs w:val="18"/>
        </w:rPr>
        <w:t xml:space="preserve">echlorane </w:t>
      </w:r>
      <w:r w:rsidRPr="000C7CFA">
        <w:rPr>
          <w:rFonts w:ascii="Verdana" w:eastAsia="Times New Roman" w:hAnsi="Verdana" w:cs="TimesNewRoman"/>
          <w:sz w:val="18"/>
          <w:szCs w:val="18"/>
        </w:rPr>
        <w:t>P</w:t>
      </w:r>
      <w:r w:rsidRPr="000C7CFA">
        <w:rPr>
          <w:rFonts w:ascii="Verdana" w:hAnsi="Verdana" w:cs="TimesNewRoman"/>
          <w:sz w:val="18"/>
          <w:szCs w:val="18"/>
        </w:rPr>
        <w:t>lus</w:t>
      </w:r>
      <w:r w:rsidRPr="000C7CFA">
        <w:rPr>
          <w:rFonts w:ascii="Verdana" w:eastAsia="Times New Roman" w:hAnsi="Verdana" w:cs="TimesNewRoman"/>
          <w:sz w:val="18"/>
          <w:szCs w:val="18"/>
        </w:rPr>
        <w:t xml:space="preserve"> was found in any of the investigated samples.</w:t>
      </w:r>
      <w:r w:rsidRPr="000C7CFA">
        <w:rPr>
          <w:rFonts w:ascii="Verdana" w:hAnsi="Verdana" w:cs="TimesNewRoman"/>
          <w:sz w:val="18"/>
          <w:szCs w:val="18"/>
        </w:rPr>
        <w:t xml:space="preserve"> (For comparison, see also the results of Kang </w:t>
      </w:r>
      <w:r w:rsidRPr="000C7CFA">
        <w:rPr>
          <w:rFonts w:ascii="Verdana" w:hAnsi="Verdana" w:cs="TimesNewRoman"/>
          <w:i/>
          <w:sz w:val="18"/>
          <w:szCs w:val="18"/>
        </w:rPr>
        <w:t>et al</w:t>
      </w:r>
      <w:r w:rsidRPr="000C7CFA">
        <w:rPr>
          <w:rFonts w:ascii="Verdana" w:hAnsi="Verdana" w:cs="TimesNewRoman"/>
          <w:sz w:val="18"/>
          <w:szCs w:val="18"/>
        </w:rPr>
        <w:t xml:space="preserve">. (2013) [ABST] and Kim </w:t>
      </w:r>
      <w:r w:rsidRPr="000C7CFA">
        <w:rPr>
          <w:rFonts w:ascii="Verdana" w:hAnsi="Verdana" w:cs="TimesNewRoman"/>
          <w:i/>
          <w:sz w:val="18"/>
          <w:szCs w:val="18"/>
        </w:rPr>
        <w:t>et al</w:t>
      </w:r>
      <w:r w:rsidRPr="000C7CFA">
        <w:rPr>
          <w:rFonts w:ascii="Verdana" w:hAnsi="Verdana" w:cs="TimesNewRoman"/>
          <w:sz w:val="18"/>
          <w:szCs w:val="18"/>
        </w:rPr>
        <w:t>. (2015), who detected Dechlorane Plus more frequently in similar biota samples from the same area.)</w:t>
      </w:r>
    </w:p>
    <w:p w14:paraId="5E6CFD39" w14:textId="77777777" w:rsidR="001D0291" w:rsidRPr="000C7CFA" w:rsidRDefault="001D0291" w:rsidP="008B5A83">
      <w:pPr>
        <w:pStyle w:val="ListParagraph"/>
        <w:ind w:left="426"/>
        <w:rPr>
          <w:rFonts w:ascii="Verdana" w:hAnsi="Verdana"/>
          <w:sz w:val="18"/>
          <w:szCs w:val="18"/>
        </w:rPr>
      </w:pPr>
    </w:p>
    <w:p w14:paraId="163B6AEC" w14:textId="2276299F" w:rsidR="001D0291" w:rsidRPr="000C7CFA" w:rsidRDefault="001D0291" w:rsidP="008B5A83">
      <w:pPr>
        <w:pStyle w:val="ListParagraph"/>
        <w:numPr>
          <w:ilvl w:val="0"/>
          <w:numId w:val="3"/>
        </w:numPr>
        <w:autoSpaceDE w:val="0"/>
        <w:autoSpaceDN w:val="0"/>
        <w:adjustRightInd w:val="0"/>
        <w:spacing w:after="0" w:line="240" w:lineRule="auto"/>
        <w:ind w:left="426" w:right="232" w:hanging="357"/>
        <w:jc w:val="both"/>
        <w:rPr>
          <w:rFonts w:ascii="Verdana" w:hAnsi="Verdana"/>
          <w:sz w:val="18"/>
          <w:szCs w:val="18"/>
        </w:rPr>
      </w:pPr>
      <w:r w:rsidRPr="000C7CFA">
        <w:rPr>
          <w:rFonts w:ascii="Verdana" w:hAnsi="Verdana" w:cs="AdvOT863180fb"/>
          <w:sz w:val="18"/>
          <w:szCs w:val="18"/>
          <w:lang w:eastAsia="en-GB"/>
        </w:rPr>
        <w:t xml:space="preserve">Rjabova </w:t>
      </w:r>
      <w:r w:rsidRPr="000C7CFA">
        <w:rPr>
          <w:rFonts w:ascii="Verdana" w:hAnsi="Verdana" w:cs="AdvOT863180fb"/>
          <w:i/>
          <w:sz w:val="18"/>
          <w:szCs w:val="18"/>
          <w:lang w:eastAsia="en-GB"/>
        </w:rPr>
        <w:t>et al</w:t>
      </w:r>
      <w:r w:rsidRPr="000C7CFA">
        <w:rPr>
          <w:rFonts w:ascii="Verdana" w:hAnsi="Verdana" w:cs="AdvOT863180fb"/>
          <w:sz w:val="18"/>
          <w:szCs w:val="18"/>
          <w:lang w:eastAsia="en-GB"/>
        </w:rPr>
        <w:t xml:space="preserve">. (2016) detected </w:t>
      </w:r>
      <w:r w:rsidRPr="000C7CFA">
        <w:rPr>
          <w:rFonts w:ascii="Verdana" w:hAnsi="Verdana"/>
          <w:sz w:val="18"/>
          <w:szCs w:val="18"/>
        </w:rPr>
        <w:t>1</w:t>
      </w:r>
      <w:proofErr w:type="gramStart"/>
      <w:r w:rsidRPr="000C7CFA">
        <w:rPr>
          <w:rFonts w:ascii="Verdana" w:hAnsi="Verdana"/>
          <w:sz w:val="18"/>
          <w:szCs w:val="18"/>
        </w:rPr>
        <w:t>,3</w:t>
      </w:r>
      <w:proofErr w:type="gramEnd"/>
      <w:r w:rsidRPr="000C7CFA">
        <w:rPr>
          <w:rFonts w:ascii="Verdana" w:hAnsi="Verdana"/>
          <w:sz w:val="18"/>
          <w:szCs w:val="18"/>
        </w:rPr>
        <w:t>-DPMA in muscle tissue of 25 wild Baltic Salmon</w:t>
      </w:r>
      <w:r w:rsidRPr="000C7CFA">
        <w:rPr>
          <w:rFonts w:ascii="Verdana" w:hAnsi="Verdana"/>
          <w:i/>
          <w:sz w:val="18"/>
          <w:szCs w:val="18"/>
        </w:rPr>
        <w:t xml:space="preserve"> Salmo salar</w:t>
      </w:r>
      <w:r w:rsidRPr="000C7CFA">
        <w:rPr>
          <w:rFonts w:ascii="Verdana" w:hAnsi="Verdana"/>
          <w:sz w:val="18"/>
          <w:szCs w:val="18"/>
        </w:rPr>
        <w:t xml:space="preserve"> collected from the Daugava and Venta rivers in Latvia during the spawning period in October 2012. It was present at a mean concentration of 969 (range 311 – 2</w:t>
      </w:r>
      <w:r w:rsidR="002D4EB9" w:rsidRPr="000C7CFA">
        <w:rPr>
          <w:rFonts w:ascii="Verdana" w:hAnsi="Verdana"/>
          <w:sz w:val="18"/>
          <w:szCs w:val="18"/>
        </w:rPr>
        <w:t> </w:t>
      </w:r>
      <w:r w:rsidRPr="000C7CFA">
        <w:rPr>
          <w:rFonts w:ascii="Verdana" w:hAnsi="Verdana"/>
          <w:sz w:val="18"/>
          <w:szCs w:val="18"/>
        </w:rPr>
        <w:t xml:space="preserve">169) pg/g [ng/kg] ww, and contributed 49 – 76 % (average 62 %) of the total concentration of seven dechlorane-related compounds in the samples. For comparison, the mean concentration of Dechlorane Plus was 11.3 pg/g [ng/kg] ww. [This study is not summarised in Appendix </w:t>
      </w:r>
      <w:r w:rsidR="00FB3AD7" w:rsidRPr="000C7CFA">
        <w:rPr>
          <w:rFonts w:ascii="Verdana" w:hAnsi="Verdana"/>
          <w:sz w:val="18"/>
          <w:szCs w:val="18"/>
        </w:rPr>
        <w:t>3</w:t>
      </w:r>
      <w:r w:rsidRPr="000C7CFA">
        <w:rPr>
          <w:rFonts w:ascii="Verdana" w:hAnsi="Verdana"/>
          <w:sz w:val="18"/>
          <w:szCs w:val="18"/>
        </w:rPr>
        <w:t xml:space="preserve"> and </w:t>
      </w:r>
      <w:r w:rsidR="00FB3AD7" w:rsidRPr="000C7CFA">
        <w:rPr>
          <w:rFonts w:ascii="Verdana" w:hAnsi="Verdana"/>
          <w:sz w:val="18"/>
          <w:szCs w:val="18"/>
        </w:rPr>
        <w:t>4</w:t>
      </w:r>
      <w:r w:rsidRPr="000C7CFA">
        <w:rPr>
          <w:rFonts w:ascii="Verdana" w:hAnsi="Verdana"/>
          <w:sz w:val="18"/>
          <w:szCs w:val="18"/>
        </w:rPr>
        <w:t>.]</w:t>
      </w:r>
    </w:p>
    <w:p w14:paraId="5FCBB857" w14:textId="77777777" w:rsidR="00CD7C1D" w:rsidRPr="000C7CFA" w:rsidRDefault="00CD7C1D" w:rsidP="00795530">
      <w:pPr>
        <w:pStyle w:val="ListParagraph"/>
        <w:autoSpaceDE w:val="0"/>
        <w:autoSpaceDN w:val="0"/>
        <w:adjustRightInd w:val="0"/>
        <w:spacing w:after="0" w:line="240" w:lineRule="auto"/>
        <w:ind w:left="426" w:right="232"/>
        <w:jc w:val="both"/>
        <w:rPr>
          <w:rFonts w:ascii="Verdana" w:hAnsi="Verdana"/>
          <w:sz w:val="18"/>
          <w:szCs w:val="18"/>
        </w:rPr>
      </w:pPr>
    </w:p>
    <w:p w14:paraId="6A9D8339" w14:textId="4C18893D" w:rsidR="001D0291" w:rsidRPr="000C7CFA" w:rsidRDefault="001D0291" w:rsidP="006B0146">
      <w:pPr>
        <w:autoSpaceDE w:val="0"/>
        <w:autoSpaceDN w:val="0"/>
        <w:adjustRightInd w:val="0"/>
        <w:spacing w:after="0"/>
        <w:jc w:val="both"/>
        <w:rPr>
          <w:rFonts w:ascii="Verdana" w:hAnsi="Verdana"/>
          <w:sz w:val="18"/>
          <w:szCs w:val="18"/>
          <w:lang w:val="en-GB"/>
        </w:rPr>
      </w:pPr>
      <w:r w:rsidRPr="000C7CFA">
        <w:rPr>
          <w:rFonts w:ascii="Verdana" w:hAnsi="Verdana"/>
          <w:sz w:val="18"/>
          <w:szCs w:val="18"/>
          <w:lang w:val="en-GB"/>
        </w:rPr>
        <w:t>Rjabova</w:t>
      </w:r>
      <w:r w:rsidRPr="000C7CFA">
        <w:rPr>
          <w:rFonts w:ascii="Verdana" w:hAnsi="Verdana" w:cs="AdvOT863180fb"/>
          <w:sz w:val="18"/>
          <w:szCs w:val="18"/>
          <w:lang w:eastAsia="en-GB"/>
        </w:rPr>
        <w:t xml:space="preserve"> </w:t>
      </w:r>
      <w:r w:rsidRPr="000C7CFA">
        <w:rPr>
          <w:rFonts w:ascii="Verdana" w:hAnsi="Verdana" w:cs="AdvOT863180fb"/>
          <w:i/>
          <w:sz w:val="18"/>
          <w:szCs w:val="18"/>
          <w:lang w:eastAsia="en-GB"/>
        </w:rPr>
        <w:t>et al</w:t>
      </w:r>
      <w:r w:rsidRPr="000C7CFA">
        <w:rPr>
          <w:rFonts w:ascii="Verdana" w:hAnsi="Verdana" w:cs="AdvOT863180fb"/>
          <w:sz w:val="18"/>
          <w:szCs w:val="18"/>
          <w:lang w:eastAsia="en-GB"/>
        </w:rPr>
        <w:t xml:space="preserve">. (2016) (citing </w:t>
      </w:r>
      <w:r w:rsidRPr="000C7CFA">
        <w:rPr>
          <w:rFonts w:ascii="Verdana" w:hAnsi="Verdana"/>
          <w:sz w:val="18"/>
          <w:szCs w:val="18"/>
          <w:lang w:val="en-GB"/>
        </w:rPr>
        <w:t xml:space="preserve">Baron </w:t>
      </w:r>
      <w:r w:rsidRPr="000C7CFA">
        <w:rPr>
          <w:rFonts w:ascii="Verdana" w:hAnsi="Verdana"/>
          <w:i/>
          <w:sz w:val="18"/>
          <w:szCs w:val="18"/>
          <w:lang w:val="en-GB"/>
        </w:rPr>
        <w:t>et al</w:t>
      </w:r>
      <w:r w:rsidRPr="000C7CFA">
        <w:rPr>
          <w:rFonts w:ascii="Verdana" w:hAnsi="Verdana"/>
          <w:sz w:val="18"/>
          <w:szCs w:val="18"/>
          <w:lang w:val="en-GB"/>
        </w:rPr>
        <w:t xml:space="preserve">., 2012) </w:t>
      </w:r>
      <w:r w:rsidRPr="000C7CFA">
        <w:rPr>
          <w:rFonts w:ascii="Verdana" w:hAnsi="Verdana" w:cs="AdvOT863180fb"/>
          <w:sz w:val="18"/>
          <w:szCs w:val="18"/>
          <w:lang w:eastAsia="en-GB"/>
        </w:rPr>
        <w:t>pointed out that i</w:t>
      </w:r>
      <w:r w:rsidRPr="000C7CFA">
        <w:rPr>
          <w:rFonts w:ascii="Verdana" w:hAnsi="Verdana"/>
          <w:sz w:val="18"/>
          <w:szCs w:val="18"/>
          <w:lang w:val="en-GB"/>
        </w:rPr>
        <w:t>n order to include 1</w:t>
      </w:r>
      <w:proofErr w:type="gramStart"/>
      <w:r w:rsidRPr="000C7CFA">
        <w:rPr>
          <w:rFonts w:ascii="Verdana" w:hAnsi="Verdana"/>
          <w:sz w:val="18"/>
          <w:szCs w:val="18"/>
          <w:lang w:val="en-GB"/>
        </w:rPr>
        <w:t>,3</w:t>
      </w:r>
      <w:proofErr w:type="gramEnd"/>
      <w:r w:rsidRPr="000C7CFA">
        <w:rPr>
          <w:rFonts w:ascii="Verdana" w:hAnsi="Verdana"/>
          <w:sz w:val="18"/>
          <w:szCs w:val="18"/>
          <w:lang w:val="en-GB"/>
        </w:rPr>
        <w:noBreakHyphen/>
        <w:t>DPMA in the scope of</w:t>
      </w:r>
      <w:r w:rsidRPr="000C7CFA">
        <w:rPr>
          <w:rFonts w:ascii="Verdana" w:hAnsi="Verdana"/>
          <w:sz w:val="18"/>
          <w:szCs w:val="18"/>
        </w:rPr>
        <w:t xml:space="preserve"> chemical </w:t>
      </w:r>
      <w:r w:rsidRPr="000C7CFA">
        <w:rPr>
          <w:rFonts w:ascii="Verdana" w:hAnsi="Verdana"/>
          <w:sz w:val="18"/>
          <w:szCs w:val="18"/>
          <w:lang w:val="en-GB"/>
        </w:rPr>
        <w:t>analysis, the acidic clean-up step typically used for the majority of</w:t>
      </w:r>
      <w:r w:rsidRPr="000C7CFA">
        <w:rPr>
          <w:rFonts w:ascii="Verdana" w:hAnsi="Verdana"/>
          <w:sz w:val="18"/>
          <w:szCs w:val="18"/>
        </w:rPr>
        <w:t xml:space="preserve"> </w:t>
      </w:r>
      <w:r w:rsidRPr="000C7CFA">
        <w:rPr>
          <w:rFonts w:ascii="Verdana" w:hAnsi="Verdana"/>
          <w:sz w:val="18"/>
          <w:szCs w:val="18"/>
          <w:lang w:val="en-GB"/>
        </w:rPr>
        <w:t>POPs has to be eliminated because of the acidic degradation of the free</w:t>
      </w:r>
      <w:r w:rsidRPr="000C7CFA">
        <w:rPr>
          <w:rFonts w:ascii="Verdana" w:hAnsi="Verdana"/>
          <w:sz w:val="18"/>
          <w:szCs w:val="18"/>
        </w:rPr>
        <w:t xml:space="preserve"> </w:t>
      </w:r>
      <w:r w:rsidRPr="000C7CFA">
        <w:rPr>
          <w:rFonts w:ascii="Verdana" w:hAnsi="Verdana"/>
          <w:sz w:val="18"/>
          <w:szCs w:val="18"/>
          <w:lang w:val="en-GB"/>
        </w:rPr>
        <w:t>double bond in the monoadduct, resulting in the loss of 1,3-DPMA</w:t>
      </w:r>
      <w:r w:rsidRPr="000C7CFA">
        <w:rPr>
          <w:rFonts w:ascii="Verdana" w:hAnsi="Verdana"/>
          <w:sz w:val="18"/>
          <w:szCs w:val="18"/>
        </w:rPr>
        <w:t xml:space="preserve"> from the sample</w:t>
      </w:r>
      <w:r w:rsidRPr="000C7CFA">
        <w:rPr>
          <w:rFonts w:ascii="Verdana" w:hAnsi="Verdana"/>
          <w:sz w:val="18"/>
          <w:szCs w:val="18"/>
          <w:lang w:val="en-GB"/>
        </w:rPr>
        <w:t>. Failure to use a non-destructive clean-up procedure for sample</w:t>
      </w:r>
      <w:r w:rsidRPr="000C7CFA">
        <w:rPr>
          <w:rFonts w:ascii="Verdana" w:hAnsi="Verdana"/>
          <w:sz w:val="18"/>
          <w:szCs w:val="18"/>
        </w:rPr>
        <w:t xml:space="preserve"> </w:t>
      </w:r>
      <w:r w:rsidRPr="000C7CFA">
        <w:rPr>
          <w:rFonts w:ascii="Verdana" w:hAnsi="Verdana"/>
          <w:sz w:val="18"/>
          <w:szCs w:val="18"/>
          <w:lang w:val="en-GB"/>
        </w:rPr>
        <w:t xml:space="preserve">preparation could therefore lead to under-reporting. </w:t>
      </w:r>
    </w:p>
    <w:p w14:paraId="5EB0D685" w14:textId="77777777" w:rsidR="001D0291" w:rsidRPr="000C7CFA" w:rsidRDefault="001D0291" w:rsidP="006B0146">
      <w:pPr>
        <w:autoSpaceDE w:val="0"/>
        <w:autoSpaceDN w:val="0"/>
        <w:adjustRightInd w:val="0"/>
        <w:spacing w:after="0"/>
        <w:jc w:val="both"/>
        <w:rPr>
          <w:rFonts w:ascii="Verdana" w:hAnsi="Verdana"/>
          <w:sz w:val="18"/>
          <w:szCs w:val="18"/>
          <w:lang w:val="en-GB"/>
        </w:rPr>
      </w:pPr>
    </w:p>
    <w:p w14:paraId="7C5138E6" w14:textId="2854F58A" w:rsidR="006B0146" w:rsidRPr="000C7CFA" w:rsidRDefault="006B0146" w:rsidP="00AF7606">
      <w:pPr>
        <w:autoSpaceDE w:val="0"/>
        <w:autoSpaceDN w:val="0"/>
        <w:adjustRightInd w:val="0"/>
        <w:spacing w:after="0"/>
        <w:jc w:val="both"/>
        <w:rPr>
          <w:rFonts w:ascii="Verdana" w:hAnsi="Verdana"/>
          <w:sz w:val="18"/>
          <w:szCs w:val="18"/>
          <w:lang w:val="en-GB"/>
        </w:rPr>
      </w:pPr>
      <w:r w:rsidRPr="000C7CFA">
        <w:rPr>
          <w:rFonts w:ascii="Verdana" w:hAnsi="Verdana"/>
          <w:sz w:val="18"/>
          <w:szCs w:val="18"/>
          <w:lang w:val="en-GB"/>
        </w:rPr>
        <w:t xml:space="preserve">It is therefore apparent that several substances may be present in the environment arising from the manufacture </w:t>
      </w:r>
      <w:r w:rsidR="00813E92" w:rsidRPr="000C7CFA">
        <w:rPr>
          <w:rFonts w:ascii="Verdana" w:hAnsi="Verdana"/>
          <w:sz w:val="18"/>
          <w:szCs w:val="18"/>
          <w:lang w:val="en-GB"/>
        </w:rPr>
        <w:t>and/</w:t>
      </w:r>
      <w:r w:rsidRPr="000C7CFA">
        <w:rPr>
          <w:rFonts w:ascii="Verdana" w:hAnsi="Verdana"/>
          <w:sz w:val="18"/>
          <w:szCs w:val="18"/>
          <w:lang w:val="en-GB"/>
        </w:rPr>
        <w:t xml:space="preserve">or </w:t>
      </w:r>
      <w:r w:rsidR="00813E92" w:rsidRPr="000C7CFA">
        <w:rPr>
          <w:rFonts w:ascii="Verdana" w:hAnsi="Verdana"/>
          <w:sz w:val="18"/>
          <w:szCs w:val="18"/>
          <w:lang w:val="en-GB"/>
        </w:rPr>
        <w:t>degradation of Dechlorane Plus</w:t>
      </w:r>
      <w:r w:rsidRPr="000C7CFA">
        <w:rPr>
          <w:rFonts w:ascii="Verdana" w:hAnsi="Verdana"/>
          <w:sz w:val="18"/>
          <w:szCs w:val="18"/>
          <w:lang w:val="en-GB"/>
        </w:rPr>
        <w:t>. DPMA has been detected in biota at higher concentrations that Dechlorane Plus in s</w:t>
      </w:r>
      <w:r w:rsidR="00813E92" w:rsidRPr="000C7CFA">
        <w:rPr>
          <w:rFonts w:ascii="Verdana" w:hAnsi="Verdana"/>
          <w:sz w:val="18"/>
          <w:szCs w:val="18"/>
          <w:lang w:val="en-GB"/>
        </w:rPr>
        <w:t>o</w:t>
      </w:r>
      <w:r w:rsidRPr="000C7CFA">
        <w:rPr>
          <w:rFonts w:ascii="Verdana" w:hAnsi="Verdana"/>
          <w:sz w:val="18"/>
          <w:szCs w:val="18"/>
          <w:lang w:val="en-GB"/>
        </w:rPr>
        <w:t>me samples, suggesting that it might be more bioaccumulative</w:t>
      </w:r>
      <w:r w:rsidR="0020188C" w:rsidRPr="000C7CFA">
        <w:rPr>
          <w:rFonts w:ascii="Verdana" w:hAnsi="Verdana"/>
          <w:sz w:val="18"/>
          <w:szCs w:val="18"/>
          <w:lang w:val="en-GB"/>
        </w:rPr>
        <w:t xml:space="preserve"> or </w:t>
      </w:r>
      <w:r w:rsidR="00680194" w:rsidRPr="000C7CFA">
        <w:rPr>
          <w:rFonts w:ascii="Verdana" w:hAnsi="Verdana"/>
          <w:sz w:val="18"/>
          <w:szCs w:val="18"/>
          <w:lang w:val="en-GB"/>
        </w:rPr>
        <w:t>is</w:t>
      </w:r>
      <w:r w:rsidR="0020188C" w:rsidRPr="000C7CFA">
        <w:rPr>
          <w:rFonts w:ascii="Verdana" w:hAnsi="Verdana"/>
          <w:sz w:val="18"/>
          <w:szCs w:val="18"/>
          <w:lang w:val="en-GB"/>
        </w:rPr>
        <w:t xml:space="preserve"> a significant transformation product</w:t>
      </w:r>
      <w:r w:rsidRPr="000C7CFA">
        <w:rPr>
          <w:rFonts w:ascii="Verdana" w:hAnsi="Verdana"/>
          <w:sz w:val="18"/>
          <w:szCs w:val="18"/>
          <w:lang w:val="en-GB"/>
        </w:rPr>
        <w:t>.</w:t>
      </w:r>
      <w:r w:rsidR="00D75230" w:rsidRPr="000C7CFA">
        <w:rPr>
          <w:rFonts w:ascii="Verdana" w:hAnsi="Verdana"/>
          <w:sz w:val="18"/>
          <w:szCs w:val="18"/>
          <w:lang w:val="en-GB"/>
        </w:rPr>
        <w:t xml:space="preserve"> No information is available to indicate whether the levels exceed 0.1 % w/w in terms of either impurity levels or transformation.</w:t>
      </w:r>
    </w:p>
    <w:p w14:paraId="0B288730" w14:textId="77777777" w:rsidR="004C27CE" w:rsidRPr="000C7CFA" w:rsidRDefault="004C27CE" w:rsidP="006B0146">
      <w:pPr>
        <w:autoSpaceDE w:val="0"/>
        <w:autoSpaceDN w:val="0"/>
        <w:adjustRightInd w:val="0"/>
        <w:spacing w:after="0"/>
        <w:jc w:val="both"/>
        <w:rPr>
          <w:rFonts w:ascii="Verdana" w:hAnsi="Verdana"/>
          <w:sz w:val="18"/>
          <w:szCs w:val="18"/>
          <w:lang w:val="en-GB"/>
        </w:rPr>
      </w:pPr>
    </w:p>
    <w:p w14:paraId="2CD6F250" w14:textId="4D1AB18A" w:rsidR="004C27CE" w:rsidRPr="000C7CFA" w:rsidRDefault="004C27CE" w:rsidP="006B0146">
      <w:pPr>
        <w:autoSpaceDE w:val="0"/>
        <w:autoSpaceDN w:val="0"/>
        <w:adjustRightInd w:val="0"/>
        <w:spacing w:after="0"/>
        <w:jc w:val="both"/>
        <w:rPr>
          <w:rFonts w:ascii="Verdana" w:hAnsi="Verdana"/>
          <w:i/>
          <w:sz w:val="18"/>
          <w:szCs w:val="18"/>
          <w:lang w:val="en-GB"/>
        </w:rPr>
      </w:pPr>
      <w:r w:rsidRPr="000C7CFA">
        <w:rPr>
          <w:rFonts w:ascii="Verdana" w:hAnsi="Verdana"/>
          <w:i/>
          <w:sz w:val="18"/>
          <w:szCs w:val="18"/>
          <w:lang w:val="en-GB"/>
        </w:rPr>
        <w:t>QSAR predictions</w:t>
      </w:r>
    </w:p>
    <w:p w14:paraId="5300D719" w14:textId="77777777" w:rsidR="006B0146" w:rsidRPr="000C7CFA" w:rsidRDefault="006B0146" w:rsidP="006B0146">
      <w:pPr>
        <w:autoSpaceDE w:val="0"/>
        <w:autoSpaceDN w:val="0"/>
        <w:adjustRightInd w:val="0"/>
        <w:spacing w:after="0"/>
        <w:jc w:val="both"/>
        <w:rPr>
          <w:rFonts w:ascii="Verdana" w:hAnsi="Verdana"/>
          <w:sz w:val="18"/>
          <w:szCs w:val="18"/>
          <w:lang w:val="en-GB"/>
        </w:rPr>
      </w:pPr>
    </w:p>
    <w:p w14:paraId="6248CA8C" w14:textId="11B2EAF9" w:rsidR="00DF46A5" w:rsidRPr="000C7CFA" w:rsidRDefault="00FE4149" w:rsidP="006B0146">
      <w:pPr>
        <w:autoSpaceDE w:val="0"/>
        <w:autoSpaceDN w:val="0"/>
        <w:adjustRightInd w:val="0"/>
        <w:spacing w:after="0"/>
        <w:jc w:val="both"/>
        <w:rPr>
          <w:rFonts w:ascii="Verdana" w:hAnsi="Verdana"/>
          <w:bCs/>
          <w:sz w:val="18"/>
          <w:szCs w:val="18"/>
        </w:rPr>
      </w:pPr>
      <w:r w:rsidRPr="000C7CFA">
        <w:rPr>
          <w:rFonts w:ascii="Verdana" w:hAnsi="Verdana"/>
          <w:sz w:val="18"/>
          <w:szCs w:val="18"/>
          <w:lang w:val="en-GB"/>
        </w:rPr>
        <w:lastRenderedPageBreak/>
        <w:t>R</w:t>
      </w:r>
      <w:r w:rsidR="00DF46A5" w:rsidRPr="000C7CFA">
        <w:rPr>
          <w:rFonts w:ascii="Verdana" w:hAnsi="Verdana"/>
          <w:sz w:val="18"/>
          <w:szCs w:val="18"/>
          <w:lang w:val="en-GB"/>
        </w:rPr>
        <w:t>elevant property information for 1</w:t>
      </w:r>
      <w:proofErr w:type="gramStart"/>
      <w:r w:rsidR="00DF46A5" w:rsidRPr="000C7CFA">
        <w:rPr>
          <w:rFonts w:ascii="Verdana" w:hAnsi="Verdana"/>
          <w:sz w:val="18"/>
          <w:szCs w:val="18"/>
          <w:lang w:val="en-GB"/>
        </w:rPr>
        <w:t>,5</w:t>
      </w:r>
      <w:proofErr w:type="gramEnd"/>
      <w:r w:rsidR="00DF46A5" w:rsidRPr="000C7CFA">
        <w:rPr>
          <w:rFonts w:ascii="Verdana" w:hAnsi="Verdana"/>
          <w:sz w:val="18"/>
          <w:szCs w:val="18"/>
          <w:lang w:val="en-GB"/>
        </w:rPr>
        <w:t xml:space="preserve">-DPMA </w:t>
      </w:r>
      <w:r w:rsidRPr="000C7CFA">
        <w:rPr>
          <w:rFonts w:ascii="Verdana" w:hAnsi="Verdana"/>
          <w:sz w:val="18"/>
          <w:szCs w:val="18"/>
          <w:lang w:val="en-GB"/>
        </w:rPr>
        <w:t xml:space="preserve">have been estimated </w:t>
      </w:r>
      <w:r w:rsidR="00DF46A5" w:rsidRPr="000C7CFA">
        <w:rPr>
          <w:rFonts w:ascii="Verdana" w:hAnsi="Verdana"/>
          <w:sz w:val="18"/>
          <w:szCs w:val="18"/>
          <w:lang w:val="en-GB"/>
        </w:rPr>
        <w:t xml:space="preserve">using </w:t>
      </w:r>
      <w:r w:rsidR="00DF46A5" w:rsidRPr="000C7CFA">
        <w:rPr>
          <w:rFonts w:ascii="Verdana" w:hAnsi="Verdana"/>
          <w:bCs/>
          <w:i/>
          <w:sz w:val="18"/>
          <w:szCs w:val="18"/>
        </w:rPr>
        <w:t xml:space="preserve">EPI Suite v4.11 </w:t>
      </w:r>
      <w:r w:rsidR="00DF46A5" w:rsidRPr="000C7CFA">
        <w:rPr>
          <w:rFonts w:ascii="Verdana" w:hAnsi="Verdana"/>
          <w:bCs/>
          <w:sz w:val="18"/>
          <w:szCs w:val="18"/>
        </w:rPr>
        <w:t>(U.S. EPA, 2012). Results for 1</w:t>
      </w:r>
      <w:proofErr w:type="gramStart"/>
      <w:r w:rsidR="00DF46A5" w:rsidRPr="000C7CFA">
        <w:rPr>
          <w:rFonts w:ascii="Verdana" w:hAnsi="Verdana"/>
          <w:bCs/>
          <w:sz w:val="18"/>
          <w:szCs w:val="18"/>
        </w:rPr>
        <w:t>,3</w:t>
      </w:r>
      <w:proofErr w:type="gramEnd"/>
      <w:r w:rsidR="00DF46A5" w:rsidRPr="000C7CFA">
        <w:rPr>
          <w:rFonts w:ascii="Verdana" w:hAnsi="Verdana"/>
          <w:bCs/>
          <w:sz w:val="18"/>
          <w:szCs w:val="18"/>
        </w:rPr>
        <w:t xml:space="preserve">-DPMA </w:t>
      </w:r>
      <w:r w:rsidR="006B7247" w:rsidRPr="000C7CFA">
        <w:rPr>
          <w:rFonts w:ascii="Verdana" w:hAnsi="Verdana"/>
          <w:bCs/>
          <w:sz w:val="18"/>
          <w:szCs w:val="18"/>
        </w:rPr>
        <w:t>ar</w:t>
      </w:r>
      <w:r w:rsidR="00DF46A5" w:rsidRPr="000C7CFA">
        <w:rPr>
          <w:rFonts w:ascii="Verdana" w:hAnsi="Verdana"/>
          <w:bCs/>
          <w:sz w:val="18"/>
          <w:szCs w:val="18"/>
        </w:rPr>
        <w:t>e expected to be similar as the information is derived from the structure (usually using fragments).</w:t>
      </w:r>
    </w:p>
    <w:p w14:paraId="1D8F4F5A" w14:textId="06C00011" w:rsidR="00DF46A5" w:rsidRPr="000C7CFA" w:rsidRDefault="008E1ED3" w:rsidP="00DF46A5">
      <w:pPr>
        <w:spacing w:after="0"/>
        <w:rPr>
          <w:rFonts w:ascii="Verdana" w:hAnsi="Verdana"/>
          <w:sz w:val="18"/>
          <w:szCs w:val="18"/>
          <w:lang w:val="en-GB"/>
        </w:rPr>
      </w:pPr>
      <w:r w:rsidRPr="000C7CFA">
        <w:rPr>
          <w:rFonts w:ascii="Verdana" w:hAnsi="Verdana"/>
          <w:noProof/>
          <w:sz w:val="18"/>
          <w:szCs w:val="18"/>
          <w:lang w:val="en-GB" w:eastAsia="en-GB"/>
        </w:rPr>
        <w:drawing>
          <wp:anchor distT="0" distB="0" distL="114300" distR="114300" simplePos="0" relativeHeight="251681792" behindDoc="1" locked="0" layoutInCell="1" allowOverlap="1" wp14:anchorId="2590D8F4" wp14:editId="70B949C0">
            <wp:simplePos x="0" y="0"/>
            <wp:positionH relativeFrom="column">
              <wp:posOffset>1325880</wp:posOffset>
            </wp:positionH>
            <wp:positionV relativeFrom="paragraph">
              <wp:posOffset>114935</wp:posOffset>
            </wp:positionV>
            <wp:extent cx="1657350" cy="1071880"/>
            <wp:effectExtent l="0" t="0" r="0" b="0"/>
            <wp:wrapTight wrapText="bothSides">
              <wp:wrapPolygon edited="0">
                <wp:start x="0" y="0"/>
                <wp:lineTo x="0" y="21114"/>
                <wp:lineTo x="21352" y="21114"/>
                <wp:lineTo x="213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a:extLst>
                        <a:ext uri="{28A0092B-C50C-407E-A947-70E740481C1C}">
                          <a14:useLocalDpi xmlns:a14="http://schemas.microsoft.com/office/drawing/2010/main" val="0"/>
                        </a:ext>
                      </a:extLst>
                    </a:blip>
                    <a:srcRect l="22380" t="25144" r="14286" b="25714"/>
                    <a:stretch/>
                  </pic:blipFill>
                  <pic:spPr bwMode="auto">
                    <a:xfrm>
                      <a:off x="0" y="0"/>
                      <a:ext cx="1657350" cy="1071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E3F827" w14:textId="6B40A721" w:rsidR="00DF46A5" w:rsidRPr="000C7CFA" w:rsidRDefault="00DF46A5" w:rsidP="00DF46A5">
      <w:pPr>
        <w:spacing w:after="0"/>
        <w:rPr>
          <w:rFonts w:ascii="Verdana" w:hAnsi="Verdana"/>
          <w:sz w:val="18"/>
          <w:szCs w:val="18"/>
          <w:lang w:val="fr-FR"/>
        </w:rPr>
      </w:pPr>
      <w:r w:rsidRPr="000C7CFA">
        <w:rPr>
          <w:rFonts w:ascii="Verdana" w:hAnsi="Verdana"/>
          <w:sz w:val="18"/>
          <w:szCs w:val="18"/>
          <w:lang w:val="fr-FR"/>
        </w:rPr>
        <w:t xml:space="preserve">Structure: </w:t>
      </w:r>
    </w:p>
    <w:p w14:paraId="37C3C5E9" w14:textId="7E3ED85E" w:rsidR="005248BA" w:rsidRPr="000C7CFA" w:rsidRDefault="005248BA" w:rsidP="00DF46A5">
      <w:pPr>
        <w:spacing w:after="0"/>
        <w:rPr>
          <w:rFonts w:ascii="Verdana" w:hAnsi="Verdana"/>
          <w:sz w:val="18"/>
          <w:szCs w:val="18"/>
          <w:lang w:val="fr-FR"/>
        </w:rPr>
      </w:pPr>
    </w:p>
    <w:p w14:paraId="4DB3BC72" w14:textId="77777777" w:rsidR="00DF46A5" w:rsidRPr="000C7CFA" w:rsidRDefault="00DF46A5" w:rsidP="00DF46A5">
      <w:pPr>
        <w:spacing w:after="0"/>
        <w:rPr>
          <w:rFonts w:ascii="Verdana" w:hAnsi="Verdana"/>
          <w:sz w:val="18"/>
          <w:szCs w:val="18"/>
          <w:lang w:val="fr-FR"/>
        </w:rPr>
      </w:pPr>
    </w:p>
    <w:p w14:paraId="035137CF" w14:textId="5DFB8BA5" w:rsidR="00DF46A5" w:rsidRPr="000C7CFA" w:rsidRDefault="00DF46A5" w:rsidP="00DF46A5">
      <w:pPr>
        <w:spacing w:after="0"/>
        <w:rPr>
          <w:rFonts w:ascii="Verdana" w:hAnsi="Verdana"/>
          <w:sz w:val="18"/>
          <w:szCs w:val="18"/>
          <w:lang w:val="fr-FR"/>
        </w:rPr>
      </w:pPr>
    </w:p>
    <w:p w14:paraId="5DD6C43C" w14:textId="77777777" w:rsidR="00DF46A5" w:rsidRPr="000C7CFA" w:rsidRDefault="00DF46A5" w:rsidP="00DF46A5">
      <w:pPr>
        <w:spacing w:after="0"/>
        <w:rPr>
          <w:rFonts w:ascii="Verdana" w:hAnsi="Verdana"/>
          <w:sz w:val="18"/>
          <w:szCs w:val="18"/>
          <w:lang w:val="fr-FR"/>
        </w:rPr>
      </w:pPr>
    </w:p>
    <w:p w14:paraId="133308F2" w14:textId="350957F3" w:rsidR="00DF46A5" w:rsidRPr="000C7CFA" w:rsidRDefault="00DF46A5" w:rsidP="00DF46A5">
      <w:pPr>
        <w:spacing w:after="0"/>
        <w:rPr>
          <w:rFonts w:ascii="Verdana" w:hAnsi="Verdana"/>
          <w:sz w:val="18"/>
          <w:szCs w:val="18"/>
          <w:lang w:val="fr-FR"/>
        </w:rPr>
      </w:pPr>
    </w:p>
    <w:p w14:paraId="3DC1950D" w14:textId="77777777" w:rsidR="00637887" w:rsidRPr="000C7CFA" w:rsidRDefault="00637887" w:rsidP="00DF46A5">
      <w:pPr>
        <w:tabs>
          <w:tab w:val="left" w:pos="1985"/>
        </w:tabs>
        <w:spacing w:after="0"/>
        <w:rPr>
          <w:rFonts w:ascii="Verdana" w:hAnsi="Verdana"/>
          <w:sz w:val="18"/>
          <w:szCs w:val="18"/>
          <w:lang w:val="fr-FR"/>
        </w:rPr>
      </w:pPr>
    </w:p>
    <w:p w14:paraId="27EAD98C" w14:textId="77777777" w:rsidR="00DF46A5" w:rsidRPr="000C7CFA" w:rsidRDefault="00DF46A5" w:rsidP="00DF46A5">
      <w:pPr>
        <w:tabs>
          <w:tab w:val="left" w:pos="1985"/>
        </w:tabs>
        <w:spacing w:after="0"/>
        <w:rPr>
          <w:rFonts w:ascii="Verdana" w:hAnsi="Verdana"/>
          <w:sz w:val="18"/>
          <w:szCs w:val="18"/>
          <w:lang w:val="fr-FR"/>
        </w:rPr>
      </w:pPr>
      <w:r w:rsidRPr="000C7CFA">
        <w:rPr>
          <w:rFonts w:ascii="Verdana" w:hAnsi="Verdana"/>
          <w:sz w:val="18"/>
          <w:szCs w:val="18"/>
          <w:lang w:val="fr-FR"/>
        </w:rPr>
        <w:t xml:space="preserve">SMILES code: </w:t>
      </w:r>
      <w:r w:rsidRPr="000C7CFA">
        <w:rPr>
          <w:rFonts w:ascii="Verdana" w:hAnsi="Verdana"/>
          <w:sz w:val="18"/>
          <w:szCs w:val="18"/>
          <w:lang w:val="fr-FR"/>
        </w:rPr>
        <w:tab/>
        <w:t>C32(Cl</w:t>
      </w:r>
      <w:proofErr w:type="gramStart"/>
      <w:r w:rsidRPr="000C7CFA">
        <w:rPr>
          <w:rFonts w:ascii="Verdana" w:hAnsi="Verdana"/>
          <w:sz w:val="18"/>
          <w:szCs w:val="18"/>
          <w:lang w:val="fr-FR"/>
        </w:rPr>
        <w:t>)C</w:t>
      </w:r>
      <w:proofErr w:type="gramEnd"/>
      <w:r w:rsidRPr="000C7CFA">
        <w:rPr>
          <w:rFonts w:ascii="Verdana" w:hAnsi="Verdana"/>
          <w:sz w:val="18"/>
          <w:szCs w:val="18"/>
          <w:lang w:val="fr-FR"/>
        </w:rPr>
        <w:t>(Cl)(Cl)C(Cl)(C(Cl)=C3Cl)C1C2CCC=CCC1</w:t>
      </w:r>
    </w:p>
    <w:p w14:paraId="77A89B16" w14:textId="77777777" w:rsidR="00DF46A5" w:rsidRPr="000C7CFA" w:rsidRDefault="00DF46A5" w:rsidP="00DF46A5">
      <w:pPr>
        <w:tabs>
          <w:tab w:val="left" w:pos="1985"/>
        </w:tabs>
        <w:spacing w:after="0"/>
        <w:rPr>
          <w:rFonts w:ascii="Verdana" w:hAnsi="Verdana"/>
          <w:sz w:val="18"/>
          <w:szCs w:val="18"/>
          <w:lang w:val="en-GB"/>
        </w:rPr>
      </w:pPr>
      <w:r w:rsidRPr="000C7CFA">
        <w:rPr>
          <w:rFonts w:ascii="Verdana" w:hAnsi="Verdana"/>
          <w:sz w:val="18"/>
          <w:szCs w:val="18"/>
          <w:lang w:val="en-GB"/>
        </w:rPr>
        <w:t xml:space="preserve">Molecular formula: </w:t>
      </w:r>
      <w:r w:rsidRPr="000C7CFA">
        <w:rPr>
          <w:rFonts w:ascii="Verdana" w:hAnsi="Verdana"/>
          <w:sz w:val="18"/>
          <w:szCs w:val="18"/>
          <w:lang w:val="en-GB"/>
        </w:rPr>
        <w:tab/>
        <w:t>C</w:t>
      </w:r>
      <w:r w:rsidRPr="000C7CFA">
        <w:rPr>
          <w:rFonts w:ascii="Verdana" w:hAnsi="Verdana"/>
          <w:sz w:val="18"/>
          <w:szCs w:val="18"/>
          <w:vertAlign w:val="subscript"/>
          <w:lang w:val="en-GB"/>
        </w:rPr>
        <w:t>13</w:t>
      </w:r>
      <w:r w:rsidRPr="000C7CFA">
        <w:rPr>
          <w:rFonts w:ascii="Verdana" w:hAnsi="Verdana"/>
          <w:sz w:val="18"/>
          <w:szCs w:val="18"/>
          <w:lang w:val="en-GB"/>
        </w:rPr>
        <w:t>H</w:t>
      </w:r>
      <w:r w:rsidRPr="000C7CFA">
        <w:rPr>
          <w:rFonts w:ascii="Verdana" w:hAnsi="Verdana"/>
          <w:sz w:val="18"/>
          <w:szCs w:val="18"/>
          <w:vertAlign w:val="subscript"/>
          <w:lang w:val="en-GB"/>
        </w:rPr>
        <w:t>12</w:t>
      </w:r>
      <w:r w:rsidRPr="000C7CFA">
        <w:rPr>
          <w:rFonts w:ascii="Verdana" w:hAnsi="Verdana"/>
          <w:sz w:val="18"/>
          <w:szCs w:val="18"/>
          <w:lang w:val="en-GB"/>
        </w:rPr>
        <w:t>Cl</w:t>
      </w:r>
      <w:r w:rsidRPr="000C7CFA">
        <w:rPr>
          <w:rFonts w:ascii="Verdana" w:hAnsi="Verdana"/>
          <w:sz w:val="18"/>
          <w:szCs w:val="18"/>
          <w:vertAlign w:val="subscript"/>
          <w:lang w:val="en-GB"/>
        </w:rPr>
        <w:t>6</w:t>
      </w:r>
      <w:r w:rsidRPr="000C7CFA">
        <w:rPr>
          <w:rFonts w:ascii="Verdana" w:hAnsi="Verdana"/>
          <w:sz w:val="18"/>
          <w:szCs w:val="18"/>
          <w:lang w:val="en-GB"/>
        </w:rPr>
        <w:t xml:space="preserve"> </w:t>
      </w:r>
    </w:p>
    <w:p w14:paraId="1A5282EC" w14:textId="77777777" w:rsidR="00DF46A5" w:rsidRPr="000C7CFA" w:rsidRDefault="00DF46A5" w:rsidP="00DF46A5">
      <w:pPr>
        <w:tabs>
          <w:tab w:val="left" w:pos="1985"/>
        </w:tabs>
        <w:spacing w:after="0"/>
        <w:rPr>
          <w:rFonts w:ascii="Verdana" w:hAnsi="Verdana"/>
          <w:sz w:val="18"/>
          <w:szCs w:val="18"/>
          <w:lang w:val="en-GB"/>
        </w:rPr>
      </w:pPr>
      <w:r w:rsidRPr="000C7CFA">
        <w:rPr>
          <w:rFonts w:ascii="Verdana" w:hAnsi="Verdana"/>
          <w:sz w:val="18"/>
          <w:szCs w:val="18"/>
          <w:lang w:val="en-GB"/>
        </w:rPr>
        <w:t xml:space="preserve">Molecular weight: </w:t>
      </w:r>
      <w:r w:rsidRPr="000C7CFA">
        <w:rPr>
          <w:rFonts w:ascii="Verdana" w:hAnsi="Verdana"/>
          <w:sz w:val="18"/>
          <w:szCs w:val="18"/>
          <w:lang w:val="en-GB"/>
        </w:rPr>
        <w:tab/>
        <w:t>380.96</w:t>
      </w:r>
    </w:p>
    <w:p w14:paraId="6A7548CF" w14:textId="77777777" w:rsidR="00DF46A5" w:rsidRPr="000C7CFA" w:rsidRDefault="00DF46A5" w:rsidP="00DF46A5">
      <w:pPr>
        <w:spacing w:after="0"/>
        <w:rPr>
          <w:rFonts w:ascii="Verdana" w:hAnsi="Verdana"/>
          <w:sz w:val="18"/>
          <w:szCs w:val="18"/>
          <w:lang w:val="en-GB"/>
        </w:rPr>
      </w:pPr>
    </w:p>
    <w:p w14:paraId="30772C6E" w14:textId="77777777" w:rsidR="00DF46A5" w:rsidRPr="000C7CFA" w:rsidRDefault="00DF46A5" w:rsidP="00DF46A5">
      <w:pPr>
        <w:spacing w:after="0"/>
        <w:rPr>
          <w:rFonts w:ascii="Verdana" w:hAnsi="Verdana"/>
          <w:i/>
          <w:sz w:val="18"/>
          <w:szCs w:val="18"/>
          <w:lang w:val="en-GB"/>
        </w:rPr>
      </w:pPr>
      <w:r w:rsidRPr="000C7CFA">
        <w:rPr>
          <w:rFonts w:ascii="Verdana" w:hAnsi="Verdana"/>
          <w:i/>
          <w:sz w:val="18"/>
          <w:szCs w:val="18"/>
          <w:lang w:val="en-GB"/>
        </w:rPr>
        <w:t>Physico-chemical properties</w:t>
      </w:r>
    </w:p>
    <w:p w14:paraId="66F03BC5" w14:textId="77777777" w:rsidR="00DF46A5" w:rsidRPr="000C7CFA" w:rsidRDefault="00DF46A5" w:rsidP="00DF46A5">
      <w:pPr>
        <w:spacing w:after="0"/>
        <w:rPr>
          <w:rFonts w:ascii="Verdana" w:hAnsi="Verdana"/>
          <w:sz w:val="18"/>
          <w:szCs w:val="18"/>
          <w:lang w:val="en-GB"/>
        </w:rPr>
      </w:pPr>
    </w:p>
    <w:p w14:paraId="2931DD2B" w14:textId="77777777"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 xml:space="preserve">Melting point:  </w:t>
      </w:r>
      <w:r w:rsidRPr="000C7CFA">
        <w:rPr>
          <w:rFonts w:ascii="Verdana" w:hAnsi="Verdana"/>
          <w:sz w:val="18"/>
          <w:szCs w:val="18"/>
          <w:lang w:val="en-GB"/>
        </w:rPr>
        <w:tab/>
        <w:t xml:space="preserve">126 °C </w:t>
      </w:r>
      <w:r w:rsidRPr="000C7CFA">
        <w:rPr>
          <w:rFonts w:ascii="Verdana" w:hAnsi="Verdana"/>
          <w:sz w:val="18"/>
          <w:szCs w:val="18"/>
          <w:lang w:val="en-GB"/>
        </w:rPr>
        <w:tab/>
        <w:t>(MPBPWIN v1.43)</w:t>
      </w:r>
    </w:p>
    <w:p w14:paraId="78FE83F9" w14:textId="77777777"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 xml:space="preserve">Boiling point:  </w:t>
      </w:r>
      <w:r w:rsidRPr="000C7CFA">
        <w:rPr>
          <w:rFonts w:ascii="Verdana" w:hAnsi="Verdana"/>
          <w:sz w:val="18"/>
          <w:szCs w:val="18"/>
          <w:lang w:val="en-GB"/>
        </w:rPr>
        <w:tab/>
        <w:t xml:space="preserve">348 °C </w:t>
      </w:r>
      <w:r w:rsidRPr="000C7CFA">
        <w:rPr>
          <w:rFonts w:ascii="Verdana" w:hAnsi="Verdana"/>
          <w:sz w:val="18"/>
          <w:szCs w:val="18"/>
          <w:lang w:val="en-GB"/>
        </w:rPr>
        <w:tab/>
        <w:t>(Adapted Stein &amp; Brown method, MPBPWIN v1.43)</w:t>
      </w:r>
    </w:p>
    <w:p w14:paraId="5719E0FD" w14:textId="669A0513" w:rsidR="00DF46A5" w:rsidRPr="000C7CFA" w:rsidRDefault="00DF46A5" w:rsidP="00DF46A5">
      <w:pPr>
        <w:tabs>
          <w:tab w:val="left" w:pos="1843"/>
          <w:tab w:val="left" w:pos="2127"/>
        </w:tabs>
        <w:spacing w:after="0"/>
        <w:rPr>
          <w:rFonts w:ascii="Verdana" w:hAnsi="Verdana"/>
          <w:sz w:val="18"/>
          <w:szCs w:val="18"/>
          <w:lang w:val="en-GB"/>
        </w:rPr>
      </w:pPr>
      <w:r w:rsidRPr="000C7CFA">
        <w:rPr>
          <w:rFonts w:ascii="Verdana" w:hAnsi="Verdana"/>
          <w:sz w:val="18"/>
          <w:szCs w:val="18"/>
          <w:lang w:val="en-GB"/>
        </w:rPr>
        <w:t xml:space="preserve">Vapour pressure: </w:t>
      </w:r>
      <w:r w:rsidRPr="000C7CFA">
        <w:rPr>
          <w:rFonts w:ascii="Verdana" w:hAnsi="Verdana"/>
          <w:sz w:val="18"/>
          <w:szCs w:val="18"/>
          <w:lang w:val="en-GB"/>
        </w:rPr>
        <w:tab/>
        <w:t>0.002 Pa at 25 °C (Modified Grain method, MPBPWIN v1.43)</w:t>
      </w:r>
    </w:p>
    <w:p w14:paraId="16D93BBB" w14:textId="5C202B28"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 xml:space="preserve">Water </w:t>
      </w:r>
      <w:r w:rsidR="0076237E" w:rsidRPr="000C7CFA">
        <w:rPr>
          <w:rFonts w:ascii="Verdana" w:hAnsi="Verdana"/>
          <w:sz w:val="18"/>
          <w:szCs w:val="18"/>
          <w:lang w:val="en-GB"/>
        </w:rPr>
        <w:t>solubility</w:t>
      </w:r>
      <w:r w:rsidRPr="000C7CFA">
        <w:rPr>
          <w:rFonts w:ascii="Verdana" w:hAnsi="Verdana"/>
          <w:sz w:val="18"/>
          <w:szCs w:val="18"/>
          <w:lang w:val="en-GB"/>
        </w:rPr>
        <w:t>:</w:t>
      </w:r>
      <w:r w:rsidRPr="000C7CFA">
        <w:rPr>
          <w:rFonts w:ascii="Verdana" w:hAnsi="Verdana"/>
          <w:sz w:val="18"/>
          <w:szCs w:val="18"/>
          <w:lang w:val="en-GB"/>
        </w:rPr>
        <w:tab/>
        <w:t>0.003 mg/L at 25 °C (Wat Sol v1.01 &amp; WSKOW v1.42)</w:t>
      </w:r>
    </w:p>
    <w:p w14:paraId="26D5250A" w14:textId="10098CC6"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Log K</w:t>
      </w:r>
      <w:r w:rsidRPr="000C7CFA">
        <w:rPr>
          <w:rFonts w:ascii="Verdana" w:hAnsi="Verdana"/>
          <w:sz w:val="18"/>
          <w:szCs w:val="18"/>
          <w:vertAlign w:val="subscript"/>
          <w:lang w:val="en-GB"/>
        </w:rPr>
        <w:t>OW</w:t>
      </w:r>
      <w:r w:rsidRPr="000C7CFA">
        <w:rPr>
          <w:rFonts w:ascii="Verdana" w:hAnsi="Verdana"/>
          <w:sz w:val="18"/>
          <w:szCs w:val="18"/>
          <w:lang w:val="en-GB"/>
        </w:rPr>
        <w:t xml:space="preserve">:  </w:t>
      </w:r>
      <w:r w:rsidRPr="000C7CFA">
        <w:rPr>
          <w:rFonts w:ascii="Verdana" w:hAnsi="Verdana"/>
          <w:sz w:val="18"/>
          <w:szCs w:val="18"/>
          <w:lang w:val="en-GB"/>
        </w:rPr>
        <w:tab/>
        <w:t>7.</w:t>
      </w:r>
      <w:r w:rsidR="003E7BB5" w:rsidRPr="000C7CFA">
        <w:rPr>
          <w:rFonts w:ascii="Verdana" w:hAnsi="Verdana"/>
          <w:sz w:val="18"/>
          <w:szCs w:val="18"/>
          <w:lang w:val="en-GB"/>
        </w:rPr>
        <w:t>2</w:t>
      </w:r>
      <w:r w:rsidRPr="000C7CFA">
        <w:rPr>
          <w:rFonts w:ascii="Verdana" w:hAnsi="Verdana"/>
          <w:sz w:val="18"/>
          <w:szCs w:val="18"/>
          <w:lang w:val="en-GB"/>
        </w:rPr>
        <w:t xml:space="preserve"> at 25 °C (KOWWIN v1.68)</w:t>
      </w:r>
    </w:p>
    <w:p w14:paraId="59FABBA3" w14:textId="50E93293" w:rsidR="00DF46A5" w:rsidRPr="000C7CFA" w:rsidRDefault="00DF46A5" w:rsidP="00DF46A5">
      <w:pPr>
        <w:tabs>
          <w:tab w:val="left" w:pos="1843"/>
        </w:tabs>
        <w:spacing w:after="0"/>
        <w:rPr>
          <w:rFonts w:ascii="Verdana" w:hAnsi="Verdana"/>
          <w:sz w:val="18"/>
          <w:szCs w:val="18"/>
          <w:lang w:val="de-DE"/>
        </w:rPr>
      </w:pPr>
      <w:r w:rsidRPr="000C7CFA">
        <w:rPr>
          <w:rFonts w:ascii="Verdana" w:hAnsi="Verdana"/>
          <w:sz w:val="18"/>
          <w:szCs w:val="18"/>
          <w:lang w:val="de-DE"/>
        </w:rPr>
        <w:t>Log K</w:t>
      </w:r>
      <w:r w:rsidRPr="000C7CFA">
        <w:rPr>
          <w:rFonts w:ascii="Verdana" w:hAnsi="Verdana"/>
          <w:sz w:val="18"/>
          <w:szCs w:val="18"/>
          <w:vertAlign w:val="subscript"/>
          <w:lang w:val="de-DE"/>
        </w:rPr>
        <w:t>OA</w:t>
      </w:r>
      <w:r w:rsidRPr="000C7CFA">
        <w:rPr>
          <w:rFonts w:ascii="Verdana" w:hAnsi="Verdana"/>
          <w:sz w:val="18"/>
          <w:szCs w:val="18"/>
          <w:lang w:val="de-DE"/>
        </w:rPr>
        <w:t xml:space="preserve">:  </w:t>
      </w:r>
      <w:r w:rsidRPr="000C7CFA">
        <w:rPr>
          <w:rFonts w:ascii="Verdana" w:hAnsi="Verdana"/>
          <w:sz w:val="18"/>
          <w:szCs w:val="18"/>
          <w:lang w:val="de-DE"/>
        </w:rPr>
        <w:tab/>
        <w:t>8.</w:t>
      </w:r>
      <w:r w:rsidR="003E7BB5" w:rsidRPr="000C7CFA">
        <w:rPr>
          <w:rFonts w:ascii="Verdana" w:hAnsi="Verdana"/>
          <w:sz w:val="18"/>
          <w:szCs w:val="18"/>
          <w:lang w:val="de-DE"/>
        </w:rPr>
        <w:t>5</w:t>
      </w:r>
      <w:r w:rsidRPr="000C7CFA">
        <w:rPr>
          <w:rFonts w:ascii="Verdana" w:hAnsi="Verdana"/>
          <w:sz w:val="18"/>
          <w:szCs w:val="18"/>
          <w:lang w:val="de-DE"/>
        </w:rPr>
        <w:t xml:space="preserve"> at 25 °C (KOAWIN v1.10)</w:t>
      </w:r>
    </w:p>
    <w:p w14:paraId="02FD2F3D" w14:textId="77777777" w:rsidR="00DF46A5" w:rsidRPr="000C7CFA" w:rsidRDefault="00DF46A5" w:rsidP="00DF46A5">
      <w:pPr>
        <w:spacing w:after="0"/>
        <w:rPr>
          <w:rFonts w:ascii="Verdana" w:hAnsi="Verdana"/>
          <w:i/>
          <w:sz w:val="18"/>
          <w:szCs w:val="18"/>
          <w:lang w:val="de-DE"/>
        </w:rPr>
      </w:pPr>
    </w:p>
    <w:p w14:paraId="4609F487" w14:textId="77777777" w:rsidR="00DF46A5" w:rsidRPr="000C7CFA" w:rsidRDefault="00DF46A5" w:rsidP="00DF46A5">
      <w:pPr>
        <w:spacing w:after="0"/>
        <w:rPr>
          <w:rFonts w:ascii="Verdana" w:hAnsi="Verdana"/>
          <w:i/>
          <w:sz w:val="18"/>
          <w:szCs w:val="18"/>
          <w:lang w:val="en-GB"/>
        </w:rPr>
      </w:pPr>
      <w:r w:rsidRPr="000C7CFA">
        <w:rPr>
          <w:rFonts w:ascii="Verdana" w:hAnsi="Verdana"/>
          <w:i/>
          <w:sz w:val="18"/>
          <w:szCs w:val="18"/>
          <w:lang w:val="en-GB"/>
        </w:rPr>
        <w:t xml:space="preserve">Biodegradation </w:t>
      </w:r>
    </w:p>
    <w:p w14:paraId="06F6AFD2" w14:textId="77777777" w:rsidR="00DF46A5" w:rsidRPr="000C7CFA" w:rsidRDefault="00DF46A5" w:rsidP="00DF46A5">
      <w:pPr>
        <w:tabs>
          <w:tab w:val="left" w:pos="1843"/>
        </w:tabs>
        <w:spacing w:after="0"/>
        <w:rPr>
          <w:rFonts w:ascii="Verdana" w:hAnsi="Verdana"/>
          <w:sz w:val="18"/>
          <w:szCs w:val="18"/>
          <w:lang w:val="en-GB"/>
        </w:rPr>
      </w:pPr>
    </w:p>
    <w:p w14:paraId="40C3CE6D" w14:textId="77777777"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Probability of Rapid Biodegradation (BIOWIN v4.10):</w:t>
      </w:r>
    </w:p>
    <w:p w14:paraId="32D2FBD9" w14:textId="15787214"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 xml:space="preserve">   Biowin1 (Linear Model): -0.6539</w:t>
      </w:r>
      <w:r w:rsidR="00005E32" w:rsidRPr="000C7CFA">
        <w:rPr>
          <w:rFonts w:ascii="Verdana" w:hAnsi="Verdana"/>
          <w:sz w:val="18"/>
          <w:szCs w:val="18"/>
          <w:lang w:val="en-GB"/>
        </w:rPr>
        <w:t xml:space="preserve"> (does not biodegrade fast)</w:t>
      </w:r>
    </w:p>
    <w:p w14:paraId="63147BE9" w14:textId="48BD1519"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 xml:space="preserve">   Biowin2 (Non-Linear Model): 0.0000</w:t>
      </w:r>
      <w:r w:rsidR="00005E32" w:rsidRPr="000C7CFA">
        <w:rPr>
          <w:rFonts w:ascii="Verdana" w:hAnsi="Verdana"/>
          <w:sz w:val="18"/>
          <w:szCs w:val="18"/>
          <w:lang w:val="en-GB"/>
        </w:rPr>
        <w:t xml:space="preserve"> (does not biodegrade fast)</w:t>
      </w:r>
    </w:p>
    <w:p w14:paraId="23E28FCF" w14:textId="77777777"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Expert Survey Biodegradation Results:</w:t>
      </w:r>
    </w:p>
    <w:p w14:paraId="45B3BCD5" w14:textId="239449F8"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 xml:space="preserve">   Biowin3 (Ultimate Survey Model): </w:t>
      </w:r>
      <w:r w:rsidR="00A3136A" w:rsidRPr="000C7CFA">
        <w:rPr>
          <w:rFonts w:ascii="Verdana" w:hAnsi="Verdana"/>
          <w:sz w:val="18"/>
          <w:szCs w:val="18"/>
          <w:lang w:val="en-GB"/>
        </w:rPr>
        <w:t>0.6819 (</w:t>
      </w:r>
      <w:r w:rsidRPr="000C7CFA">
        <w:rPr>
          <w:rFonts w:ascii="Verdana" w:hAnsi="Verdana"/>
          <w:sz w:val="18"/>
          <w:szCs w:val="18"/>
          <w:lang w:val="en-GB"/>
        </w:rPr>
        <w:t>recalcitrant)</w:t>
      </w:r>
    </w:p>
    <w:p w14:paraId="1B601FE8" w14:textId="34297235"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 xml:space="preserve">   Biowin4 (Primary Survey Model): </w:t>
      </w:r>
      <w:r w:rsidR="00A3136A" w:rsidRPr="000C7CFA">
        <w:rPr>
          <w:rFonts w:ascii="Verdana" w:hAnsi="Verdana"/>
          <w:sz w:val="18"/>
          <w:szCs w:val="18"/>
          <w:lang w:val="en-GB"/>
        </w:rPr>
        <w:t>2.2341 (</w:t>
      </w:r>
      <w:r w:rsidRPr="000C7CFA">
        <w:rPr>
          <w:rFonts w:ascii="Verdana" w:hAnsi="Verdana"/>
          <w:sz w:val="18"/>
          <w:szCs w:val="18"/>
          <w:lang w:val="en-GB"/>
        </w:rPr>
        <w:t>months)</w:t>
      </w:r>
    </w:p>
    <w:p w14:paraId="51B4C9AB" w14:textId="77777777"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MITI Biodegradation Probability:</w:t>
      </w:r>
    </w:p>
    <w:p w14:paraId="1FA97C6A" w14:textId="0767517C"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 xml:space="preserve">   Biowin5 (MITI Linear Model): -0.0957</w:t>
      </w:r>
      <w:r w:rsidR="00A22D03" w:rsidRPr="000C7CFA">
        <w:rPr>
          <w:rFonts w:ascii="Verdana" w:hAnsi="Verdana"/>
          <w:sz w:val="18"/>
          <w:szCs w:val="18"/>
          <w:lang w:val="en-GB"/>
        </w:rPr>
        <w:t xml:space="preserve"> (does not biodegrade fast)</w:t>
      </w:r>
    </w:p>
    <w:p w14:paraId="4416B970" w14:textId="21ADB17B"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 xml:space="preserve">   Biowin6 (MITI Non-Linear Model): 0.0000</w:t>
      </w:r>
      <w:r w:rsidR="00A22D03" w:rsidRPr="000C7CFA">
        <w:rPr>
          <w:rFonts w:ascii="Verdana" w:hAnsi="Verdana"/>
          <w:sz w:val="18"/>
          <w:szCs w:val="18"/>
          <w:lang w:val="en-GB"/>
        </w:rPr>
        <w:t xml:space="preserve"> (does not biodegrade fast)</w:t>
      </w:r>
    </w:p>
    <w:p w14:paraId="36D4C9BE" w14:textId="557877AF"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Anaerobic Biodegradation Probability:</w:t>
      </w:r>
    </w:p>
    <w:p w14:paraId="1C4C3F83" w14:textId="1F7E6E56"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 xml:space="preserve">   Biowin7 (Anaerobic Linear Model): -0.8028</w:t>
      </w:r>
      <w:r w:rsidR="00A22D03" w:rsidRPr="000C7CFA">
        <w:rPr>
          <w:rFonts w:ascii="Verdana" w:hAnsi="Verdana"/>
          <w:sz w:val="18"/>
          <w:szCs w:val="18"/>
          <w:lang w:val="en-GB"/>
        </w:rPr>
        <w:t xml:space="preserve"> (does not biodegrade fast)</w:t>
      </w:r>
    </w:p>
    <w:p w14:paraId="342D54FD" w14:textId="34CEF94A"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Ready Biodegradability Prediction: NO</w:t>
      </w:r>
    </w:p>
    <w:p w14:paraId="4A2243ED" w14:textId="77777777" w:rsidR="00DF46A5" w:rsidRPr="000C7CFA" w:rsidRDefault="00DF46A5" w:rsidP="00DF46A5">
      <w:pPr>
        <w:tabs>
          <w:tab w:val="left" w:pos="1843"/>
        </w:tabs>
        <w:spacing w:after="0"/>
        <w:rPr>
          <w:rFonts w:ascii="Verdana" w:hAnsi="Verdana"/>
          <w:sz w:val="18"/>
          <w:szCs w:val="18"/>
          <w:lang w:val="en-GB"/>
        </w:rPr>
      </w:pPr>
    </w:p>
    <w:p w14:paraId="1F94C905" w14:textId="4AC0DFF9" w:rsidR="00DF46A5" w:rsidRPr="000C7CFA" w:rsidRDefault="00DF46A5" w:rsidP="00DF46A5">
      <w:pPr>
        <w:spacing w:after="0"/>
        <w:rPr>
          <w:rFonts w:ascii="Verdana" w:hAnsi="Verdana"/>
          <w:i/>
          <w:sz w:val="18"/>
          <w:szCs w:val="18"/>
          <w:lang w:val="en-GB"/>
        </w:rPr>
      </w:pPr>
      <w:r w:rsidRPr="000C7CFA">
        <w:rPr>
          <w:rFonts w:ascii="Verdana" w:hAnsi="Verdana"/>
          <w:i/>
          <w:sz w:val="18"/>
          <w:szCs w:val="18"/>
          <w:lang w:val="en-GB"/>
        </w:rPr>
        <w:t xml:space="preserve">Bioaccumulation </w:t>
      </w:r>
    </w:p>
    <w:p w14:paraId="1FC6EF68" w14:textId="77777777" w:rsidR="00DC0942" w:rsidRPr="000C7CFA" w:rsidRDefault="00DC0942" w:rsidP="00DC0942">
      <w:pPr>
        <w:tabs>
          <w:tab w:val="left" w:pos="1843"/>
        </w:tabs>
        <w:spacing w:after="0"/>
        <w:jc w:val="both"/>
        <w:rPr>
          <w:rFonts w:ascii="Verdana" w:hAnsi="Verdana"/>
          <w:sz w:val="18"/>
          <w:szCs w:val="18"/>
          <w:lang w:val="en-GB"/>
        </w:rPr>
      </w:pPr>
      <w:r w:rsidRPr="000C7CFA">
        <w:rPr>
          <w:rFonts w:ascii="Verdana" w:hAnsi="Verdana"/>
          <w:sz w:val="18"/>
          <w:szCs w:val="18"/>
          <w:lang w:val="en-GB"/>
        </w:rPr>
        <w:t xml:space="preserve">For comparison with the REACH criteria, EA (2013) recommends that the BCF estimate from the regression equation is preferred over the lower trophic level estimates from the Arnot-Gobas model (upper trophic level estimates are not recommended to be used). </w:t>
      </w:r>
    </w:p>
    <w:p w14:paraId="4B9B2D58" w14:textId="77777777" w:rsidR="00DC0942" w:rsidRPr="000C7CFA" w:rsidRDefault="00DC0942" w:rsidP="00DF46A5">
      <w:pPr>
        <w:tabs>
          <w:tab w:val="left" w:pos="1843"/>
        </w:tabs>
        <w:spacing w:after="0"/>
        <w:rPr>
          <w:rFonts w:ascii="Verdana" w:hAnsi="Verdana"/>
          <w:sz w:val="18"/>
          <w:szCs w:val="18"/>
          <w:lang w:val="en-GB"/>
        </w:rPr>
      </w:pPr>
    </w:p>
    <w:p w14:paraId="29F08A34" w14:textId="2DDB2806" w:rsidR="00DF46A5" w:rsidRPr="000C7CFA" w:rsidRDefault="00DF46A5" w:rsidP="00DF46A5">
      <w:pPr>
        <w:tabs>
          <w:tab w:val="left" w:pos="1843"/>
        </w:tabs>
        <w:spacing w:after="0"/>
        <w:rPr>
          <w:rFonts w:ascii="Verdana" w:hAnsi="Verdana"/>
          <w:sz w:val="18"/>
          <w:szCs w:val="18"/>
          <w:vertAlign w:val="subscript"/>
          <w:lang w:val="en-GB"/>
        </w:rPr>
      </w:pPr>
      <w:r w:rsidRPr="000C7CFA">
        <w:rPr>
          <w:rFonts w:ascii="Verdana" w:hAnsi="Verdana"/>
          <w:sz w:val="18"/>
          <w:szCs w:val="18"/>
        </w:rPr>
        <w:t>BCFBAF v3.01</w:t>
      </w:r>
      <w:r w:rsidRPr="000C7CFA">
        <w:rPr>
          <w:rFonts w:ascii="Verdana" w:hAnsi="Verdana"/>
          <w:sz w:val="18"/>
          <w:szCs w:val="18"/>
          <w:lang w:val="en-GB"/>
        </w:rPr>
        <w:t>, using estimated log K</w:t>
      </w:r>
      <w:r w:rsidRPr="000C7CFA">
        <w:rPr>
          <w:rFonts w:ascii="Verdana" w:hAnsi="Verdana"/>
          <w:sz w:val="18"/>
          <w:szCs w:val="18"/>
          <w:vertAlign w:val="subscript"/>
          <w:lang w:val="en-GB"/>
        </w:rPr>
        <w:t>OW</w:t>
      </w:r>
    </w:p>
    <w:p w14:paraId="0BF2A803" w14:textId="157682C1" w:rsidR="00DF46A5" w:rsidRPr="000C7CFA" w:rsidRDefault="00AA4AB3" w:rsidP="00DF46A5">
      <w:pPr>
        <w:tabs>
          <w:tab w:val="left" w:pos="1843"/>
        </w:tabs>
        <w:spacing w:after="0"/>
        <w:rPr>
          <w:rFonts w:ascii="Verdana" w:hAnsi="Verdana"/>
          <w:sz w:val="18"/>
          <w:szCs w:val="18"/>
          <w:lang w:val="en-GB"/>
        </w:rPr>
      </w:pPr>
      <w:r w:rsidRPr="000C7CFA">
        <w:rPr>
          <w:rFonts w:ascii="Verdana" w:hAnsi="Verdana"/>
          <w:sz w:val="18"/>
          <w:szCs w:val="18"/>
          <w:lang w:val="en-GB"/>
        </w:rPr>
        <w:t>BCF</w:t>
      </w:r>
      <w:r w:rsidR="00DF46A5" w:rsidRPr="000C7CFA">
        <w:rPr>
          <w:rFonts w:ascii="Verdana" w:hAnsi="Verdana"/>
          <w:sz w:val="18"/>
          <w:szCs w:val="18"/>
        </w:rPr>
        <w:t xml:space="preserve"> </w:t>
      </w:r>
      <w:r w:rsidR="00DF46A5" w:rsidRPr="000C7CFA">
        <w:rPr>
          <w:rFonts w:ascii="Verdana" w:hAnsi="Verdana"/>
          <w:sz w:val="18"/>
          <w:szCs w:val="18"/>
          <w:lang w:val="en-GB"/>
        </w:rPr>
        <w:t>(</w:t>
      </w:r>
      <w:r w:rsidR="00DF46A5" w:rsidRPr="000C7CFA">
        <w:rPr>
          <w:rFonts w:ascii="Verdana" w:hAnsi="Verdana"/>
          <w:sz w:val="18"/>
          <w:szCs w:val="18"/>
        </w:rPr>
        <w:t>regression-based method</w:t>
      </w:r>
      <w:r w:rsidR="00DF46A5" w:rsidRPr="000C7CFA">
        <w:rPr>
          <w:rFonts w:ascii="Verdana" w:hAnsi="Verdana"/>
          <w:sz w:val="18"/>
          <w:szCs w:val="18"/>
          <w:lang w:val="en-GB"/>
        </w:rPr>
        <w:t>)</w:t>
      </w:r>
      <w:r w:rsidRPr="000C7CFA">
        <w:rPr>
          <w:rFonts w:ascii="Verdana" w:hAnsi="Verdana"/>
          <w:sz w:val="18"/>
          <w:szCs w:val="18"/>
          <w:lang w:val="en-GB"/>
        </w:rPr>
        <w:t xml:space="preserve"> =</w:t>
      </w:r>
      <w:r w:rsidR="00D029DA" w:rsidRPr="000C7CFA">
        <w:rPr>
          <w:rFonts w:ascii="Verdana" w:hAnsi="Verdana"/>
          <w:sz w:val="18"/>
          <w:szCs w:val="18"/>
          <w:lang w:val="en-GB"/>
        </w:rPr>
        <w:t xml:space="preserve"> </w:t>
      </w:r>
      <w:r w:rsidR="008610EB" w:rsidRPr="000C7CFA">
        <w:rPr>
          <w:rFonts w:ascii="Verdana" w:hAnsi="Verdana"/>
          <w:sz w:val="18"/>
          <w:szCs w:val="18"/>
          <w:lang w:val="en-GB"/>
        </w:rPr>
        <w:t>11 </w:t>
      </w:r>
      <w:r w:rsidR="00DF46A5" w:rsidRPr="000C7CFA">
        <w:rPr>
          <w:rFonts w:ascii="Verdana" w:hAnsi="Verdana"/>
          <w:sz w:val="18"/>
          <w:szCs w:val="18"/>
          <w:lang w:val="en-GB"/>
        </w:rPr>
        <w:t>140 L/kg ww</w:t>
      </w:r>
    </w:p>
    <w:p w14:paraId="43EA0D87" w14:textId="249074CE" w:rsidR="00DF46A5" w:rsidRPr="000C7CFA" w:rsidRDefault="00AA4AB3" w:rsidP="00DF46A5">
      <w:pPr>
        <w:tabs>
          <w:tab w:val="left" w:pos="1843"/>
        </w:tabs>
        <w:spacing w:after="0"/>
        <w:rPr>
          <w:rFonts w:ascii="Verdana" w:hAnsi="Verdana"/>
          <w:sz w:val="18"/>
          <w:szCs w:val="18"/>
          <w:lang w:val="en-GB"/>
        </w:rPr>
      </w:pPr>
      <w:r w:rsidRPr="000C7CFA">
        <w:rPr>
          <w:rFonts w:ascii="Verdana" w:hAnsi="Verdana"/>
          <w:sz w:val="18"/>
          <w:szCs w:val="18"/>
          <w:lang w:val="en-GB"/>
        </w:rPr>
        <w:t>B</w:t>
      </w:r>
      <w:r w:rsidR="00DF46A5" w:rsidRPr="000C7CFA">
        <w:rPr>
          <w:rFonts w:ascii="Verdana" w:hAnsi="Verdana"/>
          <w:sz w:val="18"/>
          <w:szCs w:val="18"/>
          <w:lang w:val="en-GB"/>
        </w:rPr>
        <w:t xml:space="preserve">iotransformation </w:t>
      </w:r>
      <w:r w:rsidR="00A3136A" w:rsidRPr="000C7CFA">
        <w:rPr>
          <w:rFonts w:ascii="Verdana" w:hAnsi="Verdana"/>
          <w:sz w:val="18"/>
          <w:szCs w:val="18"/>
          <w:lang w:val="en-GB"/>
        </w:rPr>
        <w:t>h</w:t>
      </w:r>
      <w:r w:rsidR="00DF46A5" w:rsidRPr="000C7CFA">
        <w:rPr>
          <w:rFonts w:ascii="Verdana" w:hAnsi="Verdana"/>
          <w:sz w:val="18"/>
          <w:szCs w:val="18"/>
          <w:lang w:val="en-GB"/>
        </w:rPr>
        <w:t>alf-life</w:t>
      </w:r>
      <w:r w:rsidR="00C37FAB" w:rsidRPr="000C7CFA">
        <w:rPr>
          <w:rFonts w:ascii="Verdana" w:hAnsi="Verdana"/>
          <w:sz w:val="18"/>
          <w:szCs w:val="18"/>
          <w:lang w:val="en-GB"/>
        </w:rPr>
        <w:t xml:space="preserve"> normalised to a 10 g fish</w:t>
      </w:r>
      <w:r w:rsidR="00DF46A5" w:rsidRPr="000C7CFA">
        <w:rPr>
          <w:rFonts w:ascii="Verdana" w:hAnsi="Verdana"/>
          <w:sz w:val="18"/>
          <w:szCs w:val="18"/>
          <w:lang w:val="en-GB"/>
        </w:rPr>
        <w:t>: 162 days</w:t>
      </w:r>
      <w:r w:rsidR="00637887" w:rsidRPr="000C7CFA">
        <w:rPr>
          <w:rStyle w:val="FootnoteReference"/>
          <w:rFonts w:ascii="Verdana" w:hAnsi="Verdana"/>
          <w:sz w:val="18"/>
          <w:szCs w:val="18"/>
          <w:lang w:val="en-GB"/>
        </w:rPr>
        <w:footnoteReference w:id="46"/>
      </w:r>
    </w:p>
    <w:p w14:paraId="17889E6C" w14:textId="77777777" w:rsidR="00DC0942" w:rsidRPr="000C7CFA" w:rsidRDefault="00DC0942" w:rsidP="00DC0942">
      <w:pPr>
        <w:tabs>
          <w:tab w:val="left" w:pos="1843"/>
        </w:tabs>
        <w:spacing w:after="0"/>
        <w:ind w:left="284" w:hanging="284"/>
        <w:rPr>
          <w:rFonts w:ascii="Verdana" w:hAnsi="Verdana"/>
          <w:sz w:val="18"/>
          <w:szCs w:val="18"/>
          <w:lang w:val="en-GB"/>
        </w:rPr>
      </w:pPr>
      <w:r w:rsidRPr="000C7CFA">
        <w:rPr>
          <w:rFonts w:ascii="Verdana" w:hAnsi="Verdana"/>
          <w:sz w:val="18"/>
          <w:szCs w:val="18"/>
          <w:lang w:val="en-GB"/>
        </w:rPr>
        <w:t xml:space="preserve">BCF Arnot-Gobas method (lower trophic) = </w:t>
      </w:r>
      <w:r w:rsidRPr="000C7CFA">
        <w:rPr>
          <w:rFonts w:ascii="Verdana" w:hAnsi="Verdana"/>
          <w:sz w:val="18"/>
          <w:szCs w:val="18"/>
        </w:rPr>
        <w:t>10 580</w:t>
      </w:r>
      <w:r w:rsidRPr="000C7CFA">
        <w:rPr>
          <w:rFonts w:ascii="Verdana" w:hAnsi="Verdana"/>
          <w:sz w:val="18"/>
          <w:szCs w:val="18"/>
          <w:lang w:val="en-GB"/>
        </w:rPr>
        <w:t xml:space="preserve"> L/kg ww (assuming biotransformation)</w:t>
      </w:r>
    </w:p>
    <w:p w14:paraId="6F3242F0" w14:textId="77777777" w:rsidR="00DC0942" w:rsidRPr="000C7CFA" w:rsidRDefault="00DC0942" w:rsidP="00DC0942">
      <w:pPr>
        <w:tabs>
          <w:tab w:val="left" w:pos="1843"/>
        </w:tabs>
        <w:spacing w:after="0"/>
        <w:ind w:left="284" w:hanging="284"/>
        <w:rPr>
          <w:rFonts w:ascii="Verdana" w:hAnsi="Verdana"/>
          <w:sz w:val="18"/>
          <w:szCs w:val="18"/>
          <w:lang w:val="en-GB"/>
        </w:rPr>
      </w:pPr>
      <w:r w:rsidRPr="000C7CFA">
        <w:rPr>
          <w:rFonts w:ascii="Verdana" w:hAnsi="Verdana"/>
          <w:sz w:val="18"/>
          <w:szCs w:val="18"/>
          <w:lang w:val="en-GB"/>
        </w:rPr>
        <w:t xml:space="preserve">BAF Arnot-Gobas method (lower trophic) = </w:t>
      </w:r>
      <w:r w:rsidRPr="000C7CFA">
        <w:rPr>
          <w:rFonts w:ascii="Verdana" w:hAnsi="Verdana" w:cstheme="minorBidi"/>
          <w:sz w:val="18"/>
          <w:szCs w:val="18"/>
        </w:rPr>
        <w:t>1 684</w:t>
      </w:r>
      <w:r w:rsidRPr="000C7CFA">
        <w:rPr>
          <w:rFonts w:ascii="Verdana" w:hAnsi="Verdana"/>
          <w:sz w:val="18"/>
          <w:szCs w:val="18"/>
          <w:lang w:val="en-GB"/>
        </w:rPr>
        <w:t> 000 L/kg ww (assuming biotransformation)</w:t>
      </w:r>
    </w:p>
    <w:p w14:paraId="3FA88660" w14:textId="77777777" w:rsidR="00DF46A5" w:rsidRPr="000C7CFA" w:rsidRDefault="00DF46A5" w:rsidP="00DF46A5">
      <w:pPr>
        <w:tabs>
          <w:tab w:val="left" w:pos="1843"/>
        </w:tabs>
        <w:spacing w:after="0"/>
        <w:rPr>
          <w:rFonts w:ascii="Verdana" w:hAnsi="Verdana"/>
          <w:sz w:val="18"/>
          <w:szCs w:val="18"/>
          <w:lang w:val="en-GB"/>
        </w:rPr>
      </w:pPr>
    </w:p>
    <w:p w14:paraId="51F8A185" w14:textId="2B6FD120" w:rsidR="00AA4AB3" w:rsidRPr="000C7CFA" w:rsidRDefault="00AA4AB3" w:rsidP="00405F11">
      <w:pPr>
        <w:tabs>
          <w:tab w:val="left" w:pos="1843"/>
        </w:tabs>
        <w:spacing w:after="0"/>
        <w:jc w:val="both"/>
        <w:rPr>
          <w:rFonts w:ascii="Verdana" w:hAnsi="Verdana"/>
          <w:sz w:val="18"/>
          <w:szCs w:val="18"/>
          <w:lang w:val="en-GB"/>
        </w:rPr>
      </w:pPr>
      <w:r w:rsidRPr="000C7CFA">
        <w:rPr>
          <w:rFonts w:ascii="Verdana" w:hAnsi="Verdana"/>
          <w:sz w:val="18"/>
          <w:szCs w:val="18"/>
          <w:lang w:val="en-GB"/>
        </w:rPr>
        <w:t>N.B. The BCFBAF program estimates the BCF (and BAF) on the basis of the total concentration in water rather than the dissolved concentration in water, so a BCF based on dissolved concentrations may be higher than suggested here.</w:t>
      </w:r>
    </w:p>
    <w:p w14:paraId="603414A4" w14:textId="77777777" w:rsidR="00405F11" w:rsidRPr="000C7CFA" w:rsidRDefault="00405F11" w:rsidP="00405F11">
      <w:pPr>
        <w:spacing w:after="0"/>
        <w:rPr>
          <w:rFonts w:ascii="Verdana" w:hAnsi="Verdana"/>
          <w:i/>
          <w:sz w:val="18"/>
          <w:szCs w:val="18"/>
          <w:lang w:val="en-GB"/>
        </w:rPr>
      </w:pPr>
    </w:p>
    <w:p w14:paraId="4908C1D4" w14:textId="77777777" w:rsidR="00DF46A5" w:rsidRPr="000C7CFA" w:rsidRDefault="00DF46A5" w:rsidP="00405F11">
      <w:pPr>
        <w:spacing w:after="0"/>
        <w:rPr>
          <w:rFonts w:ascii="Verdana" w:hAnsi="Verdana"/>
          <w:i/>
          <w:sz w:val="18"/>
          <w:szCs w:val="18"/>
          <w:lang w:val="en-GB"/>
        </w:rPr>
      </w:pPr>
      <w:r w:rsidRPr="000C7CFA">
        <w:rPr>
          <w:rFonts w:ascii="Verdana" w:hAnsi="Verdana"/>
          <w:i/>
          <w:sz w:val="18"/>
          <w:szCs w:val="18"/>
          <w:lang w:val="en-GB"/>
        </w:rPr>
        <w:t>Aquatic toxicity</w:t>
      </w:r>
    </w:p>
    <w:p w14:paraId="7000AB38" w14:textId="745730C5" w:rsidR="00DF46A5" w:rsidRPr="000C7CFA" w:rsidRDefault="00DF46A5" w:rsidP="00DF46A5">
      <w:pPr>
        <w:tabs>
          <w:tab w:val="left" w:pos="1843"/>
        </w:tabs>
        <w:spacing w:after="0"/>
        <w:rPr>
          <w:rFonts w:ascii="Verdana" w:hAnsi="Verdana"/>
          <w:sz w:val="18"/>
          <w:szCs w:val="18"/>
          <w:lang w:val="en-GB"/>
        </w:rPr>
      </w:pPr>
    </w:p>
    <w:p w14:paraId="64B56EF0" w14:textId="77777777" w:rsidR="00DF46A5" w:rsidRPr="000C7CFA" w:rsidRDefault="00DF46A5" w:rsidP="00DF46A5">
      <w:pPr>
        <w:tabs>
          <w:tab w:val="left" w:pos="1843"/>
        </w:tabs>
        <w:spacing w:after="0"/>
        <w:rPr>
          <w:rFonts w:ascii="Verdana" w:hAnsi="Verdana"/>
          <w:sz w:val="18"/>
          <w:szCs w:val="18"/>
          <w:lang w:val="en-GB"/>
        </w:rPr>
      </w:pPr>
      <w:r w:rsidRPr="000C7CFA">
        <w:rPr>
          <w:rFonts w:ascii="Verdana" w:hAnsi="Verdana"/>
          <w:sz w:val="18"/>
          <w:szCs w:val="18"/>
          <w:lang w:val="en-GB"/>
        </w:rPr>
        <w:t>ECOSAR Class Program (ECOSAR v1.11):</w:t>
      </w:r>
    </w:p>
    <w:p w14:paraId="73935C95" w14:textId="7B713919" w:rsidR="00DC0942" w:rsidRPr="000C7CFA" w:rsidRDefault="00DF46A5" w:rsidP="00DC0942">
      <w:pPr>
        <w:tabs>
          <w:tab w:val="left" w:pos="1843"/>
        </w:tabs>
        <w:spacing w:after="0"/>
        <w:rPr>
          <w:rFonts w:ascii="Verdana" w:hAnsi="Verdana"/>
          <w:sz w:val="18"/>
          <w:szCs w:val="18"/>
          <w:lang w:val="en-GB"/>
        </w:rPr>
      </w:pPr>
      <w:r w:rsidRPr="000C7CFA">
        <w:rPr>
          <w:rFonts w:ascii="Verdana" w:hAnsi="Verdana"/>
          <w:sz w:val="18"/>
          <w:szCs w:val="18"/>
          <w:lang w:val="en-GB"/>
        </w:rPr>
        <w:t xml:space="preserve">    </w:t>
      </w:r>
      <w:r w:rsidR="00DC0942" w:rsidRPr="000C7CFA">
        <w:rPr>
          <w:rFonts w:ascii="Verdana" w:hAnsi="Verdana"/>
          <w:sz w:val="18"/>
          <w:szCs w:val="18"/>
          <w:lang w:val="en-GB"/>
        </w:rPr>
        <w:t xml:space="preserve">    </w:t>
      </w:r>
      <w:r w:rsidR="00DC0942" w:rsidRPr="000C7CFA">
        <w:rPr>
          <w:rFonts w:ascii="Verdana" w:hAnsi="Verdana"/>
          <w:sz w:val="18"/>
          <w:szCs w:val="18"/>
        </w:rPr>
        <w:t>Vinyl/</w:t>
      </w:r>
      <w:r w:rsidR="0076237E" w:rsidRPr="000C7CFA">
        <w:rPr>
          <w:rFonts w:ascii="Verdana" w:hAnsi="Verdana"/>
          <w:sz w:val="18"/>
          <w:szCs w:val="18"/>
        </w:rPr>
        <w:t>allyl</w:t>
      </w:r>
      <w:r w:rsidR="00DC0942" w:rsidRPr="000C7CFA">
        <w:rPr>
          <w:rFonts w:ascii="Verdana" w:hAnsi="Verdana"/>
          <w:sz w:val="18"/>
          <w:szCs w:val="18"/>
          <w:lang w:val="en-GB"/>
        </w:rPr>
        <w:t xml:space="preserve"> </w:t>
      </w:r>
      <w:r w:rsidR="0076237E" w:rsidRPr="000C7CFA">
        <w:rPr>
          <w:rFonts w:ascii="Verdana" w:hAnsi="Verdana"/>
          <w:sz w:val="18"/>
          <w:szCs w:val="18"/>
        </w:rPr>
        <w:t>halides</w:t>
      </w:r>
      <w:r w:rsidR="00DC0942" w:rsidRPr="000C7CFA">
        <w:rPr>
          <w:rFonts w:ascii="Verdana" w:hAnsi="Verdana"/>
          <w:sz w:val="18"/>
          <w:szCs w:val="18"/>
        </w:rPr>
        <w:t xml:space="preserve"> model:</w:t>
      </w:r>
    </w:p>
    <w:p w14:paraId="7753B996" w14:textId="77777777" w:rsidR="00DC0942" w:rsidRPr="000C7CFA" w:rsidRDefault="00DC0942" w:rsidP="00DC0942">
      <w:pPr>
        <w:tabs>
          <w:tab w:val="left" w:pos="1843"/>
        </w:tabs>
        <w:spacing w:after="0"/>
        <w:rPr>
          <w:rFonts w:ascii="Verdana" w:hAnsi="Verdana"/>
          <w:sz w:val="18"/>
          <w:szCs w:val="18"/>
          <w:lang w:val="en-GB"/>
        </w:rPr>
      </w:pPr>
    </w:p>
    <w:p w14:paraId="62039A43" w14:textId="77777777" w:rsidR="00DC0942" w:rsidRPr="000C7CFA" w:rsidRDefault="00DC0942" w:rsidP="00DC0942">
      <w:pPr>
        <w:tabs>
          <w:tab w:val="left" w:pos="3402"/>
        </w:tabs>
        <w:spacing w:after="0"/>
        <w:ind w:left="851"/>
        <w:rPr>
          <w:rFonts w:ascii="Verdana" w:hAnsi="Verdana"/>
          <w:sz w:val="18"/>
          <w:szCs w:val="18"/>
          <w:lang w:val="en-GB"/>
        </w:rPr>
      </w:pPr>
      <w:r w:rsidRPr="000C7CFA">
        <w:rPr>
          <w:rFonts w:ascii="Verdana" w:hAnsi="Verdana"/>
          <w:sz w:val="18"/>
          <w:szCs w:val="18"/>
          <w:lang w:val="en-GB"/>
        </w:rPr>
        <w:t>Fish 96-h LC</w:t>
      </w:r>
      <w:r w:rsidRPr="000C7CFA">
        <w:rPr>
          <w:rFonts w:ascii="Verdana" w:hAnsi="Verdana"/>
          <w:sz w:val="18"/>
          <w:szCs w:val="18"/>
          <w:vertAlign w:val="subscript"/>
          <w:lang w:val="en-GB"/>
        </w:rPr>
        <w:t>50</w:t>
      </w:r>
      <w:r w:rsidRPr="000C7CFA">
        <w:rPr>
          <w:rFonts w:ascii="Verdana" w:hAnsi="Verdana"/>
          <w:sz w:val="18"/>
          <w:szCs w:val="18"/>
          <w:lang w:val="en-GB"/>
        </w:rPr>
        <w:t>:</w:t>
      </w:r>
      <w:r w:rsidRPr="000C7CFA">
        <w:rPr>
          <w:rFonts w:ascii="Verdana" w:hAnsi="Verdana"/>
          <w:sz w:val="18"/>
          <w:szCs w:val="18"/>
          <w:lang w:val="en-GB"/>
        </w:rPr>
        <w:tab/>
        <w:t>0.00</w:t>
      </w:r>
      <w:r w:rsidRPr="000C7CFA">
        <w:rPr>
          <w:rFonts w:ascii="Verdana" w:hAnsi="Verdana"/>
          <w:sz w:val="18"/>
          <w:szCs w:val="18"/>
        </w:rPr>
        <w:t>15</w:t>
      </w:r>
      <w:r w:rsidRPr="000C7CFA">
        <w:rPr>
          <w:rFonts w:ascii="Verdana" w:hAnsi="Verdana"/>
          <w:sz w:val="18"/>
          <w:szCs w:val="18"/>
          <w:lang w:val="en-GB"/>
        </w:rPr>
        <w:t xml:space="preserve"> mg/L</w:t>
      </w:r>
    </w:p>
    <w:p w14:paraId="3F41F666" w14:textId="77777777" w:rsidR="00DC0942" w:rsidRPr="000C7CFA" w:rsidRDefault="00DC0942" w:rsidP="00DC0942">
      <w:pPr>
        <w:tabs>
          <w:tab w:val="left" w:pos="3402"/>
        </w:tabs>
        <w:spacing w:after="0"/>
        <w:ind w:left="851"/>
        <w:rPr>
          <w:rFonts w:ascii="Verdana" w:hAnsi="Verdana"/>
          <w:sz w:val="18"/>
          <w:szCs w:val="18"/>
          <w:lang w:val="en-GB"/>
        </w:rPr>
      </w:pPr>
      <w:r w:rsidRPr="000C7CFA">
        <w:rPr>
          <w:rFonts w:ascii="Verdana" w:hAnsi="Verdana"/>
          <w:sz w:val="18"/>
          <w:szCs w:val="18"/>
          <w:lang w:val="en-GB"/>
        </w:rPr>
        <w:t>Daphnid 48-h LC</w:t>
      </w:r>
      <w:r w:rsidRPr="000C7CFA">
        <w:rPr>
          <w:rFonts w:ascii="Verdana" w:hAnsi="Verdana"/>
          <w:sz w:val="18"/>
          <w:szCs w:val="18"/>
          <w:vertAlign w:val="subscript"/>
          <w:lang w:val="en-GB"/>
        </w:rPr>
        <w:t>50</w:t>
      </w:r>
      <w:r w:rsidRPr="000C7CFA">
        <w:rPr>
          <w:rFonts w:ascii="Verdana" w:hAnsi="Verdana"/>
          <w:sz w:val="18"/>
          <w:szCs w:val="18"/>
        </w:rPr>
        <w:t>:</w:t>
      </w:r>
      <w:r w:rsidRPr="000C7CFA">
        <w:rPr>
          <w:rFonts w:ascii="Verdana" w:hAnsi="Verdana"/>
          <w:sz w:val="18"/>
          <w:szCs w:val="18"/>
        </w:rPr>
        <w:tab/>
        <w:t>0.0017</w:t>
      </w:r>
      <w:r w:rsidRPr="000C7CFA">
        <w:rPr>
          <w:rFonts w:ascii="Verdana" w:hAnsi="Verdana"/>
          <w:sz w:val="18"/>
          <w:szCs w:val="18"/>
          <w:lang w:val="en-GB"/>
        </w:rPr>
        <w:t xml:space="preserve"> mg/L</w:t>
      </w:r>
    </w:p>
    <w:p w14:paraId="60967CC5" w14:textId="77777777" w:rsidR="00DC0942" w:rsidRPr="000C7CFA" w:rsidRDefault="00DC0942" w:rsidP="00DC0942">
      <w:pPr>
        <w:tabs>
          <w:tab w:val="left" w:pos="3402"/>
        </w:tabs>
        <w:spacing w:after="0"/>
        <w:ind w:left="851"/>
        <w:rPr>
          <w:rFonts w:ascii="Verdana" w:hAnsi="Verdana"/>
          <w:sz w:val="18"/>
          <w:szCs w:val="18"/>
          <w:lang w:val="en-GB"/>
        </w:rPr>
      </w:pPr>
      <w:r w:rsidRPr="000C7CFA">
        <w:rPr>
          <w:rFonts w:ascii="Verdana" w:hAnsi="Verdana"/>
          <w:sz w:val="18"/>
          <w:szCs w:val="18"/>
          <w:lang w:val="en-GB"/>
        </w:rPr>
        <w:t>Green algae 96-h EC</w:t>
      </w:r>
      <w:r w:rsidRPr="000C7CFA">
        <w:rPr>
          <w:rFonts w:ascii="Verdana" w:hAnsi="Verdana"/>
          <w:sz w:val="18"/>
          <w:szCs w:val="18"/>
          <w:vertAlign w:val="subscript"/>
          <w:lang w:val="en-GB"/>
        </w:rPr>
        <w:t>50</w:t>
      </w:r>
      <w:r w:rsidRPr="000C7CFA">
        <w:rPr>
          <w:rFonts w:ascii="Verdana" w:hAnsi="Verdana"/>
          <w:sz w:val="18"/>
          <w:szCs w:val="18"/>
          <w:lang w:val="en-GB"/>
        </w:rPr>
        <w:t>:</w:t>
      </w:r>
      <w:r w:rsidRPr="000C7CFA">
        <w:rPr>
          <w:rFonts w:ascii="Verdana" w:hAnsi="Verdana"/>
          <w:sz w:val="18"/>
          <w:szCs w:val="18"/>
          <w:lang w:val="en-GB"/>
        </w:rPr>
        <w:tab/>
        <w:t>0.011 mg/L</w:t>
      </w:r>
      <w:r w:rsidRPr="000C7CFA">
        <w:rPr>
          <w:rFonts w:ascii="Verdana" w:hAnsi="Verdana"/>
          <w:sz w:val="18"/>
          <w:szCs w:val="18"/>
        </w:rPr>
        <w:t>*</w:t>
      </w:r>
    </w:p>
    <w:p w14:paraId="083D89FB" w14:textId="77777777" w:rsidR="00DC0942" w:rsidRPr="000C7CFA" w:rsidRDefault="00DC0942" w:rsidP="00DC0942">
      <w:pPr>
        <w:tabs>
          <w:tab w:val="left" w:pos="3402"/>
        </w:tabs>
        <w:spacing w:after="0"/>
        <w:ind w:left="851"/>
        <w:rPr>
          <w:rFonts w:ascii="Verdana" w:hAnsi="Verdana"/>
          <w:i/>
          <w:sz w:val="18"/>
          <w:szCs w:val="18"/>
          <w:lang w:val="en-GB"/>
        </w:rPr>
      </w:pPr>
      <w:r w:rsidRPr="000C7CFA">
        <w:rPr>
          <w:rFonts w:ascii="Verdana" w:hAnsi="Verdana"/>
          <w:i/>
          <w:sz w:val="18"/>
          <w:szCs w:val="18"/>
        </w:rPr>
        <w:t>Fish ChV:</w:t>
      </w:r>
      <w:r w:rsidRPr="000C7CFA">
        <w:rPr>
          <w:rFonts w:ascii="Verdana" w:hAnsi="Verdana"/>
          <w:i/>
          <w:sz w:val="18"/>
          <w:szCs w:val="18"/>
        </w:rPr>
        <w:tab/>
        <w:t>0.</w:t>
      </w:r>
      <w:r w:rsidRPr="000C7CFA">
        <w:rPr>
          <w:rFonts w:ascii="Verdana" w:hAnsi="Verdana"/>
          <w:i/>
          <w:sz w:val="18"/>
          <w:szCs w:val="18"/>
          <w:lang w:val="en-GB"/>
        </w:rPr>
        <w:t>00002 mg/L</w:t>
      </w:r>
    </w:p>
    <w:p w14:paraId="3BE311B0" w14:textId="77777777" w:rsidR="00DC0942" w:rsidRPr="000C7CFA" w:rsidRDefault="00DC0942" w:rsidP="00DC0942">
      <w:pPr>
        <w:tabs>
          <w:tab w:val="left" w:pos="3402"/>
        </w:tabs>
        <w:spacing w:after="0"/>
        <w:ind w:left="851"/>
        <w:rPr>
          <w:rFonts w:ascii="Verdana" w:hAnsi="Verdana"/>
          <w:i/>
          <w:sz w:val="18"/>
          <w:szCs w:val="18"/>
          <w:lang w:val="en-GB"/>
        </w:rPr>
      </w:pPr>
      <w:r w:rsidRPr="000C7CFA">
        <w:rPr>
          <w:rFonts w:ascii="Verdana" w:hAnsi="Verdana"/>
          <w:i/>
          <w:sz w:val="18"/>
          <w:szCs w:val="18"/>
          <w:lang w:val="en-GB"/>
        </w:rPr>
        <w:t>Daphnid ChV:</w:t>
      </w:r>
      <w:r w:rsidRPr="000C7CFA">
        <w:rPr>
          <w:rFonts w:ascii="Verdana" w:hAnsi="Verdana"/>
          <w:i/>
          <w:sz w:val="18"/>
          <w:szCs w:val="18"/>
          <w:lang w:val="en-GB"/>
        </w:rPr>
        <w:tab/>
        <w:t>0.008 mg/L*</w:t>
      </w:r>
    </w:p>
    <w:p w14:paraId="18AEBE10" w14:textId="351011CB" w:rsidR="00D91631" w:rsidRPr="000C7CFA" w:rsidRDefault="00D91631" w:rsidP="00D91631">
      <w:pPr>
        <w:tabs>
          <w:tab w:val="left" w:pos="3402"/>
        </w:tabs>
        <w:spacing w:after="0"/>
        <w:ind w:left="851"/>
        <w:rPr>
          <w:rFonts w:ascii="Verdana" w:hAnsi="Verdana"/>
          <w:sz w:val="18"/>
          <w:szCs w:val="18"/>
        </w:rPr>
      </w:pPr>
      <w:r w:rsidRPr="000C7CFA">
        <w:rPr>
          <w:rFonts w:ascii="Verdana" w:hAnsi="Verdana"/>
          <w:sz w:val="18"/>
          <w:szCs w:val="18"/>
          <w:lang w:val="en-GB"/>
        </w:rPr>
        <w:t>[Green algae ChV not reported due to weak training set – for reasons, see A</w:t>
      </w:r>
      <w:r w:rsidR="00E626D2" w:rsidRPr="000C7CFA">
        <w:rPr>
          <w:rFonts w:ascii="Verdana" w:hAnsi="Verdana"/>
          <w:sz w:val="18"/>
          <w:szCs w:val="18"/>
          <w:lang w:val="en-GB"/>
        </w:rPr>
        <w:t>ppendix 8</w:t>
      </w:r>
      <w:r w:rsidRPr="000C7CFA">
        <w:rPr>
          <w:rFonts w:ascii="Verdana" w:hAnsi="Verdana"/>
          <w:sz w:val="18"/>
          <w:szCs w:val="18"/>
          <w:lang w:val="en-GB"/>
        </w:rPr>
        <w:t>]</w:t>
      </w:r>
    </w:p>
    <w:p w14:paraId="230AB6C1" w14:textId="77777777" w:rsidR="00B93106" w:rsidRPr="000C7CFA" w:rsidRDefault="00B93106" w:rsidP="00DC0942">
      <w:pPr>
        <w:tabs>
          <w:tab w:val="left" w:pos="1843"/>
        </w:tabs>
        <w:spacing w:after="0"/>
        <w:rPr>
          <w:rFonts w:ascii="Verdana" w:hAnsi="Verdana"/>
          <w:sz w:val="18"/>
          <w:szCs w:val="18"/>
          <w:lang w:val="en-GB"/>
        </w:rPr>
      </w:pPr>
    </w:p>
    <w:p w14:paraId="02071529" w14:textId="77777777" w:rsidR="00DC0942" w:rsidRPr="000C7CFA" w:rsidRDefault="00DC0942" w:rsidP="00DC0942">
      <w:pPr>
        <w:tabs>
          <w:tab w:val="left" w:pos="1843"/>
        </w:tabs>
        <w:spacing w:after="0"/>
        <w:rPr>
          <w:rFonts w:ascii="Verdana" w:hAnsi="Verdana"/>
          <w:sz w:val="18"/>
          <w:szCs w:val="18"/>
          <w:lang w:val="en-GB"/>
        </w:rPr>
      </w:pPr>
      <w:r w:rsidRPr="000C7CFA">
        <w:rPr>
          <w:rFonts w:ascii="Verdana" w:hAnsi="Verdana"/>
          <w:sz w:val="18"/>
          <w:szCs w:val="18"/>
          <w:lang w:val="en-GB"/>
        </w:rPr>
        <w:t xml:space="preserve">    </w:t>
      </w:r>
      <w:r w:rsidRPr="000C7CFA">
        <w:rPr>
          <w:rFonts w:ascii="Verdana" w:hAnsi="Verdana"/>
          <w:sz w:val="18"/>
          <w:szCs w:val="18"/>
        </w:rPr>
        <w:t>Neutral organics model:</w:t>
      </w:r>
    </w:p>
    <w:p w14:paraId="19360BD1" w14:textId="77777777" w:rsidR="00DC0942" w:rsidRPr="000C7CFA" w:rsidRDefault="00DC0942" w:rsidP="00DC0942">
      <w:pPr>
        <w:tabs>
          <w:tab w:val="left" w:pos="3402"/>
        </w:tabs>
        <w:spacing w:after="0"/>
        <w:ind w:left="851"/>
        <w:rPr>
          <w:rFonts w:ascii="Verdana" w:hAnsi="Verdana"/>
          <w:sz w:val="18"/>
          <w:szCs w:val="18"/>
        </w:rPr>
      </w:pPr>
      <w:r w:rsidRPr="000C7CFA">
        <w:rPr>
          <w:rFonts w:ascii="Verdana" w:hAnsi="Verdana"/>
          <w:sz w:val="18"/>
          <w:szCs w:val="18"/>
          <w:lang w:val="en-GB"/>
        </w:rPr>
        <w:t>Fish 96-h LC</w:t>
      </w:r>
      <w:r w:rsidRPr="000C7CFA">
        <w:rPr>
          <w:rFonts w:ascii="Verdana" w:hAnsi="Verdana"/>
          <w:sz w:val="18"/>
          <w:szCs w:val="18"/>
          <w:vertAlign w:val="subscript"/>
          <w:lang w:val="en-GB"/>
        </w:rPr>
        <w:t>50</w:t>
      </w:r>
      <w:r w:rsidRPr="000C7CFA">
        <w:rPr>
          <w:rFonts w:ascii="Verdana" w:hAnsi="Verdana"/>
          <w:sz w:val="18"/>
          <w:szCs w:val="18"/>
          <w:lang w:val="en-GB"/>
        </w:rPr>
        <w:t>:</w:t>
      </w:r>
      <w:r w:rsidRPr="000C7CFA">
        <w:rPr>
          <w:rFonts w:ascii="Verdana" w:hAnsi="Verdana"/>
          <w:sz w:val="18"/>
          <w:szCs w:val="18"/>
          <w:lang w:val="en-GB"/>
        </w:rPr>
        <w:tab/>
        <w:t>0.00</w:t>
      </w:r>
      <w:r w:rsidRPr="000C7CFA">
        <w:rPr>
          <w:rFonts w:ascii="Verdana" w:hAnsi="Verdana"/>
          <w:sz w:val="18"/>
          <w:szCs w:val="18"/>
        </w:rPr>
        <w:t>7</w:t>
      </w:r>
      <w:r w:rsidRPr="000C7CFA">
        <w:rPr>
          <w:rFonts w:ascii="Verdana" w:hAnsi="Verdana"/>
          <w:sz w:val="18"/>
          <w:szCs w:val="18"/>
          <w:lang w:val="en-GB"/>
        </w:rPr>
        <w:t xml:space="preserve"> mg/L</w:t>
      </w:r>
      <w:r w:rsidRPr="000C7CFA">
        <w:rPr>
          <w:rFonts w:ascii="Verdana" w:hAnsi="Verdana"/>
          <w:sz w:val="18"/>
          <w:szCs w:val="18"/>
        </w:rPr>
        <w:t>*</w:t>
      </w:r>
    </w:p>
    <w:p w14:paraId="66B7802B" w14:textId="77777777" w:rsidR="00DC0942" w:rsidRPr="000C7CFA" w:rsidRDefault="00DC0942" w:rsidP="00DC0942">
      <w:pPr>
        <w:tabs>
          <w:tab w:val="left" w:pos="3402"/>
        </w:tabs>
        <w:spacing w:after="0"/>
        <w:ind w:left="851"/>
        <w:rPr>
          <w:rFonts w:ascii="Verdana" w:hAnsi="Verdana"/>
          <w:sz w:val="18"/>
          <w:szCs w:val="18"/>
        </w:rPr>
      </w:pPr>
      <w:r w:rsidRPr="000C7CFA">
        <w:rPr>
          <w:rFonts w:ascii="Verdana" w:hAnsi="Verdana"/>
          <w:sz w:val="18"/>
          <w:szCs w:val="18"/>
          <w:lang w:val="en-GB"/>
        </w:rPr>
        <w:t>Daphnid 48-h LC</w:t>
      </w:r>
      <w:r w:rsidRPr="000C7CFA">
        <w:rPr>
          <w:rFonts w:ascii="Verdana" w:hAnsi="Verdana"/>
          <w:sz w:val="18"/>
          <w:szCs w:val="18"/>
          <w:vertAlign w:val="subscript"/>
          <w:lang w:val="en-GB"/>
        </w:rPr>
        <w:t>50</w:t>
      </w:r>
      <w:r w:rsidRPr="000C7CFA">
        <w:rPr>
          <w:rFonts w:ascii="Verdana" w:hAnsi="Verdana"/>
          <w:sz w:val="18"/>
          <w:szCs w:val="18"/>
        </w:rPr>
        <w:t>:</w:t>
      </w:r>
      <w:r w:rsidRPr="000C7CFA">
        <w:rPr>
          <w:rFonts w:ascii="Verdana" w:hAnsi="Verdana"/>
          <w:sz w:val="18"/>
          <w:szCs w:val="18"/>
        </w:rPr>
        <w:tab/>
        <w:t>0.007</w:t>
      </w:r>
      <w:r w:rsidRPr="000C7CFA">
        <w:rPr>
          <w:rFonts w:ascii="Verdana" w:hAnsi="Verdana"/>
          <w:sz w:val="18"/>
          <w:szCs w:val="18"/>
          <w:lang w:val="en-GB"/>
        </w:rPr>
        <w:t xml:space="preserve"> mg/L</w:t>
      </w:r>
      <w:r w:rsidRPr="000C7CFA">
        <w:rPr>
          <w:rFonts w:ascii="Verdana" w:hAnsi="Verdana"/>
          <w:sz w:val="18"/>
          <w:szCs w:val="18"/>
        </w:rPr>
        <w:t>*</w:t>
      </w:r>
    </w:p>
    <w:p w14:paraId="781AC490" w14:textId="28BCF25A" w:rsidR="00DC0942" w:rsidRPr="000C7CFA" w:rsidRDefault="00DC0942" w:rsidP="00DC0942">
      <w:pPr>
        <w:tabs>
          <w:tab w:val="left" w:pos="3402"/>
        </w:tabs>
        <w:spacing w:after="0"/>
        <w:ind w:left="851"/>
        <w:rPr>
          <w:rFonts w:ascii="Verdana" w:hAnsi="Verdana"/>
          <w:sz w:val="18"/>
          <w:szCs w:val="18"/>
          <w:lang w:val="en-GB"/>
        </w:rPr>
      </w:pPr>
      <w:r w:rsidRPr="000C7CFA">
        <w:rPr>
          <w:rFonts w:ascii="Verdana" w:hAnsi="Verdana"/>
          <w:sz w:val="18"/>
          <w:szCs w:val="18"/>
          <w:lang w:val="en-GB"/>
        </w:rPr>
        <w:t>Green algae 96-h EC</w:t>
      </w:r>
      <w:r w:rsidRPr="000C7CFA">
        <w:rPr>
          <w:rFonts w:ascii="Verdana" w:hAnsi="Verdana"/>
          <w:sz w:val="18"/>
          <w:szCs w:val="18"/>
          <w:vertAlign w:val="subscript"/>
          <w:lang w:val="en-GB"/>
        </w:rPr>
        <w:t>50</w:t>
      </w:r>
      <w:r w:rsidRPr="000C7CFA">
        <w:rPr>
          <w:rFonts w:ascii="Verdana" w:hAnsi="Verdana"/>
          <w:sz w:val="18"/>
          <w:szCs w:val="18"/>
          <w:lang w:val="en-GB"/>
        </w:rPr>
        <w:t>:</w:t>
      </w:r>
      <w:r w:rsidRPr="000C7CFA">
        <w:rPr>
          <w:rFonts w:ascii="Verdana" w:hAnsi="Verdana"/>
          <w:sz w:val="18"/>
          <w:szCs w:val="18"/>
          <w:lang w:val="en-GB"/>
        </w:rPr>
        <w:tab/>
        <w:t>0.0</w:t>
      </w:r>
      <w:r w:rsidRPr="000C7CFA">
        <w:rPr>
          <w:rFonts w:ascii="Verdana" w:hAnsi="Verdana"/>
          <w:sz w:val="18"/>
          <w:szCs w:val="18"/>
        </w:rPr>
        <w:t>36</w:t>
      </w:r>
      <w:r w:rsidRPr="000C7CFA">
        <w:rPr>
          <w:rFonts w:ascii="Verdana" w:hAnsi="Verdana"/>
          <w:sz w:val="18"/>
          <w:szCs w:val="18"/>
          <w:lang w:val="en-GB"/>
        </w:rPr>
        <w:t xml:space="preserve"> mg/L</w:t>
      </w:r>
      <w:r w:rsidRPr="000C7CFA">
        <w:rPr>
          <w:rFonts w:ascii="Verdana" w:hAnsi="Verdana"/>
          <w:sz w:val="18"/>
          <w:szCs w:val="18"/>
        </w:rPr>
        <w:t>*</w:t>
      </w:r>
    </w:p>
    <w:p w14:paraId="35F3C6A4" w14:textId="75AA4FE3" w:rsidR="00DC0942" w:rsidRPr="000C7CFA" w:rsidRDefault="0076237E" w:rsidP="00DC0942">
      <w:pPr>
        <w:tabs>
          <w:tab w:val="left" w:pos="3402"/>
        </w:tabs>
        <w:spacing w:after="0"/>
        <w:ind w:left="851"/>
        <w:rPr>
          <w:rFonts w:ascii="Verdana" w:hAnsi="Verdana"/>
          <w:i/>
          <w:sz w:val="18"/>
          <w:szCs w:val="18"/>
          <w:lang w:val="en-GB"/>
        </w:rPr>
      </w:pPr>
      <w:r w:rsidRPr="000C7CFA">
        <w:rPr>
          <w:rFonts w:ascii="Verdana" w:hAnsi="Verdana"/>
          <w:i/>
          <w:sz w:val="18"/>
          <w:szCs w:val="18"/>
        </w:rPr>
        <w:t>Fish</w:t>
      </w:r>
      <w:r w:rsidR="00DC0942" w:rsidRPr="000C7CFA">
        <w:rPr>
          <w:rFonts w:ascii="Verdana" w:hAnsi="Verdana"/>
          <w:i/>
          <w:sz w:val="18"/>
          <w:szCs w:val="18"/>
          <w:lang w:val="en-GB"/>
        </w:rPr>
        <w:t xml:space="preserve"> ChV:</w:t>
      </w:r>
      <w:r w:rsidR="00DC0942" w:rsidRPr="000C7CFA">
        <w:rPr>
          <w:rFonts w:ascii="Verdana" w:hAnsi="Verdana"/>
          <w:i/>
          <w:sz w:val="18"/>
          <w:szCs w:val="18"/>
          <w:lang w:val="en-GB"/>
        </w:rPr>
        <w:tab/>
        <w:t>0.0012 mg/L</w:t>
      </w:r>
    </w:p>
    <w:p w14:paraId="03D0C51A" w14:textId="77777777" w:rsidR="00DC0942" w:rsidRPr="000C7CFA" w:rsidRDefault="00DC0942" w:rsidP="00DC0942">
      <w:pPr>
        <w:tabs>
          <w:tab w:val="left" w:pos="3402"/>
        </w:tabs>
        <w:spacing w:after="0"/>
        <w:ind w:left="851"/>
        <w:rPr>
          <w:rFonts w:ascii="Verdana" w:hAnsi="Verdana"/>
          <w:i/>
          <w:sz w:val="18"/>
          <w:szCs w:val="18"/>
          <w:lang w:val="en-GB"/>
        </w:rPr>
      </w:pPr>
      <w:r w:rsidRPr="000C7CFA">
        <w:rPr>
          <w:rFonts w:ascii="Verdana" w:hAnsi="Verdana"/>
          <w:i/>
          <w:sz w:val="18"/>
          <w:szCs w:val="18"/>
          <w:lang w:val="en-GB"/>
        </w:rPr>
        <w:t>Daphnid ChV:</w:t>
      </w:r>
      <w:r w:rsidRPr="000C7CFA">
        <w:rPr>
          <w:rFonts w:ascii="Verdana" w:hAnsi="Verdana"/>
          <w:i/>
          <w:sz w:val="18"/>
          <w:szCs w:val="18"/>
          <w:lang w:val="en-GB"/>
        </w:rPr>
        <w:tab/>
        <w:t>0.002 mg/L</w:t>
      </w:r>
    </w:p>
    <w:p w14:paraId="16E7D8FE" w14:textId="79949987" w:rsidR="00DC0942" w:rsidRPr="000C7CFA" w:rsidRDefault="00DC0942" w:rsidP="00DC0942">
      <w:pPr>
        <w:tabs>
          <w:tab w:val="left" w:pos="3402"/>
        </w:tabs>
        <w:spacing w:after="0"/>
        <w:ind w:left="851"/>
        <w:rPr>
          <w:rFonts w:ascii="Verdana" w:hAnsi="Verdana"/>
          <w:sz w:val="18"/>
          <w:szCs w:val="18"/>
        </w:rPr>
      </w:pPr>
      <w:r w:rsidRPr="000C7CFA">
        <w:rPr>
          <w:rFonts w:ascii="Verdana" w:hAnsi="Verdana"/>
          <w:sz w:val="18"/>
          <w:szCs w:val="18"/>
        </w:rPr>
        <w:t xml:space="preserve">Green algae </w:t>
      </w:r>
      <w:r w:rsidR="00B93106" w:rsidRPr="000C7CFA">
        <w:rPr>
          <w:rFonts w:ascii="Verdana" w:hAnsi="Verdana"/>
          <w:sz w:val="18"/>
          <w:szCs w:val="18"/>
        </w:rPr>
        <w:t>ChV</w:t>
      </w:r>
      <w:r w:rsidRPr="000C7CFA">
        <w:rPr>
          <w:rFonts w:ascii="Verdana" w:hAnsi="Verdana"/>
          <w:sz w:val="18"/>
          <w:szCs w:val="18"/>
        </w:rPr>
        <w:t>:</w:t>
      </w:r>
      <w:r w:rsidRPr="000C7CFA">
        <w:rPr>
          <w:rFonts w:ascii="Verdana" w:hAnsi="Verdana"/>
          <w:sz w:val="18"/>
          <w:szCs w:val="18"/>
        </w:rPr>
        <w:tab/>
        <w:t>0.027 mg/L*</w:t>
      </w:r>
    </w:p>
    <w:p w14:paraId="577C44E4" w14:textId="77777777" w:rsidR="00DC0942" w:rsidRPr="000C7CFA" w:rsidRDefault="00DC0942" w:rsidP="00DC0942">
      <w:pPr>
        <w:rPr>
          <w:rFonts w:ascii="Verdana" w:hAnsi="Verdana"/>
          <w:sz w:val="18"/>
          <w:szCs w:val="18"/>
        </w:rPr>
      </w:pPr>
    </w:p>
    <w:p w14:paraId="1E484D9E" w14:textId="77777777" w:rsidR="00D91631" w:rsidRPr="000C7CFA" w:rsidRDefault="00D91631" w:rsidP="00D91631">
      <w:pPr>
        <w:pStyle w:val="ListParagraph"/>
        <w:widowControl w:val="0"/>
        <w:spacing w:after="120" w:line="240" w:lineRule="auto"/>
        <w:ind w:left="284"/>
        <w:jc w:val="both"/>
        <w:rPr>
          <w:rFonts w:ascii="Verdana" w:hAnsi="Verdana"/>
          <w:sz w:val="18"/>
          <w:szCs w:val="18"/>
        </w:rPr>
      </w:pPr>
      <w:r w:rsidRPr="000C7CFA">
        <w:rPr>
          <w:rFonts w:ascii="Verdana" w:hAnsi="Verdana"/>
          <w:sz w:val="18"/>
          <w:szCs w:val="18"/>
        </w:rPr>
        <w:t>* Indicates that the chemical may not be soluble enough to measure this predicted effect.</w:t>
      </w:r>
    </w:p>
    <w:p w14:paraId="25680033" w14:textId="77777777" w:rsidR="00D91631" w:rsidRPr="000C7CFA" w:rsidRDefault="00D91631" w:rsidP="00D91631">
      <w:pPr>
        <w:pStyle w:val="ListParagraph"/>
        <w:widowControl w:val="0"/>
        <w:spacing w:after="120" w:line="240" w:lineRule="auto"/>
        <w:ind w:left="284"/>
        <w:jc w:val="both"/>
        <w:rPr>
          <w:rFonts w:ascii="Verdana" w:hAnsi="Verdana"/>
          <w:sz w:val="18"/>
          <w:szCs w:val="18"/>
        </w:rPr>
      </w:pPr>
    </w:p>
    <w:p w14:paraId="556BB6A5" w14:textId="77777777" w:rsidR="00DC0942" w:rsidRPr="000C7CFA" w:rsidRDefault="00DC0942" w:rsidP="00D91631">
      <w:pPr>
        <w:pStyle w:val="ListParagraph"/>
        <w:widowControl w:val="0"/>
        <w:spacing w:after="0" w:line="240" w:lineRule="auto"/>
        <w:ind w:left="284"/>
        <w:jc w:val="both"/>
        <w:rPr>
          <w:rFonts w:ascii="Verdana" w:hAnsi="Verdana"/>
          <w:sz w:val="18"/>
          <w:szCs w:val="18"/>
        </w:rPr>
      </w:pPr>
      <w:r w:rsidRPr="000C7CFA">
        <w:rPr>
          <w:rFonts w:ascii="Verdana" w:hAnsi="Verdana"/>
          <w:sz w:val="18"/>
          <w:szCs w:val="18"/>
        </w:rPr>
        <w:t>ChV (Chronic Value) is the geometric mean of the no observed effect concentration (NOEC) and the lowest observed effect concentration (LOEC). This can be mathematically represented as: ChV = 10</w:t>
      </w:r>
      <w:proofErr w:type="gramStart"/>
      <w:r w:rsidRPr="000C7CFA">
        <w:rPr>
          <w:rFonts w:ascii="Verdana" w:hAnsi="Verdana"/>
          <w:sz w:val="18"/>
          <w:szCs w:val="18"/>
        </w:rPr>
        <w:t>^(</w:t>
      </w:r>
      <w:proofErr w:type="gramEnd"/>
      <w:r w:rsidRPr="000C7CFA">
        <w:rPr>
          <w:rFonts w:ascii="Verdana" w:hAnsi="Verdana"/>
          <w:sz w:val="18"/>
          <w:szCs w:val="18"/>
        </w:rPr>
        <w:t>[log (LOEC x NOEC)]/2). NOEC values can be derived from predicted ChV values by dividing by √2.</w:t>
      </w:r>
    </w:p>
    <w:p w14:paraId="0971F978" w14:textId="77777777" w:rsidR="00DC0942" w:rsidRPr="000C7CFA" w:rsidRDefault="00DC0942" w:rsidP="00DC0942">
      <w:pPr>
        <w:rPr>
          <w:rFonts w:ascii="Verdana" w:hAnsi="Verdana"/>
          <w:sz w:val="18"/>
          <w:szCs w:val="18"/>
        </w:rPr>
      </w:pPr>
    </w:p>
    <w:p w14:paraId="690513DD" w14:textId="1AAB5D05" w:rsidR="004C27CE" w:rsidRPr="000C7CFA" w:rsidRDefault="00DC0942" w:rsidP="004C27CE">
      <w:pPr>
        <w:jc w:val="both"/>
        <w:rPr>
          <w:rFonts w:ascii="Verdana" w:hAnsi="Verdana"/>
          <w:sz w:val="18"/>
          <w:szCs w:val="18"/>
          <w:lang w:val="en-GB"/>
        </w:rPr>
      </w:pPr>
      <w:r w:rsidRPr="000C7CFA">
        <w:rPr>
          <w:rFonts w:ascii="Verdana" w:hAnsi="Verdana"/>
          <w:sz w:val="18"/>
          <w:szCs w:val="18"/>
        </w:rPr>
        <w:t xml:space="preserve">The reliability of the EPIWIN ecotoxicity QSAR models </w:t>
      </w:r>
      <w:r w:rsidR="004C27CE" w:rsidRPr="000C7CFA">
        <w:rPr>
          <w:rFonts w:ascii="Verdana" w:hAnsi="Verdana"/>
          <w:sz w:val="18"/>
          <w:szCs w:val="18"/>
        </w:rPr>
        <w:t xml:space="preserve">for this type of structure </w:t>
      </w:r>
      <w:r w:rsidRPr="000C7CFA">
        <w:rPr>
          <w:rFonts w:ascii="Verdana" w:hAnsi="Verdana"/>
          <w:sz w:val="18"/>
          <w:szCs w:val="18"/>
        </w:rPr>
        <w:t xml:space="preserve">are discussed in Appendix </w:t>
      </w:r>
      <w:r w:rsidR="00E626D2" w:rsidRPr="000C7CFA">
        <w:rPr>
          <w:rFonts w:ascii="Verdana" w:hAnsi="Verdana"/>
          <w:sz w:val="18"/>
          <w:szCs w:val="18"/>
        </w:rPr>
        <w:t>8</w:t>
      </w:r>
      <w:r w:rsidRPr="000C7CFA">
        <w:rPr>
          <w:rFonts w:ascii="Verdana" w:hAnsi="Verdana"/>
          <w:sz w:val="18"/>
          <w:szCs w:val="18"/>
        </w:rPr>
        <w:t>. DPMA has a</w:t>
      </w:r>
      <w:r w:rsidR="00B93106" w:rsidRPr="000C7CFA">
        <w:rPr>
          <w:rFonts w:ascii="Verdana" w:hAnsi="Verdana"/>
          <w:sz w:val="18"/>
          <w:szCs w:val="18"/>
        </w:rPr>
        <w:t xml:space="preserve"> predicted</w:t>
      </w:r>
      <w:r w:rsidRPr="000C7CFA">
        <w:rPr>
          <w:rFonts w:ascii="Verdana" w:hAnsi="Verdana"/>
          <w:sz w:val="18"/>
          <w:szCs w:val="18"/>
        </w:rPr>
        <w:t xml:space="preserve"> log K</w:t>
      </w:r>
      <w:r w:rsidRPr="000C7CFA">
        <w:rPr>
          <w:rFonts w:ascii="Verdana" w:hAnsi="Verdana"/>
          <w:sz w:val="18"/>
          <w:szCs w:val="18"/>
          <w:vertAlign w:val="subscript"/>
        </w:rPr>
        <w:t>OW</w:t>
      </w:r>
      <w:r w:rsidRPr="000C7CFA">
        <w:rPr>
          <w:rFonts w:ascii="Verdana" w:hAnsi="Verdana"/>
          <w:sz w:val="18"/>
          <w:szCs w:val="18"/>
        </w:rPr>
        <w:t xml:space="preserve"> that is outside of the prediction domain for the acute </w:t>
      </w:r>
      <w:r w:rsidR="004C27CE" w:rsidRPr="000C7CFA">
        <w:rPr>
          <w:rFonts w:ascii="Verdana" w:hAnsi="Verdana"/>
          <w:sz w:val="18"/>
          <w:szCs w:val="18"/>
        </w:rPr>
        <w:t xml:space="preserve">toxicity </w:t>
      </w:r>
      <w:r w:rsidRPr="000C7CFA">
        <w:rPr>
          <w:rFonts w:ascii="Verdana" w:hAnsi="Verdana"/>
          <w:sz w:val="18"/>
          <w:szCs w:val="18"/>
        </w:rPr>
        <w:t xml:space="preserve">models, so the acute predictions </w:t>
      </w:r>
      <w:r w:rsidR="004C27CE" w:rsidRPr="000C7CFA">
        <w:rPr>
          <w:rFonts w:ascii="Verdana" w:hAnsi="Verdana"/>
          <w:sz w:val="18"/>
          <w:szCs w:val="18"/>
        </w:rPr>
        <w:t>may</w:t>
      </w:r>
      <w:r w:rsidR="00B93106" w:rsidRPr="000C7CFA">
        <w:rPr>
          <w:rFonts w:ascii="Verdana" w:hAnsi="Verdana"/>
          <w:sz w:val="18"/>
          <w:szCs w:val="18"/>
        </w:rPr>
        <w:t xml:space="preserve"> be</w:t>
      </w:r>
      <w:r w:rsidRPr="000C7CFA">
        <w:rPr>
          <w:rFonts w:ascii="Verdana" w:hAnsi="Verdana"/>
          <w:sz w:val="18"/>
          <w:szCs w:val="18"/>
        </w:rPr>
        <w:t xml:space="preserve"> </w:t>
      </w:r>
      <w:r w:rsidR="004C27CE" w:rsidRPr="000C7CFA">
        <w:rPr>
          <w:rFonts w:ascii="Verdana" w:hAnsi="Verdana"/>
          <w:sz w:val="18"/>
          <w:szCs w:val="18"/>
        </w:rPr>
        <w:t>un</w:t>
      </w:r>
      <w:r w:rsidRPr="000C7CFA">
        <w:rPr>
          <w:rFonts w:ascii="Verdana" w:hAnsi="Verdana"/>
          <w:sz w:val="18"/>
          <w:szCs w:val="18"/>
        </w:rPr>
        <w:t>reliable. The log K</w:t>
      </w:r>
      <w:r w:rsidRPr="000C7CFA">
        <w:rPr>
          <w:rFonts w:ascii="Verdana" w:hAnsi="Verdana"/>
          <w:sz w:val="18"/>
          <w:szCs w:val="18"/>
          <w:vertAlign w:val="subscript"/>
        </w:rPr>
        <w:t>OW</w:t>
      </w:r>
      <w:r w:rsidRPr="000C7CFA">
        <w:rPr>
          <w:rFonts w:ascii="Verdana" w:hAnsi="Verdana"/>
          <w:sz w:val="18"/>
          <w:szCs w:val="18"/>
        </w:rPr>
        <w:t xml:space="preserve"> is below 8 so within the prediction domain of the chronic models. The algal predictions are higher than the predicted water solubility by an order of magnitude, so long-term effects are not expected. There is one relevant analogue (chlordane) in the training set for the chronic fish/daphnia QSAR in the vinyl/allyl halides model. There are no norbornene analogues in the training set for the chronic QSAR in the neutral organics model. It </w:t>
      </w:r>
      <w:r w:rsidR="004C27CE" w:rsidRPr="000C7CFA">
        <w:rPr>
          <w:rFonts w:ascii="Verdana" w:hAnsi="Verdana"/>
          <w:sz w:val="18"/>
          <w:szCs w:val="18"/>
        </w:rPr>
        <w:t>is</w:t>
      </w:r>
      <w:r w:rsidRPr="000C7CFA">
        <w:rPr>
          <w:rFonts w:ascii="Verdana" w:hAnsi="Verdana"/>
          <w:sz w:val="18"/>
          <w:szCs w:val="18"/>
        </w:rPr>
        <w:t xml:space="preserve"> concluded that DPMA might be toxic to fish and Daphnia with a </w:t>
      </w:r>
      <w:r w:rsidR="00277DDE" w:rsidRPr="000C7CFA">
        <w:rPr>
          <w:rFonts w:ascii="Verdana" w:hAnsi="Verdana"/>
          <w:sz w:val="18"/>
          <w:szCs w:val="18"/>
        </w:rPr>
        <w:t xml:space="preserve">chronic </w:t>
      </w:r>
      <w:r w:rsidRPr="000C7CFA">
        <w:rPr>
          <w:rFonts w:ascii="Verdana" w:hAnsi="Verdana"/>
          <w:sz w:val="18"/>
          <w:szCs w:val="18"/>
        </w:rPr>
        <w:t>NOEC below 0.01 mg/L</w:t>
      </w:r>
      <w:r w:rsidR="004C27CE" w:rsidRPr="000C7CFA">
        <w:rPr>
          <w:rFonts w:ascii="Verdana" w:hAnsi="Verdana"/>
          <w:sz w:val="18"/>
          <w:szCs w:val="18"/>
        </w:rPr>
        <w:t>, although there is some uncertainty</w:t>
      </w:r>
      <w:r w:rsidRPr="000C7CFA">
        <w:rPr>
          <w:rFonts w:ascii="Verdana" w:hAnsi="Verdana"/>
          <w:sz w:val="18"/>
          <w:szCs w:val="18"/>
        </w:rPr>
        <w:t>.</w:t>
      </w:r>
      <w:r w:rsidR="004C27CE" w:rsidRPr="000C7CFA">
        <w:rPr>
          <w:rFonts w:ascii="Verdana" w:hAnsi="Verdana"/>
          <w:sz w:val="18"/>
          <w:szCs w:val="18"/>
        </w:rPr>
        <w:t xml:space="preserve"> </w:t>
      </w:r>
      <w:r w:rsidR="00B41EEF" w:rsidRPr="000C7CFA">
        <w:rPr>
          <w:rFonts w:ascii="Verdana" w:hAnsi="Verdana"/>
          <w:sz w:val="18"/>
          <w:szCs w:val="18"/>
          <w:lang w:val="en-GB"/>
        </w:rPr>
        <w:t xml:space="preserve">These QSAR estimates might not take full account of specific modes of action. </w:t>
      </w:r>
    </w:p>
    <w:p w14:paraId="30CDE6D2" w14:textId="6833F2D7" w:rsidR="004C27CE" w:rsidRPr="000C7CFA" w:rsidRDefault="004C27CE" w:rsidP="004C27CE">
      <w:pPr>
        <w:autoSpaceDE w:val="0"/>
        <w:autoSpaceDN w:val="0"/>
        <w:adjustRightInd w:val="0"/>
        <w:spacing w:after="0"/>
        <w:jc w:val="both"/>
        <w:rPr>
          <w:rFonts w:ascii="Verdana" w:hAnsi="Verdana"/>
          <w:i/>
          <w:sz w:val="18"/>
          <w:szCs w:val="18"/>
          <w:lang w:val="en-GB"/>
        </w:rPr>
      </w:pPr>
      <w:r w:rsidRPr="000C7CFA">
        <w:rPr>
          <w:rFonts w:ascii="Verdana" w:hAnsi="Verdana"/>
          <w:i/>
          <w:sz w:val="18"/>
          <w:szCs w:val="18"/>
          <w:lang w:val="en-GB"/>
        </w:rPr>
        <w:t>Read across</w:t>
      </w:r>
    </w:p>
    <w:p w14:paraId="2BF81798" w14:textId="77777777" w:rsidR="004C27CE" w:rsidRPr="000C7CFA" w:rsidRDefault="004C27CE" w:rsidP="004C27CE">
      <w:pPr>
        <w:autoSpaceDE w:val="0"/>
        <w:autoSpaceDN w:val="0"/>
        <w:adjustRightInd w:val="0"/>
        <w:spacing w:after="0"/>
        <w:jc w:val="both"/>
        <w:rPr>
          <w:rFonts w:ascii="Verdana" w:hAnsi="Verdana"/>
          <w:i/>
          <w:sz w:val="18"/>
          <w:szCs w:val="18"/>
          <w:lang w:val="en-GB"/>
        </w:rPr>
      </w:pPr>
    </w:p>
    <w:p w14:paraId="5396B27D" w14:textId="5B952295" w:rsidR="002056E2" w:rsidRPr="000C7CFA" w:rsidRDefault="00B41EEF" w:rsidP="004C27CE">
      <w:pPr>
        <w:jc w:val="both"/>
        <w:rPr>
          <w:rFonts w:ascii="Verdana" w:hAnsi="Verdana"/>
          <w:sz w:val="18"/>
          <w:szCs w:val="18"/>
          <w:lang w:val="en-GB"/>
        </w:rPr>
      </w:pPr>
      <w:r w:rsidRPr="000C7CFA">
        <w:rPr>
          <w:rFonts w:ascii="Verdana" w:hAnsi="Verdana"/>
          <w:sz w:val="18"/>
          <w:szCs w:val="18"/>
          <w:lang w:val="en-GB"/>
        </w:rPr>
        <w:t>DPMA</w:t>
      </w:r>
      <w:r w:rsidR="00EE1D74" w:rsidRPr="000C7CFA">
        <w:rPr>
          <w:rFonts w:ascii="Verdana" w:hAnsi="Verdana"/>
          <w:sz w:val="18"/>
          <w:szCs w:val="18"/>
          <w:lang w:val="en-GB"/>
        </w:rPr>
        <w:t xml:space="preserve"> ha</w:t>
      </w:r>
      <w:r w:rsidRPr="000C7CFA">
        <w:rPr>
          <w:rFonts w:ascii="Verdana" w:hAnsi="Verdana"/>
          <w:sz w:val="18"/>
          <w:szCs w:val="18"/>
          <w:lang w:val="en-GB"/>
        </w:rPr>
        <w:t>s structural similar</w:t>
      </w:r>
      <w:r w:rsidR="00EE1D74" w:rsidRPr="000C7CFA">
        <w:rPr>
          <w:rFonts w:ascii="Verdana" w:hAnsi="Verdana"/>
          <w:sz w:val="18"/>
          <w:szCs w:val="18"/>
          <w:lang w:val="en-GB"/>
        </w:rPr>
        <w:t>ities</w:t>
      </w:r>
      <w:r w:rsidRPr="000C7CFA">
        <w:rPr>
          <w:rFonts w:ascii="Verdana" w:hAnsi="Verdana"/>
          <w:sz w:val="18"/>
          <w:szCs w:val="18"/>
          <w:lang w:val="en-GB"/>
        </w:rPr>
        <w:t xml:space="preserve"> to aldrin</w:t>
      </w:r>
      <w:r w:rsidR="004C27CE" w:rsidRPr="000C7CFA">
        <w:rPr>
          <w:rFonts w:ascii="Verdana" w:hAnsi="Verdana"/>
          <w:sz w:val="18"/>
          <w:szCs w:val="18"/>
          <w:lang w:val="en-GB"/>
        </w:rPr>
        <w:t xml:space="preserve"> (CAS no. 309-00-2) and heptachlor (CAS no. 76-44-8)</w:t>
      </w:r>
      <w:r w:rsidRPr="000C7CFA">
        <w:rPr>
          <w:rFonts w:ascii="Verdana" w:hAnsi="Verdana"/>
          <w:sz w:val="18"/>
          <w:szCs w:val="18"/>
          <w:lang w:val="en-GB"/>
        </w:rPr>
        <w:t xml:space="preserve">, </w:t>
      </w:r>
      <w:r w:rsidR="004C27CE" w:rsidRPr="000C7CFA">
        <w:rPr>
          <w:rFonts w:ascii="Verdana" w:hAnsi="Verdana"/>
          <w:sz w:val="18"/>
          <w:szCs w:val="18"/>
          <w:lang w:val="en-GB"/>
        </w:rPr>
        <w:t>both</w:t>
      </w:r>
      <w:r w:rsidRPr="000C7CFA">
        <w:rPr>
          <w:rFonts w:ascii="Verdana" w:hAnsi="Verdana"/>
          <w:sz w:val="18"/>
          <w:szCs w:val="18"/>
          <w:lang w:val="en-GB"/>
        </w:rPr>
        <w:t xml:space="preserve"> </w:t>
      </w:r>
      <w:r w:rsidR="0076237E" w:rsidRPr="000C7CFA">
        <w:rPr>
          <w:rFonts w:ascii="Verdana" w:hAnsi="Verdana"/>
          <w:sz w:val="18"/>
          <w:szCs w:val="18"/>
          <w:lang w:val="en-GB"/>
        </w:rPr>
        <w:t>well-known</w:t>
      </w:r>
      <w:r w:rsidRPr="000C7CFA">
        <w:rPr>
          <w:rFonts w:ascii="Verdana" w:hAnsi="Verdana"/>
          <w:sz w:val="18"/>
          <w:szCs w:val="18"/>
          <w:lang w:val="en-GB"/>
        </w:rPr>
        <w:t xml:space="preserve"> pesticide active substance</w:t>
      </w:r>
      <w:r w:rsidR="004C27CE" w:rsidRPr="000C7CFA">
        <w:rPr>
          <w:rFonts w:ascii="Verdana" w:hAnsi="Verdana"/>
          <w:sz w:val="18"/>
          <w:szCs w:val="18"/>
          <w:lang w:val="en-GB"/>
        </w:rPr>
        <w:t>s</w:t>
      </w:r>
      <w:r w:rsidR="00C771E7" w:rsidRPr="000C7CFA">
        <w:rPr>
          <w:rFonts w:ascii="Verdana" w:hAnsi="Verdana"/>
          <w:sz w:val="18"/>
          <w:szCs w:val="18"/>
          <w:lang w:val="en-GB"/>
        </w:rPr>
        <w:t xml:space="preserve"> and Persistent Organic Pollutants (see Section 1.4 of the main report)</w:t>
      </w:r>
      <w:r w:rsidRPr="000C7CFA">
        <w:rPr>
          <w:rFonts w:ascii="Verdana" w:hAnsi="Verdana"/>
          <w:sz w:val="18"/>
          <w:szCs w:val="18"/>
          <w:lang w:val="en-GB"/>
        </w:rPr>
        <w:t xml:space="preserve">. </w:t>
      </w:r>
    </w:p>
    <w:p w14:paraId="0700BAC7" w14:textId="1C276BF0" w:rsidR="00B41EEF" w:rsidRPr="000C7CFA" w:rsidRDefault="00EE1D74" w:rsidP="008E1ED3">
      <w:pPr>
        <w:tabs>
          <w:tab w:val="left" w:pos="993"/>
          <w:tab w:val="left" w:pos="3686"/>
          <w:tab w:val="left" w:pos="6237"/>
        </w:tabs>
        <w:spacing w:after="0"/>
        <w:jc w:val="both"/>
        <w:rPr>
          <w:rFonts w:ascii="Verdana" w:hAnsi="Verdana"/>
          <w:b/>
          <w:sz w:val="18"/>
          <w:szCs w:val="18"/>
          <w:lang w:val="en-GB"/>
        </w:rPr>
      </w:pPr>
      <w:r w:rsidRPr="000C7CFA">
        <w:rPr>
          <w:rFonts w:ascii="Verdana" w:hAnsi="Verdana"/>
          <w:b/>
          <w:sz w:val="18"/>
          <w:szCs w:val="18"/>
          <w:lang w:val="en-GB"/>
        </w:rPr>
        <w:tab/>
        <w:t>Aldrin</w:t>
      </w:r>
      <w:r w:rsidRPr="000C7CFA">
        <w:rPr>
          <w:rFonts w:ascii="Verdana" w:hAnsi="Verdana"/>
          <w:noProof/>
          <w:sz w:val="18"/>
          <w:szCs w:val="18"/>
          <w:lang w:val="en-GB" w:eastAsia="en-GB"/>
        </w:rPr>
        <w:tab/>
      </w:r>
      <w:r w:rsidR="00B41EEF" w:rsidRPr="000C7CFA">
        <w:rPr>
          <w:rFonts w:ascii="Verdana" w:hAnsi="Verdana"/>
          <w:b/>
          <w:sz w:val="18"/>
          <w:szCs w:val="18"/>
          <w:lang w:val="en-GB"/>
        </w:rPr>
        <w:t>DPMA</w:t>
      </w:r>
      <w:r w:rsidR="00B41EEF" w:rsidRPr="000C7CFA">
        <w:rPr>
          <w:rFonts w:ascii="Verdana" w:hAnsi="Verdana"/>
          <w:b/>
          <w:sz w:val="18"/>
          <w:szCs w:val="18"/>
          <w:lang w:val="en-GB"/>
        </w:rPr>
        <w:tab/>
      </w:r>
      <w:r w:rsidR="004C27CE" w:rsidRPr="000C7CFA">
        <w:rPr>
          <w:rFonts w:ascii="Verdana" w:hAnsi="Verdana"/>
          <w:b/>
          <w:sz w:val="18"/>
          <w:szCs w:val="18"/>
          <w:lang w:val="en-GB"/>
        </w:rPr>
        <w:t>Heptachlor</w:t>
      </w:r>
    </w:p>
    <w:p w14:paraId="3C3A9C91" w14:textId="08D53033" w:rsidR="00BD4B32" w:rsidRPr="000C7CFA" w:rsidRDefault="00BD4B32" w:rsidP="00DF46A5">
      <w:pPr>
        <w:tabs>
          <w:tab w:val="left" w:pos="1843"/>
        </w:tabs>
        <w:spacing w:after="0"/>
        <w:jc w:val="both"/>
        <w:rPr>
          <w:rFonts w:ascii="Verdana" w:hAnsi="Verdana"/>
          <w:sz w:val="18"/>
          <w:szCs w:val="18"/>
          <w:lang w:val="en-GB"/>
        </w:rPr>
      </w:pPr>
    </w:p>
    <w:p w14:paraId="20FE38A4" w14:textId="45EFBBA1" w:rsidR="002056E2" w:rsidRPr="000C7CFA" w:rsidRDefault="008E1ED3" w:rsidP="00BD4B32">
      <w:pPr>
        <w:tabs>
          <w:tab w:val="left" w:pos="1843"/>
        </w:tabs>
        <w:spacing w:after="0"/>
        <w:jc w:val="both"/>
        <w:rPr>
          <w:rFonts w:ascii="Verdana" w:hAnsi="Verdana"/>
          <w:i/>
          <w:sz w:val="18"/>
          <w:szCs w:val="18"/>
          <w:u w:val="single"/>
        </w:rPr>
      </w:pPr>
      <w:r w:rsidRPr="000C7CFA">
        <w:rPr>
          <w:rFonts w:ascii="Verdana" w:hAnsi="Verdana"/>
          <w:noProof/>
          <w:sz w:val="18"/>
          <w:szCs w:val="18"/>
          <w:lang w:val="en-GB" w:eastAsia="en-GB"/>
        </w:rPr>
        <w:drawing>
          <wp:anchor distT="0" distB="0" distL="114300" distR="114300" simplePos="0" relativeHeight="251683840" behindDoc="1" locked="0" layoutInCell="1" allowOverlap="1" wp14:anchorId="15D5BD24" wp14:editId="6346CD00">
            <wp:simplePos x="0" y="0"/>
            <wp:positionH relativeFrom="column">
              <wp:posOffset>1866900</wp:posOffset>
            </wp:positionH>
            <wp:positionV relativeFrom="paragraph">
              <wp:posOffset>16510</wp:posOffset>
            </wp:positionV>
            <wp:extent cx="1657350" cy="1071880"/>
            <wp:effectExtent l="0" t="0" r="0" b="0"/>
            <wp:wrapTight wrapText="bothSides">
              <wp:wrapPolygon edited="0">
                <wp:start x="0" y="0"/>
                <wp:lineTo x="0" y="21114"/>
                <wp:lineTo x="21352" y="21114"/>
                <wp:lineTo x="2135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a:extLst>
                        <a:ext uri="{28A0092B-C50C-407E-A947-70E740481C1C}">
                          <a14:useLocalDpi xmlns:a14="http://schemas.microsoft.com/office/drawing/2010/main" val="0"/>
                        </a:ext>
                      </a:extLst>
                    </a:blip>
                    <a:srcRect l="22380" t="25144" r="14286" b="25714"/>
                    <a:stretch/>
                  </pic:blipFill>
                  <pic:spPr bwMode="auto">
                    <a:xfrm>
                      <a:off x="0" y="0"/>
                      <a:ext cx="1657350" cy="1071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7CFA">
        <w:rPr>
          <w:rFonts w:ascii="Verdana" w:hAnsi="Verdana"/>
          <w:noProof/>
          <w:sz w:val="18"/>
          <w:szCs w:val="18"/>
          <w:lang w:val="en-GB" w:eastAsia="en-GB"/>
        </w:rPr>
        <w:drawing>
          <wp:anchor distT="0" distB="0" distL="114300" distR="114300" simplePos="0" relativeHeight="251679744" behindDoc="1" locked="0" layoutInCell="1" allowOverlap="1" wp14:anchorId="487AB416" wp14:editId="2212DC74">
            <wp:simplePos x="0" y="0"/>
            <wp:positionH relativeFrom="column">
              <wp:posOffset>3764280</wp:posOffset>
            </wp:positionH>
            <wp:positionV relativeFrom="paragraph">
              <wp:posOffset>235585</wp:posOffset>
            </wp:positionV>
            <wp:extent cx="1294765" cy="986790"/>
            <wp:effectExtent l="0" t="0" r="635" b="3810"/>
            <wp:wrapTight wrapText="bothSides">
              <wp:wrapPolygon edited="0">
                <wp:start x="0" y="0"/>
                <wp:lineTo x="0" y="21266"/>
                <wp:lineTo x="21293" y="21266"/>
                <wp:lineTo x="212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a:extLst>
                        <a:ext uri="{28A0092B-C50C-407E-A947-70E740481C1C}">
                          <a14:useLocalDpi xmlns:a14="http://schemas.microsoft.com/office/drawing/2010/main" val="0"/>
                        </a:ext>
                      </a:extLst>
                    </a:blip>
                    <a:srcRect l="24762" t="25143" r="18096" b="22571"/>
                    <a:stretch/>
                  </pic:blipFill>
                  <pic:spPr bwMode="auto">
                    <a:xfrm>
                      <a:off x="0" y="0"/>
                      <a:ext cx="1294765" cy="986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3710" w:rsidRPr="000C7CFA">
        <w:rPr>
          <w:rFonts w:ascii="Verdana" w:hAnsi="Verdana"/>
          <w:noProof/>
          <w:sz w:val="18"/>
          <w:szCs w:val="18"/>
          <w:lang w:val="en-GB" w:eastAsia="en-GB"/>
        </w:rPr>
        <w:drawing>
          <wp:anchor distT="0" distB="0" distL="114300" distR="114300" simplePos="0" relativeHeight="251680768" behindDoc="1" locked="0" layoutInCell="1" allowOverlap="1" wp14:anchorId="1CA22856" wp14:editId="7D128D2E">
            <wp:simplePos x="0" y="0"/>
            <wp:positionH relativeFrom="margin">
              <wp:posOffset>114300</wp:posOffset>
            </wp:positionH>
            <wp:positionV relativeFrom="paragraph">
              <wp:posOffset>213995</wp:posOffset>
            </wp:positionV>
            <wp:extent cx="1647825" cy="1028700"/>
            <wp:effectExtent l="0" t="0" r="9525" b="0"/>
            <wp:wrapTight wrapText="bothSides">
              <wp:wrapPolygon edited="0">
                <wp:start x="0" y="0"/>
                <wp:lineTo x="0" y="21200"/>
                <wp:lineTo x="21475" y="21200"/>
                <wp:lineTo x="214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2">
                      <a:extLst>
                        <a:ext uri="{28A0092B-C50C-407E-A947-70E740481C1C}">
                          <a14:useLocalDpi xmlns:a14="http://schemas.microsoft.com/office/drawing/2010/main" val="0"/>
                        </a:ext>
                      </a:extLst>
                    </a:blip>
                    <a:srcRect l="24524" t="25429" r="12143" b="27143"/>
                    <a:stretch/>
                  </pic:blipFill>
                  <pic:spPr bwMode="auto">
                    <a:xfrm>
                      <a:off x="0" y="0"/>
                      <a:ext cx="1647825"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AAA480" w14:textId="1DC01813" w:rsidR="002056E2" w:rsidRPr="000C7CFA" w:rsidRDefault="002056E2" w:rsidP="00BD4B32">
      <w:pPr>
        <w:tabs>
          <w:tab w:val="left" w:pos="1843"/>
        </w:tabs>
        <w:spacing w:after="0"/>
        <w:jc w:val="both"/>
        <w:rPr>
          <w:rFonts w:ascii="Verdana" w:hAnsi="Verdana"/>
          <w:i/>
          <w:sz w:val="18"/>
          <w:szCs w:val="18"/>
          <w:u w:val="single"/>
        </w:rPr>
      </w:pPr>
    </w:p>
    <w:p w14:paraId="4775B7FD" w14:textId="55696584" w:rsidR="002056E2" w:rsidRPr="000C7CFA" w:rsidRDefault="002056E2" w:rsidP="00BD4B32">
      <w:pPr>
        <w:tabs>
          <w:tab w:val="left" w:pos="1843"/>
        </w:tabs>
        <w:spacing w:after="0"/>
        <w:jc w:val="both"/>
        <w:rPr>
          <w:rFonts w:ascii="Verdana" w:hAnsi="Verdana"/>
          <w:i/>
          <w:sz w:val="18"/>
          <w:szCs w:val="18"/>
          <w:u w:val="single"/>
        </w:rPr>
      </w:pPr>
    </w:p>
    <w:p w14:paraId="144CE0A9" w14:textId="09BCFC3D" w:rsidR="004C27CE" w:rsidRPr="000C7CFA" w:rsidRDefault="004C27CE" w:rsidP="002056E2">
      <w:pPr>
        <w:tabs>
          <w:tab w:val="left" w:pos="1843"/>
        </w:tabs>
        <w:spacing w:after="0"/>
        <w:jc w:val="both"/>
        <w:rPr>
          <w:rFonts w:ascii="Verdana" w:hAnsi="Verdana"/>
          <w:sz w:val="18"/>
          <w:szCs w:val="18"/>
        </w:rPr>
      </w:pPr>
      <w:r w:rsidRPr="000C7CFA">
        <w:rPr>
          <w:rFonts w:ascii="Verdana" w:hAnsi="Verdana"/>
          <w:sz w:val="18"/>
          <w:szCs w:val="18"/>
          <w:lang w:val="en-GB"/>
        </w:rPr>
        <w:t xml:space="preserve">All share the chlorinated norbornene group attached to </w:t>
      </w:r>
      <w:r w:rsidR="00DC0942" w:rsidRPr="000C7CFA">
        <w:rPr>
          <w:rFonts w:ascii="Verdana" w:hAnsi="Verdana"/>
          <w:sz w:val="18"/>
          <w:szCs w:val="18"/>
          <w:lang w:val="en-GB"/>
        </w:rPr>
        <w:t xml:space="preserve">an aliphatic ring </w:t>
      </w:r>
      <w:r w:rsidRPr="000C7CFA">
        <w:rPr>
          <w:rFonts w:ascii="Verdana" w:hAnsi="Verdana"/>
          <w:sz w:val="18"/>
          <w:szCs w:val="18"/>
          <w:lang w:val="en-GB"/>
        </w:rPr>
        <w:t>containing</w:t>
      </w:r>
      <w:r w:rsidR="00DC0942" w:rsidRPr="000C7CFA">
        <w:rPr>
          <w:rFonts w:ascii="Verdana" w:hAnsi="Verdana"/>
          <w:sz w:val="18"/>
          <w:szCs w:val="18"/>
          <w:lang w:val="en-GB"/>
        </w:rPr>
        <w:t xml:space="preserve"> one double bond</w:t>
      </w:r>
      <w:r w:rsidRPr="000C7CFA">
        <w:rPr>
          <w:rFonts w:ascii="Verdana" w:hAnsi="Verdana"/>
          <w:sz w:val="18"/>
          <w:szCs w:val="18"/>
          <w:lang w:val="en-GB"/>
        </w:rPr>
        <w:t>.</w:t>
      </w:r>
      <w:r w:rsidR="00DC0942" w:rsidRPr="000C7CFA">
        <w:rPr>
          <w:rFonts w:ascii="Verdana" w:hAnsi="Verdana"/>
          <w:sz w:val="18"/>
          <w:szCs w:val="18"/>
          <w:lang w:val="en-GB"/>
        </w:rPr>
        <w:t xml:space="preserve"> </w:t>
      </w:r>
      <w:r w:rsidR="002056E2" w:rsidRPr="000C7CFA">
        <w:rPr>
          <w:rFonts w:ascii="Verdana" w:hAnsi="Verdana"/>
          <w:sz w:val="18"/>
          <w:szCs w:val="18"/>
          <w:lang w:val="en-GB"/>
        </w:rPr>
        <w:t>DPMA</w:t>
      </w:r>
      <w:r w:rsidR="00DC0942" w:rsidRPr="000C7CFA">
        <w:rPr>
          <w:rFonts w:ascii="Verdana" w:hAnsi="Verdana"/>
          <w:sz w:val="18"/>
          <w:szCs w:val="18"/>
          <w:lang w:val="en-GB"/>
        </w:rPr>
        <w:t>’s ring is</w:t>
      </w:r>
      <w:r w:rsidR="002056E2" w:rsidRPr="000C7CFA">
        <w:rPr>
          <w:rFonts w:ascii="Verdana" w:hAnsi="Verdana"/>
          <w:sz w:val="18"/>
          <w:szCs w:val="18"/>
          <w:lang w:val="en-GB"/>
        </w:rPr>
        <w:t xml:space="preserve"> eight-sided, whereas </w:t>
      </w:r>
      <w:proofErr w:type="gramStart"/>
      <w:r w:rsidR="002056E2" w:rsidRPr="000C7CFA">
        <w:rPr>
          <w:rFonts w:ascii="Verdana" w:hAnsi="Verdana"/>
          <w:sz w:val="18"/>
          <w:szCs w:val="18"/>
          <w:lang w:val="en-GB"/>
        </w:rPr>
        <w:t>aldrin</w:t>
      </w:r>
      <w:r w:rsidR="00DC0942" w:rsidRPr="000C7CFA">
        <w:rPr>
          <w:rFonts w:ascii="Verdana" w:hAnsi="Verdana"/>
          <w:sz w:val="18"/>
          <w:szCs w:val="18"/>
          <w:lang w:val="en-GB"/>
        </w:rPr>
        <w:t>’s</w:t>
      </w:r>
      <w:proofErr w:type="gramEnd"/>
      <w:r w:rsidR="00DC0942" w:rsidRPr="000C7CFA">
        <w:rPr>
          <w:rFonts w:ascii="Verdana" w:hAnsi="Verdana"/>
          <w:sz w:val="18"/>
          <w:szCs w:val="18"/>
          <w:lang w:val="en-GB"/>
        </w:rPr>
        <w:t xml:space="preserve"> is</w:t>
      </w:r>
      <w:r w:rsidR="002056E2" w:rsidRPr="000C7CFA">
        <w:rPr>
          <w:rFonts w:ascii="Verdana" w:hAnsi="Verdana"/>
          <w:sz w:val="18"/>
          <w:szCs w:val="18"/>
          <w:lang w:val="en-GB"/>
        </w:rPr>
        <w:t xml:space="preserve"> six-sided</w:t>
      </w:r>
      <w:r w:rsidR="00DC0942" w:rsidRPr="000C7CFA">
        <w:rPr>
          <w:rFonts w:ascii="Verdana" w:hAnsi="Verdana"/>
          <w:sz w:val="18"/>
          <w:szCs w:val="18"/>
          <w:lang w:val="en-GB"/>
        </w:rPr>
        <w:t xml:space="preserve"> and also has</w:t>
      </w:r>
      <w:r w:rsidR="002056E2" w:rsidRPr="000C7CFA">
        <w:rPr>
          <w:rFonts w:ascii="Verdana" w:hAnsi="Verdana"/>
          <w:sz w:val="18"/>
          <w:szCs w:val="18"/>
          <w:lang w:val="en-GB"/>
        </w:rPr>
        <w:t xml:space="preserve"> an aliphatic bridge</w:t>
      </w:r>
      <w:r w:rsidR="00371E8D" w:rsidRPr="000C7CFA">
        <w:rPr>
          <w:rFonts w:ascii="Verdana" w:hAnsi="Verdana"/>
          <w:sz w:val="18"/>
          <w:szCs w:val="18"/>
          <w:lang w:val="en-GB"/>
        </w:rPr>
        <w:t>, which creates rigidity (DPMA will have some</w:t>
      </w:r>
      <w:r w:rsidR="00DC0942" w:rsidRPr="000C7CFA">
        <w:rPr>
          <w:rFonts w:ascii="Verdana" w:hAnsi="Verdana"/>
          <w:sz w:val="18"/>
          <w:szCs w:val="18"/>
          <w:lang w:val="en-GB"/>
        </w:rPr>
        <w:t xml:space="preserve"> limited</w:t>
      </w:r>
      <w:r w:rsidR="00371E8D" w:rsidRPr="000C7CFA">
        <w:rPr>
          <w:rFonts w:ascii="Verdana" w:hAnsi="Verdana"/>
          <w:sz w:val="18"/>
          <w:szCs w:val="18"/>
          <w:lang w:val="en-GB"/>
        </w:rPr>
        <w:t xml:space="preserve"> </w:t>
      </w:r>
      <w:r w:rsidR="00DC0942" w:rsidRPr="000C7CFA">
        <w:rPr>
          <w:rFonts w:ascii="Verdana" w:hAnsi="Verdana"/>
          <w:sz w:val="18"/>
          <w:szCs w:val="18"/>
          <w:lang w:val="en-GB"/>
        </w:rPr>
        <w:t xml:space="preserve">conformational </w:t>
      </w:r>
      <w:r w:rsidR="00371E8D" w:rsidRPr="000C7CFA">
        <w:rPr>
          <w:rFonts w:ascii="Verdana" w:hAnsi="Verdana"/>
          <w:sz w:val="18"/>
          <w:szCs w:val="18"/>
          <w:lang w:val="en-GB"/>
        </w:rPr>
        <w:t>flexibility)</w:t>
      </w:r>
      <w:r w:rsidR="002056E2" w:rsidRPr="000C7CFA">
        <w:rPr>
          <w:rFonts w:ascii="Verdana" w:hAnsi="Verdana"/>
          <w:sz w:val="18"/>
          <w:szCs w:val="18"/>
          <w:lang w:val="en-GB"/>
        </w:rPr>
        <w:t xml:space="preserve">. </w:t>
      </w:r>
      <w:r w:rsidRPr="000C7CFA">
        <w:rPr>
          <w:rFonts w:ascii="Verdana" w:hAnsi="Verdana"/>
          <w:sz w:val="18"/>
          <w:szCs w:val="18"/>
        </w:rPr>
        <w:t>Heptachlor has a five-membered aliphatic ring with a chlorine atom</w:t>
      </w:r>
      <w:r w:rsidR="00CF3DEF" w:rsidRPr="000C7CFA">
        <w:rPr>
          <w:rFonts w:ascii="Verdana" w:hAnsi="Verdana"/>
          <w:sz w:val="18"/>
          <w:szCs w:val="18"/>
        </w:rPr>
        <w:t xml:space="preserve"> and also has a fixed conformation</w:t>
      </w:r>
      <w:r w:rsidRPr="000C7CFA">
        <w:rPr>
          <w:rFonts w:ascii="Verdana" w:hAnsi="Verdana"/>
          <w:sz w:val="18"/>
          <w:szCs w:val="18"/>
        </w:rPr>
        <w:t>.</w:t>
      </w:r>
      <w:r w:rsidR="00CF3DEF" w:rsidRPr="000C7CFA">
        <w:rPr>
          <w:rFonts w:ascii="Verdana" w:hAnsi="Verdana"/>
          <w:sz w:val="18"/>
          <w:szCs w:val="18"/>
        </w:rPr>
        <w:t xml:space="preserve"> </w:t>
      </w:r>
    </w:p>
    <w:p w14:paraId="06892D3C" w14:textId="77777777" w:rsidR="004C27CE" w:rsidRPr="000C7CFA" w:rsidRDefault="004C27CE" w:rsidP="002056E2">
      <w:pPr>
        <w:tabs>
          <w:tab w:val="left" w:pos="1843"/>
        </w:tabs>
        <w:spacing w:after="0"/>
        <w:jc w:val="both"/>
        <w:rPr>
          <w:rFonts w:ascii="Verdana" w:hAnsi="Verdana"/>
          <w:sz w:val="18"/>
          <w:szCs w:val="18"/>
        </w:rPr>
      </w:pPr>
    </w:p>
    <w:p w14:paraId="6B4A8E13" w14:textId="4EFC6E1A" w:rsidR="00BF303E" w:rsidRPr="000C7CFA" w:rsidRDefault="002056E2" w:rsidP="002056E2">
      <w:pPr>
        <w:tabs>
          <w:tab w:val="left" w:pos="1843"/>
        </w:tabs>
        <w:spacing w:after="0"/>
        <w:jc w:val="both"/>
        <w:rPr>
          <w:rFonts w:ascii="Verdana" w:hAnsi="Verdana"/>
          <w:sz w:val="18"/>
          <w:szCs w:val="18"/>
          <w:lang w:val="en-GB"/>
        </w:rPr>
      </w:pPr>
      <w:r w:rsidRPr="000C7CFA">
        <w:rPr>
          <w:rFonts w:ascii="Verdana" w:hAnsi="Verdana"/>
          <w:sz w:val="18"/>
          <w:szCs w:val="18"/>
          <w:lang w:val="en-GB"/>
        </w:rPr>
        <w:t>The molecular formulas and masses are similar (C</w:t>
      </w:r>
      <w:r w:rsidRPr="000C7CFA">
        <w:rPr>
          <w:rFonts w:ascii="Verdana" w:hAnsi="Verdana"/>
          <w:sz w:val="18"/>
          <w:szCs w:val="18"/>
          <w:vertAlign w:val="subscript"/>
          <w:lang w:val="en-GB"/>
        </w:rPr>
        <w:t>13</w:t>
      </w:r>
      <w:r w:rsidRPr="000C7CFA">
        <w:rPr>
          <w:rFonts w:ascii="Verdana" w:hAnsi="Verdana"/>
          <w:sz w:val="18"/>
          <w:szCs w:val="18"/>
          <w:lang w:val="en-GB"/>
        </w:rPr>
        <w:t>H</w:t>
      </w:r>
      <w:r w:rsidRPr="000C7CFA">
        <w:rPr>
          <w:rFonts w:ascii="Verdana" w:hAnsi="Verdana"/>
          <w:sz w:val="18"/>
          <w:szCs w:val="18"/>
          <w:vertAlign w:val="subscript"/>
          <w:lang w:val="en-GB"/>
        </w:rPr>
        <w:t>12</w:t>
      </w:r>
      <w:r w:rsidRPr="000C7CFA">
        <w:rPr>
          <w:rFonts w:ascii="Verdana" w:hAnsi="Verdana"/>
          <w:sz w:val="18"/>
          <w:szCs w:val="18"/>
          <w:lang w:val="en-GB"/>
        </w:rPr>
        <w:t>Cl</w:t>
      </w:r>
      <w:r w:rsidRPr="000C7CFA">
        <w:rPr>
          <w:rFonts w:ascii="Verdana" w:hAnsi="Verdana"/>
          <w:sz w:val="18"/>
          <w:szCs w:val="18"/>
          <w:vertAlign w:val="subscript"/>
          <w:lang w:val="en-GB"/>
        </w:rPr>
        <w:t>6</w:t>
      </w:r>
      <w:r w:rsidRPr="000C7CFA">
        <w:rPr>
          <w:rFonts w:ascii="Verdana" w:hAnsi="Verdana"/>
          <w:sz w:val="18"/>
          <w:szCs w:val="18"/>
          <w:lang w:val="en-GB"/>
        </w:rPr>
        <w:t xml:space="preserve">, 380.96 </w:t>
      </w:r>
      <w:r w:rsidR="00C771E7" w:rsidRPr="000C7CFA">
        <w:rPr>
          <w:rFonts w:ascii="Verdana" w:hAnsi="Verdana"/>
          <w:sz w:val="18"/>
          <w:szCs w:val="18"/>
          <w:lang w:val="en-GB"/>
        </w:rPr>
        <w:t>for DPMA,</w:t>
      </w:r>
      <w:r w:rsidRPr="000C7CFA">
        <w:rPr>
          <w:rFonts w:ascii="Verdana" w:hAnsi="Verdana"/>
          <w:sz w:val="18"/>
          <w:szCs w:val="18"/>
          <w:lang w:val="en-GB"/>
        </w:rPr>
        <w:t xml:space="preserve"> C</w:t>
      </w:r>
      <w:r w:rsidRPr="000C7CFA">
        <w:rPr>
          <w:rFonts w:ascii="Verdana" w:hAnsi="Verdana"/>
          <w:sz w:val="18"/>
          <w:szCs w:val="18"/>
          <w:vertAlign w:val="subscript"/>
          <w:lang w:val="en-GB"/>
        </w:rPr>
        <w:t>12</w:t>
      </w:r>
      <w:r w:rsidRPr="000C7CFA">
        <w:rPr>
          <w:rFonts w:ascii="Verdana" w:hAnsi="Verdana"/>
          <w:sz w:val="18"/>
          <w:szCs w:val="18"/>
          <w:lang w:val="en-GB"/>
        </w:rPr>
        <w:t>H</w:t>
      </w:r>
      <w:r w:rsidRPr="000C7CFA">
        <w:rPr>
          <w:rFonts w:ascii="Verdana" w:hAnsi="Verdana"/>
          <w:sz w:val="18"/>
          <w:szCs w:val="18"/>
          <w:vertAlign w:val="subscript"/>
          <w:lang w:val="en-GB"/>
        </w:rPr>
        <w:t>8</w:t>
      </w:r>
      <w:r w:rsidRPr="000C7CFA">
        <w:rPr>
          <w:rFonts w:ascii="Verdana" w:hAnsi="Verdana"/>
          <w:sz w:val="18"/>
          <w:szCs w:val="18"/>
          <w:lang w:val="en-GB"/>
        </w:rPr>
        <w:t>Cl</w:t>
      </w:r>
      <w:r w:rsidRPr="000C7CFA">
        <w:rPr>
          <w:rFonts w:ascii="Verdana" w:hAnsi="Verdana"/>
          <w:sz w:val="18"/>
          <w:szCs w:val="18"/>
          <w:vertAlign w:val="subscript"/>
          <w:lang w:val="en-GB"/>
        </w:rPr>
        <w:t>6</w:t>
      </w:r>
      <w:r w:rsidRPr="000C7CFA">
        <w:rPr>
          <w:rFonts w:ascii="Verdana" w:hAnsi="Verdana"/>
          <w:sz w:val="18"/>
          <w:szCs w:val="18"/>
          <w:lang w:val="en-GB"/>
        </w:rPr>
        <w:t>, 364.92</w:t>
      </w:r>
      <w:r w:rsidR="00C771E7" w:rsidRPr="000C7CFA">
        <w:rPr>
          <w:rFonts w:ascii="Verdana" w:hAnsi="Verdana"/>
          <w:sz w:val="18"/>
          <w:szCs w:val="18"/>
          <w:lang w:val="en-GB"/>
        </w:rPr>
        <w:t xml:space="preserve"> for aldrin and </w:t>
      </w:r>
      <w:r w:rsidR="00C771E7" w:rsidRPr="000C7CFA">
        <w:rPr>
          <w:rFonts w:ascii="Verdana" w:hAnsi="Verdana" w:cs="Segoe UI"/>
          <w:sz w:val="18"/>
          <w:szCs w:val="18"/>
          <w:shd w:val="clear" w:color="auto" w:fill="FFFFFF"/>
        </w:rPr>
        <w:t>C</w:t>
      </w:r>
      <w:r w:rsidR="00C771E7" w:rsidRPr="000C7CFA">
        <w:rPr>
          <w:rFonts w:ascii="Verdana" w:hAnsi="Verdana" w:cs="Segoe UI"/>
          <w:sz w:val="18"/>
          <w:szCs w:val="18"/>
          <w:shd w:val="clear" w:color="auto" w:fill="FFFFFF"/>
          <w:vertAlign w:val="subscript"/>
        </w:rPr>
        <w:t>10</w:t>
      </w:r>
      <w:r w:rsidR="00C771E7" w:rsidRPr="000C7CFA">
        <w:rPr>
          <w:rFonts w:ascii="Verdana" w:hAnsi="Verdana" w:cs="Segoe UI"/>
          <w:sz w:val="18"/>
          <w:szCs w:val="18"/>
          <w:shd w:val="clear" w:color="auto" w:fill="FFFFFF"/>
        </w:rPr>
        <w:t>H</w:t>
      </w:r>
      <w:r w:rsidR="00C771E7" w:rsidRPr="000C7CFA">
        <w:rPr>
          <w:rFonts w:ascii="Verdana" w:hAnsi="Verdana" w:cs="Segoe UI"/>
          <w:sz w:val="18"/>
          <w:szCs w:val="18"/>
          <w:shd w:val="clear" w:color="auto" w:fill="FFFFFF"/>
          <w:vertAlign w:val="subscript"/>
        </w:rPr>
        <w:t>5</w:t>
      </w:r>
      <w:r w:rsidR="00C771E7" w:rsidRPr="000C7CFA">
        <w:rPr>
          <w:rFonts w:ascii="Verdana" w:hAnsi="Verdana" w:cs="Segoe UI"/>
          <w:sz w:val="18"/>
          <w:szCs w:val="18"/>
          <w:shd w:val="clear" w:color="auto" w:fill="FFFFFF"/>
        </w:rPr>
        <w:t>Cl</w:t>
      </w:r>
      <w:r w:rsidR="00C771E7" w:rsidRPr="000C7CFA">
        <w:rPr>
          <w:rFonts w:ascii="Verdana" w:hAnsi="Verdana" w:cs="Segoe UI"/>
          <w:sz w:val="18"/>
          <w:szCs w:val="18"/>
          <w:shd w:val="clear" w:color="auto" w:fill="FFFFFF"/>
          <w:vertAlign w:val="subscript"/>
        </w:rPr>
        <w:t xml:space="preserve">7, </w:t>
      </w:r>
      <w:r w:rsidR="00C771E7" w:rsidRPr="000C7CFA">
        <w:rPr>
          <w:rFonts w:ascii="Verdana" w:hAnsi="Verdana"/>
          <w:sz w:val="18"/>
          <w:szCs w:val="18"/>
        </w:rPr>
        <w:t xml:space="preserve">373.32 </w:t>
      </w:r>
      <w:r w:rsidR="00C771E7" w:rsidRPr="000C7CFA">
        <w:rPr>
          <w:rFonts w:ascii="Verdana" w:hAnsi="Verdana"/>
          <w:sz w:val="18"/>
          <w:szCs w:val="18"/>
          <w:lang w:val="en-GB"/>
        </w:rPr>
        <w:t>for heptachlor</w:t>
      </w:r>
      <w:r w:rsidRPr="000C7CFA">
        <w:rPr>
          <w:rFonts w:ascii="Verdana" w:hAnsi="Verdana"/>
          <w:sz w:val="18"/>
          <w:szCs w:val="18"/>
          <w:lang w:val="en-GB"/>
        </w:rPr>
        <w:t>)</w:t>
      </w:r>
      <w:r w:rsidR="00C771E7" w:rsidRPr="000C7CFA">
        <w:rPr>
          <w:rFonts w:ascii="Verdana" w:hAnsi="Verdana"/>
          <w:sz w:val="18"/>
          <w:szCs w:val="18"/>
          <w:lang w:val="en-GB"/>
        </w:rPr>
        <w:t>.</w:t>
      </w:r>
      <w:r w:rsidRPr="000C7CFA">
        <w:rPr>
          <w:rFonts w:ascii="Verdana" w:hAnsi="Verdana"/>
          <w:sz w:val="18"/>
          <w:szCs w:val="18"/>
          <w:lang w:val="en-GB"/>
        </w:rPr>
        <w:t xml:space="preserve"> </w:t>
      </w:r>
      <w:r w:rsidR="00313E90" w:rsidRPr="000C7CFA">
        <w:rPr>
          <w:rFonts w:ascii="Verdana" w:hAnsi="Verdana"/>
          <w:sz w:val="18"/>
          <w:szCs w:val="18"/>
          <w:lang w:val="en-GB"/>
        </w:rPr>
        <w:t>M</w:t>
      </w:r>
      <w:r w:rsidR="00CF3DEF" w:rsidRPr="000C7CFA">
        <w:rPr>
          <w:rFonts w:ascii="Verdana" w:hAnsi="Verdana"/>
          <w:sz w:val="18"/>
          <w:szCs w:val="18"/>
          <w:lang w:val="en-GB"/>
        </w:rPr>
        <w:t>olecular dimensions</w:t>
      </w:r>
      <w:r w:rsidR="00313E90" w:rsidRPr="000C7CFA">
        <w:rPr>
          <w:rFonts w:ascii="Verdana" w:hAnsi="Verdana"/>
          <w:sz w:val="18"/>
          <w:szCs w:val="18"/>
          <w:lang w:val="en-GB"/>
        </w:rPr>
        <w:t xml:space="preserve"> are also broadly similar</w:t>
      </w:r>
      <w:r w:rsidR="00BF303E" w:rsidRPr="000C7CFA">
        <w:rPr>
          <w:rFonts w:ascii="Verdana" w:hAnsi="Verdana"/>
          <w:sz w:val="18"/>
          <w:szCs w:val="18"/>
          <w:lang w:val="en-GB"/>
        </w:rPr>
        <w:t xml:space="preserve">. Using the OECD QSAR Toolbox </w:t>
      </w:r>
      <w:r w:rsidR="00727B37" w:rsidRPr="000C7CFA">
        <w:rPr>
          <w:rFonts w:ascii="Verdana" w:hAnsi="Verdana"/>
          <w:sz w:val="18"/>
          <w:szCs w:val="18"/>
          <w:lang w:val="en-GB"/>
        </w:rPr>
        <w:t>v</w:t>
      </w:r>
      <w:r w:rsidR="00BF303E" w:rsidRPr="000C7CFA">
        <w:rPr>
          <w:rFonts w:ascii="Verdana" w:hAnsi="Verdana"/>
          <w:sz w:val="18"/>
          <w:szCs w:val="18"/>
          <w:lang w:val="en-GB"/>
        </w:rPr>
        <w:t>2.1</w:t>
      </w:r>
      <w:r w:rsidR="00CF3DEF" w:rsidRPr="000C7CFA">
        <w:rPr>
          <w:rFonts w:ascii="Verdana" w:hAnsi="Verdana"/>
          <w:sz w:val="18"/>
          <w:szCs w:val="18"/>
          <w:lang w:val="en-GB"/>
        </w:rPr>
        <w:t>,</w:t>
      </w:r>
      <w:r w:rsidR="00BF303E" w:rsidRPr="000C7CFA">
        <w:rPr>
          <w:rFonts w:ascii="Verdana" w:hAnsi="Verdana"/>
          <w:sz w:val="18"/>
          <w:szCs w:val="18"/>
          <w:lang w:val="en-GB"/>
        </w:rPr>
        <w:t xml:space="preserve"> the following parameters can be estimated:</w:t>
      </w:r>
    </w:p>
    <w:p w14:paraId="01DBADD7" w14:textId="77777777" w:rsidR="00BF303E" w:rsidRPr="000C7CFA" w:rsidRDefault="00BF303E" w:rsidP="002056E2">
      <w:pPr>
        <w:tabs>
          <w:tab w:val="left" w:pos="1843"/>
        </w:tabs>
        <w:spacing w:after="0"/>
        <w:jc w:val="both"/>
        <w:rPr>
          <w:rFonts w:ascii="Verdana" w:hAnsi="Verdana"/>
          <w:sz w:val="18"/>
          <w:szCs w:val="18"/>
          <w:lang w:val="en-GB"/>
        </w:rPr>
      </w:pPr>
    </w:p>
    <w:tbl>
      <w:tblPr>
        <w:tblStyle w:val="TableGrid"/>
        <w:tblW w:w="0" w:type="auto"/>
        <w:tblLook w:val="04A0" w:firstRow="1" w:lastRow="0" w:firstColumn="1" w:lastColumn="0" w:noHBand="0" w:noVBand="1"/>
      </w:tblPr>
      <w:tblGrid>
        <w:gridCol w:w="1738"/>
        <w:gridCol w:w="1454"/>
        <w:gridCol w:w="1646"/>
        <w:gridCol w:w="1648"/>
        <w:gridCol w:w="1816"/>
      </w:tblGrid>
      <w:tr w:rsidR="00BF303E" w:rsidRPr="000C7CFA" w14:paraId="26179463" w14:textId="77777777" w:rsidTr="00E626D2">
        <w:tc>
          <w:tcPr>
            <w:tcW w:w="3192" w:type="dxa"/>
            <w:gridSpan w:val="2"/>
          </w:tcPr>
          <w:p w14:paraId="56FCDAAB" w14:textId="17724C52" w:rsidR="00BF303E" w:rsidRPr="000C7CFA" w:rsidRDefault="00BF303E" w:rsidP="002056E2">
            <w:pPr>
              <w:tabs>
                <w:tab w:val="left" w:pos="1843"/>
              </w:tabs>
              <w:spacing w:after="0"/>
              <w:jc w:val="both"/>
              <w:rPr>
                <w:rFonts w:ascii="Verdana" w:hAnsi="Verdana"/>
                <w:b/>
                <w:sz w:val="18"/>
                <w:szCs w:val="18"/>
                <w:lang w:val="en-GB"/>
              </w:rPr>
            </w:pPr>
            <w:r w:rsidRPr="000C7CFA">
              <w:rPr>
                <w:rFonts w:ascii="Verdana" w:hAnsi="Verdana"/>
                <w:b/>
                <w:sz w:val="18"/>
                <w:szCs w:val="18"/>
                <w:lang w:val="en-GB"/>
              </w:rPr>
              <w:t>Property</w:t>
            </w:r>
          </w:p>
        </w:tc>
        <w:tc>
          <w:tcPr>
            <w:tcW w:w="1646" w:type="dxa"/>
          </w:tcPr>
          <w:p w14:paraId="1DA15824" w14:textId="1B243473" w:rsidR="00BF303E" w:rsidRPr="000C7CFA" w:rsidRDefault="00BF303E" w:rsidP="00313E90">
            <w:pPr>
              <w:tabs>
                <w:tab w:val="left" w:pos="1843"/>
              </w:tabs>
              <w:spacing w:after="0"/>
              <w:jc w:val="center"/>
              <w:rPr>
                <w:rFonts w:ascii="Verdana" w:hAnsi="Verdana"/>
                <w:b/>
                <w:sz w:val="18"/>
                <w:szCs w:val="18"/>
                <w:lang w:val="en-GB"/>
              </w:rPr>
            </w:pPr>
            <w:r w:rsidRPr="000C7CFA">
              <w:rPr>
                <w:rFonts w:ascii="Verdana" w:hAnsi="Verdana"/>
                <w:b/>
                <w:sz w:val="18"/>
                <w:szCs w:val="18"/>
                <w:lang w:val="en-GB"/>
              </w:rPr>
              <w:t>DPMA</w:t>
            </w:r>
          </w:p>
        </w:tc>
        <w:tc>
          <w:tcPr>
            <w:tcW w:w="1648" w:type="dxa"/>
          </w:tcPr>
          <w:p w14:paraId="51BF1606" w14:textId="545639D2" w:rsidR="00BF303E" w:rsidRPr="000C7CFA" w:rsidRDefault="00BF303E" w:rsidP="00313E90">
            <w:pPr>
              <w:tabs>
                <w:tab w:val="left" w:pos="1843"/>
              </w:tabs>
              <w:spacing w:after="0"/>
              <w:jc w:val="center"/>
              <w:rPr>
                <w:rFonts w:ascii="Verdana" w:hAnsi="Verdana"/>
                <w:b/>
                <w:sz w:val="18"/>
                <w:szCs w:val="18"/>
                <w:lang w:val="en-GB"/>
              </w:rPr>
            </w:pPr>
            <w:r w:rsidRPr="000C7CFA">
              <w:rPr>
                <w:rFonts w:ascii="Verdana" w:hAnsi="Verdana"/>
                <w:b/>
                <w:sz w:val="18"/>
                <w:szCs w:val="18"/>
                <w:lang w:val="en-GB"/>
              </w:rPr>
              <w:t>Aldrin</w:t>
            </w:r>
          </w:p>
        </w:tc>
        <w:tc>
          <w:tcPr>
            <w:tcW w:w="1816" w:type="dxa"/>
          </w:tcPr>
          <w:p w14:paraId="2ABCBFD2" w14:textId="0AF50722" w:rsidR="00BF303E" w:rsidRPr="000C7CFA" w:rsidRDefault="00BF303E" w:rsidP="00313E90">
            <w:pPr>
              <w:tabs>
                <w:tab w:val="left" w:pos="1843"/>
              </w:tabs>
              <w:spacing w:after="0"/>
              <w:jc w:val="center"/>
              <w:rPr>
                <w:rFonts w:ascii="Verdana" w:hAnsi="Verdana"/>
                <w:b/>
                <w:sz w:val="18"/>
                <w:szCs w:val="18"/>
                <w:lang w:val="en-GB"/>
              </w:rPr>
            </w:pPr>
            <w:r w:rsidRPr="000C7CFA">
              <w:rPr>
                <w:rFonts w:ascii="Verdana" w:hAnsi="Verdana"/>
                <w:b/>
                <w:sz w:val="18"/>
                <w:szCs w:val="18"/>
                <w:lang w:val="en-GB"/>
              </w:rPr>
              <w:t>Heptachlor</w:t>
            </w:r>
          </w:p>
        </w:tc>
      </w:tr>
      <w:tr w:rsidR="00BF303E" w:rsidRPr="000C7CFA" w14:paraId="7130AA70" w14:textId="77777777" w:rsidTr="00BF303E">
        <w:tc>
          <w:tcPr>
            <w:tcW w:w="1738" w:type="dxa"/>
            <w:vMerge w:val="restart"/>
          </w:tcPr>
          <w:p w14:paraId="71A45D2C" w14:textId="18EE01C5" w:rsidR="00BF303E" w:rsidRPr="000C7CFA" w:rsidRDefault="00BF303E" w:rsidP="002056E2">
            <w:pPr>
              <w:tabs>
                <w:tab w:val="left" w:pos="1843"/>
              </w:tabs>
              <w:spacing w:after="0"/>
              <w:jc w:val="both"/>
              <w:rPr>
                <w:rFonts w:ascii="Verdana" w:hAnsi="Verdana"/>
                <w:sz w:val="18"/>
                <w:szCs w:val="18"/>
                <w:lang w:val="en-GB"/>
              </w:rPr>
            </w:pPr>
            <w:r w:rsidRPr="000C7CFA">
              <w:rPr>
                <w:rFonts w:ascii="Verdana" w:hAnsi="Verdana"/>
                <w:sz w:val="18"/>
                <w:szCs w:val="18"/>
                <w:lang w:val="en-GB"/>
              </w:rPr>
              <w:t>Molecular diameter, Å</w:t>
            </w:r>
          </w:p>
        </w:tc>
        <w:tc>
          <w:tcPr>
            <w:tcW w:w="1454" w:type="dxa"/>
          </w:tcPr>
          <w:p w14:paraId="52075B15" w14:textId="261C94EB" w:rsidR="00BF303E" w:rsidRPr="000C7CFA" w:rsidRDefault="00BF303E" w:rsidP="002056E2">
            <w:pPr>
              <w:tabs>
                <w:tab w:val="left" w:pos="1843"/>
              </w:tabs>
              <w:spacing w:after="0"/>
              <w:jc w:val="both"/>
              <w:rPr>
                <w:rFonts w:ascii="Verdana" w:hAnsi="Verdana"/>
                <w:sz w:val="18"/>
                <w:szCs w:val="18"/>
                <w:lang w:val="en-GB"/>
              </w:rPr>
            </w:pPr>
            <w:r w:rsidRPr="000C7CFA">
              <w:rPr>
                <w:rFonts w:ascii="Verdana" w:hAnsi="Verdana"/>
                <w:sz w:val="18"/>
                <w:szCs w:val="18"/>
                <w:lang w:val="en-GB"/>
              </w:rPr>
              <w:t>Maximum</w:t>
            </w:r>
          </w:p>
        </w:tc>
        <w:tc>
          <w:tcPr>
            <w:tcW w:w="1646" w:type="dxa"/>
          </w:tcPr>
          <w:p w14:paraId="49975E90" w14:textId="3D6FE728" w:rsidR="00BF303E" w:rsidRPr="000C7CFA" w:rsidRDefault="00BF303E"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11.2</w:t>
            </w:r>
          </w:p>
        </w:tc>
        <w:tc>
          <w:tcPr>
            <w:tcW w:w="1648" w:type="dxa"/>
          </w:tcPr>
          <w:p w14:paraId="4F13A4A3" w14:textId="0127D5AC" w:rsidR="00BF303E" w:rsidRPr="000C7CFA" w:rsidRDefault="00313E90"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9.9</w:t>
            </w:r>
          </w:p>
        </w:tc>
        <w:tc>
          <w:tcPr>
            <w:tcW w:w="1816" w:type="dxa"/>
          </w:tcPr>
          <w:p w14:paraId="3F9FD163" w14:textId="6EBFEBDB" w:rsidR="00BF303E" w:rsidRPr="000C7CFA" w:rsidRDefault="00313E90"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9.7</w:t>
            </w:r>
          </w:p>
        </w:tc>
      </w:tr>
      <w:tr w:rsidR="00BF303E" w:rsidRPr="000C7CFA" w14:paraId="23827995" w14:textId="77777777" w:rsidTr="00BF303E">
        <w:tc>
          <w:tcPr>
            <w:tcW w:w="1738" w:type="dxa"/>
            <w:vMerge/>
          </w:tcPr>
          <w:p w14:paraId="730784F8" w14:textId="77777777" w:rsidR="00BF303E" w:rsidRPr="000C7CFA" w:rsidRDefault="00BF303E" w:rsidP="002056E2">
            <w:pPr>
              <w:tabs>
                <w:tab w:val="left" w:pos="1843"/>
              </w:tabs>
              <w:spacing w:after="0"/>
              <w:jc w:val="both"/>
              <w:rPr>
                <w:rFonts w:ascii="Verdana" w:hAnsi="Verdana"/>
                <w:sz w:val="18"/>
                <w:szCs w:val="18"/>
                <w:lang w:val="en-GB"/>
              </w:rPr>
            </w:pPr>
          </w:p>
        </w:tc>
        <w:tc>
          <w:tcPr>
            <w:tcW w:w="1454" w:type="dxa"/>
          </w:tcPr>
          <w:p w14:paraId="0E8F374C" w14:textId="3189D177" w:rsidR="00BF303E" w:rsidRPr="000C7CFA" w:rsidRDefault="00BF303E" w:rsidP="002056E2">
            <w:pPr>
              <w:tabs>
                <w:tab w:val="left" w:pos="1843"/>
              </w:tabs>
              <w:spacing w:after="0"/>
              <w:jc w:val="both"/>
              <w:rPr>
                <w:rFonts w:ascii="Verdana" w:hAnsi="Verdana"/>
                <w:sz w:val="18"/>
                <w:szCs w:val="18"/>
                <w:lang w:val="en-GB"/>
              </w:rPr>
            </w:pPr>
            <w:r w:rsidRPr="000C7CFA">
              <w:rPr>
                <w:rFonts w:ascii="Verdana" w:hAnsi="Verdana"/>
                <w:sz w:val="18"/>
                <w:szCs w:val="18"/>
                <w:lang w:val="en-GB"/>
              </w:rPr>
              <w:t>Minimum</w:t>
            </w:r>
          </w:p>
        </w:tc>
        <w:tc>
          <w:tcPr>
            <w:tcW w:w="1646" w:type="dxa"/>
          </w:tcPr>
          <w:p w14:paraId="028508B9" w14:textId="25DCE743" w:rsidR="00BF303E" w:rsidRPr="000C7CFA" w:rsidRDefault="00BF303E"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7.3</w:t>
            </w:r>
          </w:p>
        </w:tc>
        <w:tc>
          <w:tcPr>
            <w:tcW w:w="1648" w:type="dxa"/>
          </w:tcPr>
          <w:p w14:paraId="44AC409A" w14:textId="703CE260" w:rsidR="00BF303E" w:rsidRPr="000C7CFA" w:rsidRDefault="00313E90"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7.3</w:t>
            </w:r>
          </w:p>
        </w:tc>
        <w:tc>
          <w:tcPr>
            <w:tcW w:w="1816" w:type="dxa"/>
          </w:tcPr>
          <w:p w14:paraId="1F3731E9" w14:textId="53C8254C" w:rsidR="00BF303E" w:rsidRPr="000C7CFA" w:rsidRDefault="00313E90"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7.6</w:t>
            </w:r>
          </w:p>
        </w:tc>
      </w:tr>
      <w:tr w:rsidR="00BF303E" w:rsidRPr="000C7CFA" w14:paraId="46EE55A6" w14:textId="77777777" w:rsidTr="00BF303E">
        <w:tc>
          <w:tcPr>
            <w:tcW w:w="1738" w:type="dxa"/>
            <w:vMerge/>
          </w:tcPr>
          <w:p w14:paraId="5F7F1CF9" w14:textId="77777777" w:rsidR="00BF303E" w:rsidRPr="000C7CFA" w:rsidRDefault="00BF303E" w:rsidP="002056E2">
            <w:pPr>
              <w:tabs>
                <w:tab w:val="left" w:pos="1843"/>
              </w:tabs>
              <w:spacing w:after="0"/>
              <w:jc w:val="both"/>
              <w:rPr>
                <w:rFonts w:ascii="Verdana" w:hAnsi="Verdana"/>
                <w:sz w:val="18"/>
                <w:szCs w:val="18"/>
                <w:lang w:val="en-GB"/>
              </w:rPr>
            </w:pPr>
          </w:p>
        </w:tc>
        <w:tc>
          <w:tcPr>
            <w:tcW w:w="1454" w:type="dxa"/>
          </w:tcPr>
          <w:p w14:paraId="3BF988A0" w14:textId="0F3590C2" w:rsidR="00BF303E" w:rsidRPr="000C7CFA" w:rsidRDefault="00BF303E" w:rsidP="002056E2">
            <w:pPr>
              <w:tabs>
                <w:tab w:val="left" w:pos="1843"/>
              </w:tabs>
              <w:spacing w:after="0"/>
              <w:jc w:val="both"/>
              <w:rPr>
                <w:rFonts w:ascii="Verdana" w:hAnsi="Verdana"/>
                <w:sz w:val="18"/>
                <w:szCs w:val="18"/>
                <w:lang w:val="en-GB"/>
              </w:rPr>
            </w:pPr>
            <w:r w:rsidRPr="000C7CFA">
              <w:rPr>
                <w:rFonts w:ascii="Verdana" w:hAnsi="Verdana"/>
                <w:sz w:val="18"/>
                <w:szCs w:val="18"/>
                <w:lang w:val="en-GB"/>
              </w:rPr>
              <w:t>Effective</w:t>
            </w:r>
          </w:p>
        </w:tc>
        <w:tc>
          <w:tcPr>
            <w:tcW w:w="1646" w:type="dxa"/>
          </w:tcPr>
          <w:p w14:paraId="2A87601D" w14:textId="26A0C810" w:rsidR="00BF303E" w:rsidRPr="000C7CFA" w:rsidRDefault="00BF303E"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8.7</w:t>
            </w:r>
          </w:p>
        </w:tc>
        <w:tc>
          <w:tcPr>
            <w:tcW w:w="1648" w:type="dxa"/>
          </w:tcPr>
          <w:p w14:paraId="267F0257" w14:textId="30EA416E" w:rsidR="00BF303E" w:rsidRPr="000C7CFA" w:rsidRDefault="00313E90"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8.7</w:t>
            </w:r>
          </w:p>
        </w:tc>
        <w:tc>
          <w:tcPr>
            <w:tcW w:w="1816" w:type="dxa"/>
          </w:tcPr>
          <w:p w14:paraId="71899A38" w14:textId="1B1E26B7" w:rsidR="00BF303E" w:rsidRPr="000C7CFA" w:rsidRDefault="00313E90"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8.6</w:t>
            </w:r>
          </w:p>
        </w:tc>
      </w:tr>
      <w:tr w:rsidR="00BF303E" w:rsidRPr="000C7CFA" w14:paraId="108E991C" w14:textId="77777777" w:rsidTr="00E626D2">
        <w:tc>
          <w:tcPr>
            <w:tcW w:w="3192" w:type="dxa"/>
            <w:gridSpan w:val="2"/>
          </w:tcPr>
          <w:p w14:paraId="3868F6B2" w14:textId="3525A8A4" w:rsidR="00BF303E" w:rsidRPr="000C7CFA" w:rsidRDefault="00BF303E" w:rsidP="002056E2">
            <w:pPr>
              <w:tabs>
                <w:tab w:val="left" w:pos="1843"/>
              </w:tabs>
              <w:spacing w:after="0"/>
              <w:jc w:val="both"/>
              <w:rPr>
                <w:rFonts w:ascii="Verdana" w:hAnsi="Verdana"/>
                <w:sz w:val="18"/>
                <w:szCs w:val="18"/>
                <w:lang w:val="de-DE"/>
              </w:rPr>
            </w:pPr>
            <w:r w:rsidRPr="000C7CFA">
              <w:rPr>
                <w:rFonts w:ascii="Verdana" w:hAnsi="Verdana"/>
                <w:sz w:val="18"/>
                <w:szCs w:val="18"/>
                <w:lang w:val="de-DE"/>
              </w:rPr>
              <w:t>van der Waal’s volume, Å</w:t>
            </w:r>
            <w:r w:rsidRPr="000C7CFA">
              <w:rPr>
                <w:rFonts w:ascii="Verdana" w:hAnsi="Verdana"/>
                <w:sz w:val="18"/>
                <w:szCs w:val="18"/>
                <w:vertAlign w:val="superscript"/>
                <w:lang w:val="de-DE"/>
              </w:rPr>
              <w:t>3</w:t>
            </w:r>
          </w:p>
        </w:tc>
        <w:tc>
          <w:tcPr>
            <w:tcW w:w="1646" w:type="dxa"/>
          </w:tcPr>
          <w:p w14:paraId="2005C5FB" w14:textId="1F76730D" w:rsidR="00BF303E" w:rsidRPr="000C7CFA" w:rsidRDefault="00BF303E"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231</w:t>
            </w:r>
          </w:p>
        </w:tc>
        <w:tc>
          <w:tcPr>
            <w:tcW w:w="1648" w:type="dxa"/>
          </w:tcPr>
          <w:p w14:paraId="1888F3CB" w14:textId="247A3949" w:rsidR="00BF303E" w:rsidRPr="000C7CFA" w:rsidRDefault="00313E90"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210</w:t>
            </w:r>
          </w:p>
        </w:tc>
        <w:tc>
          <w:tcPr>
            <w:tcW w:w="1816" w:type="dxa"/>
          </w:tcPr>
          <w:p w14:paraId="58FD82C5" w14:textId="6AC5743C" w:rsidR="00BF303E" w:rsidRPr="000C7CFA" w:rsidRDefault="00313E90" w:rsidP="00313E90">
            <w:pPr>
              <w:tabs>
                <w:tab w:val="left" w:pos="1843"/>
              </w:tabs>
              <w:spacing w:after="0"/>
              <w:jc w:val="center"/>
              <w:rPr>
                <w:rFonts w:ascii="Verdana" w:hAnsi="Verdana"/>
                <w:sz w:val="18"/>
                <w:szCs w:val="18"/>
                <w:lang w:val="en-GB"/>
              </w:rPr>
            </w:pPr>
            <w:r w:rsidRPr="000C7CFA">
              <w:rPr>
                <w:rFonts w:ascii="Verdana" w:hAnsi="Verdana"/>
                <w:sz w:val="18"/>
                <w:szCs w:val="18"/>
                <w:lang w:val="en-GB"/>
              </w:rPr>
              <w:t>202</w:t>
            </w:r>
          </w:p>
        </w:tc>
      </w:tr>
    </w:tbl>
    <w:p w14:paraId="7003E131" w14:textId="77777777" w:rsidR="00BF303E" w:rsidRPr="000C7CFA" w:rsidRDefault="00BF303E" w:rsidP="002056E2">
      <w:pPr>
        <w:tabs>
          <w:tab w:val="left" w:pos="1843"/>
        </w:tabs>
        <w:spacing w:after="0"/>
        <w:jc w:val="both"/>
        <w:rPr>
          <w:rFonts w:ascii="Verdana" w:hAnsi="Verdana"/>
          <w:sz w:val="18"/>
          <w:szCs w:val="18"/>
          <w:lang w:val="en-GB"/>
        </w:rPr>
      </w:pPr>
    </w:p>
    <w:p w14:paraId="27E07A5B" w14:textId="7D2F5007" w:rsidR="009A56AB" w:rsidRPr="000C7CFA" w:rsidRDefault="002056E2" w:rsidP="002056E2">
      <w:pPr>
        <w:tabs>
          <w:tab w:val="left" w:pos="1843"/>
        </w:tabs>
        <w:spacing w:after="0"/>
        <w:jc w:val="both"/>
        <w:rPr>
          <w:rFonts w:ascii="Verdana" w:hAnsi="Verdana"/>
          <w:sz w:val="18"/>
          <w:szCs w:val="18"/>
          <w:lang w:val="en-GB"/>
        </w:rPr>
      </w:pPr>
      <w:r w:rsidRPr="000C7CFA">
        <w:rPr>
          <w:rFonts w:ascii="Verdana" w:hAnsi="Verdana"/>
          <w:sz w:val="18"/>
          <w:szCs w:val="18"/>
          <w:lang w:val="en-GB"/>
        </w:rPr>
        <w:t>DPMA might</w:t>
      </w:r>
      <w:r w:rsidR="00BF303E" w:rsidRPr="000C7CFA">
        <w:rPr>
          <w:rFonts w:ascii="Verdana" w:hAnsi="Verdana"/>
          <w:sz w:val="18"/>
          <w:szCs w:val="18"/>
          <w:lang w:val="en-GB"/>
        </w:rPr>
        <w:t xml:space="preserve"> </w:t>
      </w:r>
      <w:r w:rsidRPr="000C7CFA">
        <w:rPr>
          <w:rFonts w:ascii="Verdana" w:hAnsi="Verdana"/>
          <w:sz w:val="18"/>
          <w:szCs w:val="18"/>
          <w:lang w:val="en-GB"/>
        </w:rPr>
        <w:t xml:space="preserve">be less bioavailable: water solubilities </w:t>
      </w:r>
      <w:r w:rsidR="009A56AB" w:rsidRPr="000C7CFA">
        <w:rPr>
          <w:rFonts w:ascii="Verdana" w:hAnsi="Verdana"/>
          <w:sz w:val="18"/>
          <w:szCs w:val="18"/>
          <w:lang w:val="en-GB"/>
        </w:rPr>
        <w:t>and log K</w:t>
      </w:r>
      <w:r w:rsidR="009A56AB" w:rsidRPr="000C7CFA">
        <w:rPr>
          <w:rFonts w:ascii="Verdana" w:hAnsi="Verdana"/>
          <w:sz w:val="18"/>
          <w:szCs w:val="18"/>
          <w:vertAlign w:val="subscript"/>
          <w:lang w:val="en-GB"/>
        </w:rPr>
        <w:t>OW</w:t>
      </w:r>
      <w:r w:rsidR="009A56AB" w:rsidRPr="000C7CFA">
        <w:rPr>
          <w:rFonts w:ascii="Verdana" w:hAnsi="Verdana"/>
          <w:sz w:val="18"/>
          <w:szCs w:val="18"/>
          <w:lang w:val="en-GB"/>
        </w:rPr>
        <w:t xml:space="preserve"> values are </w:t>
      </w:r>
      <w:r w:rsidRPr="000C7CFA">
        <w:rPr>
          <w:rFonts w:ascii="Verdana" w:hAnsi="Verdana"/>
          <w:sz w:val="18"/>
          <w:szCs w:val="18"/>
          <w:lang w:val="en-GB"/>
        </w:rPr>
        <w:t xml:space="preserve">0.003 mg/L </w:t>
      </w:r>
      <w:r w:rsidR="009A56AB" w:rsidRPr="000C7CFA">
        <w:rPr>
          <w:rFonts w:ascii="Verdana" w:hAnsi="Verdana"/>
          <w:sz w:val="18"/>
          <w:szCs w:val="18"/>
          <w:lang w:val="en-GB"/>
        </w:rPr>
        <w:t xml:space="preserve">and 7.2 </w:t>
      </w:r>
      <w:r w:rsidRPr="000C7CFA">
        <w:rPr>
          <w:rFonts w:ascii="Verdana" w:hAnsi="Verdana"/>
          <w:sz w:val="18"/>
          <w:szCs w:val="18"/>
          <w:lang w:val="en-GB"/>
        </w:rPr>
        <w:t>(predicted)</w:t>
      </w:r>
      <w:r w:rsidR="009A56AB" w:rsidRPr="000C7CFA">
        <w:rPr>
          <w:rFonts w:ascii="Verdana" w:hAnsi="Verdana"/>
          <w:sz w:val="18"/>
          <w:szCs w:val="18"/>
          <w:lang w:val="en-GB"/>
        </w:rPr>
        <w:t xml:space="preserve"> for DPMA</w:t>
      </w:r>
      <w:r w:rsidR="00C771E7" w:rsidRPr="000C7CFA">
        <w:rPr>
          <w:rFonts w:ascii="Verdana" w:hAnsi="Verdana"/>
          <w:sz w:val="18"/>
          <w:szCs w:val="18"/>
          <w:lang w:val="en-GB"/>
        </w:rPr>
        <w:t>,</w:t>
      </w:r>
      <w:r w:rsidRPr="000C7CFA">
        <w:rPr>
          <w:rFonts w:ascii="Verdana" w:hAnsi="Verdana"/>
          <w:sz w:val="18"/>
          <w:szCs w:val="18"/>
          <w:lang w:val="en-GB"/>
        </w:rPr>
        <w:t xml:space="preserve"> 0.017</w:t>
      </w:r>
      <w:r w:rsidR="00CF3DEF" w:rsidRPr="000C7CFA">
        <w:rPr>
          <w:rFonts w:ascii="Verdana" w:hAnsi="Verdana"/>
          <w:sz w:val="18"/>
          <w:szCs w:val="18"/>
          <w:lang w:val="en-GB"/>
        </w:rPr>
        <w:t> </w:t>
      </w:r>
      <w:r w:rsidRPr="000C7CFA">
        <w:rPr>
          <w:rFonts w:ascii="Verdana" w:hAnsi="Verdana"/>
          <w:sz w:val="18"/>
          <w:szCs w:val="18"/>
          <w:lang w:val="en-GB"/>
        </w:rPr>
        <w:t>mg/L</w:t>
      </w:r>
      <w:r w:rsidR="009A56AB" w:rsidRPr="000C7CFA">
        <w:rPr>
          <w:rFonts w:ascii="Verdana" w:hAnsi="Verdana"/>
          <w:sz w:val="18"/>
          <w:szCs w:val="18"/>
          <w:lang w:val="en-GB"/>
        </w:rPr>
        <w:t xml:space="preserve"> and</w:t>
      </w:r>
      <w:r w:rsidRPr="000C7CFA">
        <w:rPr>
          <w:rFonts w:ascii="Verdana" w:hAnsi="Verdana"/>
          <w:sz w:val="18"/>
          <w:szCs w:val="18"/>
          <w:lang w:val="en-GB"/>
        </w:rPr>
        <w:t xml:space="preserve"> </w:t>
      </w:r>
      <w:r w:rsidR="009A56AB" w:rsidRPr="000C7CFA">
        <w:rPr>
          <w:rFonts w:ascii="Verdana" w:hAnsi="Verdana"/>
          <w:sz w:val="18"/>
          <w:szCs w:val="18"/>
          <w:lang w:val="en-GB"/>
        </w:rPr>
        <w:t xml:space="preserve">6.5 </w:t>
      </w:r>
      <w:r w:rsidRPr="000C7CFA">
        <w:rPr>
          <w:rFonts w:ascii="Verdana" w:hAnsi="Verdana"/>
          <w:sz w:val="18"/>
          <w:szCs w:val="18"/>
          <w:lang w:val="en-GB"/>
        </w:rPr>
        <w:t>(measured)</w:t>
      </w:r>
      <w:r w:rsidR="009A56AB" w:rsidRPr="000C7CFA">
        <w:rPr>
          <w:rFonts w:ascii="Verdana" w:hAnsi="Verdana"/>
          <w:sz w:val="18"/>
          <w:szCs w:val="18"/>
          <w:lang w:val="en-GB"/>
        </w:rPr>
        <w:t xml:space="preserve"> for aldrin</w:t>
      </w:r>
      <w:r w:rsidR="00DC0942" w:rsidRPr="000C7CFA">
        <w:rPr>
          <w:rFonts w:ascii="Verdana" w:hAnsi="Verdana"/>
          <w:sz w:val="18"/>
          <w:szCs w:val="18"/>
          <w:lang w:val="en-GB"/>
        </w:rPr>
        <w:t xml:space="preserve"> </w:t>
      </w:r>
      <w:r w:rsidR="00C771E7" w:rsidRPr="000C7CFA">
        <w:rPr>
          <w:rFonts w:ascii="Verdana" w:hAnsi="Verdana"/>
          <w:sz w:val="18"/>
          <w:szCs w:val="18"/>
          <w:lang w:val="en-GB"/>
        </w:rPr>
        <w:t xml:space="preserve">and </w:t>
      </w:r>
      <w:r w:rsidR="00C771E7" w:rsidRPr="000C7CFA">
        <w:rPr>
          <w:rFonts w:ascii="Verdana" w:hAnsi="Verdana"/>
          <w:sz w:val="18"/>
          <w:szCs w:val="18"/>
        </w:rPr>
        <w:t>0.18 mg/L  and 5.5-6.1 (</w:t>
      </w:r>
      <w:r w:rsidR="00C771E7" w:rsidRPr="000C7CFA">
        <w:rPr>
          <w:rFonts w:ascii="Verdana" w:hAnsi="Verdana"/>
          <w:sz w:val="18"/>
          <w:szCs w:val="18"/>
          <w:lang w:val="en-GB"/>
        </w:rPr>
        <w:t>measured</w:t>
      </w:r>
      <w:r w:rsidR="00C771E7" w:rsidRPr="000C7CFA">
        <w:rPr>
          <w:rFonts w:ascii="Verdana" w:hAnsi="Verdana"/>
          <w:sz w:val="18"/>
          <w:szCs w:val="18"/>
        </w:rPr>
        <w:t>)</w:t>
      </w:r>
      <w:r w:rsidR="00C771E7" w:rsidRPr="000C7CFA">
        <w:rPr>
          <w:rFonts w:ascii="Verdana" w:hAnsi="Verdana"/>
          <w:sz w:val="18"/>
          <w:szCs w:val="18"/>
          <w:lang w:val="en-GB"/>
        </w:rPr>
        <w:t xml:space="preserve"> for heptachlor</w:t>
      </w:r>
      <w:r w:rsidR="00C771E7" w:rsidRPr="000C7CFA">
        <w:rPr>
          <w:rFonts w:ascii="Verdana" w:hAnsi="Verdana"/>
          <w:sz w:val="18"/>
          <w:szCs w:val="18"/>
        </w:rPr>
        <w:t xml:space="preserve"> </w:t>
      </w:r>
      <w:r w:rsidR="00DC0942" w:rsidRPr="000C7CFA">
        <w:rPr>
          <w:rFonts w:ascii="Verdana" w:hAnsi="Verdana"/>
          <w:sz w:val="18"/>
          <w:szCs w:val="18"/>
          <w:lang w:val="en-GB"/>
        </w:rPr>
        <w:t xml:space="preserve">(see Table 1 in the main </w:t>
      </w:r>
      <w:r w:rsidR="00005ACD" w:rsidRPr="000C7CFA">
        <w:rPr>
          <w:rFonts w:ascii="Verdana" w:hAnsi="Verdana"/>
          <w:sz w:val="18"/>
          <w:szCs w:val="18"/>
          <w:lang w:val="en-GB"/>
        </w:rPr>
        <w:t>report</w:t>
      </w:r>
      <w:r w:rsidR="00DC0942" w:rsidRPr="000C7CFA">
        <w:rPr>
          <w:rFonts w:ascii="Verdana" w:hAnsi="Verdana"/>
          <w:sz w:val="18"/>
          <w:szCs w:val="18"/>
          <w:lang w:val="en-GB"/>
        </w:rPr>
        <w:t>)</w:t>
      </w:r>
      <w:r w:rsidRPr="000C7CFA">
        <w:rPr>
          <w:rFonts w:ascii="Verdana" w:hAnsi="Verdana"/>
          <w:sz w:val="18"/>
          <w:szCs w:val="18"/>
          <w:lang w:val="en-GB"/>
        </w:rPr>
        <w:t xml:space="preserve">. </w:t>
      </w:r>
    </w:p>
    <w:p w14:paraId="6D972C9E" w14:textId="77777777" w:rsidR="009A56AB" w:rsidRPr="000C7CFA" w:rsidRDefault="009A56AB" w:rsidP="002056E2">
      <w:pPr>
        <w:tabs>
          <w:tab w:val="left" w:pos="1843"/>
        </w:tabs>
        <w:spacing w:after="0"/>
        <w:jc w:val="both"/>
        <w:rPr>
          <w:rFonts w:ascii="Verdana" w:hAnsi="Verdana"/>
          <w:sz w:val="18"/>
          <w:szCs w:val="18"/>
          <w:lang w:val="en-GB"/>
        </w:rPr>
      </w:pPr>
    </w:p>
    <w:p w14:paraId="4C172AF6" w14:textId="3F96482E" w:rsidR="005A4BAA" w:rsidRPr="000C7CFA" w:rsidRDefault="00AB4E08" w:rsidP="005A4BAA">
      <w:pPr>
        <w:autoSpaceDE w:val="0"/>
        <w:autoSpaceDN w:val="0"/>
        <w:adjustRightInd w:val="0"/>
        <w:spacing w:after="0"/>
        <w:jc w:val="both"/>
        <w:rPr>
          <w:rFonts w:ascii="Verdana" w:hAnsi="Verdana"/>
          <w:sz w:val="18"/>
          <w:szCs w:val="18"/>
          <w:lang w:val="en-GB"/>
        </w:rPr>
      </w:pPr>
      <w:r w:rsidRPr="000C7CFA">
        <w:rPr>
          <w:rFonts w:ascii="Verdana" w:hAnsi="Verdana"/>
          <w:sz w:val="18"/>
          <w:szCs w:val="18"/>
          <w:lang w:val="en-GB"/>
        </w:rPr>
        <w:t>WHO (1989) reports that aldrin</w:t>
      </w:r>
      <w:r w:rsidR="004800AD" w:rsidRPr="000C7CFA">
        <w:rPr>
          <w:rFonts w:ascii="Verdana" w:hAnsi="Verdana"/>
          <w:sz w:val="18"/>
          <w:szCs w:val="18"/>
          <w:lang w:val="en-GB"/>
        </w:rPr>
        <w:t xml:space="preserve"> is rapidly converted to dieldrin by epoxidation of the double bond </w:t>
      </w:r>
      <w:r w:rsidRPr="000C7CFA">
        <w:rPr>
          <w:rFonts w:ascii="Verdana" w:hAnsi="Verdana"/>
          <w:sz w:val="18"/>
          <w:szCs w:val="18"/>
          <w:lang w:val="en-GB"/>
        </w:rPr>
        <w:t>in the</w:t>
      </w:r>
      <w:r w:rsidR="004800AD" w:rsidRPr="000C7CFA">
        <w:rPr>
          <w:rFonts w:ascii="Verdana" w:hAnsi="Verdana"/>
          <w:sz w:val="18"/>
          <w:szCs w:val="18"/>
          <w:lang w:val="en-GB"/>
        </w:rPr>
        <w:t xml:space="preserve"> environment</w:t>
      </w:r>
      <w:r w:rsidRPr="000C7CFA">
        <w:rPr>
          <w:rFonts w:ascii="Verdana" w:hAnsi="Verdana"/>
          <w:sz w:val="18"/>
          <w:szCs w:val="18"/>
          <w:lang w:val="en-GB"/>
        </w:rPr>
        <w:t>,</w:t>
      </w:r>
      <w:r w:rsidR="004800AD" w:rsidRPr="000C7CFA">
        <w:rPr>
          <w:rFonts w:ascii="Verdana" w:hAnsi="Verdana"/>
          <w:sz w:val="18"/>
          <w:szCs w:val="18"/>
          <w:lang w:val="en-GB"/>
        </w:rPr>
        <w:t xml:space="preserve"> and</w:t>
      </w:r>
      <w:r w:rsidRPr="000C7CFA">
        <w:rPr>
          <w:rFonts w:ascii="Verdana" w:hAnsi="Verdana"/>
          <w:sz w:val="18"/>
          <w:szCs w:val="18"/>
          <w:lang w:val="en-GB"/>
        </w:rPr>
        <w:t xml:space="preserve"> that a large number of microorganisms are capable of promoting epoxidation. </w:t>
      </w:r>
      <w:r w:rsidR="00DC0942" w:rsidRPr="000C7CFA">
        <w:rPr>
          <w:rFonts w:ascii="Verdana" w:hAnsi="Verdana"/>
          <w:sz w:val="18"/>
          <w:szCs w:val="18"/>
          <w:lang w:val="en-GB"/>
        </w:rPr>
        <w:t>Aldrin and dieldrin</w:t>
      </w:r>
      <w:r w:rsidR="004800AD" w:rsidRPr="000C7CFA">
        <w:rPr>
          <w:rFonts w:ascii="Verdana" w:hAnsi="Verdana"/>
          <w:sz w:val="18"/>
          <w:szCs w:val="18"/>
          <w:lang w:val="en-GB"/>
        </w:rPr>
        <w:t xml:space="preserve"> are highly toxic substances</w:t>
      </w:r>
      <w:r w:rsidR="00005ACD" w:rsidRPr="000C7CFA">
        <w:rPr>
          <w:rStyle w:val="FootnoteReference"/>
          <w:rFonts w:ascii="Verdana" w:hAnsi="Verdana"/>
          <w:sz w:val="18"/>
          <w:szCs w:val="18"/>
          <w:lang w:val="en-GB"/>
        </w:rPr>
        <w:footnoteReference w:id="47"/>
      </w:r>
      <w:r w:rsidR="004800AD" w:rsidRPr="000C7CFA">
        <w:rPr>
          <w:rFonts w:ascii="Verdana" w:hAnsi="Verdana"/>
          <w:sz w:val="18"/>
          <w:szCs w:val="18"/>
          <w:lang w:val="en-GB"/>
        </w:rPr>
        <w:t>, and d</w:t>
      </w:r>
      <w:r w:rsidR="002056E2" w:rsidRPr="000C7CFA">
        <w:rPr>
          <w:rFonts w:ascii="Verdana" w:hAnsi="Verdana"/>
          <w:sz w:val="18"/>
          <w:szCs w:val="18"/>
          <w:lang w:val="en-GB"/>
        </w:rPr>
        <w:t xml:space="preserve">ieldrin is </w:t>
      </w:r>
      <w:r w:rsidR="00BA159B" w:rsidRPr="000C7CFA">
        <w:rPr>
          <w:rFonts w:ascii="Verdana" w:hAnsi="Verdana"/>
          <w:sz w:val="18"/>
          <w:szCs w:val="18"/>
          <w:lang w:val="en-GB"/>
        </w:rPr>
        <w:t>much more</w:t>
      </w:r>
      <w:r w:rsidR="002056E2" w:rsidRPr="000C7CFA">
        <w:rPr>
          <w:rFonts w:ascii="Verdana" w:hAnsi="Verdana"/>
          <w:sz w:val="18"/>
          <w:szCs w:val="18"/>
          <w:lang w:val="en-GB"/>
        </w:rPr>
        <w:t xml:space="preserve"> </w:t>
      </w:r>
      <w:r w:rsidR="00BA159B" w:rsidRPr="000C7CFA">
        <w:rPr>
          <w:rFonts w:ascii="Verdana" w:hAnsi="Verdana"/>
          <w:sz w:val="18"/>
          <w:szCs w:val="18"/>
          <w:lang w:val="en-GB"/>
        </w:rPr>
        <w:t>resistant to biodegradation (WHO, 1989)</w:t>
      </w:r>
      <w:r w:rsidR="00312A9C" w:rsidRPr="000C7CFA">
        <w:rPr>
          <w:rFonts w:ascii="Verdana" w:hAnsi="Verdana"/>
          <w:sz w:val="18"/>
          <w:szCs w:val="18"/>
          <w:lang w:val="en-GB"/>
        </w:rPr>
        <w:t xml:space="preserve">. </w:t>
      </w:r>
      <w:r w:rsidR="004800AD" w:rsidRPr="000C7CFA">
        <w:rPr>
          <w:rFonts w:ascii="Verdana" w:hAnsi="Verdana"/>
          <w:sz w:val="18"/>
          <w:szCs w:val="18"/>
          <w:lang w:val="en-GB"/>
        </w:rPr>
        <w:t xml:space="preserve">Their </w:t>
      </w:r>
      <w:r w:rsidR="00005ACD" w:rsidRPr="000C7CFA">
        <w:rPr>
          <w:rFonts w:ascii="Verdana" w:hAnsi="Verdana"/>
          <w:sz w:val="18"/>
          <w:szCs w:val="18"/>
          <w:lang w:val="en-GB"/>
        </w:rPr>
        <w:t xml:space="preserve">historical </w:t>
      </w:r>
      <w:r w:rsidR="00312A9C" w:rsidRPr="000C7CFA">
        <w:rPr>
          <w:rFonts w:ascii="Verdana" w:hAnsi="Verdana"/>
          <w:sz w:val="18"/>
          <w:szCs w:val="18"/>
          <w:lang w:val="en-GB"/>
        </w:rPr>
        <w:t xml:space="preserve">use as </w:t>
      </w:r>
      <w:r w:rsidR="004800AD" w:rsidRPr="000C7CFA">
        <w:rPr>
          <w:rFonts w:ascii="Verdana" w:hAnsi="Verdana"/>
          <w:sz w:val="18"/>
          <w:szCs w:val="18"/>
          <w:lang w:val="en-GB"/>
        </w:rPr>
        <w:t xml:space="preserve">neurotoxic </w:t>
      </w:r>
      <w:r w:rsidR="002056E2" w:rsidRPr="000C7CFA">
        <w:rPr>
          <w:rFonts w:ascii="Verdana" w:hAnsi="Verdana"/>
          <w:sz w:val="18"/>
          <w:szCs w:val="18"/>
          <w:lang w:val="en-GB"/>
        </w:rPr>
        <w:t>insecticide</w:t>
      </w:r>
      <w:r w:rsidR="004800AD" w:rsidRPr="000C7CFA">
        <w:rPr>
          <w:rFonts w:ascii="Verdana" w:hAnsi="Verdana"/>
          <w:sz w:val="18"/>
          <w:szCs w:val="18"/>
          <w:lang w:val="en-GB"/>
        </w:rPr>
        <w:t xml:space="preserve">s </w:t>
      </w:r>
      <w:r w:rsidR="00005ACD" w:rsidRPr="000C7CFA">
        <w:rPr>
          <w:rFonts w:ascii="Verdana" w:hAnsi="Verdana"/>
          <w:sz w:val="18"/>
          <w:szCs w:val="18"/>
          <w:lang w:val="en-GB"/>
        </w:rPr>
        <w:t>means that they target</w:t>
      </w:r>
      <w:r w:rsidR="004800AD" w:rsidRPr="000C7CFA">
        <w:rPr>
          <w:rFonts w:ascii="Verdana" w:hAnsi="Verdana"/>
          <w:sz w:val="18"/>
          <w:szCs w:val="18"/>
          <w:lang w:val="en-GB"/>
        </w:rPr>
        <w:t xml:space="preserve"> </w:t>
      </w:r>
      <w:r w:rsidR="00005ACD" w:rsidRPr="000C7CFA">
        <w:rPr>
          <w:rFonts w:ascii="Verdana" w:hAnsi="Verdana"/>
          <w:sz w:val="18"/>
          <w:szCs w:val="18"/>
          <w:lang w:val="en-GB"/>
        </w:rPr>
        <w:t>the central nervous system, but a variety of other effects have been observed in mammals and birds, including on the immune system and liver</w:t>
      </w:r>
      <w:r w:rsidR="00CF3DEF" w:rsidRPr="000C7CFA">
        <w:rPr>
          <w:rFonts w:ascii="Verdana" w:hAnsi="Verdana"/>
          <w:sz w:val="18"/>
          <w:szCs w:val="18"/>
          <w:lang w:val="en-GB"/>
        </w:rPr>
        <w:t xml:space="preserve"> (WHO, 1989).</w:t>
      </w:r>
      <w:r w:rsidR="002056E2" w:rsidRPr="000C7CFA">
        <w:rPr>
          <w:rFonts w:ascii="Verdana" w:hAnsi="Verdana"/>
          <w:sz w:val="18"/>
          <w:szCs w:val="18"/>
          <w:lang w:val="en-GB"/>
        </w:rPr>
        <w:t xml:space="preserve"> </w:t>
      </w:r>
      <w:r w:rsidR="00312A9C" w:rsidRPr="000C7CFA">
        <w:rPr>
          <w:rFonts w:ascii="Verdana" w:hAnsi="Verdana"/>
          <w:sz w:val="18"/>
          <w:szCs w:val="18"/>
          <w:lang w:val="en-GB"/>
        </w:rPr>
        <w:t xml:space="preserve">The mode of action could involve the alkyl bridge (e.g. via hydroxylation), so this does not automatically mean that DPMA would cause effects of the same </w:t>
      </w:r>
      <w:r w:rsidR="00005ACD" w:rsidRPr="000C7CFA">
        <w:rPr>
          <w:rFonts w:ascii="Verdana" w:hAnsi="Verdana"/>
          <w:sz w:val="18"/>
          <w:szCs w:val="18"/>
          <w:lang w:val="en-GB"/>
        </w:rPr>
        <w:t>type</w:t>
      </w:r>
      <w:r w:rsidR="00312A9C" w:rsidRPr="000C7CFA">
        <w:rPr>
          <w:rFonts w:ascii="Verdana" w:hAnsi="Verdana"/>
          <w:sz w:val="18"/>
          <w:szCs w:val="18"/>
          <w:lang w:val="en-GB"/>
        </w:rPr>
        <w:t xml:space="preserve"> or at similar concentrations.</w:t>
      </w:r>
      <w:r w:rsidR="002056E2" w:rsidRPr="000C7CFA">
        <w:rPr>
          <w:rFonts w:ascii="Verdana" w:hAnsi="Verdana"/>
          <w:sz w:val="18"/>
          <w:szCs w:val="18"/>
          <w:lang w:val="en-GB"/>
        </w:rPr>
        <w:t xml:space="preserve"> </w:t>
      </w:r>
    </w:p>
    <w:p w14:paraId="0A46E607" w14:textId="77777777" w:rsidR="005A4BAA" w:rsidRPr="000C7CFA" w:rsidRDefault="005A4BAA" w:rsidP="005A4BAA">
      <w:pPr>
        <w:autoSpaceDE w:val="0"/>
        <w:autoSpaceDN w:val="0"/>
        <w:adjustRightInd w:val="0"/>
        <w:spacing w:after="0"/>
        <w:jc w:val="both"/>
        <w:rPr>
          <w:rFonts w:ascii="Verdana" w:hAnsi="Verdana"/>
          <w:sz w:val="18"/>
          <w:szCs w:val="18"/>
          <w:lang w:val="en-GB"/>
        </w:rPr>
      </w:pPr>
    </w:p>
    <w:p w14:paraId="66398749" w14:textId="3689DB61" w:rsidR="005A4BAA" w:rsidRPr="000C7CFA" w:rsidRDefault="00CF3DEF" w:rsidP="005A4BAA">
      <w:pPr>
        <w:autoSpaceDE w:val="0"/>
        <w:autoSpaceDN w:val="0"/>
        <w:adjustRightInd w:val="0"/>
        <w:spacing w:after="0"/>
        <w:jc w:val="both"/>
        <w:rPr>
          <w:rFonts w:ascii="Verdana" w:hAnsi="Verdana"/>
          <w:sz w:val="18"/>
          <w:szCs w:val="18"/>
        </w:rPr>
      </w:pPr>
      <w:r w:rsidRPr="000C7CFA">
        <w:rPr>
          <w:rFonts w:ascii="Verdana" w:hAnsi="Verdana"/>
          <w:sz w:val="18"/>
          <w:szCs w:val="18"/>
        </w:rPr>
        <w:t>Heptachlor is also highly toxic</w:t>
      </w:r>
      <w:r w:rsidRPr="000C7CFA">
        <w:rPr>
          <w:rStyle w:val="FootnoteReference"/>
          <w:rFonts w:ascii="Verdana" w:hAnsi="Verdana"/>
          <w:sz w:val="18"/>
          <w:szCs w:val="18"/>
        </w:rPr>
        <w:footnoteReference w:id="48"/>
      </w:r>
      <w:r w:rsidRPr="000C7CFA">
        <w:rPr>
          <w:rFonts w:ascii="Verdana" w:hAnsi="Verdana"/>
          <w:sz w:val="18"/>
          <w:szCs w:val="18"/>
        </w:rPr>
        <w:t xml:space="preserve">. </w:t>
      </w:r>
      <w:r w:rsidR="005A4BAA" w:rsidRPr="000C7CFA">
        <w:rPr>
          <w:rFonts w:ascii="Verdana" w:hAnsi="Verdana"/>
          <w:sz w:val="18"/>
          <w:szCs w:val="18"/>
        </w:rPr>
        <w:t xml:space="preserve">EFSA (2007) highlights that the two </w:t>
      </w:r>
      <w:r w:rsidRPr="000C7CFA">
        <w:rPr>
          <w:rFonts w:ascii="Verdana" w:hAnsi="Verdana"/>
          <w:sz w:val="18"/>
          <w:szCs w:val="18"/>
        </w:rPr>
        <w:t>main transformation</w:t>
      </w:r>
      <w:r w:rsidR="005A4BAA" w:rsidRPr="000C7CFA">
        <w:rPr>
          <w:rFonts w:ascii="Verdana" w:hAnsi="Verdana"/>
          <w:sz w:val="18"/>
          <w:szCs w:val="18"/>
        </w:rPr>
        <w:t xml:space="preserve"> products of heptachlor – heptachlor epoxide and photoheptachlor – are persistent, lipophilic and toxic. </w:t>
      </w:r>
    </w:p>
    <w:p w14:paraId="3C146AA5" w14:textId="77777777" w:rsidR="002056E2" w:rsidRPr="000C7CFA" w:rsidRDefault="002056E2" w:rsidP="002056E2">
      <w:pPr>
        <w:tabs>
          <w:tab w:val="left" w:pos="1843"/>
        </w:tabs>
        <w:spacing w:after="0"/>
        <w:jc w:val="both"/>
        <w:rPr>
          <w:rFonts w:ascii="Verdana" w:hAnsi="Verdana"/>
          <w:sz w:val="18"/>
          <w:szCs w:val="18"/>
          <w:lang w:val="en-GB"/>
        </w:rPr>
      </w:pPr>
    </w:p>
    <w:p w14:paraId="19960607" w14:textId="6784A621" w:rsidR="002056E2" w:rsidRPr="000C7CFA" w:rsidRDefault="003A5F61" w:rsidP="002056E2">
      <w:pPr>
        <w:tabs>
          <w:tab w:val="left" w:pos="1843"/>
        </w:tabs>
        <w:spacing w:after="0"/>
        <w:jc w:val="both"/>
        <w:rPr>
          <w:rFonts w:ascii="Verdana" w:hAnsi="Verdana"/>
          <w:sz w:val="18"/>
          <w:szCs w:val="18"/>
          <w:lang w:val="en-GB"/>
        </w:rPr>
      </w:pPr>
      <w:r w:rsidRPr="000C7CFA">
        <w:rPr>
          <w:rFonts w:ascii="Verdana" w:hAnsi="Verdana"/>
          <w:sz w:val="18"/>
          <w:szCs w:val="18"/>
          <w:lang w:val="en-GB"/>
        </w:rPr>
        <w:t xml:space="preserve">If </w:t>
      </w:r>
      <w:r w:rsidR="002056E2" w:rsidRPr="000C7CFA">
        <w:rPr>
          <w:rFonts w:ascii="Verdana" w:hAnsi="Verdana"/>
          <w:sz w:val="18"/>
          <w:szCs w:val="18"/>
          <w:lang w:val="en-GB"/>
        </w:rPr>
        <w:t xml:space="preserve">DPMA </w:t>
      </w:r>
      <w:r w:rsidRPr="000C7CFA">
        <w:rPr>
          <w:rFonts w:ascii="Verdana" w:hAnsi="Verdana"/>
          <w:sz w:val="18"/>
          <w:szCs w:val="18"/>
          <w:lang w:val="en-GB"/>
        </w:rPr>
        <w:t xml:space="preserve">is </w:t>
      </w:r>
      <w:r w:rsidR="002056E2" w:rsidRPr="000C7CFA">
        <w:rPr>
          <w:rFonts w:ascii="Verdana" w:hAnsi="Verdana"/>
          <w:sz w:val="18"/>
          <w:szCs w:val="18"/>
          <w:lang w:val="en-GB"/>
        </w:rPr>
        <w:t>similarly converted to an epoxide in the environment, the resulting substance could be highly persistent, bioaccumulative and toxic</w:t>
      </w:r>
      <w:r w:rsidR="009A56AB" w:rsidRPr="000C7CFA">
        <w:rPr>
          <w:rFonts w:ascii="Verdana" w:hAnsi="Verdana"/>
          <w:sz w:val="18"/>
          <w:szCs w:val="18"/>
          <w:lang w:val="en-GB"/>
        </w:rPr>
        <w:t xml:space="preserve"> to both invertebrates and </w:t>
      </w:r>
      <w:r w:rsidRPr="000C7CFA">
        <w:rPr>
          <w:rFonts w:ascii="Verdana" w:hAnsi="Verdana"/>
          <w:sz w:val="18"/>
          <w:szCs w:val="18"/>
          <w:lang w:val="en-GB"/>
        </w:rPr>
        <w:t>vertebrates</w:t>
      </w:r>
      <w:r w:rsidR="002056E2" w:rsidRPr="000C7CFA">
        <w:rPr>
          <w:rFonts w:ascii="Verdana" w:hAnsi="Verdana"/>
          <w:sz w:val="18"/>
          <w:szCs w:val="18"/>
          <w:lang w:val="en-GB"/>
        </w:rPr>
        <w:t xml:space="preserve">, </w:t>
      </w:r>
      <w:r w:rsidR="00FB14EC" w:rsidRPr="000C7CFA">
        <w:rPr>
          <w:rFonts w:ascii="Verdana" w:hAnsi="Verdana"/>
          <w:sz w:val="18"/>
          <w:szCs w:val="18"/>
          <w:lang w:val="en-GB"/>
        </w:rPr>
        <w:t>by analogy with</w:t>
      </w:r>
      <w:r w:rsidR="00B93106" w:rsidRPr="000C7CFA">
        <w:rPr>
          <w:rFonts w:ascii="Verdana" w:hAnsi="Verdana"/>
          <w:sz w:val="18"/>
          <w:szCs w:val="18"/>
          <w:lang w:val="en-GB"/>
        </w:rPr>
        <w:t xml:space="preserve"> dieldrin</w:t>
      </w:r>
      <w:r w:rsidR="005A4BAA" w:rsidRPr="000C7CFA">
        <w:rPr>
          <w:rFonts w:ascii="Verdana" w:hAnsi="Verdana"/>
          <w:sz w:val="18"/>
          <w:szCs w:val="18"/>
          <w:lang w:val="en-GB"/>
        </w:rPr>
        <w:t xml:space="preserve"> and heptachlor epoxide</w:t>
      </w:r>
      <w:r w:rsidR="002056E2" w:rsidRPr="000C7CFA">
        <w:rPr>
          <w:rFonts w:ascii="Verdana" w:hAnsi="Verdana"/>
          <w:sz w:val="18"/>
          <w:szCs w:val="18"/>
          <w:lang w:val="en-GB"/>
        </w:rPr>
        <w:t>.</w:t>
      </w:r>
      <w:r w:rsidRPr="000C7CFA">
        <w:rPr>
          <w:rFonts w:ascii="Verdana" w:hAnsi="Verdana"/>
          <w:sz w:val="18"/>
          <w:szCs w:val="18"/>
          <w:lang w:val="en-GB"/>
        </w:rPr>
        <w:t xml:space="preserve"> Experimental data would be needed to verify this.</w:t>
      </w:r>
    </w:p>
    <w:p w14:paraId="0534F383" w14:textId="77777777" w:rsidR="00831D87" w:rsidRPr="000C7CFA" w:rsidRDefault="00831D87" w:rsidP="00831D87">
      <w:pPr>
        <w:tabs>
          <w:tab w:val="left" w:pos="1843"/>
        </w:tabs>
        <w:spacing w:after="0"/>
        <w:jc w:val="both"/>
        <w:rPr>
          <w:rFonts w:ascii="Verdana" w:eastAsiaTheme="minorHAnsi" w:hAnsi="Verdana" w:cs="Arial"/>
          <w:sz w:val="18"/>
          <w:szCs w:val="18"/>
        </w:rPr>
      </w:pPr>
    </w:p>
    <w:p w14:paraId="5B6E9133" w14:textId="77777777" w:rsidR="00831D87" w:rsidRPr="000C7CFA" w:rsidRDefault="00831D87" w:rsidP="00831D87">
      <w:pPr>
        <w:tabs>
          <w:tab w:val="left" w:pos="1843"/>
        </w:tabs>
        <w:spacing w:after="0"/>
        <w:jc w:val="both"/>
        <w:rPr>
          <w:rFonts w:ascii="Verdana" w:hAnsi="Verdana"/>
          <w:sz w:val="18"/>
          <w:szCs w:val="18"/>
          <w:lang w:val="en-GB"/>
        </w:rPr>
      </w:pPr>
    </w:p>
    <w:p w14:paraId="10D73DD7" w14:textId="77777777" w:rsidR="005248BA" w:rsidRPr="000C7CFA" w:rsidRDefault="005248BA" w:rsidP="00BD4B32">
      <w:pPr>
        <w:tabs>
          <w:tab w:val="left" w:pos="1843"/>
        </w:tabs>
        <w:spacing w:after="0"/>
        <w:jc w:val="both"/>
        <w:rPr>
          <w:rFonts w:ascii="Verdana" w:hAnsi="Verdana"/>
          <w:i/>
          <w:sz w:val="18"/>
          <w:szCs w:val="18"/>
          <w:u w:val="single"/>
        </w:rPr>
      </w:pPr>
      <w:r w:rsidRPr="000C7CFA">
        <w:rPr>
          <w:rFonts w:ascii="Verdana" w:hAnsi="Verdana"/>
          <w:i/>
          <w:sz w:val="18"/>
          <w:szCs w:val="18"/>
          <w:u w:val="single"/>
        </w:rPr>
        <w:t>Other potential transformation products</w:t>
      </w:r>
    </w:p>
    <w:p w14:paraId="4C6966C1" w14:textId="77777777" w:rsidR="005248BA" w:rsidRPr="000C7CFA" w:rsidRDefault="005248BA" w:rsidP="00BD4B32">
      <w:pPr>
        <w:tabs>
          <w:tab w:val="left" w:pos="1843"/>
        </w:tabs>
        <w:spacing w:after="0"/>
        <w:jc w:val="both"/>
        <w:rPr>
          <w:rFonts w:ascii="Verdana" w:hAnsi="Verdana"/>
          <w:sz w:val="18"/>
          <w:szCs w:val="18"/>
        </w:rPr>
      </w:pPr>
    </w:p>
    <w:p w14:paraId="0912D992" w14:textId="3D370EF9" w:rsidR="00BD4B32" w:rsidRPr="000C7CFA" w:rsidRDefault="00371E8D" w:rsidP="00BD4B32">
      <w:pPr>
        <w:tabs>
          <w:tab w:val="left" w:pos="1843"/>
        </w:tabs>
        <w:spacing w:after="0"/>
        <w:jc w:val="both"/>
        <w:rPr>
          <w:rFonts w:ascii="Verdana" w:hAnsi="Verdana"/>
          <w:sz w:val="18"/>
          <w:szCs w:val="18"/>
        </w:rPr>
      </w:pPr>
      <w:r w:rsidRPr="000C7CFA">
        <w:rPr>
          <w:rFonts w:ascii="Verdana" w:hAnsi="Verdana"/>
          <w:sz w:val="18"/>
          <w:szCs w:val="18"/>
        </w:rPr>
        <w:t>H</w:t>
      </w:r>
      <w:r w:rsidR="00BD4B32" w:rsidRPr="000C7CFA">
        <w:rPr>
          <w:rFonts w:ascii="Verdana" w:hAnsi="Verdana"/>
          <w:sz w:val="18"/>
          <w:szCs w:val="18"/>
        </w:rPr>
        <w:t>exachloronorbornadiene</w:t>
      </w:r>
      <w:r w:rsidRPr="000C7CFA">
        <w:rPr>
          <w:rFonts w:ascii="Verdana" w:hAnsi="Verdana"/>
          <w:sz w:val="18"/>
          <w:szCs w:val="18"/>
        </w:rPr>
        <w:t xml:space="preserve"> </w:t>
      </w:r>
      <w:r w:rsidR="001D70C8" w:rsidRPr="000C7CFA">
        <w:rPr>
          <w:rFonts w:ascii="Verdana" w:hAnsi="Verdana"/>
          <w:sz w:val="18"/>
          <w:szCs w:val="18"/>
        </w:rPr>
        <w:t xml:space="preserve">is a potential impurity or degradation product of </w:t>
      </w:r>
      <w:r w:rsidR="00803107" w:rsidRPr="000C7CFA">
        <w:rPr>
          <w:rFonts w:ascii="Verdana" w:hAnsi="Verdana"/>
          <w:sz w:val="18"/>
          <w:szCs w:val="18"/>
        </w:rPr>
        <w:t>chlorinated cyclodiene pesticide</w:t>
      </w:r>
      <w:r w:rsidR="001D70C8" w:rsidRPr="000C7CFA">
        <w:rPr>
          <w:rFonts w:ascii="Verdana" w:hAnsi="Verdana"/>
          <w:sz w:val="18"/>
          <w:szCs w:val="18"/>
        </w:rPr>
        <w:t xml:space="preserve">s such as </w:t>
      </w:r>
      <w:r w:rsidR="00402A64" w:rsidRPr="000C7CFA">
        <w:rPr>
          <w:rFonts w:ascii="Verdana" w:hAnsi="Verdana"/>
          <w:sz w:val="18"/>
          <w:szCs w:val="18"/>
        </w:rPr>
        <w:t>dieldrin, al</w:t>
      </w:r>
      <w:r w:rsidR="001D70C8" w:rsidRPr="000C7CFA">
        <w:rPr>
          <w:rFonts w:ascii="Verdana" w:hAnsi="Verdana"/>
          <w:sz w:val="18"/>
          <w:szCs w:val="18"/>
        </w:rPr>
        <w:t>drin</w:t>
      </w:r>
      <w:r w:rsidR="00803107" w:rsidRPr="000C7CFA">
        <w:rPr>
          <w:rFonts w:ascii="Verdana" w:hAnsi="Verdana"/>
          <w:sz w:val="18"/>
          <w:szCs w:val="18"/>
        </w:rPr>
        <w:t>, etc</w:t>
      </w:r>
      <w:r w:rsidR="001D70C8" w:rsidRPr="000C7CFA">
        <w:rPr>
          <w:rFonts w:ascii="Verdana" w:hAnsi="Verdana"/>
          <w:sz w:val="18"/>
          <w:szCs w:val="18"/>
        </w:rPr>
        <w:t>.</w:t>
      </w:r>
      <w:r w:rsidR="002A657F" w:rsidRPr="000C7CFA">
        <w:rPr>
          <w:rFonts w:ascii="Verdana" w:hAnsi="Verdana"/>
          <w:sz w:val="18"/>
          <w:szCs w:val="18"/>
        </w:rPr>
        <w:t xml:space="preserve"> It is also a potential counterpart in the reaction that leads to the formation of 1</w:t>
      </w:r>
      <w:proofErr w:type="gramStart"/>
      <w:r w:rsidR="002A657F" w:rsidRPr="000C7CFA">
        <w:rPr>
          <w:rFonts w:ascii="Verdana" w:hAnsi="Verdana"/>
          <w:sz w:val="18"/>
          <w:szCs w:val="18"/>
        </w:rPr>
        <w:t>,5</w:t>
      </w:r>
      <w:proofErr w:type="gramEnd"/>
      <w:r w:rsidR="002A657F" w:rsidRPr="000C7CFA">
        <w:rPr>
          <w:rFonts w:ascii="Verdana" w:hAnsi="Verdana"/>
          <w:sz w:val="18"/>
          <w:szCs w:val="18"/>
        </w:rPr>
        <w:t>-DPMA.</w:t>
      </w:r>
      <w:r w:rsidRPr="000C7CFA">
        <w:rPr>
          <w:rFonts w:ascii="Verdana" w:hAnsi="Verdana"/>
          <w:sz w:val="18"/>
          <w:szCs w:val="18"/>
        </w:rPr>
        <w:t xml:space="preserve"> </w:t>
      </w:r>
      <w:r w:rsidR="001D70C8" w:rsidRPr="000C7CFA">
        <w:rPr>
          <w:rFonts w:ascii="Verdana" w:hAnsi="Verdana"/>
          <w:sz w:val="18"/>
          <w:szCs w:val="18"/>
        </w:rPr>
        <w:t>The</w:t>
      </w:r>
      <w:r w:rsidR="00BD4B32" w:rsidRPr="000C7CFA">
        <w:rPr>
          <w:rFonts w:ascii="Verdana" w:hAnsi="Verdana"/>
          <w:sz w:val="18"/>
          <w:szCs w:val="18"/>
        </w:rPr>
        <w:t xml:space="preserve"> </w:t>
      </w:r>
      <w:r w:rsidR="00BD4B32" w:rsidRPr="000C7CFA">
        <w:rPr>
          <w:rFonts w:ascii="Verdana" w:hAnsi="Verdana"/>
          <w:sz w:val="18"/>
          <w:szCs w:val="18"/>
          <w:u w:val="single"/>
        </w:rPr>
        <w:t xml:space="preserve">US </w:t>
      </w:r>
      <w:r w:rsidR="00BD4B32" w:rsidRPr="000C7CFA">
        <w:rPr>
          <w:rFonts w:ascii="Verdana" w:hAnsi="Verdana"/>
          <w:sz w:val="18"/>
          <w:szCs w:val="18"/>
          <w:u w:val="single"/>
          <w:lang w:val="en-GB"/>
        </w:rPr>
        <w:t>EPA</w:t>
      </w:r>
      <w:r w:rsidR="00BD4B32" w:rsidRPr="000C7CFA">
        <w:rPr>
          <w:rFonts w:ascii="Verdana" w:hAnsi="Verdana"/>
          <w:sz w:val="18"/>
          <w:szCs w:val="18"/>
          <w:u w:val="single"/>
        </w:rPr>
        <w:t xml:space="preserve"> (1977)</w:t>
      </w:r>
      <w:r w:rsidR="00BD4B32" w:rsidRPr="000C7CFA">
        <w:rPr>
          <w:rFonts w:ascii="Verdana" w:hAnsi="Verdana"/>
          <w:sz w:val="18"/>
          <w:szCs w:val="18"/>
        </w:rPr>
        <w:t xml:space="preserve"> </w:t>
      </w:r>
      <w:r w:rsidR="001D70C8" w:rsidRPr="000C7CFA">
        <w:rPr>
          <w:rFonts w:ascii="Verdana" w:hAnsi="Verdana"/>
          <w:sz w:val="18"/>
          <w:szCs w:val="18"/>
        </w:rPr>
        <w:t>perfo</w:t>
      </w:r>
      <w:r w:rsidRPr="000C7CFA">
        <w:rPr>
          <w:rFonts w:ascii="Verdana" w:hAnsi="Verdana"/>
          <w:sz w:val="18"/>
          <w:szCs w:val="18"/>
        </w:rPr>
        <w:t>r</w:t>
      </w:r>
      <w:r w:rsidR="001D70C8" w:rsidRPr="000C7CFA">
        <w:rPr>
          <w:rFonts w:ascii="Verdana" w:hAnsi="Verdana"/>
          <w:sz w:val="18"/>
          <w:szCs w:val="18"/>
        </w:rPr>
        <w:t>med a 30</w:t>
      </w:r>
      <w:r w:rsidRPr="000C7CFA">
        <w:rPr>
          <w:rFonts w:ascii="Verdana" w:hAnsi="Verdana"/>
          <w:sz w:val="18"/>
          <w:szCs w:val="18"/>
        </w:rPr>
        <w:noBreakHyphen/>
      </w:r>
      <w:r w:rsidR="001D70C8" w:rsidRPr="000C7CFA">
        <w:rPr>
          <w:rFonts w:ascii="Verdana" w:hAnsi="Verdana"/>
          <w:sz w:val="18"/>
          <w:szCs w:val="18"/>
        </w:rPr>
        <w:t xml:space="preserve">d toxicity test with larval-early juvenile Fathead Minnows </w:t>
      </w:r>
      <w:r w:rsidR="001D70C8" w:rsidRPr="000C7CFA">
        <w:rPr>
          <w:rFonts w:ascii="Verdana" w:hAnsi="Verdana"/>
          <w:i/>
          <w:sz w:val="18"/>
          <w:szCs w:val="18"/>
        </w:rPr>
        <w:t>P. promelas</w:t>
      </w:r>
      <w:r w:rsidR="001D70C8" w:rsidRPr="000C7CFA">
        <w:rPr>
          <w:rFonts w:ascii="Verdana" w:hAnsi="Verdana"/>
          <w:sz w:val="18"/>
          <w:szCs w:val="18"/>
        </w:rPr>
        <w:t xml:space="preserve"> using a flow-through system </w:t>
      </w:r>
      <w:r w:rsidR="00BD4B32" w:rsidRPr="000C7CFA">
        <w:rPr>
          <w:rFonts w:ascii="Verdana" w:hAnsi="Verdana"/>
          <w:sz w:val="18"/>
          <w:szCs w:val="18"/>
        </w:rPr>
        <w:t xml:space="preserve">(the same study </w:t>
      </w:r>
      <w:r w:rsidR="001D70C8" w:rsidRPr="000C7CFA">
        <w:rPr>
          <w:rFonts w:ascii="Verdana" w:hAnsi="Verdana"/>
          <w:sz w:val="18"/>
          <w:szCs w:val="18"/>
        </w:rPr>
        <w:t xml:space="preserve">appears to be </w:t>
      </w:r>
      <w:r w:rsidR="00BD4B32" w:rsidRPr="000C7CFA">
        <w:rPr>
          <w:rFonts w:ascii="Verdana" w:hAnsi="Verdana"/>
          <w:sz w:val="18"/>
          <w:szCs w:val="18"/>
        </w:rPr>
        <w:t xml:space="preserve">reported </w:t>
      </w:r>
      <w:r w:rsidR="001D70C8" w:rsidRPr="000C7CFA">
        <w:rPr>
          <w:rFonts w:ascii="Verdana" w:hAnsi="Verdana"/>
          <w:sz w:val="18"/>
          <w:szCs w:val="18"/>
        </w:rPr>
        <w:t>as</w:t>
      </w:r>
      <w:r w:rsidR="00BD4B32" w:rsidRPr="000C7CFA">
        <w:rPr>
          <w:rFonts w:ascii="Verdana" w:hAnsi="Verdana"/>
          <w:sz w:val="18"/>
          <w:szCs w:val="18"/>
        </w:rPr>
        <w:t xml:space="preserve"> Spehar </w:t>
      </w:r>
      <w:r w:rsidR="00BD4B32" w:rsidRPr="000C7CFA">
        <w:rPr>
          <w:rFonts w:ascii="Verdana" w:hAnsi="Verdana"/>
          <w:i/>
          <w:sz w:val="18"/>
          <w:szCs w:val="18"/>
        </w:rPr>
        <w:t>et al</w:t>
      </w:r>
      <w:r w:rsidR="001D70C8" w:rsidRPr="000C7CFA">
        <w:rPr>
          <w:rFonts w:ascii="Verdana" w:hAnsi="Verdana"/>
          <w:sz w:val="18"/>
          <w:szCs w:val="18"/>
        </w:rPr>
        <w:t xml:space="preserve">., 1979). </w:t>
      </w:r>
      <w:r w:rsidR="00803107" w:rsidRPr="000C7CFA">
        <w:rPr>
          <w:rFonts w:ascii="Verdana" w:hAnsi="Verdana"/>
          <w:sz w:val="18"/>
          <w:szCs w:val="18"/>
        </w:rPr>
        <w:t>It</w:t>
      </w:r>
      <w:r w:rsidR="001D70C8" w:rsidRPr="000C7CFA">
        <w:rPr>
          <w:rFonts w:ascii="Verdana" w:hAnsi="Verdana"/>
          <w:sz w:val="18"/>
          <w:szCs w:val="18"/>
        </w:rPr>
        <w:t xml:space="preserve"> was conducted at 25 °C and pH 7.2 – 7.7 (other water quality parameters were also monitored and reported). Five test concentrations were prepared using acetone as a solvent (at 4 mg/L in the final test solutions). Nominal concentrations are not stated but the measured concentrations ranged from &lt;0.04 (control) to 226 µg/L [0.226 mg/L]. S</w:t>
      </w:r>
      <w:r w:rsidR="00BD4B32" w:rsidRPr="000C7CFA">
        <w:rPr>
          <w:rFonts w:ascii="Verdana" w:hAnsi="Verdana"/>
          <w:sz w:val="18"/>
          <w:szCs w:val="18"/>
        </w:rPr>
        <w:t>ignificant mortal</w:t>
      </w:r>
      <w:r w:rsidR="001D70C8" w:rsidRPr="000C7CFA">
        <w:rPr>
          <w:rFonts w:ascii="Verdana" w:hAnsi="Verdana"/>
          <w:sz w:val="18"/>
          <w:szCs w:val="18"/>
        </w:rPr>
        <w:t>ity occurred at 0.122 and 0.226 </w:t>
      </w:r>
      <w:r w:rsidR="00BD4B32" w:rsidRPr="000C7CFA">
        <w:rPr>
          <w:rFonts w:ascii="Verdana" w:hAnsi="Verdana"/>
          <w:sz w:val="18"/>
          <w:szCs w:val="18"/>
        </w:rPr>
        <w:t xml:space="preserve">mg/L after 4 days. Growth was </w:t>
      </w:r>
      <w:r w:rsidR="000B1930" w:rsidRPr="000C7CFA">
        <w:rPr>
          <w:rFonts w:ascii="Verdana" w:hAnsi="Verdana"/>
          <w:sz w:val="18"/>
          <w:szCs w:val="18"/>
        </w:rPr>
        <w:t xml:space="preserve">the most sensitive end point and was </w:t>
      </w:r>
      <w:r w:rsidR="00BD4B32" w:rsidRPr="000C7CFA">
        <w:rPr>
          <w:rFonts w:ascii="Verdana" w:hAnsi="Verdana"/>
          <w:sz w:val="18"/>
          <w:szCs w:val="18"/>
        </w:rPr>
        <w:t>si</w:t>
      </w:r>
      <w:r w:rsidR="000B1930" w:rsidRPr="000C7CFA">
        <w:rPr>
          <w:rFonts w:ascii="Verdana" w:hAnsi="Verdana"/>
          <w:sz w:val="18"/>
          <w:szCs w:val="18"/>
        </w:rPr>
        <w:t>gnificantly reduced at 0.0384 </w:t>
      </w:r>
      <w:r w:rsidR="00BD4B32" w:rsidRPr="000C7CFA">
        <w:rPr>
          <w:rFonts w:ascii="Verdana" w:hAnsi="Verdana"/>
          <w:sz w:val="18"/>
          <w:szCs w:val="18"/>
        </w:rPr>
        <w:t>mg/L; the 30-d NOEC</w:t>
      </w:r>
      <w:r w:rsidR="00BD4B32" w:rsidRPr="000C7CFA">
        <w:rPr>
          <w:rFonts w:ascii="Verdana" w:hAnsi="Verdana"/>
          <w:sz w:val="18"/>
          <w:szCs w:val="18"/>
          <w:vertAlign w:val="subscript"/>
        </w:rPr>
        <w:t>growth</w:t>
      </w:r>
      <w:r w:rsidR="00BD4B32" w:rsidRPr="000C7CFA">
        <w:rPr>
          <w:rFonts w:ascii="Verdana" w:hAnsi="Verdana"/>
          <w:sz w:val="18"/>
          <w:szCs w:val="18"/>
        </w:rPr>
        <w:t xml:space="preserve"> was 0.02 mg/L (measured concentration). Fish concentrations were</w:t>
      </w:r>
      <w:r w:rsidR="000B1930" w:rsidRPr="000C7CFA">
        <w:rPr>
          <w:rFonts w:ascii="Verdana" w:hAnsi="Verdana"/>
          <w:sz w:val="18"/>
          <w:szCs w:val="18"/>
        </w:rPr>
        <w:t xml:space="preserve"> also</w:t>
      </w:r>
      <w:r w:rsidR="00BD4B32" w:rsidRPr="000C7CFA">
        <w:rPr>
          <w:rFonts w:ascii="Verdana" w:hAnsi="Verdana"/>
          <w:sz w:val="18"/>
          <w:szCs w:val="18"/>
        </w:rPr>
        <w:t xml:space="preserve"> measured</w:t>
      </w:r>
      <w:r w:rsidR="000B1930" w:rsidRPr="000C7CFA">
        <w:rPr>
          <w:rFonts w:ascii="Verdana" w:hAnsi="Verdana"/>
          <w:sz w:val="18"/>
          <w:szCs w:val="18"/>
        </w:rPr>
        <w:t xml:space="preserve"> at the end of the test</w:t>
      </w:r>
      <w:r w:rsidR="002D4EB9" w:rsidRPr="000C7CFA">
        <w:rPr>
          <w:rFonts w:ascii="Verdana" w:hAnsi="Verdana"/>
          <w:sz w:val="18"/>
          <w:szCs w:val="18"/>
        </w:rPr>
        <w:t xml:space="preserve"> and the BCF was 6 </w:t>
      </w:r>
      <w:r w:rsidR="00BD4B32" w:rsidRPr="000C7CFA">
        <w:rPr>
          <w:rFonts w:ascii="Verdana" w:hAnsi="Verdana"/>
          <w:sz w:val="18"/>
          <w:szCs w:val="18"/>
        </w:rPr>
        <w:t xml:space="preserve">400 </w:t>
      </w:r>
      <w:r w:rsidR="004C0B4F" w:rsidRPr="000C7CFA">
        <w:rPr>
          <w:rFonts w:ascii="Verdana" w:hAnsi="Verdana"/>
          <w:sz w:val="18"/>
          <w:szCs w:val="18"/>
        </w:rPr>
        <w:t xml:space="preserve">L/kg </w:t>
      </w:r>
      <w:r w:rsidR="00BD4B32" w:rsidRPr="000C7CFA">
        <w:rPr>
          <w:rFonts w:ascii="Verdana" w:hAnsi="Verdana"/>
          <w:sz w:val="18"/>
          <w:szCs w:val="18"/>
        </w:rPr>
        <w:t>at the level of the NOEC (no information is available about lipid content</w:t>
      </w:r>
      <w:r w:rsidR="000B1930" w:rsidRPr="000C7CFA">
        <w:rPr>
          <w:rFonts w:ascii="Verdana" w:hAnsi="Verdana"/>
          <w:sz w:val="18"/>
          <w:szCs w:val="18"/>
        </w:rPr>
        <w:t>, or whether steady state had been reached</w:t>
      </w:r>
      <w:r w:rsidR="00BD4B32" w:rsidRPr="000C7CFA">
        <w:rPr>
          <w:rFonts w:ascii="Verdana" w:hAnsi="Verdana"/>
          <w:sz w:val="18"/>
          <w:szCs w:val="18"/>
        </w:rPr>
        <w:t>).</w:t>
      </w:r>
      <w:r w:rsidR="00803107" w:rsidRPr="000C7CFA">
        <w:rPr>
          <w:rFonts w:ascii="Verdana" w:hAnsi="Verdana"/>
          <w:sz w:val="18"/>
          <w:szCs w:val="18"/>
        </w:rPr>
        <w:t xml:space="preserve"> The study was performed in a government laboratory but the method pre-dates OECD TG 210, and so is not directly </w:t>
      </w:r>
      <w:r w:rsidR="00803107" w:rsidRPr="000C7CFA">
        <w:rPr>
          <w:rFonts w:ascii="Verdana" w:hAnsi="Verdana"/>
          <w:sz w:val="18"/>
          <w:szCs w:val="18"/>
        </w:rPr>
        <w:lastRenderedPageBreak/>
        <w:t xml:space="preserve">comparable with the long-term fish tests currently recommended. </w:t>
      </w:r>
      <w:r w:rsidR="00402A64" w:rsidRPr="000C7CFA">
        <w:rPr>
          <w:rFonts w:ascii="Verdana" w:hAnsi="Verdana"/>
          <w:sz w:val="18"/>
          <w:szCs w:val="18"/>
        </w:rPr>
        <w:t xml:space="preserve">Results for hexachlorocyclopentadiene are included in the same report, and the study </w:t>
      </w:r>
      <w:r w:rsidR="00803107" w:rsidRPr="000C7CFA">
        <w:rPr>
          <w:rFonts w:ascii="Verdana" w:hAnsi="Verdana"/>
          <w:sz w:val="18"/>
          <w:szCs w:val="18"/>
        </w:rPr>
        <w:t xml:space="preserve">was considered reliable in the EU evaluation of </w:t>
      </w:r>
      <w:r w:rsidR="00402A64" w:rsidRPr="000C7CFA">
        <w:rPr>
          <w:rFonts w:ascii="Verdana" w:hAnsi="Verdana"/>
          <w:sz w:val="18"/>
          <w:szCs w:val="18"/>
        </w:rPr>
        <w:t>that substance</w:t>
      </w:r>
      <w:r w:rsidR="00803107" w:rsidRPr="000C7CFA">
        <w:rPr>
          <w:rFonts w:ascii="Verdana" w:hAnsi="Verdana"/>
          <w:sz w:val="18"/>
          <w:szCs w:val="18"/>
        </w:rPr>
        <w:t xml:space="preserve"> (EC, </w:t>
      </w:r>
      <w:r w:rsidR="00402A64" w:rsidRPr="000C7CFA">
        <w:rPr>
          <w:rFonts w:ascii="Verdana" w:hAnsi="Verdana"/>
          <w:sz w:val="18"/>
          <w:szCs w:val="18"/>
        </w:rPr>
        <w:t>undated</w:t>
      </w:r>
      <w:r w:rsidR="00803107" w:rsidRPr="000C7CFA">
        <w:rPr>
          <w:rFonts w:ascii="Verdana" w:hAnsi="Verdana"/>
          <w:sz w:val="18"/>
          <w:szCs w:val="18"/>
        </w:rPr>
        <w:t xml:space="preserve">). </w:t>
      </w:r>
      <w:r w:rsidR="00402A64" w:rsidRPr="000C7CFA">
        <w:rPr>
          <w:rFonts w:ascii="Verdana" w:hAnsi="Verdana"/>
          <w:sz w:val="18"/>
          <w:szCs w:val="18"/>
        </w:rPr>
        <w:t>EC (undated)</w:t>
      </w:r>
      <w:r w:rsidR="00803107" w:rsidRPr="000C7CFA">
        <w:rPr>
          <w:rFonts w:ascii="Verdana" w:hAnsi="Verdana"/>
          <w:sz w:val="18"/>
          <w:szCs w:val="18"/>
        </w:rPr>
        <w:t xml:space="preserve"> noted that invertebrates (mysid shrimp) were about an order of magnitude more sensitive </w:t>
      </w:r>
      <w:r w:rsidR="00402A64" w:rsidRPr="000C7CFA">
        <w:rPr>
          <w:rFonts w:ascii="Verdana" w:hAnsi="Verdana"/>
          <w:sz w:val="18"/>
          <w:szCs w:val="18"/>
        </w:rPr>
        <w:t xml:space="preserve">to hexachlorocyclopentadiene </w:t>
      </w:r>
      <w:r w:rsidR="00803107" w:rsidRPr="000C7CFA">
        <w:rPr>
          <w:rFonts w:ascii="Verdana" w:hAnsi="Verdana"/>
          <w:sz w:val="18"/>
          <w:szCs w:val="18"/>
        </w:rPr>
        <w:t>than fish in long-term tests, so the same may be true of hexachloronorbornadiene.</w:t>
      </w:r>
    </w:p>
    <w:p w14:paraId="2F952E02" w14:textId="75FE1B8A" w:rsidR="00BD4B32" w:rsidRPr="000C7CFA" w:rsidRDefault="00BD4B32" w:rsidP="00DF46A5">
      <w:pPr>
        <w:tabs>
          <w:tab w:val="left" w:pos="1843"/>
        </w:tabs>
        <w:spacing w:after="0"/>
        <w:jc w:val="both"/>
        <w:rPr>
          <w:rFonts w:ascii="Verdana" w:hAnsi="Verdana"/>
          <w:sz w:val="18"/>
          <w:szCs w:val="18"/>
          <w:lang w:val="en-GB"/>
        </w:rPr>
      </w:pPr>
    </w:p>
    <w:p w14:paraId="02A67EA3" w14:textId="76647683" w:rsidR="00D029DA" w:rsidRPr="000C7CFA" w:rsidRDefault="00FE4149" w:rsidP="00D029DA">
      <w:pPr>
        <w:autoSpaceDE w:val="0"/>
        <w:autoSpaceDN w:val="0"/>
        <w:adjustRightInd w:val="0"/>
        <w:spacing w:after="0"/>
        <w:jc w:val="both"/>
        <w:rPr>
          <w:rFonts w:ascii="Verdana" w:hAnsi="Verdana"/>
          <w:bCs/>
          <w:sz w:val="18"/>
          <w:szCs w:val="18"/>
        </w:rPr>
      </w:pPr>
      <w:r w:rsidRPr="000C7CFA">
        <w:rPr>
          <w:rFonts w:ascii="Verdana" w:hAnsi="Verdana"/>
          <w:sz w:val="18"/>
          <w:szCs w:val="18"/>
          <w:lang w:val="en-GB"/>
        </w:rPr>
        <w:t>R</w:t>
      </w:r>
      <w:r w:rsidR="00D029DA" w:rsidRPr="000C7CFA">
        <w:rPr>
          <w:rFonts w:ascii="Verdana" w:hAnsi="Verdana"/>
          <w:sz w:val="18"/>
          <w:szCs w:val="18"/>
          <w:lang w:val="en-GB"/>
        </w:rPr>
        <w:t xml:space="preserve">elevant property information for </w:t>
      </w:r>
      <w:r w:rsidR="00D029DA" w:rsidRPr="000C7CFA">
        <w:rPr>
          <w:rFonts w:ascii="Verdana" w:hAnsi="Verdana"/>
          <w:sz w:val="18"/>
          <w:szCs w:val="18"/>
        </w:rPr>
        <w:t>hexachloronorbornadiene</w:t>
      </w:r>
      <w:r w:rsidR="00D029DA" w:rsidRPr="000C7CFA">
        <w:rPr>
          <w:rFonts w:ascii="Verdana" w:hAnsi="Verdana"/>
          <w:sz w:val="18"/>
          <w:szCs w:val="18"/>
          <w:lang w:val="en-GB"/>
        </w:rPr>
        <w:t xml:space="preserve"> </w:t>
      </w:r>
      <w:r w:rsidRPr="000C7CFA">
        <w:rPr>
          <w:rFonts w:ascii="Verdana" w:hAnsi="Verdana"/>
          <w:sz w:val="18"/>
          <w:szCs w:val="18"/>
          <w:lang w:val="en-GB"/>
        </w:rPr>
        <w:t xml:space="preserve">have been estimated </w:t>
      </w:r>
      <w:r w:rsidR="00D029DA" w:rsidRPr="000C7CFA">
        <w:rPr>
          <w:rFonts w:ascii="Verdana" w:hAnsi="Verdana"/>
          <w:sz w:val="18"/>
          <w:szCs w:val="18"/>
          <w:lang w:val="en-GB"/>
        </w:rPr>
        <w:t xml:space="preserve">using </w:t>
      </w:r>
      <w:r w:rsidR="00D029DA" w:rsidRPr="000C7CFA">
        <w:rPr>
          <w:rFonts w:ascii="Verdana" w:hAnsi="Verdana"/>
          <w:bCs/>
          <w:i/>
          <w:sz w:val="18"/>
          <w:szCs w:val="18"/>
        </w:rPr>
        <w:t xml:space="preserve">EPI Suite v4.11 </w:t>
      </w:r>
      <w:r w:rsidR="00D029DA" w:rsidRPr="000C7CFA">
        <w:rPr>
          <w:rFonts w:ascii="Verdana" w:hAnsi="Verdana"/>
          <w:bCs/>
          <w:sz w:val="18"/>
          <w:szCs w:val="18"/>
        </w:rPr>
        <w:t xml:space="preserve">(U.S. EPA, 2012). </w:t>
      </w:r>
    </w:p>
    <w:p w14:paraId="4854E4AB" w14:textId="78CA1D4F" w:rsidR="00D029DA" w:rsidRPr="000C7CFA" w:rsidRDefault="00831D87" w:rsidP="00D029DA">
      <w:pPr>
        <w:spacing w:after="0"/>
        <w:rPr>
          <w:rFonts w:ascii="Verdana" w:hAnsi="Verdana"/>
          <w:sz w:val="18"/>
          <w:szCs w:val="18"/>
          <w:lang w:val="en-GB"/>
        </w:rPr>
      </w:pPr>
      <w:r w:rsidRPr="000C7CFA">
        <w:rPr>
          <w:rFonts w:ascii="Verdana" w:hAnsi="Verdana"/>
          <w:noProof/>
          <w:sz w:val="18"/>
          <w:szCs w:val="18"/>
          <w:lang w:val="en-GB" w:eastAsia="en-GB"/>
        </w:rPr>
        <w:drawing>
          <wp:anchor distT="0" distB="0" distL="114300" distR="114300" simplePos="0" relativeHeight="251678720" behindDoc="0" locked="0" layoutInCell="1" allowOverlap="1" wp14:anchorId="3133B40C" wp14:editId="03F7B249">
            <wp:simplePos x="0" y="0"/>
            <wp:positionH relativeFrom="column">
              <wp:posOffset>1334770</wp:posOffset>
            </wp:positionH>
            <wp:positionV relativeFrom="paragraph">
              <wp:posOffset>100965</wp:posOffset>
            </wp:positionV>
            <wp:extent cx="1152525" cy="11449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152525" cy="1144905"/>
                    </a:xfrm>
                    <a:prstGeom prst="rect">
                      <a:avLst/>
                    </a:prstGeom>
                  </pic:spPr>
                </pic:pic>
              </a:graphicData>
            </a:graphic>
            <wp14:sizeRelH relativeFrom="page">
              <wp14:pctWidth>0</wp14:pctWidth>
            </wp14:sizeRelH>
            <wp14:sizeRelV relativeFrom="page">
              <wp14:pctHeight>0</wp14:pctHeight>
            </wp14:sizeRelV>
          </wp:anchor>
        </w:drawing>
      </w:r>
    </w:p>
    <w:p w14:paraId="7BD54977" w14:textId="15E24601" w:rsidR="00D029DA" w:rsidRPr="000C7CFA" w:rsidRDefault="00D029DA" w:rsidP="00D029DA">
      <w:pPr>
        <w:spacing w:after="0"/>
        <w:rPr>
          <w:rFonts w:ascii="Verdana" w:hAnsi="Verdana"/>
          <w:sz w:val="18"/>
          <w:szCs w:val="18"/>
          <w:lang w:val="fr-FR"/>
        </w:rPr>
      </w:pPr>
      <w:r w:rsidRPr="000C7CFA">
        <w:rPr>
          <w:rFonts w:ascii="Verdana" w:hAnsi="Verdana"/>
          <w:sz w:val="18"/>
          <w:szCs w:val="18"/>
          <w:lang w:val="fr-FR"/>
        </w:rPr>
        <w:t xml:space="preserve">Structure: </w:t>
      </w:r>
    </w:p>
    <w:p w14:paraId="407046CD" w14:textId="77777777" w:rsidR="00D029DA" w:rsidRPr="000C7CFA" w:rsidRDefault="00D029DA" w:rsidP="00D029DA">
      <w:pPr>
        <w:spacing w:after="0"/>
        <w:rPr>
          <w:rFonts w:ascii="Verdana" w:hAnsi="Verdana"/>
          <w:sz w:val="18"/>
          <w:szCs w:val="18"/>
          <w:lang w:val="fr-FR"/>
        </w:rPr>
      </w:pPr>
    </w:p>
    <w:p w14:paraId="2E5907F5" w14:textId="39F4D2EF" w:rsidR="00D029DA" w:rsidRPr="000C7CFA" w:rsidRDefault="00D029DA" w:rsidP="00D029DA">
      <w:pPr>
        <w:spacing w:after="0"/>
        <w:rPr>
          <w:rFonts w:ascii="Verdana" w:hAnsi="Verdana"/>
          <w:sz w:val="18"/>
          <w:szCs w:val="18"/>
          <w:lang w:val="fr-FR"/>
        </w:rPr>
      </w:pPr>
    </w:p>
    <w:p w14:paraId="2893018B" w14:textId="77777777" w:rsidR="00D029DA" w:rsidRPr="000C7CFA" w:rsidRDefault="00D029DA" w:rsidP="00D029DA">
      <w:pPr>
        <w:spacing w:after="0"/>
        <w:rPr>
          <w:rFonts w:ascii="Verdana" w:hAnsi="Verdana"/>
          <w:sz w:val="18"/>
          <w:szCs w:val="18"/>
          <w:lang w:val="fr-FR"/>
        </w:rPr>
      </w:pPr>
    </w:p>
    <w:p w14:paraId="2AAF0C89" w14:textId="77777777" w:rsidR="00D029DA" w:rsidRPr="000C7CFA" w:rsidRDefault="00D029DA" w:rsidP="00D029DA">
      <w:pPr>
        <w:spacing w:after="0"/>
        <w:rPr>
          <w:rFonts w:ascii="Verdana" w:hAnsi="Verdana"/>
          <w:sz w:val="18"/>
          <w:szCs w:val="18"/>
          <w:lang w:val="fr-FR"/>
        </w:rPr>
      </w:pPr>
    </w:p>
    <w:p w14:paraId="1880B1D9" w14:textId="77777777" w:rsidR="00D029DA" w:rsidRPr="000C7CFA" w:rsidRDefault="00D029DA" w:rsidP="00D029DA">
      <w:pPr>
        <w:spacing w:after="0"/>
        <w:rPr>
          <w:rFonts w:ascii="Verdana" w:hAnsi="Verdana"/>
          <w:sz w:val="18"/>
          <w:szCs w:val="18"/>
          <w:lang w:val="fr-FR"/>
        </w:rPr>
      </w:pPr>
    </w:p>
    <w:p w14:paraId="507F4C32" w14:textId="77777777" w:rsidR="00831D87" w:rsidRPr="000C7CFA" w:rsidRDefault="00831D87" w:rsidP="00D029DA">
      <w:pPr>
        <w:tabs>
          <w:tab w:val="left" w:pos="1985"/>
        </w:tabs>
        <w:spacing w:after="0"/>
        <w:rPr>
          <w:rFonts w:ascii="Verdana" w:hAnsi="Verdana"/>
          <w:sz w:val="18"/>
          <w:szCs w:val="18"/>
          <w:lang w:val="fr-FR"/>
        </w:rPr>
      </w:pPr>
    </w:p>
    <w:p w14:paraId="3E9B046A" w14:textId="77777777" w:rsidR="00831D87" w:rsidRPr="000C7CFA" w:rsidRDefault="00831D87" w:rsidP="00D029DA">
      <w:pPr>
        <w:tabs>
          <w:tab w:val="left" w:pos="1985"/>
        </w:tabs>
        <w:spacing w:after="0"/>
        <w:rPr>
          <w:rFonts w:ascii="Verdana" w:hAnsi="Verdana"/>
          <w:sz w:val="18"/>
          <w:szCs w:val="18"/>
          <w:lang w:val="fr-FR"/>
        </w:rPr>
      </w:pPr>
    </w:p>
    <w:p w14:paraId="2DDB6EA6" w14:textId="2E0187F4" w:rsidR="00831D87" w:rsidRPr="000C7CFA" w:rsidRDefault="00D029DA" w:rsidP="00831D87">
      <w:pPr>
        <w:tabs>
          <w:tab w:val="left" w:pos="1985"/>
        </w:tabs>
        <w:spacing w:after="0"/>
        <w:rPr>
          <w:rFonts w:ascii="Verdana" w:hAnsi="Verdana"/>
          <w:sz w:val="18"/>
          <w:szCs w:val="18"/>
          <w:lang w:val="fr-FR"/>
        </w:rPr>
      </w:pPr>
      <w:r w:rsidRPr="000C7CFA">
        <w:rPr>
          <w:rFonts w:ascii="Verdana" w:hAnsi="Verdana"/>
          <w:sz w:val="18"/>
          <w:szCs w:val="18"/>
          <w:lang w:val="fr-FR"/>
        </w:rPr>
        <w:t xml:space="preserve">SMILES code: </w:t>
      </w:r>
      <w:r w:rsidRPr="000C7CFA">
        <w:rPr>
          <w:rFonts w:ascii="Verdana" w:hAnsi="Verdana"/>
          <w:sz w:val="18"/>
          <w:szCs w:val="18"/>
          <w:lang w:val="fr-FR"/>
        </w:rPr>
        <w:tab/>
      </w:r>
      <w:r w:rsidR="00831D87" w:rsidRPr="000C7CFA">
        <w:rPr>
          <w:rFonts w:ascii="Verdana" w:hAnsi="Verdana"/>
          <w:sz w:val="18"/>
          <w:szCs w:val="18"/>
          <w:lang w:val="fr-FR"/>
        </w:rPr>
        <w:t>ClC1=C(Cl</w:t>
      </w:r>
      <w:proofErr w:type="gramStart"/>
      <w:r w:rsidR="00831D87" w:rsidRPr="000C7CFA">
        <w:rPr>
          <w:rFonts w:ascii="Verdana" w:hAnsi="Verdana"/>
          <w:sz w:val="18"/>
          <w:szCs w:val="18"/>
          <w:lang w:val="fr-FR"/>
        </w:rPr>
        <w:t>)C2</w:t>
      </w:r>
      <w:proofErr w:type="gramEnd"/>
      <w:r w:rsidR="00831D87" w:rsidRPr="000C7CFA">
        <w:rPr>
          <w:rFonts w:ascii="Verdana" w:hAnsi="Verdana"/>
          <w:sz w:val="18"/>
          <w:szCs w:val="18"/>
          <w:lang w:val="fr-FR"/>
        </w:rPr>
        <w:t>(Cl)(C=CC1(Cl)C2(Cl)(Cl))</w:t>
      </w:r>
    </w:p>
    <w:p w14:paraId="5630A6C7" w14:textId="41E0FBE7" w:rsidR="00831D87" w:rsidRPr="000C7CFA" w:rsidRDefault="00831D87" w:rsidP="00831D87">
      <w:pPr>
        <w:tabs>
          <w:tab w:val="left" w:pos="1985"/>
        </w:tabs>
        <w:spacing w:after="0"/>
        <w:rPr>
          <w:rFonts w:ascii="Verdana" w:hAnsi="Verdana"/>
          <w:sz w:val="18"/>
          <w:szCs w:val="18"/>
          <w:lang w:val="en-GB"/>
        </w:rPr>
      </w:pPr>
      <w:r w:rsidRPr="000C7CFA">
        <w:rPr>
          <w:rFonts w:ascii="Verdana" w:hAnsi="Verdana"/>
          <w:sz w:val="18"/>
          <w:szCs w:val="18"/>
          <w:lang w:val="en-GB"/>
        </w:rPr>
        <w:t xml:space="preserve">IUPAC name: </w:t>
      </w:r>
      <w:r w:rsidRPr="000C7CFA">
        <w:rPr>
          <w:rFonts w:ascii="Verdana" w:hAnsi="Verdana"/>
          <w:sz w:val="18"/>
          <w:szCs w:val="18"/>
          <w:lang w:val="en-GB"/>
        </w:rPr>
        <w:tab/>
        <w:t>1</w:t>
      </w:r>
      <w:proofErr w:type="gramStart"/>
      <w:r w:rsidRPr="000C7CFA">
        <w:rPr>
          <w:rFonts w:ascii="Verdana" w:hAnsi="Verdana"/>
          <w:sz w:val="18"/>
          <w:szCs w:val="18"/>
          <w:lang w:val="en-GB"/>
        </w:rPr>
        <w:t>,2,3,4,7,7</w:t>
      </w:r>
      <w:proofErr w:type="gramEnd"/>
      <w:r w:rsidRPr="000C7CFA">
        <w:rPr>
          <w:rFonts w:ascii="Verdana" w:hAnsi="Verdana"/>
          <w:sz w:val="18"/>
          <w:szCs w:val="18"/>
          <w:lang w:val="en-GB"/>
        </w:rPr>
        <w:t>-Hexachlorobicyclo[2.2.1]hepta-2,5-diene</w:t>
      </w:r>
    </w:p>
    <w:p w14:paraId="237AFD48" w14:textId="661EC30A" w:rsidR="00831D87" w:rsidRPr="000C7CFA" w:rsidRDefault="00831D87" w:rsidP="00831D87">
      <w:pPr>
        <w:tabs>
          <w:tab w:val="left" w:pos="1985"/>
        </w:tabs>
        <w:spacing w:after="0"/>
        <w:rPr>
          <w:rFonts w:ascii="Verdana" w:hAnsi="Verdana"/>
          <w:sz w:val="18"/>
          <w:szCs w:val="18"/>
          <w:lang w:val="en-GB"/>
        </w:rPr>
      </w:pPr>
      <w:r w:rsidRPr="000C7CFA">
        <w:rPr>
          <w:rFonts w:ascii="Verdana" w:hAnsi="Verdana"/>
          <w:sz w:val="18"/>
          <w:szCs w:val="18"/>
          <w:lang w:val="en-GB"/>
        </w:rPr>
        <w:t>CAS no.:</w:t>
      </w:r>
      <w:r w:rsidRPr="000C7CFA">
        <w:rPr>
          <w:rFonts w:ascii="Verdana" w:hAnsi="Verdana"/>
          <w:sz w:val="18"/>
          <w:szCs w:val="18"/>
          <w:lang w:val="en-GB"/>
        </w:rPr>
        <w:tab/>
        <w:t>3389-71-7</w:t>
      </w:r>
    </w:p>
    <w:p w14:paraId="40537698" w14:textId="20FE6502" w:rsidR="00831D87" w:rsidRPr="000C7CFA" w:rsidRDefault="00831D87" w:rsidP="00831D87">
      <w:pPr>
        <w:tabs>
          <w:tab w:val="left" w:pos="1985"/>
        </w:tabs>
        <w:spacing w:after="0"/>
        <w:rPr>
          <w:rFonts w:ascii="Verdana" w:hAnsi="Verdana"/>
          <w:sz w:val="18"/>
          <w:szCs w:val="18"/>
        </w:rPr>
      </w:pPr>
      <w:r w:rsidRPr="000C7CFA">
        <w:rPr>
          <w:rFonts w:ascii="Verdana" w:hAnsi="Verdana"/>
          <w:sz w:val="18"/>
          <w:szCs w:val="18"/>
          <w:lang w:val="en-GB"/>
        </w:rPr>
        <w:t>EC no.:</w:t>
      </w:r>
      <w:r w:rsidRPr="000C7CFA">
        <w:rPr>
          <w:rFonts w:ascii="Verdana" w:hAnsi="Verdana"/>
          <w:sz w:val="18"/>
          <w:szCs w:val="18"/>
        </w:rPr>
        <w:tab/>
        <w:t>222-220-8</w:t>
      </w:r>
    </w:p>
    <w:p w14:paraId="011AA787" w14:textId="67F5ABE7" w:rsidR="00D029DA" w:rsidRPr="000C7CFA" w:rsidRDefault="00D029DA" w:rsidP="00D029DA">
      <w:pPr>
        <w:tabs>
          <w:tab w:val="left" w:pos="1985"/>
        </w:tabs>
        <w:spacing w:after="0"/>
        <w:rPr>
          <w:rFonts w:ascii="Verdana" w:hAnsi="Verdana"/>
          <w:sz w:val="18"/>
          <w:szCs w:val="18"/>
          <w:lang w:val="en-GB"/>
        </w:rPr>
      </w:pPr>
      <w:r w:rsidRPr="000C7CFA">
        <w:rPr>
          <w:rFonts w:ascii="Verdana" w:hAnsi="Verdana"/>
          <w:sz w:val="18"/>
          <w:szCs w:val="18"/>
          <w:lang w:val="en-GB"/>
        </w:rPr>
        <w:t xml:space="preserve">Molecular formula: </w:t>
      </w:r>
      <w:r w:rsidRPr="000C7CFA">
        <w:rPr>
          <w:rFonts w:ascii="Verdana" w:hAnsi="Verdana"/>
          <w:sz w:val="18"/>
          <w:szCs w:val="18"/>
          <w:lang w:val="en-GB"/>
        </w:rPr>
        <w:tab/>
        <w:t>C</w:t>
      </w:r>
      <w:r w:rsidRPr="000C7CFA">
        <w:rPr>
          <w:rFonts w:ascii="Verdana" w:hAnsi="Verdana"/>
          <w:sz w:val="18"/>
          <w:szCs w:val="18"/>
          <w:vertAlign w:val="subscript"/>
          <w:lang w:val="en-GB"/>
        </w:rPr>
        <w:t>7</w:t>
      </w:r>
      <w:r w:rsidRPr="000C7CFA">
        <w:rPr>
          <w:rFonts w:ascii="Verdana" w:hAnsi="Verdana"/>
          <w:sz w:val="18"/>
          <w:szCs w:val="18"/>
          <w:lang w:val="en-GB"/>
        </w:rPr>
        <w:t>H</w:t>
      </w:r>
      <w:r w:rsidR="002A657F" w:rsidRPr="000C7CFA">
        <w:rPr>
          <w:rFonts w:ascii="Verdana" w:hAnsi="Verdana"/>
          <w:sz w:val="18"/>
          <w:szCs w:val="18"/>
          <w:vertAlign w:val="subscript"/>
          <w:lang w:val="en-GB"/>
        </w:rPr>
        <w:t>2</w:t>
      </w:r>
      <w:r w:rsidRPr="000C7CFA">
        <w:rPr>
          <w:rFonts w:ascii="Verdana" w:hAnsi="Verdana"/>
          <w:sz w:val="18"/>
          <w:szCs w:val="18"/>
          <w:lang w:val="en-GB"/>
        </w:rPr>
        <w:t>Cl</w:t>
      </w:r>
      <w:r w:rsidRPr="000C7CFA">
        <w:rPr>
          <w:rFonts w:ascii="Verdana" w:hAnsi="Verdana"/>
          <w:sz w:val="18"/>
          <w:szCs w:val="18"/>
          <w:vertAlign w:val="subscript"/>
          <w:lang w:val="en-GB"/>
        </w:rPr>
        <w:t>6</w:t>
      </w:r>
      <w:r w:rsidRPr="000C7CFA">
        <w:rPr>
          <w:rFonts w:ascii="Verdana" w:hAnsi="Verdana"/>
          <w:sz w:val="18"/>
          <w:szCs w:val="18"/>
          <w:lang w:val="en-GB"/>
        </w:rPr>
        <w:t xml:space="preserve"> </w:t>
      </w:r>
    </w:p>
    <w:p w14:paraId="76999FCF" w14:textId="56FA793A" w:rsidR="00D029DA" w:rsidRPr="000C7CFA" w:rsidRDefault="00D029DA" w:rsidP="00D029DA">
      <w:pPr>
        <w:tabs>
          <w:tab w:val="left" w:pos="1985"/>
        </w:tabs>
        <w:spacing w:after="0"/>
        <w:rPr>
          <w:rFonts w:ascii="Verdana" w:hAnsi="Verdana"/>
          <w:sz w:val="18"/>
          <w:szCs w:val="18"/>
          <w:lang w:val="en-GB"/>
        </w:rPr>
      </w:pPr>
      <w:r w:rsidRPr="000C7CFA">
        <w:rPr>
          <w:rFonts w:ascii="Verdana" w:hAnsi="Verdana"/>
          <w:sz w:val="18"/>
          <w:szCs w:val="18"/>
          <w:lang w:val="en-GB"/>
        </w:rPr>
        <w:t xml:space="preserve">Molecular weight: </w:t>
      </w:r>
      <w:r w:rsidRPr="000C7CFA">
        <w:rPr>
          <w:rFonts w:ascii="Verdana" w:hAnsi="Verdana"/>
          <w:sz w:val="18"/>
          <w:szCs w:val="18"/>
          <w:lang w:val="en-GB"/>
        </w:rPr>
        <w:tab/>
      </w:r>
      <w:r w:rsidR="00831D87" w:rsidRPr="000C7CFA">
        <w:rPr>
          <w:rFonts w:ascii="Verdana" w:hAnsi="Verdana"/>
          <w:sz w:val="18"/>
          <w:szCs w:val="18"/>
        </w:rPr>
        <w:t>295</w:t>
      </w:r>
      <w:r w:rsidRPr="000C7CFA">
        <w:rPr>
          <w:rFonts w:ascii="Verdana" w:hAnsi="Verdana"/>
          <w:sz w:val="18"/>
          <w:szCs w:val="18"/>
        </w:rPr>
        <w:t>.83</w:t>
      </w:r>
    </w:p>
    <w:p w14:paraId="7E94CA1F" w14:textId="77777777" w:rsidR="00D029DA" w:rsidRPr="000C7CFA" w:rsidRDefault="00D029DA" w:rsidP="00D029DA">
      <w:pPr>
        <w:spacing w:after="0"/>
        <w:rPr>
          <w:rFonts w:ascii="Verdana" w:hAnsi="Verdana"/>
          <w:sz w:val="18"/>
          <w:szCs w:val="18"/>
          <w:lang w:val="en-GB"/>
        </w:rPr>
      </w:pPr>
    </w:p>
    <w:p w14:paraId="2D1B11A8" w14:textId="77777777" w:rsidR="00D029DA" w:rsidRPr="000C7CFA" w:rsidRDefault="00D029DA" w:rsidP="00D029DA">
      <w:pPr>
        <w:spacing w:after="0"/>
        <w:rPr>
          <w:rFonts w:ascii="Verdana" w:hAnsi="Verdana"/>
          <w:i/>
          <w:sz w:val="18"/>
          <w:szCs w:val="18"/>
          <w:lang w:val="en-GB"/>
        </w:rPr>
      </w:pPr>
      <w:r w:rsidRPr="000C7CFA">
        <w:rPr>
          <w:rFonts w:ascii="Verdana" w:hAnsi="Verdana"/>
          <w:i/>
          <w:sz w:val="18"/>
          <w:szCs w:val="18"/>
          <w:lang w:val="en-GB"/>
        </w:rPr>
        <w:t>Physico-chemical properties</w:t>
      </w:r>
    </w:p>
    <w:p w14:paraId="02812065" w14:textId="77777777" w:rsidR="00D029DA" w:rsidRPr="000C7CFA" w:rsidRDefault="00D029DA" w:rsidP="00D029DA">
      <w:pPr>
        <w:spacing w:after="0"/>
        <w:rPr>
          <w:rFonts w:ascii="Verdana" w:hAnsi="Verdana"/>
          <w:sz w:val="18"/>
          <w:szCs w:val="18"/>
          <w:lang w:val="en-GB"/>
        </w:rPr>
      </w:pPr>
    </w:p>
    <w:p w14:paraId="3CCC25CC"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 xml:space="preserve">Melting point:  </w:t>
      </w:r>
      <w:r w:rsidRPr="000C7CFA">
        <w:rPr>
          <w:rFonts w:ascii="Verdana" w:hAnsi="Verdana"/>
          <w:sz w:val="18"/>
          <w:szCs w:val="18"/>
          <w:lang w:val="en-GB"/>
        </w:rPr>
        <w:tab/>
        <w:t>7</w:t>
      </w:r>
      <w:r w:rsidRPr="000C7CFA">
        <w:rPr>
          <w:rFonts w:ascii="Verdana" w:hAnsi="Verdana"/>
          <w:sz w:val="18"/>
          <w:szCs w:val="18"/>
        </w:rPr>
        <w:t xml:space="preserve">9 °C </w:t>
      </w:r>
      <w:r w:rsidRPr="000C7CFA">
        <w:rPr>
          <w:rFonts w:ascii="Verdana" w:hAnsi="Verdana"/>
          <w:sz w:val="18"/>
          <w:szCs w:val="18"/>
          <w:lang w:val="en-GB"/>
        </w:rPr>
        <w:t>(MPBPWIN v1.43)</w:t>
      </w:r>
    </w:p>
    <w:p w14:paraId="7ED2C75E"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 xml:space="preserve">Boiling point:  </w:t>
      </w:r>
      <w:r w:rsidRPr="000C7CFA">
        <w:rPr>
          <w:rFonts w:ascii="Verdana" w:hAnsi="Verdana"/>
          <w:sz w:val="18"/>
          <w:szCs w:val="18"/>
          <w:lang w:val="en-GB"/>
        </w:rPr>
        <w:tab/>
      </w:r>
      <w:r w:rsidRPr="000C7CFA">
        <w:rPr>
          <w:rFonts w:ascii="Verdana" w:hAnsi="Verdana"/>
          <w:sz w:val="18"/>
          <w:szCs w:val="18"/>
        </w:rPr>
        <w:t>261</w:t>
      </w:r>
      <w:r w:rsidRPr="000C7CFA">
        <w:rPr>
          <w:rFonts w:ascii="Verdana" w:hAnsi="Verdana"/>
          <w:sz w:val="18"/>
          <w:szCs w:val="18"/>
          <w:lang w:val="en-GB"/>
        </w:rPr>
        <w:t xml:space="preserve"> °C (Adapted Stein &amp; Brown method, MPBPWIN v1.43)</w:t>
      </w:r>
    </w:p>
    <w:p w14:paraId="77374D31" w14:textId="77777777" w:rsidR="00831D87" w:rsidRPr="000C7CFA" w:rsidRDefault="00831D87" w:rsidP="00831D87">
      <w:pPr>
        <w:tabs>
          <w:tab w:val="left" w:pos="1843"/>
          <w:tab w:val="left" w:pos="2127"/>
        </w:tabs>
        <w:spacing w:after="0"/>
        <w:rPr>
          <w:rFonts w:ascii="Verdana" w:hAnsi="Verdana"/>
          <w:sz w:val="18"/>
          <w:szCs w:val="18"/>
          <w:lang w:val="en-GB"/>
        </w:rPr>
      </w:pPr>
      <w:r w:rsidRPr="000C7CFA">
        <w:rPr>
          <w:rFonts w:ascii="Verdana" w:hAnsi="Verdana"/>
          <w:sz w:val="18"/>
          <w:szCs w:val="18"/>
          <w:lang w:val="en-GB"/>
        </w:rPr>
        <w:t xml:space="preserve">Vapour pressure: </w:t>
      </w:r>
      <w:r w:rsidRPr="000C7CFA">
        <w:rPr>
          <w:rFonts w:ascii="Verdana" w:hAnsi="Verdana"/>
          <w:sz w:val="18"/>
          <w:szCs w:val="18"/>
          <w:lang w:val="en-GB"/>
        </w:rPr>
        <w:tab/>
        <w:t>0.6</w:t>
      </w:r>
      <w:r w:rsidRPr="000C7CFA">
        <w:rPr>
          <w:rFonts w:ascii="Verdana" w:hAnsi="Verdana"/>
          <w:sz w:val="18"/>
          <w:szCs w:val="18"/>
        </w:rPr>
        <w:t>2</w:t>
      </w:r>
      <w:r w:rsidRPr="000C7CFA">
        <w:rPr>
          <w:rFonts w:ascii="Verdana" w:hAnsi="Verdana"/>
          <w:sz w:val="18"/>
          <w:szCs w:val="18"/>
          <w:lang w:val="en-GB"/>
        </w:rPr>
        <w:t xml:space="preserve"> Pa at 25 °C (Modified Grain method, MPBPWIN v1.43)</w:t>
      </w:r>
    </w:p>
    <w:p w14:paraId="1F994E4F"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 xml:space="preserve">Water </w:t>
      </w:r>
      <w:r w:rsidRPr="000C7CFA">
        <w:rPr>
          <w:rFonts w:ascii="Verdana" w:hAnsi="Verdana"/>
          <w:sz w:val="18"/>
          <w:szCs w:val="18"/>
        </w:rPr>
        <w:t>solubility</w:t>
      </w:r>
      <w:r w:rsidRPr="000C7CFA">
        <w:rPr>
          <w:rFonts w:ascii="Verdana" w:hAnsi="Verdana"/>
          <w:sz w:val="18"/>
          <w:szCs w:val="18"/>
          <w:lang w:val="en-GB"/>
        </w:rPr>
        <w:t>:</w:t>
      </w:r>
      <w:r w:rsidRPr="000C7CFA">
        <w:rPr>
          <w:rFonts w:ascii="Verdana" w:hAnsi="Verdana"/>
          <w:sz w:val="18"/>
          <w:szCs w:val="18"/>
          <w:lang w:val="en-GB"/>
        </w:rPr>
        <w:tab/>
      </w:r>
      <w:r w:rsidRPr="000C7CFA">
        <w:rPr>
          <w:rFonts w:ascii="Verdana" w:hAnsi="Verdana"/>
          <w:sz w:val="18"/>
          <w:szCs w:val="18"/>
        </w:rPr>
        <w:t xml:space="preserve">0.5 </w:t>
      </w:r>
      <w:r w:rsidRPr="000C7CFA">
        <w:rPr>
          <w:rFonts w:ascii="Verdana" w:hAnsi="Verdana"/>
          <w:sz w:val="18"/>
          <w:szCs w:val="18"/>
          <w:lang w:val="en-GB"/>
        </w:rPr>
        <w:t>mg/L at 25 °C (Wat Sol v1.01 &amp; WSKOW v1.42)</w:t>
      </w:r>
    </w:p>
    <w:p w14:paraId="575DE9C4"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Log K</w:t>
      </w:r>
      <w:r w:rsidRPr="000C7CFA">
        <w:rPr>
          <w:rFonts w:ascii="Verdana" w:hAnsi="Verdana"/>
          <w:sz w:val="18"/>
          <w:szCs w:val="18"/>
          <w:vertAlign w:val="subscript"/>
          <w:lang w:val="en-GB"/>
        </w:rPr>
        <w:t>OW</w:t>
      </w:r>
      <w:r w:rsidRPr="000C7CFA">
        <w:rPr>
          <w:rFonts w:ascii="Verdana" w:hAnsi="Verdana"/>
          <w:sz w:val="18"/>
          <w:szCs w:val="18"/>
          <w:lang w:val="en-GB"/>
        </w:rPr>
        <w:t xml:space="preserve">:  </w:t>
      </w:r>
      <w:r w:rsidRPr="000C7CFA">
        <w:rPr>
          <w:rFonts w:ascii="Verdana" w:hAnsi="Verdana"/>
          <w:sz w:val="18"/>
          <w:szCs w:val="18"/>
          <w:lang w:val="en-GB"/>
        </w:rPr>
        <w:tab/>
      </w:r>
      <w:r w:rsidRPr="000C7CFA">
        <w:rPr>
          <w:rFonts w:ascii="Verdana" w:hAnsi="Verdana"/>
          <w:sz w:val="18"/>
          <w:szCs w:val="18"/>
        </w:rPr>
        <w:t>5.15</w:t>
      </w:r>
      <w:r w:rsidRPr="000C7CFA">
        <w:rPr>
          <w:rFonts w:ascii="Verdana" w:hAnsi="Verdana"/>
          <w:sz w:val="18"/>
          <w:szCs w:val="18"/>
          <w:lang w:val="en-GB"/>
        </w:rPr>
        <w:t xml:space="preserve"> at 25 °C (KOWWIN v1.68)</w:t>
      </w:r>
    </w:p>
    <w:p w14:paraId="48DDDF77" w14:textId="77777777" w:rsidR="00831D87" w:rsidRPr="000C7CFA" w:rsidRDefault="00831D87" w:rsidP="00831D87">
      <w:pPr>
        <w:tabs>
          <w:tab w:val="left" w:pos="1843"/>
        </w:tabs>
        <w:spacing w:after="0"/>
        <w:rPr>
          <w:rFonts w:ascii="Verdana" w:hAnsi="Verdana"/>
          <w:sz w:val="18"/>
          <w:szCs w:val="18"/>
          <w:lang w:val="de-DE"/>
        </w:rPr>
      </w:pPr>
      <w:r w:rsidRPr="000C7CFA">
        <w:rPr>
          <w:rFonts w:ascii="Verdana" w:hAnsi="Verdana"/>
          <w:sz w:val="18"/>
          <w:szCs w:val="18"/>
          <w:lang w:val="de-DE"/>
        </w:rPr>
        <w:t>Log K</w:t>
      </w:r>
      <w:r w:rsidRPr="000C7CFA">
        <w:rPr>
          <w:rFonts w:ascii="Verdana" w:hAnsi="Verdana"/>
          <w:sz w:val="18"/>
          <w:szCs w:val="18"/>
          <w:vertAlign w:val="subscript"/>
          <w:lang w:val="de-DE"/>
        </w:rPr>
        <w:t>OA</w:t>
      </w:r>
      <w:r w:rsidRPr="000C7CFA">
        <w:rPr>
          <w:rFonts w:ascii="Verdana" w:hAnsi="Verdana"/>
          <w:sz w:val="18"/>
          <w:szCs w:val="18"/>
          <w:lang w:val="de-DE"/>
        </w:rPr>
        <w:t xml:space="preserve">:  </w:t>
      </w:r>
      <w:r w:rsidRPr="000C7CFA">
        <w:rPr>
          <w:rFonts w:ascii="Verdana" w:hAnsi="Verdana"/>
          <w:sz w:val="18"/>
          <w:szCs w:val="18"/>
          <w:lang w:val="de-DE"/>
        </w:rPr>
        <w:tab/>
        <w:t>6.8 at 25 °C (KOAWIN v1.10)</w:t>
      </w:r>
    </w:p>
    <w:p w14:paraId="02D2BB37" w14:textId="77777777" w:rsidR="00831D87" w:rsidRPr="000C7CFA" w:rsidRDefault="00831D87" w:rsidP="00831D87">
      <w:pPr>
        <w:spacing w:after="0"/>
        <w:rPr>
          <w:rFonts w:ascii="Verdana" w:hAnsi="Verdana"/>
          <w:i/>
          <w:sz w:val="18"/>
          <w:szCs w:val="18"/>
          <w:lang w:val="de-DE"/>
        </w:rPr>
      </w:pPr>
    </w:p>
    <w:p w14:paraId="6964DE6E" w14:textId="77777777" w:rsidR="00831D87" w:rsidRPr="000C7CFA" w:rsidRDefault="00831D87" w:rsidP="00831D87">
      <w:pPr>
        <w:spacing w:after="0"/>
        <w:rPr>
          <w:rFonts w:ascii="Verdana" w:hAnsi="Verdana"/>
          <w:i/>
          <w:sz w:val="18"/>
          <w:szCs w:val="18"/>
          <w:lang w:val="en-GB"/>
        </w:rPr>
      </w:pPr>
      <w:r w:rsidRPr="000C7CFA">
        <w:rPr>
          <w:rFonts w:ascii="Verdana" w:hAnsi="Verdana"/>
          <w:i/>
          <w:sz w:val="18"/>
          <w:szCs w:val="18"/>
          <w:lang w:val="en-GB"/>
        </w:rPr>
        <w:t xml:space="preserve">Biodegradation </w:t>
      </w:r>
    </w:p>
    <w:p w14:paraId="5DB61DAB" w14:textId="77777777" w:rsidR="00831D87" w:rsidRPr="000C7CFA" w:rsidRDefault="00831D87" w:rsidP="00831D87">
      <w:pPr>
        <w:tabs>
          <w:tab w:val="left" w:pos="1843"/>
        </w:tabs>
        <w:spacing w:after="0"/>
        <w:rPr>
          <w:rFonts w:ascii="Verdana" w:hAnsi="Verdana"/>
          <w:sz w:val="18"/>
          <w:szCs w:val="18"/>
          <w:lang w:val="en-GB"/>
        </w:rPr>
      </w:pPr>
    </w:p>
    <w:p w14:paraId="2E9D15B2"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Probability of Rapid Biodegradation (BIOWIN v4.10):</w:t>
      </w:r>
    </w:p>
    <w:p w14:paraId="5B5608B5"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 xml:space="preserve">   Biowin1 (Linear Model):  -0.61</w:t>
      </w:r>
      <w:r w:rsidRPr="000C7CFA">
        <w:rPr>
          <w:rFonts w:ascii="Verdana" w:hAnsi="Verdana"/>
          <w:sz w:val="18"/>
          <w:szCs w:val="18"/>
        </w:rPr>
        <w:t>4</w:t>
      </w:r>
      <w:r w:rsidRPr="000C7CFA">
        <w:rPr>
          <w:rFonts w:ascii="Verdana" w:hAnsi="Verdana"/>
          <w:sz w:val="18"/>
          <w:szCs w:val="18"/>
          <w:lang w:val="en-GB"/>
        </w:rPr>
        <w:t>8 (does not biodegrade fast)</w:t>
      </w:r>
    </w:p>
    <w:p w14:paraId="0E98E6B1"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 xml:space="preserve">   Biowin2 (Non-Linear Model): 0.0000 (does not biodegrade fast)</w:t>
      </w:r>
    </w:p>
    <w:p w14:paraId="1AD6CD19"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Expert Survey Biodegradation Results:</w:t>
      </w:r>
    </w:p>
    <w:p w14:paraId="3D8705C8"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 xml:space="preserve">   Biowin3 (Ultimate Survey Model): 0.</w:t>
      </w:r>
      <w:r w:rsidRPr="000C7CFA">
        <w:rPr>
          <w:rFonts w:ascii="Verdana" w:hAnsi="Verdana"/>
          <w:sz w:val="18"/>
          <w:szCs w:val="18"/>
        </w:rPr>
        <w:t xml:space="preserve">8634 </w:t>
      </w:r>
      <w:r w:rsidRPr="000C7CFA">
        <w:rPr>
          <w:rFonts w:ascii="Verdana" w:hAnsi="Verdana"/>
          <w:sz w:val="18"/>
          <w:szCs w:val="18"/>
          <w:lang w:val="en-GB"/>
        </w:rPr>
        <w:t>(recalcitrant)</w:t>
      </w:r>
    </w:p>
    <w:p w14:paraId="7FF5B15A"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 xml:space="preserve">   Biowin4 (Primary Survey Model): 2.</w:t>
      </w:r>
      <w:r w:rsidRPr="000C7CFA">
        <w:rPr>
          <w:rFonts w:ascii="Verdana" w:hAnsi="Verdana"/>
          <w:sz w:val="18"/>
          <w:szCs w:val="18"/>
        </w:rPr>
        <w:t xml:space="preserve">3526 </w:t>
      </w:r>
      <w:r w:rsidRPr="000C7CFA">
        <w:rPr>
          <w:rFonts w:ascii="Verdana" w:hAnsi="Verdana"/>
          <w:sz w:val="18"/>
          <w:szCs w:val="18"/>
          <w:lang w:val="en-GB"/>
        </w:rPr>
        <w:t>(weeks-months)</w:t>
      </w:r>
    </w:p>
    <w:p w14:paraId="0FA1D8E3"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MITI Biodegradation Probability:</w:t>
      </w:r>
    </w:p>
    <w:p w14:paraId="4F0A3470"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 xml:space="preserve">   Biowin5 (MITI Linear Model): </w:t>
      </w:r>
      <w:r w:rsidRPr="000C7CFA">
        <w:rPr>
          <w:rFonts w:ascii="Verdana" w:hAnsi="Verdana"/>
          <w:sz w:val="18"/>
          <w:szCs w:val="18"/>
        </w:rPr>
        <w:t>0.0449</w:t>
      </w:r>
      <w:r w:rsidRPr="000C7CFA">
        <w:rPr>
          <w:rFonts w:ascii="Verdana" w:hAnsi="Verdana"/>
          <w:sz w:val="18"/>
          <w:szCs w:val="18"/>
          <w:lang w:val="en-GB"/>
        </w:rPr>
        <w:t xml:space="preserve"> (does not biodegrade fast)</w:t>
      </w:r>
    </w:p>
    <w:p w14:paraId="558A7A76"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 xml:space="preserve">   Biowin6 (MITI Non-Linear Model): 0.000</w:t>
      </w:r>
      <w:r w:rsidRPr="000C7CFA">
        <w:rPr>
          <w:rFonts w:ascii="Verdana" w:hAnsi="Verdana"/>
          <w:sz w:val="18"/>
          <w:szCs w:val="18"/>
        </w:rPr>
        <w:t>2</w:t>
      </w:r>
      <w:r w:rsidRPr="000C7CFA">
        <w:rPr>
          <w:rFonts w:ascii="Verdana" w:hAnsi="Verdana"/>
          <w:sz w:val="18"/>
          <w:szCs w:val="18"/>
          <w:lang w:val="en-GB"/>
        </w:rPr>
        <w:t xml:space="preserve"> (does not biodegrade fast)</w:t>
      </w:r>
    </w:p>
    <w:p w14:paraId="3C88EF89"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Anaerobic Biodegradation Probability:</w:t>
      </w:r>
    </w:p>
    <w:p w14:paraId="6C5A3F79"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 xml:space="preserve">   Biowin7 (Anaerobic Linear Model): -0.</w:t>
      </w:r>
      <w:r w:rsidRPr="000C7CFA">
        <w:rPr>
          <w:rFonts w:ascii="Verdana" w:hAnsi="Verdana"/>
          <w:sz w:val="18"/>
          <w:szCs w:val="18"/>
        </w:rPr>
        <w:t>4016</w:t>
      </w:r>
      <w:r w:rsidRPr="000C7CFA">
        <w:rPr>
          <w:rFonts w:ascii="Verdana" w:hAnsi="Verdana"/>
          <w:sz w:val="18"/>
          <w:szCs w:val="18"/>
          <w:lang w:val="en-GB"/>
        </w:rPr>
        <w:t xml:space="preserve"> (does not biodegrade fast)</w:t>
      </w:r>
    </w:p>
    <w:p w14:paraId="5D41E397"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Ready Biodegradability Prediction:   NO</w:t>
      </w:r>
    </w:p>
    <w:p w14:paraId="43C50194" w14:textId="77777777" w:rsidR="00831D87" w:rsidRPr="000C7CFA" w:rsidRDefault="00831D87" w:rsidP="00831D87">
      <w:pPr>
        <w:tabs>
          <w:tab w:val="left" w:pos="1843"/>
        </w:tabs>
        <w:spacing w:after="0"/>
        <w:rPr>
          <w:rFonts w:ascii="Verdana" w:hAnsi="Verdana"/>
          <w:sz w:val="18"/>
          <w:szCs w:val="18"/>
          <w:lang w:val="en-GB"/>
        </w:rPr>
      </w:pPr>
    </w:p>
    <w:p w14:paraId="77DA6FEA" w14:textId="77777777" w:rsidR="00831D87" w:rsidRPr="000C7CFA" w:rsidRDefault="00831D87" w:rsidP="00831D87">
      <w:pPr>
        <w:spacing w:after="0"/>
        <w:rPr>
          <w:rFonts w:ascii="Verdana" w:hAnsi="Verdana"/>
          <w:i/>
          <w:sz w:val="18"/>
          <w:szCs w:val="18"/>
          <w:lang w:val="en-GB"/>
        </w:rPr>
      </w:pPr>
      <w:r w:rsidRPr="000C7CFA">
        <w:rPr>
          <w:rFonts w:ascii="Verdana" w:hAnsi="Verdana"/>
          <w:i/>
          <w:sz w:val="18"/>
          <w:szCs w:val="18"/>
          <w:lang w:val="en-GB"/>
        </w:rPr>
        <w:t xml:space="preserve">Bioaccumulation </w:t>
      </w:r>
    </w:p>
    <w:p w14:paraId="12046C75" w14:textId="77777777"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rPr>
        <w:t>BCFBAF v3.01</w:t>
      </w:r>
      <w:r w:rsidRPr="000C7CFA">
        <w:rPr>
          <w:rFonts w:ascii="Verdana" w:hAnsi="Verdana"/>
          <w:sz w:val="18"/>
          <w:szCs w:val="18"/>
          <w:lang w:val="en-GB"/>
        </w:rPr>
        <w:t>, using estimated log K</w:t>
      </w:r>
      <w:r w:rsidRPr="000C7CFA">
        <w:rPr>
          <w:rFonts w:ascii="Verdana" w:hAnsi="Verdana"/>
          <w:sz w:val="18"/>
          <w:szCs w:val="18"/>
          <w:vertAlign w:val="subscript"/>
          <w:lang w:val="en-GB"/>
        </w:rPr>
        <w:t>OW</w:t>
      </w:r>
    </w:p>
    <w:p w14:paraId="4EC16F23" w14:textId="65F943BC" w:rsidR="00831D87" w:rsidRPr="000C7CFA" w:rsidRDefault="00831D87" w:rsidP="00831D87">
      <w:pPr>
        <w:tabs>
          <w:tab w:val="left" w:pos="1843"/>
        </w:tabs>
        <w:spacing w:after="0"/>
        <w:rPr>
          <w:rFonts w:ascii="Verdana" w:hAnsi="Verdana"/>
          <w:sz w:val="18"/>
          <w:szCs w:val="18"/>
          <w:lang w:val="en-GB"/>
        </w:rPr>
      </w:pPr>
      <w:r w:rsidRPr="000C7CFA">
        <w:rPr>
          <w:rFonts w:ascii="Verdana" w:hAnsi="Verdana"/>
          <w:sz w:val="18"/>
          <w:szCs w:val="18"/>
          <w:lang w:val="en-GB"/>
        </w:rPr>
        <w:t>BCF</w:t>
      </w:r>
      <w:r w:rsidRPr="000C7CFA">
        <w:rPr>
          <w:rFonts w:ascii="Verdana" w:hAnsi="Verdana"/>
          <w:sz w:val="18"/>
          <w:szCs w:val="18"/>
        </w:rPr>
        <w:t xml:space="preserve"> </w:t>
      </w:r>
      <w:r w:rsidRPr="000C7CFA">
        <w:rPr>
          <w:rFonts w:ascii="Verdana" w:hAnsi="Verdana"/>
          <w:sz w:val="18"/>
          <w:szCs w:val="18"/>
          <w:lang w:val="en-GB"/>
        </w:rPr>
        <w:t>(</w:t>
      </w:r>
      <w:r w:rsidRPr="000C7CFA">
        <w:rPr>
          <w:rFonts w:ascii="Verdana" w:hAnsi="Verdana"/>
          <w:sz w:val="18"/>
          <w:szCs w:val="18"/>
        </w:rPr>
        <w:t>regression-based method</w:t>
      </w:r>
      <w:r w:rsidRPr="000C7CFA">
        <w:rPr>
          <w:rFonts w:ascii="Verdana" w:hAnsi="Verdana"/>
          <w:sz w:val="18"/>
          <w:szCs w:val="18"/>
          <w:lang w:val="en-GB"/>
        </w:rPr>
        <w:t>)</w:t>
      </w:r>
      <w:r w:rsidR="00EE256F" w:rsidRPr="000C7CFA">
        <w:rPr>
          <w:rFonts w:ascii="Verdana" w:hAnsi="Verdana"/>
          <w:sz w:val="18"/>
          <w:szCs w:val="18"/>
          <w:lang w:val="en-GB"/>
        </w:rPr>
        <w:t xml:space="preserve"> = </w:t>
      </w:r>
      <w:r w:rsidRPr="000C7CFA">
        <w:rPr>
          <w:rFonts w:ascii="Verdana" w:hAnsi="Verdana"/>
          <w:sz w:val="18"/>
          <w:szCs w:val="18"/>
        </w:rPr>
        <w:t xml:space="preserve">1 </w:t>
      </w:r>
      <w:r w:rsidR="00F22A09" w:rsidRPr="000C7CFA">
        <w:rPr>
          <w:rFonts w:ascii="Verdana" w:hAnsi="Verdana"/>
          <w:sz w:val="18"/>
          <w:szCs w:val="18"/>
        </w:rPr>
        <w:t>169</w:t>
      </w:r>
      <w:r w:rsidRPr="000C7CFA">
        <w:rPr>
          <w:rFonts w:ascii="Verdana" w:hAnsi="Verdana"/>
          <w:sz w:val="18"/>
          <w:szCs w:val="18"/>
          <w:lang w:val="en-GB"/>
        </w:rPr>
        <w:t xml:space="preserve"> L/kg ww</w:t>
      </w:r>
    </w:p>
    <w:p w14:paraId="182040DA" w14:textId="5523B96A" w:rsidR="00831D87" w:rsidRPr="000C7CFA" w:rsidRDefault="00F22A09" w:rsidP="00831D87">
      <w:pPr>
        <w:tabs>
          <w:tab w:val="left" w:pos="1843"/>
        </w:tabs>
        <w:spacing w:after="0"/>
        <w:rPr>
          <w:rFonts w:ascii="Verdana" w:hAnsi="Verdana"/>
          <w:sz w:val="18"/>
          <w:szCs w:val="18"/>
          <w:lang w:val="en-GB"/>
        </w:rPr>
      </w:pPr>
      <w:r w:rsidRPr="000C7CFA">
        <w:rPr>
          <w:rFonts w:ascii="Verdana" w:hAnsi="Verdana"/>
          <w:sz w:val="18"/>
          <w:szCs w:val="18"/>
          <w:lang w:val="en-GB"/>
        </w:rPr>
        <w:t>B</w:t>
      </w:r>
      <w:r w:rsidR="00831D87" w:rsidRPr="000C7CFA">
        <w:rPr>
          <w:rFonts w:ascii="Verdana" w:hAnsi="Verdana"/>
          <w:sz w:val="18"/>
          <w:szCs w:val="18"/>
          <w:lang w:val="en-GB"/>
        </w:rPr>
        <w:t>iotransformation half-life</w:t>
      </w:r>
      <w:r w:rsidRPr="000C7CFA">
        <w:rPr>
          <w:rFonts w:ascii="Verdana" w:hAnsi="Verdana"/>
          <w:sz w:val="18"/>
          <w:szCs w:val="18"/>
          <w:lang w:val="en-GB"/>
        </w:rPr>
        <w:t xml:space="preserve"> normalised to a 10 g fish</w:t>
      </w:r>
      <w:r w:rsidR="00831D87" w:rsidRPr="000C7CFA">
        <w:rPr>
          <w:rFonts w:ascii="Verdana" w:hAnsi="Verdana"/>
          <w:sz w:val="18"/>
          <w:szCs w:val="18"/>
          <w:lang w:val="en-GB"/>
        </w:rPr>
        <w:t xml:space="preserve">: </w:t>
      </w:r>
      <w:r w:rsidRPr="000C7CFA">
        <w:rPr>
          <w:rFonts w:ascii="Verdana" w:hAnsi="Verdana"/>
          <w:sz w:val="18"/>
          <w:szCs w:val="18"/>
          <w:lang w:val="en-GB"/>
        </w:rPr>
        <w:t>25</w:t>
      </w:r>
      <w:r w:rsidR="00831D87" w:rsidRPr="000C7CFA">
        <w:rPr>
          <w:rFonts w:ascii="Verdana" w:hAnsi="Verdana"/>
          <w:sz w:val="18"/>
          <w:szCs w:val="18"/>
        </w:rPr>
        <w:t xml:space="preserve"> </w:t>
      </w:r>
      <w:r w:rsidR="00831D87" w:rsidRPr="000C7CFA">
        <w:rPr>
          <w:rFonts w:ascii="Verdana" w:hAnsi="Verdana"/>
          <w:sz w:val="18"/>
          <w:szCs w:val="18"/>
          <w:lang w:val="en-GB"/>
        </w:rPr>
        <w:t>days</w:t>
      </w:r>
    </w:p>
    <w:p w14:paraId="4C7233C3" w14:textId="77777777" w:rsidR="00B93106" w:rsidRPr="000C7CFA" w:rsidRDefault="00831D87" w:rsidP="00B93106">
      <w:pPr>
        <w:tabs>
          <w:tab w:val="left" w:pos="1843"/>
        </w:tabs>
        <w:spacing w:after="0"/>
        <w:ind w:left="284" w:hanging="284"/>
        <w:rPr>
          <w:rFonts w:ascii="Verdana" w:hAnsi="Verdana"/>
          <w:sz w:val="18"/>
          <w:szCs w:val="18"/>
          <w:lang w:val="en-GB"/>
        </w:rPr>
      </w:pPr>
      <w:r w:rsidRPr="000C7CFA">
        <w:rPr>
          <w:rFonts w:ascii="Verdana" w:hAnsi="Verdana"/>
          <w:sz w:val="18"/>
          <w:szCs w:val="18"/>
          <w:lang w:val="en-GB"/>
        </w:rPr>
        <w:t xml:space="preserve">BCF Arnot-Gobas </w:t>
      </w:r>
      <w:r w:rsidR="00C37FAB" w:rsidRPr="000C7CFA">
        <w:rPr>
          <w:rFonts w:ascii="Verdana" w:hAnsi="Verdana"/>
          <w:sz w:val="18"/>
          <w:szCs w:val="18"/>
          <w:lang w:val="en-GB"/>
        </w:rPr>
        <w:t>method (low</w:t>
      </w:r>
      <w:r w:rsidRPr="000C7CFA">
        <w:rPr>
          <w:rFonts w:ascii="Verdana" w:hAnsi="Verdana"/>
          <w:sz w:val="18"/>
          <w:szCs w:val="18"/>
          <w:lang w:val="en-GB"/>
        </w:rPr>
        <w:t xml:space="preserve">er trophic) = </w:t>
      </w:r>
      <w:r w:rsidR="00C37FAB" w:rsidRPr="000C7CFA">
        <w:rPr>
          <w:rFonts w:ascii="Verdana" w:hAnsi="Verdana"/>
          <w:sz w:val="18"/>
          <w:szCs w:val="18"/>
          <w:lang w:val="en-GB"/>
        </w:rPr>
        <w:t>4</w:t>
      </w:r>
      <w:r w:rsidR="00F22A09" w:rsidRPr="000C7CFA">
        <w:rPr>
          <w:rFonts w:ascii="Verdana" w:hAnsi="Verdana"/>
          <w:sz w:val="18"/>
          <w:szCs w:val="18"/>
          <w:lang w:val="en-GB"/>
        </w:rPr>
        <w:t> 9</w:t>
      </w:r>
      <w:r w:rsidR="00C37FAB" w:rsidRPr="000C7CFA">
        <w:rPr>
          <w:rFonts w:ascii="Verdana" w:hAnsi="Verdana"/>
          <w:sz w:val="18"/>
          <w:szCs w:val="18"/>
          <w:lang w:val="en-GB"/>
        </w:rPr>
        <w:t>73</w:t>
      </w:r>
      <w:r w:rsidR="00F22A09" w:rsidRPr="000C7CFA">
        <w:rPr>
          <w:rFonts w:ascii="Verdana" w:hAnsi="Verdana"/>
          <w:sz w:val="18"/>
          <w:szCs w:val="18"/>
          <w:lang w:val="en-GB"/>
        </w:rPr>
        <w:t xml:space="preserve"> L/kg ww</w:t>
      </w:r>
      <w:r w:rsidR="00637887" w:rsidRPr="000C7CFA">
        <w:rPr>
          <w:rFonts w:ascii="Verdana" w:hAnsi="Verdana"/>
          <w:sz w:val="18"/>
          <w:szCs w:val="18"/>
          <w:lang w:val="en-GB"/>
        </w:rPr>
        <w:t xml:space="preserve"> (assuming biotransformation)</w:t>
      </w:r>
    </w:p>
    <w:p w14:paraId="1D87DCC9" w14:textId="5438A478" w:rsidR="00637887" w:rsidRPr="000C7CFA" w:rsidRDefault="00C37FAB" w:rsidP="00B93106">
      <w:pPr>
        <w:tabs>
          <w:tab w:val="left" w:pos="1843"/>
        </w:tabs>
        <w:spacing w:after="0"/>
        <w:ind w:left="284" w:hanging="284"/>
        <w:rPr>
          <w:rFonts w:ascii="Verdana" w:hAnsi="Verdana"/>
          <w:sz w:val="18"/>
          <w:szCs w:val="18"/>
          <w:lang w:val="en-GB"/>
        </w:rPr>
      </w:pPr>
      <w:r w:rsidRPr="000C7CFA">
        <w:rPr>
          <w:rFonts w:ascii="Verdana" w:hAnsi="Verdana"/>
          <w:sz w:val="18"/>
          <w:szCs w:val="18"/>
          <w:lang w:val="en-GB"/>
        </w:rPr>
        <w:t>BAF Arnot-Gobas method (low</w:t>
      </w:r>
      <w:r w:rsidR="00831D87" w:rsidRPr="000C7CFA">
        <w:rPr>
          <w:rFonts w:ascii="Verdana" w:hAnsi="Verdana"/>
          <w:sz w:val="18"/>
          <w:szCs w:val="18"/>
          <w:lang w:val="en-GB"/>
        </w:rPr>
        <w:t xml:space="preserve">er trophic) = </w:t>
      </w:r>
      <w:r w:rsidRPr="000C7CFA">
        <w:rPr>
          <w:rFonts w:ascii="Verdana" w:hAnsi="Verdana"/>
          <w:sz w:val="18"/>
          <w:szCs w:val="18"/>
          <w:lang w:val="en-GB"/>
        </w:rPr>
        <w:t>13</w:t>
      </w:r>
      <w:r w:rsidR="00F22A09" w:rsidRPr="000C7CFA">
        <w:rPr>
          <w:rFonts w:ascii="Verdana" w:hAnsi="Verdana"/>
          <w:sz w:val="18"/>
          <w:szCs w:val="18"/>
          <w:lang w:val="en-GB"/>
        </w:rPr>
        <w:t xml:space="preserve"> 000 L/kg ww</w:t>
      </w:r>
      <w:r w:rsidR="00637887" w:rsidRPr="000C7CFA">
        <w:rPr>
          <w:rFonts w:ascii="Verdana" w:hAnsi="Verdana"/>
          <w:sz w:val="18"/>
          <w:szCs w:val="18"/>
          <w:lang w:val="en-GB"/>
        </w:rPr>
        <w:t xml:space="preserve"> (assuming biotransformation)</w:t>
      </w:r>
    </w:p>
    <w:p w14:paraId="3A4CD9F2" w14:textId="07E955A9" w:rsidR="00831D87" w:rsidRPr="000C7CFA" w:rsidRDefault="00831D87" w:rsidP="00831D87">
      <w:pPr>
        <w:tabs>
          <w:tab w:val="left" w:pos="1843"/>
        </w:tabs>
        <w:spacing w:after="0"/>
        <w:rPr>
          <w:rFonts w:ascii="Verdana" w:hAnsi="Verdana"/>
          <w:sz w:val="18"/>
          <w:szCs w:val="18"/>
          <w:lang w:val="en-GB"/>
        </w:rPr>
      </w:pPr>
    </w:p>
    <w:p w14:paraId="5A2A93F1" w14:textId="465D27CC" w:rsidR="00637887" w:rsidRPr="000C7CFA" w:rsidRDefault="00637887" w:rsidP="00637887">
      <w:pPr>
        <w:tabs>
          <w:tab w:val="left" w:pos="1843"/>
        </w:tabs>
        <w:spacing w:after="0"/>
        <w:jc w:val="both"/>
        <w:rPr>
          <w:rFonts w:ascii="Verdana" w:hAnsi="Verdana"/>
          <w:sz w:val="18"/>
          <w:szCs w:val="18"/>
          <w:lang w:val="en-GB"/>
        </w:rPr>
      </w:pPr>
      <w:r w:rsidRPr="000C7CFA">
        <w:rPr>
          <w:rFonts w:ascii="Verdana" w:hAnsi="Verdana"/>
          <w:sz w:val="18"/>
          <w:szCs w:val="18"/>
          <w:lang w:val="en-GB"/>
        </w:rPr>
        <w:t>N.B. The BCFBAF program estimates the BCF (and BAF) on the basis of the total concentration in water rather than the dissolved concentration in water, so a BCF based on dissolved concentrations may be higher than suggested here.</w:t>
      </w:r>
      <w:r w:rsidR="00B93106" w:rsidRPr="000C7CFA">
        <w:rPr>
          <w:rFonts w:ascii="Verdana" w:hAnsi="Verdana"/>
          <w:sz w:val="18"/>
          <w:szCs w:val="18"/>
          <w:lang w:val="en-GB"/>
        </w:rPr>
        <w:t xml:space="preserve"> The prediction using the Arnot-Gobas method seems to support the BCF </w:t>
      </w:r>
      <w:r w:rsidR="004C0B4F" w:rsidRPr="000C7CFA">
        <w:rPr>
          <w:rFonts w:ascii="Verdana" w:hAnsi="Verdana"/>
          <w:sz w:val="18"/>
          <w:szCs w:val="18"/>
          <w:lang w:val="en-GB"/>
        </w:rPr>
        <w:t>above 5 000 L/kg reported</w:t>
      </w:r>
      <w:r w:rsidR="00B93106" w:rsidRPr="000C7CFA">
        <w:rPr>
          <w:rFonts w:ascii="Verdana" w:hAnsi="Verdana"/>
          <w:sz w:val="18"/>
          <w:szCs w:val="18"/>
          <w:lang w:val="en-GB"/>
        </w:rPr>
        <w:t xml:space="preserve"> by </w:t>
      </w:r>
      <w:r w:rsidR="00B93106" w:rsidRPr="000C7CFA">
        <w:rPr>
          <w:rFonts w:ascii="Verdana" w:hAnsi="Verdana"/>
          <w:sz w:val="18"/>
          <w:szCs w:val="18"/>
        </w:rPr>
        <w:t xml:space="preserve">US </w:t>
      </w:r>
      <w:r w:rsidR="00B93106" w:rsidRPr="000C7CFA">
        <w:rPr>
          <w:rFonts w:ascii="Verdana" w:hAnsi="Verdana"/>
          <w:sz w:val="18"/>
          <w:szCs w:val="18"/>
          <w:lang w:val="en-GB"/>
        </w:rPr>
        <w:t>EPA (</w:t>
      </w:r>
      <w:r w:rsidR="00B93106" w:rsidRPr="000C7CFA">
        <w:rPr>
          <w:rFonts w:ascii="Verdana" w:hAnsi="Verdana"/>
          <w:sz w:val="18"/>
          <w:szCs w:val="18"/>
        </w:rPr>
        <w:t>1977) in a non-standard test (see above).</w:t>
      </w:r>
    </w:p>
    <w:p w14:paraId="568D0175" w14:textId="77777777" w:rsidR="00F22A09" w:rsidRPr="000C7CFA" w:rsidRDefault="00F22A09" w:rsidP="00831D87">
      <w:pPr>
        <w:tabs>
          <w:tab w:val="left" w:pos="1843"/>
        </w:tabs>
        <w:spacing w:after="0"/>
        <w:rPr>
          <w:rFonts w:ascii="Verdana" w:hAnsi="Verdana"/>
          <w:sz w:val="18"/>
          <w:szCs w:val="18"/>
          <w:lang w:val="en-GB"/>
        </w:rPr>
      </w:pPr>
    </w:p>
    <w:p w14:paraId="4B6C630C" w14:textId="77777777" w:rsidR="00313E90" w:rsidRPr="000C7CFA" w:rsidRDefault="00313E90">
      <w:pPr>
        <w:spacing w:after="0"/>
        <w:rPr>
          <w:rFonts w:ascii="Verdana" w:hAnsi="Verdana"/>
          <w:i/>
          <w:sz w:val="18"/>
          <w:szCs w:val="18"/>
          <w:lang w:val="en-GB"/>
        </w:rPr>
      </w:pPr>
      <w:r w:rsidRPr="000C7CFA">
        <w:rPr>
          <w:rFonts w:ascii="Verdana" w:hAnsi="Verdana"/>
          <w:i/>
          <w:sz w:val="18"/>
          <w:szCs w:val="18"/>
          <w:lang w:val="en-GB"/>
        </w:rPr>
        <w:lastRenderedPageBreak/>
        <w:br w:type="page"/>
      </w:r>
    </w:p>
    <w:p w14:paraId="2F566DBC" w14:textId="5B8D0101" w:rsidR="00831D87" w:rsidRPr="000C7CFA" w:rsidRDefault="00831D87" w:rsidP="00831D87">
      <w:pPr>
        <w:spacing w:after="0"/>
        <w:rPr>
          <w:rFonts w:ascii="Verdana" w:hAnsi="Verdana"/>
          <w:i/>
          <w:sz w:val="18"/>
          <w:szCs w:val="18"/>
          <w:lang w:val="en-GB"/>
        </w:rPr>
      </w:pPr>
      <w:r w:rsidRPr="000C7CFA">
        <w:rPr>
          <w:rFonts w:ascii="Verdana" w:hAnsi="Verdana"/>
          <w:i/>
          <w:sz w:val="18"/>
          <w:szCs w:val="18"/>
          <w:lang w:val="en-GB"/>
        </w:rPr>
        <w:lastRenderedPageBreak/>
        <w:t>Aquatic toxicity</w:t>
      </w:r>
    </w:p>
    <w:p w14:paraId="21BC9C71" w14:textId="77777777" w:rsidR="00831D87" w:rsidRPr="000C7CFA" w:rsidRDefault="00831D87" w:rsidP="00831D87">
      <w:pPr>
        <w:tabs>
          <w:tab w:val="left" w:pos="1843"/>
        </w:tabs>
        <w:spacing w:after="0"/>
        <w:rPr>
          <w:rFonts w:ascii="Verdana" w:hAnsi="Verdana"/>
          <w:sz w:val="18"/>
          <w:szCs w:val="18"/>
          <w:lang w:val="en-GB"/>
        </w:rPr>
      </w:pPr>
    </w:p>
    <w:p w14:paraId="1BE230C9" w14:textId="77777777" w:rsidR="00B93106" w:rsidRPr="000C7CFA" w:rsidRDefault="00B93106" w:rsidP="00B93106">
      <w:pPr>
        <w:tabs>
          <w:tab w:val="left" w:pos="1843"/>
        </w:tabs>
        <w:spacing w:after="0"/>
        <w:rPr>
          <w:rFonts w:ascii="Verdana" w:hAnsi="Verdana"/>
          <w:sz w:val="18"/>
          <w:szCs w:val="18"/>
          <w:lang w:val="en-GB"/>
        </w:rPr>
      </w:pPr>
      <w:r w:rsidRPr="000C7CFA">
        <w:rPr>
          <w:rFonts w:ascii="Verdana" w:hAnsi="Verdana"/>
          <w:sz w:val="18"/>
          <w:szCs w:val="18"/>
          <w:lang w:val="en-GB"/>
        </w:rPr>
        <w:t>ECOSAR Class Program (ECOSAR v1.11):</w:t>
      </w:r>
    </w:p>
    <w:p w14:paraId="4F764A83" w14:textId="0D0FB151" w:rsidR="00B93106" w:rsidRPr="000C7CFA" w:rsidRDefault="00B93106" w:rsidP="00B93106">
      <w:pPr>
        <w:tabs>
          <w:tab w:val="left" w:pos="1843"/>
        </w:tabs>
        <w:spacing w:after="0"/>
        <w:rPr>
          <w:rFonts w:ascii="Verdana" w:hAnsi="Verdana"/>
          <w:sz w:val="18"/>
          <w:szCs w:val="18"/>
          <w:lang w:val="en-GB"/>
        </w:rPr>
      </w:pPr>
      <w:r w:rsidRPr="000C7CFA">
        <w:rPr>
          <w:rFonts w:ascii="Verdana" w:hAnsi="Verdana"/>
          <w:sz w:val="18"/>
          <w:szCs w:val="18"/>
          <w:lang w:val="en-GB"/>
        </w:rPr>
        <w:t xml:space="preserve">        </w:t>
      </w:r>
      <w:r w:rsidRPr="000C7CFA">
        <w:rPr>
          <w:rFonts w:ascii="Verdana" w:hAnsi="Verdana"/>
          <w:sz w:val="18"/>
          <w:szCs w:val="18"/>
        </w:rPr>
        <w:t>Vinyl/</w:t>
      </w:r>
      <w:r w:rsidR="0076237E" w:rsidRPr="000C7CFA">
        <w:rPr>
          <w:rFonts w:ascii="Verdana" w:hAnsi="Verdana"/>
          <w:sz w:val="18"/>
          <w:szCs w:val="18"/>
        </w:rPr>
        <w:t>allyl</w:t>
      </w:r>
      <w:r w:rsidRPr="000C7CFA">
        <w:rPr>
          <w:rFonts w:ascii="Verdana" w:hAnsi="Verdana"/>
          <w:sz w:val="18"/>
          <w:szCs w:val="18"/>
          <w:lang w:val="en-GB"/>
        </w:rPr>
        <w:t xml:space="preserve"> </w:t>
      </w:r>
      <w:r w:rsidR="0076237E" w:rsidRPr="000C7CFA">
        <w:rPr>
          <w:rFonts w:ascii="Verdana" w:hAnsi="Verdana"/>
          <w:sz w:val="18"/>
          <w:szCs w:val="18"/>
        </w:rPr>
        <w:t>halides</w:t>
      </w:r>
      <w:r w:rsidRPr="000C7CFA">
        <w:rPr>
          <w:rFonts w:ascii="Verdana" w:hAnsi="Verdana"/>
          <w:sz w:val="18"/>
          <w:szCs w:val="18"/>
        </w:rPr>
        <w:t xml:space="preserve"> model:</w:t>
      </w:r>
    </w:p>
    <w:p w14:paraId="081565F9" w14:textId="77777777" w:rsidR="00B93106" w:rsidRPr="000C7CFA" w:rsidRDefault="00B93106" w:rsidP="00B93106">
      <w:pPr>
        <w:tabs>
          <w:tab w:val="left" w:pos="1843"/>
        </w:tabs>
        <w:spacing w:after="0"/>
        <w:rPr>
          <w:rFonts w:ascii="Verdana" w:hAnsi="Verdana"/>
          <w:sz w:val="18"/>
          <w:szCs w:val="18"/>
          <w:lang w:val="en-GB"/>
        </w:rPr>
      </w:pPr>
    </w:p>
    <w:p w14:paraId="37F5C7E4" w14:textId="2EB4BE13" w:rsidR="00B93106" w:rsidRPr="000C7CFA" w:rsidRDefault="00B93106" w:rsidP="00B93106">
      <w:pPr>
        <w:tabs>
          <w:tab w:val="left" w:pos="3402"/>
        </w:tabs>
        <w:spacing w:after="0"/>
        <w:ind w:left="851"/>
        <w:rPr>
          <w:rFonts w:ascii="Verdana" w:hAnsi="Verdana"/>
          <w:sz w:val="18"/>
          <w:szCs w:val="18"/>
          <w:lang w:val="en-GB"/>
        </w:rPr>
      </w:pPr>
      <w:r w:rsidRPr="000C7CFA">
        <w:rPr>
          <w:rFonts w:ascii="Verdana" w:hAnsi="Verdana"/>
          <w:sz w:val="18"/>
          <w:szCs w:val="18"/>
          <w:lang w:val="en-GB"/>
        </w:rPr>
        <w:t>Fish 96-h LC</w:t>
      </w:r>
      <w:r w:rsidRPr="000C7CFA">
        <w:rPr>
          <w:rFonts w:ascii="Verdana" w:hAnsi="Verdana"/>
          <w:sz w:val="18"/>
          <w:szCs w:val="18"/>
          <w:vertAlign w:val="subscript"/>
          <w:lang w:val="en-GB"/>
        </w:rPr>
        <w:t>50</w:t>
      </w:r>
      <w:r w:rsidRPr="000C7CFA">
        <w:rPr>
          <w:rFonts w:ascii="Verdana" w:hAnsi="Verdana"/>
          <w:sz w:val="18"/>
          <w:szCs w:val="18"/>
          <w:lang w:val="en-GB"/>
        </w:rPr>
        <w:t>:</w:t>
      </w:r>
      <w:r w:rsidRPr="000C7CFA">
        <w:rPr>
          <w:rFonts w:ascii="Verdana" w:hAnsi="Verdana"/>
          <w:sz w:val="18"/>
          <w:szCs w:val="18"/>
          <w:lang w:val="en-GB"/>
        </w:rPr>
        <w:tab/>
        <w:t>0.079 mg/L</w:t>
      </w:r>
    </w:p>
    <w:p w14:paraId="6B0245C6" w14:textId="2335DA29" w:rsidR="00B93106" w:rsidRPr="000C7CFA" w:rsidRDefault="00B93106" w:rsidP="00B93106">
      <w:pPr>
        <w:tabs>
          <w:tab w:val="left" w:pos="3402"/>
        </w:tabs>
        <w:spacing w:after="0"/>
        <w:ind w:left="851"/>
        <w:rPr>
          <w:rFonts w:ascii="Verdana" w:hAnsi="Verdana"/>
          <w:sz w:val="18"/>
          <w:szCs w:val="18"/>
          <w:lang w:val="en-GB"/>
        </w:rPr>
      </w:pPr>
      <w:r w:rsidRPr="000C7CFA">
        <w:rPr>
          <w:rFonts w:ascii="Verdana" w:hAnsi="Verdana"/>
          <w:sz w:val="18"/>
          <w:szCs w:val="18"/>
          <w:lang w:val="en-GB"/>
        </w:rPr>
        <w:t>Daphnid 48-h LC</w:t>
      </w:r>
      <w:r w:rsidRPr="000C7CFA">
        <w:rPr>
          <w:rFonts w:ascii="Verdana" w:hAnsi="Verdana"/>
          <w:sz w:val="18"/>
          <w:szCs w:val="18"/>
          <w:vertAlign w:val="subscript"/>
          <w:lang w:val="en-GB"/>
        </w:rPr>
        <w:t>50</w:t>
      </w:r>
      <w:r w:rsidRPr="000C7CFA">
        <w:rPr>
          <w:rFonts w:ascii="Verdana" w:hAnsi="Verdana"/>
          <w:sz w:val="18"/>
          <w:szCs w:val="18"/>
        </w:rPr>
        <w:t>:</w:t>
      </w:r>
      <w:r w:rsidRPr="000C7CFA">
        <w:rPr>
          <w:rFonts w:ascii="Verdana" w:hAnsi="Verdana"/>
          <w:sz w:val="18"/>
          <w:szCs w:val="18"/>
        </w:rPr>
        <w:tab/>
        <w:t>0.079</w:t>
      </w:r>
      <w:r w:rsidRPr="000C7CFA">
        <w:rPr>
          <w:rFonts w:ascii="Verdana" w:hAnsi="Verdana"/>
          <w:sz w:val="18"/>
          <w:szCs w:val="18"/>
          <w:lang w:val="en-GB"/>
        </w:rPr>
        <w:t xml:space="preserve"> mg/L</w:t>
      </w:r>
    </w:p>
    <w:p w14:paraId="513BB5DD" w14:textId="62231A2B" w:rsidR="00B93106" w:rsidRPr="000C7CFA" w:rsidRDefault="00B93106" w:rsidP="00B93106">
      <w:pPr>
        <w:tabs>
          <w:tab w:val="left" w:pos="3402"/>
        </w:tabs>
        <w:spacing w:after="0"/>
        <w:ind w:left="851"/>
        <w:rPr>
          <w:rFonts w:ascii="Verdana" w:hAnsi="Verdana"/>
          <w:sz w:val="18"/>
          <w:szCs w:val="18"/>
          <w:lang w:val="en-GB"/>
        </w:rPr>
      </w:pPr>
      <w:r w:rsidRPr="000C7CFA">
        <w:rPr>
          <w:rFonts w:ascii="Verdana" w:hAnsi="Verdana"/>
          <w:sz w:val="18"/>
          <w:szCs w:val="18"/>
          <w:lang w:val="en-GB"/>
        </w:rPr>
        <w:t>Green algae 96-h EC</w:t>
      </w:r>
      <w:r w:rsidRPr="000C7CFA">
        <w:rPr>
          <w:rFonts w:ascii="Verdana" w:hAnsi="Verdana"/>
          <w:sz w:val="18"/>
          <w:szCs w:val="18"/>
          <w:vertAlign w:val="subscript"/>
          <w:lang w:val="en-GB"/>
        </w:rPr>
        <w:t>50</w:t>
      </w:r>
      <w:r w:rsidRPr="000C7CFA">
        <w:rPr>
          <w:rFonts w:ascii="Verdana" w:hAnsi="Verdana"/>
          <w:sz w:val="18"/>
          <w:szCs w:val="18"/>
          <w:lang w:val="en-GB"/>
        </w:rPr>
        <w:t>:</w:t>
      </w:r>
      <w:r w:rsidRPr="000C7CFA">
        <w:rPr>
          <w:rFonts w:ascii="Verdana" w:hAnsi="Verdana"/>
          <w:sz w:val="18"/>
          <w:szCs w:val="18"/>
          <w:lang w:val="en-GB"/>
        </w:rPr>
        <w:tab/>
        <w:t>0.28 mg/L</w:t>
      </w:r>
    </w:p>
    <w:p w14:paraId="7ABCBFB7" w14:textId="77007ADD" w:rsidR="00B93106" w:rsidRPr="000C7CFA" w:rsidRDefault="00B93106" w:rsidP="00B93106">
      <w:pPr>
        <w:tabs>
          <w:tab w:val="left" w:pos="3402"/>
        </w:tabs>
        <w:spacing w:after="0"/>
        <w:ind w:left="851"/>
        <w:rPr>
          <w:rFonts w:ascii="Verdana" w:hAnsi="Verdana"/>
          <w:i/>
          <w:sz w:val="18"/>
          <w:szCs w:val="18"/>
          <w:lang w:val="en-GB"/>
        </w:rPr>
      </w:pPr>
      <w:r w:rsidRPr="000C7CFA">
        <w:rPr>
          <w:rFonts w:ascii="Verdana" w:hAnsi="Verdana"/>
          <w:i/>
          <w:sz w:val="18"/>
          <w:szCs w:val="18"/>
        </w:rPr>
        <w:t>Fish ChV:</w:t>
      </w:r>
      <w:r w:rsidRPr="000C7CFA">
        <w:rPr>
          <w:rFonts w:ascii="Verdana" w:hAnsi="Verdana"/>
          <w:i/>
          <w:sz w:val="18"/>
          <w:szCs w:val="18"/>
        </w:rPr>
        <w:tab/>
        <w:t>0.</w:t>
      </w:r>
      <w:r w:rsidRPr="000C7CFA">
        <w:rPr>
          <w:rFonts w:ascii="Verdana" w:hAnsi="Verdana"/>
          <w:i/>
          <w:sz w:val="18"/>
          <w:szCs w:val="18"/>
          <w:lang w:val="en-GB"/>
        </w:rPr>
        <w:t>004 mg/L</w:t>
      </w:r>
    </w:p>
    <w:p w14:paraId="3613C6EB" w14:textId="72BB348C" w:rsidR="00B93106" w:rsidRPr="000C7CFA" w:rsidRDefault="00B93106" w:rsidP="00B93106">
      <w:pPr>
        <w:tabs>
          <w:tab w:val="left" w:pos="3402"/>
        </w:tabs>
        <w:spacing w:after="0"/>
        <w:ind w:left="851"/>
        <w:rPr>
          <w:rFonts w:ascii="Verdana" w:hAnsi="Verdana"/>
          <w:i/>
          <w:sz w:val="18"/>
          <w:szCs w:val="18"/>
          <w:lang w:val="en-GB"/>
        </w:rPr>
      </w:pPr>
      <w:r w:rsidRPr="000C7CFA">
        <w:rPr>
          <w:rFonts w:ascii="Verdana" w:hAnsi="Verdana"/>
          <w:i/>
          <w:sz w:val="18"/>
          <w:szCs w:val="18"/>
          <w:lang w:val="en-GB"/>
        </w:rPr>
        <w:t>Daphnid ChV:</w:t>
      </w:r>
      <w:r w:rsidRPr="000C7CFA">
        <w:rPr>
          <w:rFonts w:ascii="Verdana" w:hAnsi="Verdana"/>
          <w:i/>
          <w:sz w:val="18"/>
          <w:szCs w:val="18"/>
          <w:lang w:val="en-GB"/>
        </w:rPr>
        <w:tab/>
        <w:t>0.027 mg/L</w:t>
      </w:r>
    </w:p>
    <w:p w14:paraId="2FC2ED87" w14:textId="492D0DC8" w:rsidR="00B93106" w:rsidRPr="000C7CFA" w:rsidRDefault="00B93106" w:rsidP="00B93106">
      <w:pPr>
        <w:tabs>
          <w:tab w:val="left" w:pos="3402"/>
        </w:tabs>
        <w:spacing w:after="0"/>
        <w:ind w:left="851"/>
        <w:rPr>
          <w:rFonts w:ascii="Verdana" w:hAnsi="Verdana"/>
          <w:sz w:val="18"/>
          <w:szCs w:val="18"/>
        </w:rPr>
      </w:pPr>
      <w:r w:rsidRPr="000C7CFA">
        <w:rPr>
          <w:rFonts w:ascii="Verdana" w:hAnsi="Verdana"/>
          <w:sz w:val="18"/>
          <w:szCs w:val="18"/>
          <w:lang w:val="en-GB"/>
        </w:rPr>
        <w:t xml:space="preserve">[Green algae ChV not reported due to weak training set – for reasons, see Appendix </w:t>
      </w:r>
      <w:r w:rsidR="00E626D2" w:rsidRPr="000C7CFA">
        <w:rPr>
          <w:rFonts w:ascii="Verdana" w:hAnsi="Verdana"/>
          <w:sz w:val="18"/>
          <w:szCs w:val="18"/>
          <w:lang w:val="en-GB"/>
        </w:rPr>
        <w:t>8</w:t>
      </w:r>
      <w:r w:rsidRPr="000C7CFA">
        <w:rPr>
          <w:rFonts w:ascii="Verdana" w:hAnsi="Verdana"/>
          <w:sz w:val="18"/>
          <w:szCs w:val="18"/>
          <w:lang w:val="en-GB"/>
        </w:rPr>
        <w:t>]</w:t>
      </w:r>
    </w:p>
    <w:p w14:paraId="446CF548" w14:textId="77777777" w:rsidR="00B93106" w:rsidRPr="000C7CFA" w:rsidRDefault="00B93106" w:rsidP="00B93106">
      <w:pPr>
        <w:tabs>
          <w:tab w:val="left" w:pos="1843"/>
        </w:tabs>
        <w:spacing w:after="0"/>
        <w:rPr>
          <w:rFonts w:ascii="Verdana" w:hAnsi="Verdana"/>
          <w:sz w:val="18"/>
          <w:szCs w:val="18"/>
          <w:lang w:val="en-GB"/>
        </w:rPr>
      </w:pPr>
    </w:p>
    <w:p w14:paraId="1ABA2E14" w14:textId="77777777" w:rsidR="00B93106" w:rsidRPr="000C7CFA" w:rsidRDefault="00B93106" w:rsidP="00B93106">
      <w:pPr>
        <w:tabs>
          <w:tab w:val="left" w:pos="1843"/>
        </w:tabs>
        <w:spacing w:after="0"/>
        <w:rPr>
          <w:rFonts w:ascii="Verdana" w:hAnsi="Verdana"/>
          <w:sz w:val="18"/>
          <w:szCs w:val="18"/>
          <w:lang w:val="en-GB"/>
        </w:rPr>
      </w:pPr>
      <w:r w:rsidRPr="000C7CFA">
        <w:rPr>
          <w:rFonts w:ascii="Verdana" w:hAnsi="Verdana"/>
          <w:sz w:val="18"/>
          <w:szCs w:val="18"/>
          <w:lang w:val="en-GB"/>
        </w:rPr>
        <w:t xml:space="preserve">    </w:t>
      </w:r>
      <w:r w:rsidRPr="000C7CFA">
        <w:rPr>
          <w:rFonts w:ascii="Verdana" w:hAnsi="Verdana"/>
          <w:sz w:val="18"/>
          <w:szCs w:val="18"/>
        </w:rPr>
        <w:t>Neutral organics model:</w:t>
      </w:r>
    </w:p>
    <w:p w14:paraId="738677CD" w14:textId="6BA039F3" w:rsidR="00B93106" w:rsidRPr="000C7CFA" w:rsidRDefault="00B93106" w:rsidP="00B93106">
      <w:pPr>
        <w:tabs>
          <w:tab w:val="left" w:pos="3402"/>
        </w:tabs>
        <w:spacing w:after="0"/>
        <w:ind w:left="851"/>
        <w:rPr>
          <w:rFonts w:ascii="Verdana" w:hAnsi="Verdana"/>
          <w:sz w:val="18"/>
          <w:szCs w:val="18"/>
        </w:rPr>
      </w:pPr>
      <w:r w:rsidRPr="000C7CFA">
        <w:rPr>
          <w:rFonts w:ascii="Verdana" w:hAnsi="Verdana"/>
          <w:sz w:val="18"/>
          <w:szCs w:val="18"/>
          <w:lang w:val="en-GB"/>
        </w:rPr>
        <w:t>Fish 96-h LC</w:t>
      </w:r>
      <w:r w:rsidRPr="000C7CFA">
        <w:rPr>
          <w:rFonts w:ascii="Verdana" w:hAnsi="Verdana"/>
          <w:sz w:val="18"/>
          <w:szCs w:val="18"/>
          <w:vertAlign w:val="subscript"/>
          <w:lang w:val="en-GB"/>
        </w:rPr>
        <w:t>50</w:t>
      </w:r>
      <w:r w:rsidRPr="000C7CFA">
        <w:rPr>
          <w:rFonts w:ascii="Verdana" w:hAnsi="Verdana"/>
          <w:sz w:val="18"/>
          <w:szCs w:val="18"/>
          <w:lang w:val="en-GB"/>
        </w:rPr>
        <w:t>:</w:t>
      </w:r>
      <w:r w:rsidRPr="000C7CFA">
        <w:rPr>
          <w:rFonts w:ascii="Verdana" w:hAnsi="Verdana"/>
          <w:sz w:val="18"/>
          <w:szCs w:val="18"/>
          <w:lang w:val="en-GB"/>
        </w:rPr>
        <w:tab/>
        <w:t>0.</w:t>
      </w:r>
      <w:r w:rsidR="00D91631" w:rsidRPr="000C7CFA">
        <w:rPr>
          <w:rFonts w:ascii="Verdana" w:hAnsi="Verdana"/>
          <w:sz w:val="18"/>
          <w:szCs w:val="18"/>
          <w:lang w:val="en-GB"/>
        </w:rPr>
        <w:t>36</w:t>
      </w:r>
      <w:r w:rsidRPr="000C7CFA">
        <w:rPr>
          <w:rFonts w:ascii="Verdana" w:hAnsi="Verdana"/>
          <w:sz w:val="18"/>
          <w:szCs w:val="18"/>
          <w:lang w:val="en-GB"/>
        </w:rPr>
        <w:t xml:space="preserve"> mg/L</w:t>
      </w:r>
    </w:p>
    <w:p w14:paraId="08AED8B4" w14:textId="0F381A97" w:rsidR="00B93106" w:rsidRPr="000C7CFA" w:rsidRDefault="00B93106" w:rsidP="00B93106">
      <w:pPr>
        <w:tabs>
          <w:tab w:val="left" w:pos="3402"/>
        </w:tabs>
        <w:spacing w:after="0"/>
        <w:ind w:left="851"/>
        <w:rPr>
          <w:rFonts w:ascii="Verdana" w:hAnsi="Verdana"/>
          <w:sz w:val="18"/>
          <w:szCs w:val="18"/>
        </w:rPr>
      </w:pPr>
      <w:r w:rsidRPr="000C7CFA">
        <w:rPr>
          <w:rFonts w:ascii="Verdana" w:hAnsi="Verdana"/>
          <w:sz w:val="18"/>
          <w:szCs w:val="18"/>
          <w:lang w:val="en-GB"/>
        </w:rPr>
        <w:t>Daphnid 48-h LC</w:t>
      </w:r>
      <w:r w:rsidRPr="000C7CFA">
        <w:rPr>
          <w:rFonts w:ascii="Verdana" w:hAnsi="Verdana"/>
          <w:sz w:val="18"/>
          <w:szCs w:val="18"/>
          <w:vertAlign w:val="subscript"/>
          <w:lang w:val="en-GB"/>
        </w:rPr>
        <w:t>50</w:t>
      </w:r>
      <w:r w:rsidRPr="000C7CFA">
        <w:rPr>
          <w:rFonts w:ascii="Verdana" w:hAnsi="Verdana"/>
          <w:sz w:val="18"/>
          <w:szCs w:val="18"/>
        </w:rPr>
        <w:t>:</w:t>
      </w:r>
      <w:r w:rsidRPr="000C7CFA">
        <w:rPr>
          <w:rFonts w:ascii="Verdana" w:hAnsi="Verdana"/>
          <w:sz w:val="18"/>
          <w:szCs w:val="18"/>
        </w:rPr>
        <w:tab/>
        <w:t>0.</w:t>
      </w:r>
      <w:r w:rsidR="00D91631" w:rsidRPr="000C7CFA">
        <w:rPr>
          <w:rFonts w:ascii="Verdana" w:hAnsi="Verdana"/>
          <w:sz w:val="18"/>
          <w:szCs w:val="18"/>
        </w:rPr>
        <w:t>2</w:t>
      </w:r>
      <w:r w:rsidRPr="000C7CFA">
        <w:rPr>
          <w:rFonts w:ascii="Verdana" w:hAnsi="Verdana"/>
          <w:sz w:val="18"/>
          <w:szCs w:val="18"/>
        </w:rPr>
        <w:t>7</w:t>
      </w:r>
      <w:r w:rsidRPr="000C7CFA">
        <w:rPr>
          <w:rFonts w:ascii="Verdana" w:hAnsi="Verdana"/>
          <w:sz w:val="18"/>
          <w:szCs w:val="18"/>
          <w:lang w:val="en-GB"/>
        </w:rPr>
        <w:t xml:space="preserve"> mg/L</w:t>
      </w:r>
    </w:p>
    <w:p w14:paraId="36BC3427" w14:textId="2E546A02" w:rsidR="00B93106" w:rsidRPr="000C7CFA" w:rsidRDefault="00B93106" w:rsidP="00B93106">
      <w:pPr>
        <w:tabs>
          <w:tab w:val="left" w:pos="3402"/>
        </w:tabs>
        <w:spacing w:after="0"/>
        <w:ind w:left="851"/>
        <w:rPr>
          <w:rFonts w:ascii="Verdana" w:hAnsi="Verdana"/>
          <w:sz w:val="18"/>
          <w:szCs w:val="18"/>
          <w:lang w:val="en-GB"/>
        </w:rPr>
      </w:pPr>
      <w:r w:rsidRPr="000C7CFA">
        <w:rPr>
          <w:rFonts w:ascii="Verdana" w:hAnsi="Verdana"/>
          <w:sz w:val="18"/>
          <w:szCs w:val="18"/>
          <w:lang w:val="en-GB"/>
        </w:rPr>
        <w:t>Green algae 96-h EC</w:t>
      </w:r>
      <w:r w:rsidRPr="000C7CFA">
        <w:rPr>
          <w:rFonts w:ascii="Verdana" w:hAnsi="Verdana"/>
          <w:sz w:val="18"/>
          <w:szCs w:val="18"/>
          <w:vertAlign w:val="subscript"/>
          <w:lang w:val="en-GB"/>
        </w:rPr>
        <w:t>50</w:t>
      </w:r>
      <w:r w:rsidRPr="000C7CFA">
        <w:rPr>
          <w:rFonts w:ascii="Verdana" w:hAnsi="Verdana"/>
          <w:sz w:val="18"/>
          <w:szCs w:val="18"/>
          <w:lang w:val="en-GB"/>
        </w:rPr>
        <w:t>:</w:t>
      </w:r>
      <w:r w:rsidRPr="000C7CFA">
        <w:rPr>
          <w:rFonts w:ascii="Verdana" w:hAnsi="Verdana"/>
          <w:sz w:val="18"/>
          <w:szCs w:val="18"/>
          <w:lang w:val="en-GB"/>
        </w:rPr>
        <w:tab/>
        <w:t>0.</w:t>
      </w:r>
      <w:r w:rsidR="00D91631" w:rsidRPr="000C7CFA">
        <w:rPr>
          <w:rFonts w:ascii="Verdana" w:hAnsi="Verdana"/>
          <w:sz w:val="18"/>
          <w:szCs w:val="18"/>
          <w:lang w:val="en-GB"/>
        </w:rPr>
        <w:t>68</w:t>
      </w:r>
      <w:r w:rsidRPr="000C7CFA">
        <w:rPr>
          <w:rFonts w:ascii="Verdana" w:hAnsi="Verdana"/>
          <w:sz w:val="18"/>
          <w:szCs w:val="18"/>
          <w:lang w:val="en-GB"/>
        </w:rPr>
        <w:t xml:space="preserve"> mg/L</w:t>
      </w:r>
      <w:r w:rsidRPr="000C7CFA">
        <w:rPr>
          <w:rFonts w:ascii="Verdana" w:hAnsi="Verdana"/>
          <w:sz w:val="18"/>
          <w:szCs w:val="18"/>
        </w:rPr>
        <w:t>*</w:t>
      </w:r>
    </w:p>
    <w:p w14:paraId="6D298FEF" w14:textId="0741CA51" w:rsidR="00B93106" w:rsidRPr="000C7CFA" w:rsidRDefault="0076237E" w:rsidP="00B93106">
      <w:pPr>
        <w:tabs>
          <w:tab w:val="left" w:pos="3402"/>
        </w:tabs>
        <w:spacing w:after="0"/>
        <w:ind w:left="851"/>
        <w:rPr>
          <w:rFonts w:ascii="Verdana" w:hAnsi="Verdana"/>
          <w:i/>
          <w:sz w:val="18"/>
          <w:szCs w:val="18"/>
          <w:lang w:val="en-GB"/>
        </w:rPr>
      </w:pPr>
      <w:r w:rsidRPr="000C7CFA">
        <w:rPr>
          <w:rFonts w:ascii="Verdana" w:hAnsi="Verdana"/>
          <w:i/>
          <w:sz w:val="18"/>
          <w:szCs w:val="18"/>
        </w:rPr>
        <w:t>Fish</w:t>
      </w:r>
      <w:r w:rsidR="00B93106" w:rsidRPr="000C7CFA">
        <w:rPr>
          <w:rFonts w:ascii="Verdana" w:hAnsi="Verdana"/>
          <w:i/>
          <w:sz w:val="18"/>
          <w:szCs w:val="18"/>
          <w:lang w:val="en-GB"/>
        </w:rPr>
        <w:t xml:space="preserve"> ChV:</w:t>
      </w:r>
      <w:r w:rsidR="00B93106" w:rsidRPr="000C7CFA">
        <w:rPr>
          <w:rFonts w:ascii="Verdana" w:hAnsi="Verdana"/>
          <w:i/>
          <w:sz w:val="18"/>
          <w:szCs w:val="18"/>
          <w:lang w:val="en-GB"/>
        </w:rPr>
        <w:tab/>
        <w:t>0.0</w:t>
      </w:r>
      <w:r w:rsidR="00D91631" w:rsidRPr="000C7CFA">
        <w:rPr>
          <w:rFonts w:ascii="Verdana" w:hAnsi="Verdana"/>
          <w:i/>
          <w:sz w:val="18"/>
          <w:szCs w:val="18"/>
          <w:lang w:val="en-GB"/>
        </w:rPr>
        <w:t>5</w:t>
      </w:r>
      <w:r w:rsidR="00B93106" w:rsidRPr="000C7CFA">
        <w:rPr>
          <w:rFonts w:ascii="Verdana" w:hAnsi="Verdana"/>
          <w:i/>
          <w:sz w:val="18"/>
          <w:szCs w:val="18"/>
          <w:lang w:val="en-GB"/>
        </w:rPr>
        <w:t xml:space="preserve"> mg/L</w:t>
      </w:r>
    </w:p>
    <w:p w14:paraId="6E83C6DF" w14:textId="0FFD37A5" w:rsidR="00B93106" w:rsidRPr="000C7CFA" w:rsidRDefault="00B93106" w:rsidP="00B93106">
      <w:pPr>
        <w:tabs>
          <w:tab w:val="left" w:pos="3402"/>
        </w:tabs>
        <w:spacing w:after="0"/>
        <w:ind w:left="851"/>
        <w:rPr>
          <w:rFonts w:ascii="Verdana" w:hAnsi="Verdana"/>
          <w:i/>
          <w:sz w:val="18"/>
          <w:szCs w:val="18"/>
          <w:lang w:val="en-GB"/>
        </w:rPr>
      </w:pPr>
      <w:r w:rsidRPr="000C7CFA">
        <w:rPr>
          <w:rFonts w:ascii="Verdana" w:hAnsi="Verdana"/>
          <w:i/>
          <w:sz w:val="18"/>
          <w:szCs w:val="18"/>
          <w:lang w:val="en-GB"/>
        </w:rPr>
        <w:t>Daphnid ChV:</w:t>
      </w:r>
      <w:r w:rsidRPr="000C7CFA">
        <w:rPr>
          <w:rFonts w:ascii="Verdana" w:hAnsi="Verdana"/>
          <w:i/>
          <w:sz w:val="18"/>
          <w:szCs w:val="18"/>
          <w:lang w:val="en-GB"/>
        </w:rPr>
        <w:tab/>
        <w:t>0.0</w:t>
      </w:r>
      <w:r w:rsidR="00D91631" w:rsidRPr="000C7CFA">
        <w:rPr>
          <w:rFonts w:ascii="Verdana" w:hAnsi="Verdana"/>
          <w:i/>
          <w:sz w:val="18"/>
          <w:szCs w:val="18"/>
          <w:lang w:val="en-GB"/>
        </w:rPr>
        <w:t>6</w:t>
      </w:r>
      <w:r w:rsidRPr="000C7CFA">
        <w:rPr>
          <w:rFonts w:ascii="Verdana" w:hAnsi="Verdana"/>
          <w:i/>
          <w:sz w:val="18"/>
          <w:szCs w:val="18"/>
          <w:lang w:val="en-GB"/>
        </w:rPr>
        <w:t xml:space="preserve"> mg/L</w:t>
      </w:r>
    </w:p>
    <w:p w14:paraId="50714D60" w14:textId="6B5F02DC" w:rsidR="00B93106" w:rsidRPr="000C7CFA" w:rsidRDefault="00B93106" w:rsidP="00B93106">
      <w:pPr>
        <w:tabs>
          <w:tab w:val="left" w:pos="3402"/>
        </w:tabs>
        <w:spacing w:after="0"/>
        <w:ind w:left="851"/>
        <w:rPr>
          <w:rFonts w:ascii="Verdana" w:hAnsi="Verdana"/>
          <w:sz w:val="18"/>
          <w:szCs w:val="18"/>
        </w:rPr>
      </w:pPr>
      <w:r w:rsidRPr="000C7CFA">
        <w:rPr>
          <w:rFonts w:ascii="Verdana" w:hAnsi="Verdana"/>
          <w:sz w:val="18"/>
          <w:szCs w:val="18"/>
        </w:rPr>
        <w:t>Green algae ChV:</w:t>
      </w:r>
      <w:r w:rsidRPr="000C7CFA">
        <w:rPr>
          <w:rFonts w:ascii="Verdana" w:hAnsi="Verdana"/>
          <w:sz w:val="18"/>
          <w:szCs w:val="18"/>
        </w:rPr>
        <w:tab/>
        <w:t>0.</w:t>
      </w:r>
      <w:r w:rsidR="00D91631" w:rsidRPr="000C7CFA">
        <w:rPr>
          <w:rFonts w:ascii="Verdana" w:hAnsi="Verdana"/>
          <w:sz w:val="18"/>
          <w:szCs w:val="18"/>
        </w:rPr>
        <w:t>34</w:t>
      </w:r>
      <w:r w:rsidRPr="000C7CFA">
        <w:rPr>
          <w:rFonts w:ascii="Verdana" w:hAnsi="Verdana"/>
          <w:sz w:val="18"/>
          <w:szCs w:val="18"/>
        </w:rPr>
        <w:t xml:space="preserve"> mg/L</w:t>
      </w:r>
    </w:p>
    <w:p w14:paraId="36FD9CC5" w14:textId="77777777" w:rsidR="00D91631" w:rsidRPr="000C7CFA" w:rsidRDefault="00D91631" w:rsidP="00D91631">
      <w:pPr>
        <w:pStyle w:val="ListParagraph"/>
        <w:widowControl w:val="0"/>
        <w:spacing w:after="0" w:line="240" w:lineRule="auto"/>
        <w:ind w:left="284"/>
        <w:jc w:val="both"/>
        <w:rPr>
          <w:rFonts w:ascii="Verdana" w:hAnsi="Verdana"/>
          <w:sz w:val="18"/>
          <w:szCs w:val="18"/>
        </w:rPr>
      </w:pPr>
    </w:p>
    <w:p w14:paraId="7798DB86" w14:textId="77777777" w:rsidR="00B93106" w:rsidRPr="000C7CFA" w:rsidRDefault="00B93106" w:rsidP="00D91631">
      <w:pPr>
        <w:pStyle w:val="ListParagraph"/>
        <w:widowControl w:val="0"/>
        <w:spacing w:after="0" w:line="240" w:lineRule="auto"/>
        <w:ind w:left="284"/>
        <w:jc w:val="both"/>
        <w:rPr>
          <w:rFonts w:ascii="Verdana" w:hAnsi="Verdana"/>
          <w:sz w:val="18"/>
          <w:szCs w:val="18"/>
        </w:rPr>
      </w:pPr>
      <w:r w:rsidRPr="000C7CFA">
        <w:rPr>
          <w:rFonts w:ascii="Verdana" w:hAnsi="Verdana"/>
          <w:sz w:val="18"/>
          <w:szCs w:val="18"/>
        </w:rPr>
        <w:t>* Indicates that the chemical may not be soluble enough to measure this predicted effect.</w:t>
      </w:r>
    </w:p>
    <w:p w14:paraId="05B57D3A" w14:textId="77777777" w:rsidR="00B93106" w:rsidRPr="000C7CFA" w:rsidRDefault="00B93106" w:rsidP="00B93106">
      <w:pPr>
        <w:rPr>
          <w:rFonts w:ascii="Verdana" w:hAnsi="Verdana"/>
          <w:sz w:val="18"/>
          <w:szCs w:val="18"/>
        </w:rPr>
      </w:pPr>
    </w:p>
    <w:p w14:paraId="1E91D8DD" w14:textId="41AF57D5" w:rsidR="00B93106" w:rsidRPr="000C7CFA" w:rsidRDefault="00B93106" w:rsidP="00277DDE">
      <w:pPr>
        <w:tabs>
          <w:tab w:val="left" w:pos="1843"/>
        </w:tabs>
        <w:spacing w:after="0"/>
        <w:jc w:val="both"/>
        <w:rPr>
          <w:rFonts w:ascii="Verdana" w:eastAsiaTheme="minorHAnsi" w:hAnsi="Verdana" w:cs="Arial"/>
          <w:sz w:val="18"/>
          <w:szCs w:val="18"/>
        </w:rPr>
      </w:pPr>
      <w:r w:rsidRPr="000C7CFA">
        <w:rPr>
          <w:rFonts w:ascii="Verdana" w:hAnsi="Verdana"/>
          <w:sz w:val="18"/>
          <w:szCs w:val="18"/>
        </w:rPr>
        <w:t xml:space="preserve">The reliability of the EPIWIN ecotoxicity QSAR models are discussed in Appendix </w:t>
      </w:r>
      <w:r w:rsidR="00E626D2" w:rsidRPr="000C7CFA">
        <w:rPr>
          <w:rFonts w:ascii="Verdana" w:hAnsi="Verdana"/>
          <w:sz w:val="18"/>
          <w:szCs w:val="18"/>
        </w:rPr>
        <w:t>8</w:t>
      </w:r>
      <w:r w:rsidRPr="000C7CFA">
        <w:rPr>
          <w:rFonts w:ascii="Verdana" w:hAnsi="Verdana"/>
          <w:sz w:val="18"/>
          <w:szCs w:val="18"/>
        </w:rPr>
        <w:t>. Hexachloronorbornadiene has a predicted log K</w:t>
      </w:r>
      <w:r w:rsidRPr="000C7CFA">
        <w:rPr>
          <w:rFonts w:ascii="Verdana" w:hAnsi="Verdana"/>
          <w:sz w:val="18"/>
          <w:szCs w:val="18"/>
          <w:vertAlign w:val="subscript"/>
        </w:rPr>
        <w:t>OW</w:t>
      </w:r>
      <w:r w:rsidRPr="000C7CFA">
        <w:rPr>
          <w:rFonts w:ascii="Verdana" w:hAnsi="Verdana"/>
          <w:sz w:val="18"/>
          <w:szCs w:val="18"/>
        </w:rPr>
        <w:t xml:space="preserve"> that is </w:t>
      </w:r>
      <w:r w:rsidR="00D91631" w:rsidRPr="000C7CFA">
        <w:rPr>
          <w:rFonts w:ascii="Verdana" w:hAnsi="Verdana"/>
          <w:sz w:val="18"/>
          <w:szCs w:val="18"/>
        </w:rPr>
        <w:t xml:space="preserve">within the prediction domain of </w:t>
      </w:r>
      <w:r w:rsidR="00277DDE" w:rsidRPr="000C7CFA">
        <w:rPr>
          <w:rFonts w:ascii="Verdana" w:hAnsi="Verdana"/>
          <w:sz w:val="18"/>
          <w:szCs w:val="18"/>
        </w:rPr>
        <w:t>all of the</w:t>
      </w:r>
      <w:r w:rsidR="00D91631" w:rsidRPr="000C7CFA">
        <w:rPr>
          <w:rFonts w:ascii="Verdana" w:hAnsi="Verdana"/>
          <w:sz w:val="18"/>
          <w:szCs w:val="18"/>
        </w:rPr>
        <w:t xml:space="preserve"> QSARs</w:t>
      </w:r>
      <w:r w:rsidR="00277DDE" w:rsidRPr="000C7CFA">
        <w:rPr>
          <w:rFonts w:ascii="Verdana" w:hAnsi="Verdana"/>
          <w:sz w:val="18"/>
          <w:szCs w:val="18"/>
        </w:rPr>
        <w:t xml:space="preserve"> except</w:t>
      </w:r>
      <w:r w:rsidR="00D91631" w:rsidRPr="000C7CFA">
        <w:rPr>
          <w:rFonts w:ascii="Verdana" w:hAnsi="Verdana"/>
          <w:sz w:val="18"/>
          <w:szCs w:val="18"/>
        </w:rPr>
        <w:t xml:space="preserve"> </w:t>
      </w:r>
      <w:r w:rsidR="00277DDE" w:rsidRPr="000C7CFA">
        <w:rPr>
          <w:rFonts w:ascii="Verdana" w:hAnsi="Verdana"/>
          <w:sz w:val="18"/>
          <w:szCs w:val="18"/>
        </w:rPr>
        <w:t>the acute fish and invertebrate QSARs in the neutral organics model, which it marginally exceeds (upper limit 5.0)</w:t>
      </w:r>
      <w:r w:rsidRPr="000C7CFA">
        <w:rPr>
          <w:rFonts w:ascii="Verdana" w:hAnsi="Verdana"/>
          <w:sz w:val="18"/>
          <w:szCs w:val="18"/>
        </w:rPr>
        <w:t>. There is one relevant analogue</w:t>
      </w:r>
      <w:r w:rsidR="00277DDE" w:rsidRPr="000C7CFA">
        <w:rPr>
          <w:rFonts w:ascii="Verdana" w:hAnsi="Verdana"/>
          <w:sz w:val="18"/>
          <w:szCs w:val="18"/>
        </w:rPr>
        <w:t xml:space="preserve"> (heptachlor) in the training set of the acute fish/daphnia QSAR</w:t>
      </w:r>
      <w:r w:rsidRPr="000C7CFA">
        <w:rPr>
          <w:rFonts w:ascii="Verdana" w:hAnsi="Verdana"/>
          <w:sz w:val="18"/>
          <w:szCs w:val="18"/>
        </w:rPr>
        <w:t xml:space="preserve"> </w:t>
      </w:r>
      <w:r w:rsidR="00277DDE" w:rsidRPr="000C7CFA">
        <w:rPr>
          <w:rFonts w:ascii="Verdana" w:hAnsi="Verdana"/>
          <w:sz w:val="18"/>
          <w:szCs w:val="18"/>
        </w:rPr>
        <w:t xml:space="preserve">and one other </w:t>
      </w:r>
      <w:r w:rsidRPr="000C7CFA">
        <w:rPr>
          <w:rFonts w:ascii="Verdana" w:hAnsi="Verdana"/>
          <w:sz w:val="18"/>
          <w:szCs w:val="18"/>
        </w:rPr>
        <w:t xml:space="preserve">(chlordane) in the training set for the chronic fish/daphnia QSAR in the vinyl/allyl halides model. There are no norbornene analogues in the training set for the neutral organics model. It can be concluded that </w:t>
      </w:r>
      <w:r w:rsidR="00277DDE" w:rsidRPr="000C7CFA">
        <w:rPr>
          <w:rFonts w:ascii="Verdana" w:hAnsi="Verdana"/>
          <w:sz w:val="18"/>
          <w:szCs w:val="18"/>
        </w:rPr>
        <w:t xml:space="preserve">hexachloronorbornadiene </w:t>
      </w:r>
      <w:r w:rsidRPr="000C7CFA">
        <w:rPr>
          <w:rFonts w:ascii="Verdana" w:eastAsiaTheme="minorHAnsi" w:hAnsi="Verdana" w:cs="Arial"/>
          <w:sz w:val="18"/>
          <w:szCs w:val="18"/>
        </w:rPr>
        <w:t xml:space="preserve">might be toxic to fish and Daphnia with a </w:t>
      </w:r>
      <w:r w:rsidR="00277DDE" w:rsidRPr="000C7CFA">
        <w:rPr>
          <w:rFonts w:ascii="Verdana" w:eastAsiaTheme="minorHAnsi" w:hAnsi="Verdana" w:cs="Arial"/>
          <w:sz w:val="18"/>
          <w:szCs w:val="18"/>
        </w:rPr>
        <w:t xml:space="preserve">chronic </w:t>
      </w:r>
      <w:r w:rsidRPr="000C7CFA">
        <w:rPr>
          <w:rFonts w:ascii="Verdana" w:eastAsiaTheme="minorHAnsi" w:hAnsi="Verdana" w:cs="Arial"/>
          <w:sz w:val="18"/>
          <w:szCs w:val="18"/>
        </w:rPr>
        <w:t xml:space="preserve">NOEC </w:t>
      </w:r>
      <w:r w:rsidR="00277DDE" w:rsidRPr="000C7CFA">
        <w:rPr>
          <w:rFonts w:ascii="Verdana" w:eastAsiaTheme="minorHAnsi" w:hAnsi="Verdana" w:cs="Arial"/>
          <w:sz w:val="18"/>
          <w:szCs w:val="18"/>
        </w:rPr>
        <w:t>in the range</w:t>
      </w:r>
      <w:r w:rsidRPr="000C7CFA">
        <w:rPr>
          <w:rFonts w:ascii="Verdana" w:eastAsiaTheme="minorHAnsi" w:hAnsi="Verdana" w:cs="Arial"/>
          <w:sz w:val="18"/>
          <w:szCs w:val="18"/>
        </w:rPr>
        <w:t xml:space="preserve"> </w:t>
      </w:r>
      <w:r w:rsidR="00277DDE" w:rsidRPr="000C7CFA">
        <w:rPr>
          <w:rFonts w:ascii="Verdana" w:eastAsiaTheme="minorHAnsi" w:hAnsi="Verdana" w:cs="Arial"/>
          <w:sz w:val="18"/>
          <w:szCs w:val="18"/>
        </w:rPr>
        <w:t>0.001 –</w:t>
      </w:r>
      <w:r w:rsidR="00443EB9" w:rsidRPr="000C7CFA">
        <w:rPr>
          <w:rFonts w:ascii="Verdana" w:eastAsiaTheme="minorHAnsi" w:hAnsi="Verdana" w:cs="Arial"/>
          <w:sz w:val="18"/>
          <w:szCs w:val="18"/>
        </w:rPr>
        <w:t xml:space="preserve"> </w:t>
      </w:r>
      <w:r w:rsidR="00277DDE" w:rsidRPr="000C7CFA">
        <w:rPr>
          <w:rFonts w:ascii="Verdana" w:eastAsiaTheme="minorHAnsi" w:hAnsi="Verdana" w:cs="Arial"/>
          <w:sz w:val="18"/>
          <w:szCs w:val="18"/>
        </w:rPr>
        <w:t>0.1</w:t>
      </w:r>
      <w:r w:rsidRPr="000C7CFA">
        <w:rPr>
          <w:rFonts w:ascii="Verdana" w:eastAsiaTheme="minorHAnsi" w:hAnsi="Verdana" w:cs="Arial"/>
          <w:sz w:val="18"/>
          <w:szCs w:val="18"/>
        </w:rPr>
        <w:t> mg/L.</w:t>
      </w:r>
      <w:r w:rsidR="00443EB9" w:rsidRPr="000C7CFA">
        <w:rPr>
          <w:rFonts w:ascii="Verdana" w:eastAsiaTheme="minorHAnsi" w:hAnsi="Verdana" w:cs="Arial"/>
          <w:sz w:val="18"/>
          <w:szCs w:val="18"/>
        </w:rPr>
        <w:t xml:space="preserve"> This is consistent with the reported </w:t>
      </w:r>
      <w:r w:rsidR="00443EB9" w:rsidRPr="000C7CFA">
        <w:rPr>
          <w:rFonts w:ascii="Verdana" w:hAnsi="Verdana"/>
          <w:sz w:val="18"/>
          <w:szCs w:val="18"/>
        </w:rPr>
        <w:t>30-d NOEC</w:t>
      </w:r>
      <w:r w:rsidR="00443EB9" w:rsidRPr="000C7CFA">
        <w:rPr>
          <w:rFonts w:ascii="Verdana" w:hAnsi="Verdana"/>
          <w:sz w:val="18"/>
          <w:szCs w:val="18"/>
          <w:vertAlign w:val="subscript"/>
        </w:rPr>
        <w:t>growth</w:t>
      </w:r>
      <w:r w:rsidR="00443EB9" w:rsidRPr="000C7CFA">
        <w:rPr>
          <w:rFonts w:ascii="Verdana" w:hAnsi="Verdana"/>
          <w:sz w:val="18"/>
          <w:szCs w:val="18"/>
        </w:rPr>
        <w:t xml:space="preserve"> for fish of 0.02 mg/L from a non-standard test (US EPA, 1977).</w:t>
      </w:r>
    </w:p>
    <w:p w14:paraId="6AAC3818" w14:textId="77777777" w:rsidR="00277DDE" w:rsidRPr="000C7CFA" w:rsidRDefault="00277DDE" w:rsidP="00277DDE">
      <w:pPr>
        <w:tabs>
          <w:tab w:val="left" w:pos="1843"/>
        </w:tabs>
        <w:spacing w:after="0"/>
        <w:jc w:val="both"/>
        <w:rPr>
          <w:rFonts w:ascii="Verdana" w:eastAsiaTheme="minorHAnsi" w:hAnsi="Verdana" w:cs="Arial"/>
          <w:sz w:val="18"/>
          <w:szCs w:val="18"/>
        </w:rPr>
      </w:pPr>
    </w:p>
    <w:p w14:paraId="7899934F" w14:textId="36B5336A" w:rsidR="00831D87" w:rsidRPr="000C7CFA" w:rsidRDefault="00831D87" w:rsidP="00831D87">
      <w:pPr>
        <w:tabs>
          <w:tab w:val="left" w:pos="1843"/>
        </w:tabs>
        <w:spacing w:after="0"/>
        <w:jc w:val="both"/>
        <w:rPr>
          <w:rFonts w:ascii="Verdana" w:hAnsi="Verdana"/>
          <w:sz w:val="18"/>
          <w:szCs w:val="18"/>
        </w:rPr>
      </w:pPr>
      <w:r w:rsidRPr="000C7CFA">
        <w:rPr>
          <w:rFonts w:ascii="Verdana" w:hAnsi="Verdana"/>
          <w:sz w:val="18"/>
          <w:szCs w:val="18"/>
        </w:rPr>
        <w:t>There is one aggregated notification on the CLP Inventory for this substance, with a self-classification of A</w:t>
      </w:r>
      <w:r w:rsidRPr="000C7CFA">
        <w:rPr>
          <w:rFonts w:ascii="Verdana" w:eastAsiaTheme="minorHAnsi" w:hAnsi="Verdana" w:cs="Arial"/>
          <w:sz w:val="18"/>
          <w:szCs w:val="18"/>
        </w:rPr>
        <w:t>quatic Acute 1 and Aquatic Chronic 1 and indication that data is lacking for all other classification end points.</w:t>
      </w:r>
    </w:p>
    <w:p w14:paraId="000FC8DE" w14:textId="77777777" w:rsidR="00831D87" w:rsidRPr="000C7CFA" w:rsidRDefault="00831D87" w:rsidP="00831D87">
      <w:pPr>
        <w:tabs>
          <w:tab w:val="left" w:pos="1843"/>
        </w:tabs>
        <w:spacing w:after="0"/>
        <w:jc w:val="both"/>
        <w:rPr>
          <w:rFonts w:ascii="Verdana" w:hAnsi="Verdana"/>
          <w:sz w:val="18"/>
          <w:szCs w:val="18"/>
        </w:rPr>
      </w:pPr>
    </w:p>
    <w:p w14:paraId="0F401ED2" w14:textId="77777777" w:rsidR="005248BA" w:rsidRPr="000C7CFA" w:rsidRDefault="005248BA" w:rsidP="005248BA">
      <w:pPr>
        <w:tabs>
          <w:tab w:val="left" w:pos="1843"/>
        </w:tabs>
        <w:spacing w:after="0"/>
        <w:jc w:val="both"/>
        <w:rPr>
          <w:rFonts w:ascii="Verdana" w:hAnsi="Verdana"/>
          <w:sz w:val="18"/>
          <w:szCs w:val="18"/>
          <w:lang w:val="en-GB"/>
        </w:rPr>
      </w:pPr>
    </w:p>
    <w:p w14:paraId="2B994035" w14:textId="6BF0DC63" w:rsidR="00DF46A5" w:rsidRPr="000C7CFA" w:rsidRDefault="00DF46A5" w:rsidP="00DF46A5">
      <w:pPr>
        <w:tabs>
          <w:tab w:val="left" w:pos="1843"/>
        </w:tabs>
        <w:spacing w:after="0"/>
        <w:jc w:val="both"/>
        <w:rPr>
          <w:rFonts w:ascii="Verdana" w:hAnsi="Verdana"/>
          <w:i/>
          <w:sz w:val="18"/>
          <w:szCs w:val="18"/>
          <w:u w:val="single"/>
          <w:lang w:val="en-GB"/>
        </w:rPr>
      </w:pPr>
      <w:r w:rsidRPr="000C7CFA">
        <w:rPr>
          <w:rFonts w:ascii="Verdana" w:hAnsi="Verdana"/>
          <w:i/>
          <w:sz w:val="18"/>
          <w:szCs w:val="18"/>
          <w:u w:val="single"/>
          <w:lang w:val="en-GB"/>
        </w:rPr>
        <w:t>Conclusion</w:t>
      </w:r>
    </w:p>
    <w:p w14:paraId="31410A0C" w14:textId="3B5A5559" w:rsidR="00DF46A5" w:rsidRPr="000C7CFA" w:rsidRDefault="00DF46A5" w:rsidP="00DF46A5">
      <w:pPr>
        <w:tabs>
          <w:tab w:val="left" w:pos="1843"/>
        </w:tabs>
        <w:spacing w:after="0"/>
        <w:jc w:val="both"/>
        <w:rPr>
          <w:rFonts w:ascii="Verdana" w:hAnsi="Verdana"/>
          <w:sz w:val="18"/>
          <w:szCs w:val="18"/>
          <w:lang w:val="en-GB"/>
        </w:rPr>
      </w:pPr>
    </w:p>
    <w:p w14:paraId="1A8B4AA1" w14:textId="2686182A" w:rsidR="00D029DA" w:rsidRPr="000C7CFA" w:rsidRDefault="00443EB9" w:rsidP="00DF46A5">
      <w:pPr>
        <w:tabs>
          <w:tab w:val="left" w:pos="1843"/>
        </w:tabs>
        <w:spacing w:after="0"/>
        <w:jc w:val="both"/>
        <w:rPr>
          <w:rFonts w:ascii="Verdana" w:hAnsi="Verdana"/>
          <w:sz w:val="18"/>
          <w:szCs w:val="18"/>
          <w:lang w:val="en-GB"/>
        </w:rPr>
      </w:pPr>
      <w:r w:rsidRPr="000C7CFA">
        <w:rPr>
          <w:rFonts w:ascii="Verdana" w:hAnsi="Verdana"/>
          <w:sz w:val="18"/>
          <w:szCs w:val="18"/>
          <w:lang w:val="en-GB"/>
        </w:rPr>
        <w:t xml:space="preserve">Whilst there is uncertainty in the QSAR predictions, especially given the limited number of relevant analogues in the training sets, </w:t>
      </w:r>
      <w:r w:rsidR="00DF46A5" w:rsidRPr="000C7CFA">
        <w:rPr>
          <w:rFonts w:ascii="Verdana" w:hAnsi="Verdana"/>
          <w:sz w:val="18"/>
          <w:szCs w:val="18"/>
          <w:lang w:val="en-GB"/>
        </w:rPr>
        <w:t>1</w:t>
      </w:r>
      <w:proofErr w:type="gramStart"/>
      <w:r w:rsidR="00DF46A5" w:rsidRPr="000C7CFA">
        <w:rPr>
          <w:rFonts w:ascii="Verdana" w:hAnsi="Verdana"/>
          <w:sz w:val="18"/>
          <w:szCs w:val="18"/>
          <w:lang w:val="en-GB"/>
        </w:rPr>
        <w:t>,3</w:t>
      </w:r>
      <w:proofErr w:type="gramEnd"/>
      <w:r w:rsidR="00DF46A5" w:rsidRPr="000C7CFA">
        <w:rPr>
          <w:rFonts w:ascii="Verdana" w:hAnsi="Verdana"/>
          <w:sz w:val="18"/>
          <w:szCs w:val="18"/>
          <w:lang w:val="en-GB"/>
        </w:rPr>
        <w:t>-/1,5-DPMA screens as being</w:t>
      </w:r>
      <w:r w:rsidR="00637887" w:rsidRPr="000C7CFA">
        <w:rPr>
          <w:rFonts w:ascii="Verdana" w:hAnsi="Verdana"/>
          <w:sz w:val="18"/>
          <w:szCs w:val="18"/>
          <w:lang w:val="en-GB"/>
        </w:rPr>
        <w:t xml:space="preserve"> potentially</w:t>
      </w:r>
      <w:r w:rsidR="00DF46A5" w:rsidRPr="000C7CFA">
        <w:rPr>
          <w:rFonts w:ascii="Verdana" w:hAnsi="Verdana"/>
          <w:sz w:val="18"/>
          <w:szCs w:val="18"/>
          <w:lang w:val="en-GB"/>
        </w:rPr>
        <w:t xml:space="preserve"> (very) persistent and very bioaccumulative, and is also potentially toxic</w:t>
      </w:r>
      <w:r w:rsidR="00660A83" w:rsidRPr="000C7CFA">
        <w:rPr>
          <w:rFonts w:ascii="Verdana" w:hAnsi="Verdana"/>
          <w:sz w:val="18"/>
          <w:szCs w:val="18"/>
          <w:lang w:val="en-GB"/>
        </w:rPr>
        <w:t xml:space="preserve"> based on </w:t>
      </w:r>
      <w:r w:rsidR="00C771E7" w:rsidRPr="000C7CFA">
        <w:rPr>
          <w:rFonts w:ascii="Verdana" w:hAnsi="Verdana"/>
          <w:sz w:val="18"/>
          <w:szCs w:val="18"/>
          <w:lang w:val="en-GB"/>
        </w:rPr>
        <w:t xml:space="preserve">chronic </w:t>
      </w:r>
      <w:r w:rsidR="00660A83" w:rsidRPr="000C7CFA">
        <w:rPr>
          <w:rFonts w:ascii="Verdana" w:hAnsi="Verdana"/>
          <w:sz w:val="18"/>
          <w:szCs w:val="18"/>
          <w:lang w:val="en-GB"/>
        </w:rPr>
        <w:t xml:space="preserve">toxicity predictions </w:t>
      </w:r>
      <w:r w:rsidRPr="000C7CFA">
        <w:rPr>
          <w:rFonts w:ascii="Verdana" w:hAnsi="Verdana"/>
          <w:sz w:val="18"/>
          <w:szCs w:val="18"/>
          <w:lang w:val="en-GB"/>
        </w:rPr>
        <w:t xml:space="preserve">for fish and </w:t>
      </w:r>
      <w:r w:rsidR="00C771E7" w:rsidRPr="000C7CFA">
        <w:rPr>
          <w:rFonts w:ascii="Verdana" w:hAnsi="Verdana"/>
          <w:sz w:val="18"/>
          <w:szCs w:val="18"/>
          <w:lang w:val="en-GB"/>
        </w:rPr>
        <w:t xml:space="preserve">aquatic </w:t>
      </w:r>
      <w:r w:rsidRPr="000C7CFA">
        <w:rPr>
          <w:rFonts w:ascii="Verdana" w:hAnsi="Verdana"/>
          <w:sz w:val="18"/>
          <w:szCs w:val="18"/>
          <w:lang w:val="en-GB"/>
        </w:rPr>
        <w:t xml:space="preserve">invertebrates </w:t>
      </w:r>
      <w:r w:rsidR="00DF46A5" w:rsidRPr="000C7CFA">
        <w:rPr>
          <w:rFonts w:ascii="Verdana" w:hAnsi="Verdana"/>
          <w:sz w:val="18"/>
          <w:szCs w:val="18"/>
          <w:lang w:val="en-GB"/>
        </w:rPr>
        <w:t>(i.e. it meet</w:t>
      </w:r>
      <w:r w:rsidR="00C771E7" w:rsidRPr="000C7CFA">
        <w:rPr>
          <w:rFonts w:ascii="Verdana" w:hAnsi="Verdana"/>
          <w:sz w:val="18"/>
          <w:szCs w:val="18"/>
          <w:lang w:val="en-GB"/>
        </w:rPr>
        <w:t>s</w:t>
      </w:r>
      <w:r w:rsidR="00DF46A5" w:rsidRPr="000C7CFA">
        <w:rPr>
          <w:rFonts w:ascii="Verdana" w:hAnsi="Verdana"/>
          <w:sz w:val="18"/>
          <w:szCs w:val="18"/>
          <w:lang w:val="en-GB"/>
        </w:rPr>
        <w:t xml:space="preserve"> the</w:t>
      </w:r>
      <w:r w:rsidR="00C771E7" w:rsidRPr="000C7CFA">
        <w:rPr>
          <w:rFonts w:ascii="Verdana" w:hAnsi="Verdana"/>
          <w:sz w:val="18"/>
          <w:szCs w:val="18"/>
          <w:lang w:val="en-GB"/>
        </w:rPr>
        <w:t xml:space="preserve"> screening</w:t>
      </w:r>
      <w:r w:rsidR="00DF46A5" w:rsidRPr="000C7CFA">
        <w:rPr>
          <w:rFonts w:ascii="Verdana" w:hAnsi="Verdana"/>
          <w:sz w:val="18"/>
          <w:szCs w:val="18"/>
          <w:lang w:val="en-GB"/>
        </w:rPr>
        <w:t xml:space="preserve"> PBT and/or vPvB criteria of REACH Annex XIII). </w:t>
      </w:r>
      <w:r w:rsidR="00D029DA" w:rsidRPr="000C7CFA">
        <w:rPr>
          <w:rFonts w:ascii="Verdana" w:hAnsi="Verdana"/>
          <w:sz w:val="18"/>
          <w:szCs w:val="18"/>
        </w:rPr>
        <w:t>No information is available on mammalian toxicity</w:t>
      </w:r>
      <w:r w:rsidR="009A56AB" w:rsidRPr="000C7CFA">
        <w:rPr>
          <w:rFonts w:ascii="Verdana" w:hAnsi="Verdana"/>
          <w:sz w:val="18"/>
          <w:szCs w:val="18"/>
        </w:rPr>
        <w:t xml:space="preserve">, but if it reacts like aldrin </w:t>
      </w:r>
      <w:r w:rsidR="00C771E7" w:rsidRPr="000C7CFA">
        <w:rPr>
          <w:rFonts w:ascii="Verdana" w:hAnsi="Verdana"/>
          <w:sz w:val="18"/>
          <w:szCs w:val="18"/>
        </w:rPr>
        <w:t xml:space="preserve">or heptachlor to form an epoxide </w:t>
      </w:r>
      <w:r w:rsidR="009A56AB" w:rsidRPr="000C7CFA">
        <w:rPr>
          <w:rFonts w:ascii="Verdana" w:hAnsi="Verdana"/>
          <w:sz w:val="18"/>
          <w:szCs w:val="18"/>
        </w:rPr>
        <w:t>in the environment, it could be neurotoxic and/or cause hepatotoxicity</w:t>
      </w:r>
      <w:r w:rsidR="00D029DA" w:rsidRPr="000C7CFA">
        <w:rPr>
          <w:rFonts w:ascii="Verdana" w:hAnsi="Verdana"/>
          <w:sz w:val="18"/>
          <w:szCs w:val="18"/>
        </w:rPr>
        <w:t>.</w:t>
      </w:r>
    </w:p>
    <w:p w14:paraId="53F422A2" w14:textId="77777777" w:rsidR="00D029DA" w:rsidRPr="000C7CFA" w:rsidRDefault="00D029DA" w:rsidP="00DF46A5">
      <w:pPr>
        <w:tabs>
          <w:tab w:val="left" w:pos="1843"/>
        </w:tabs>
        <w:spacing w:after="0"/>
        <w:jc w:val="both"/>
        <w:rPr>
          <w:rFonts w:ascii="Verdana" w:hAnsi="Verdana"/>
          <w:sz w:val="18"/>
          <w:szCs w:val="18"/>
          <w:lang w:val="en-GB"/>
        </w:rPr>
      </w:pPr>
    </w:p>
    <w:p w14:paraId="7ECDF9BF" w14:textId="23AAD074" w:rsidR="00D029DA" w:rsidRPr="000C7CFA" w:rsidRDefault="00D029DA" w:rsidP="00DF46A5">
      <w:pPr>
        <w:tabs>
          <w:tab w:val="left" w:pos="1843"/>
        </w:tabs>
        <w:spacing w:after="0"/>
        <w:jc w:val="both"/>
        <w:rPr>
          <w:rFonts w:ascii="Verdana" w:hAnsi="Verdana"/>
          <w:sz w:val="18"/>
          <w:szCs w:val="18"/>
          <w:lang w:val="en-GB"/>
        </w:rPr>
      </w:pPr>
      <w:r w:rsidRPr="000C7CFA">
        <w:rPr>
          <w:rFonts w:ascii="Verdana" w:hAnsi="Verdana"/>
          <w:sz w:val="18"/>
          <w:szCs w:val="18"/>
        </w:rPr>
        <w:t xml:space="preserve">Hexachloronorbornadiene (if formed) screens as potentially </w:t>
      </w:r>
      <w:r w:rsidR="00C771E7" w:rsidRPr="000C7CFA">
        <w:rPr>
          <w:rFonts w:ascii="Verdana" w:hAnsi="Verdana"/>
          <w:sz w:val="18"/>
          <w:szCs w:val="18"/>
          <w:lang w:val="en-GB"/>
        </w:rPr>
        <w:t>(very) persistent and very bioaccumulative</w:t>
      </w:r>
      <w:r w:rsidR="00C771E7" w:rsidRPr="000C7CFA">
        <w:rPr>
          <w:rFonts w:ascii="Verdana" w:hAnsi="Verdana"/>
          <w:sz w:val="18"/>
          <w:szCs w:val="18"/>
        </w:rPr>
        <w:t xml:space="preserve"> </w:t>
      </w:r>
      <w:r w:rsidR="00637887" w:rsidRPr="000C7CFA">
        <w:rPr>
          <w:rFonts w:ascii="Verdana" w:hAnsi="Verdana"/>
          <w:sz w:val="18"/>
          <w:szCs w:val="18"/>
        </w:rPr>
        <w:t>(based on a non-standard fish test result and the Arnot-Gobas estimate</w:t>
      </w:r>
      <w:r w:rsidR="00C37FAB" w:rsidRPr="000C7CFA">
        <w:rPr>
          <w:rFonts w:ascii="Verdana" w:hAnsi="Verdana"/>
          <w:sz w:val="18"/>
          <w:szCs w:val="18"/>
        </w:rPr>
        <w:t>)</w:t>
      </w:r>
      <w:r w:rsidR="00E40D42" w:rsidRPr="000C7CFA">
        <w:rPr>
          <w:rFonts w:ascii="Verdana" w:hAnsi="Verdana"/>
          <w:sz w:val="18"/>
          <w:szCs w:val="18"/>
        </w:rPr>
        <w:t xml:space="preserve"> and </w:t>
      </w:r>
      <w:r w:rsidR="00C37FAB" w:rsidRPr="000C7CFA">
        <w:rPr>
          <w:rFonts w:ascii="Verdana" w:hAnsi="Verdana"/>
          <w:sz w:val="18"/>
          <w:szCs w:val="18"/>
        </w:rPr>
        <w:t xml:space="preserve">potentially </w:t>
      </w:r>
      <w:r w:rsidR="00E40D42" w:rsidRPr="000C7CFA">
        <w:rPr>
          <w:rFonts w:ascii="Verdana" w:hAnsi="Verdana"/>
          <w:sz w:val="18"/>
          <w:szCs w:val="18"/>
        </w:rPr>
        <w:t>T</w:t>
      </w:r>
      <w:r w:rsidRPr="000C7CFA">
        <w:rPr>
          <w:rFonts w:ascii="Verdana" w:hAnsi="Verdana"/>
          <w:sz w:val="18"/>
          <w:szCs w:val="18"/>
        </w:rPr>
        <w:t xml:space="preserve"> </w:t>
      </w:r>
      <w:r w:rsidR="00E40D42" w:rsidRPr="000C7CFA">
        <w:rPr>
          <w:rFonts w:ascii="Verdana" w:hAnsi="Verdana"/>
          <w:sz w:val="18"/>
          <w:szCs w:val="18"/>
        </w:rPr>
        <w:t>(</w:t>
      </w:r>
      <w:r w:rsidRPr="000C7CFA">
        <w:rPr>
          <w:rFonts w:ascii="Verdana" w:hAnsi="Verdana"/>
          <w:sz w:val="18"/>
          <w:szCs w:val="18"/>
        </w:rPr>
        <w:t xml:space="preserve">based on aquatic ecotoxicity </w:t>
      </w:r>
      <w:r w:rsidRPr="000C7CFA">
        <w:rPr>
          <w:rFonts w:ascii="Verdana" w:hAnsi="Verdana"/>
          <w:sz w:val="18"/>
          <w:szCs w:val="18"/>
          <w:lang w:val="en-GB"/>
        </w:rPr>
        <w:t>predictions</w:t>
      </w:r>
      <w:r w:rsidR="006E6736" w:rsidRPr="000C7CFA">
        <w:rPr>
          <w:rFonts w:ascii="Verdana" w:hAnsi="Verdana"/>
          <w:sz w:val="18"/>
          <w:szCs w:val="18"/>
          <w:lang w:val="en-GB"/>
        </w:rPr>
        <w:t xml:space="preserve"> for fish</w:t>
      </w:r>
      <w:r w:rsidR="00E40D42" w:rsidRPr="000C7CFA">
        <w:rPr>
          <w:rFonts w:ascii="Verdana" w:hAnsi="Verdana"/>
          <w:sz w:val="18"/>
          <w:szCs w:val="18"/>
          <w:lang w:val="en-GB"/>
        </w:rPr>
        <w:t xml:space="preserve"> and </w:t>
      </w:r>
      <w:r w:rsidR="00831D87" w:rsidRPr="000C7CFA">
        <w:rPr>
          <w:rFonts w:ascii="Verdana" w:hAnsi="Verdana"/>
          <w:sz w:val="18"/>
          <w:szCs w:val="18"/>
          <w:lang w:val="en-GB"/>
        </w:rPr>
        <w:t>invertebrates</w:t>
      </w:r>
      <w:r w:rsidR="006E6736" w:rsidRPr="000C7CFA">
        <w:rPr>
          <w:rFonts w:ascii="Verdana" w:hAnsi="Verdana"/>
          <w:sz w:val="18"/>
          <w:szCs w:val="18"/>
          <w:lang w:val="en-GB"/>
        </w:rPr>
        <w:t>)</w:t>
      </w:r>
      <w:r w:rsidR="00443EB9" w:rsidRPr="000C7CFA">
        <w:rPr>
          <w:rFonts w:ascii="Verdana" w:hAnsi="Verdana"/>
          <w:sz w:val="18"/>
          <w:szCs w:val="18"/>
          <w:lang w:val="en-GB"/>
        </w:rPr>
        <w:t xml:space="preserve"> (i.e. it might meet the PBT and/or vPvB criteria of REACH Annex XIII). </w:t>
      </w:r>
      <w:r w:rsidRPr="000C7CFA">
        <w:rPr>
          <w:rFonts w:ascii="Verdana" w:hAnsi="Verdana"/>
          <w:sz w:val="18"/>
          <w:szCs w:val="18"/>
        </w:rPr>
        <w:t xml:space="preserve"> </w:t>
      </w:r>
      <w:r w:rsidR="00E43491" w:rsidRPr="000C7CFA">
        <w:rPr>
          <w:rFonts w:ascii="Verdana" w:hAnsi="Verdana"/>
          <w:sz w:val="18"/>
          <w:szCs w:val="18"/>
        </w:rPr>
        <w:t>The 30-d NOEC of 0.02</w:t>
      </w:r>
      <w:r w:rsidR="006E6736" w:rsidRPr="000C7CFA">
        <w:rPr>
          <w:rFonts w:ascii="Verdana" w:hAnsi="Verdana"/>
          <w:sz w:val="18"/>
          <w:szCs w:val="18"/>
        </w:rPr>
        <w:t> </w:t>
      </w:r>
      <w:r w:rsidR="00E43491" w:rsidRPr="000C7CFA">
        <w:rPr>
          <w:rFonts w:ascii="Verdana" w:hAnsi="Verdana"/>
          <w:sz w:val="18"/>
          <w:szCs w:val="18"/>
        </w:rPr>
        <w:t>mg/L from</w:t>
      </w:r>
      <w:r w:rsidRPr="000C7CFA">
        <w:rPr>
          <w:rFonts w:ascii="Verdana" w:hAnsi="Verdana"/>
          <w:sz w:val="18"/>
          <w:szCs w:val="18"/>
        </w:rPr>
        <w:t xml:space="preserve"> </w:t>
      </w:r>
      <w:r w:rsidR="00E43491" w:rsidRPr="000C7CFA">
        <w:rPr>
          <w:rFonts w:ascii="Verdana" w:hAnsi="Verdana"/>
          <w:sz w:val="18"/>
          <w:szCs w:val="18"/>
        </w:rPr>
        <w:t xml:space="preserve">a </w:t>
      </w:r>
      <w:r w:rsidRPr="000C7CFA">
        <w:rPr>
          <w:rFonts w:ascii="Verdana" w:hAnsi="Verdana"/>
          <w:sz w:val="18"/>
          <w:szCs w:val="18"/>
        </w:rPr>
        <w:t>non-standard</w:t>
      </w:r>
      <w:r w:rsidR="00E43491" w:rsidRPr="000C7CFA">
        <w:rPr>
          <w:rFonts w:ascii="Verdana" w:hAnsi="Verdana"/>
          <w:sz w:val="18"/>
          <w:szCs w:val="18"/>
        </w:rPr>
        <w:t xml:space="preserve"> long-term</w:t>
      </w:r>
      <w:r w:rsidRPr="000C7CFA">
        <w:rPr>
          <w:rFonts w:ascii="Verdana" w:hAnsi="Verdana"/>
          <w:sz w:val="18"/>
          <w:szCs w:val="18"/>
        </w:rPr>
        <w:t xml:space="preserve"> fish</w:t>
      </w:r>
      <w:r w:rsidR="00E43491" w:rsidRPr="000C7CFA">
        <w:rPr>
          <w:rFonts w:ascii="Verdana" w:hAnsi="Verdana"/>
          <w:sz w:val="18"/>
          <w:szCs w:val="18"/>
        </w:rPr>
        <w:t xml:space="preserve"> toxicity</w:t>
      </w:r>
      <w:r w:rsidRPr="000C7CFA">
        <w:rPr>
          <w:rFonts w:ascii="Verdana" w:hAnsi="Verdana"/>
          <w:sz w:val="18"/>
          <w:szCs w:val="18"/>
        </w:rPr>
        <w:t xml:space="preserve"> </w:t>
      </w:r>
      <w:r w:rsidR="00795530" w:rsidRPr="000C7CFA">
        <w:rPr>
          <w:rFonts w:ascii="Verdana" w:hAnsi="Verdana"/>
          <w:sz w:val="18"/>
          <w:szCs w:val="18"/>
        </w:rPr>
        <w:t>study performed in the 1970s</w:t>
      </w:r>
      <w:r w:rsidRPr="000C7CFA">
        <w:rPr>
          <w:rFonts w:ascii="Verdana" w:hAnsi="Verdana"/>
          <w:sz w:val="18"/>
          <w:szCs w:val="18"/>
        </w:rPr>
        <w:t xml:space="preserve"> </w:t>
      </w:r>
      <w:r w:rsidR="00E43491" w:rsidRPr="000C7CFA">
        <w:rPr>
          <w:rFonts w:ascii="Verdana" w:hAnsi="Verdana"/>
          <w:sz w:val="18"/>
          <w:szCs w:val="18"/>
        </w:rPr>
        <w:t>does not trigger the T criterion, although it did not include all relevant end points</w:t>
      </w:r>
      <w:r w:rsidR="00795530" w:rsidRPr="000C7CFA">
        <w:rPr>
          <w:rFonts w:ascii="Verdana" w:hAnsi="Verdana"/>
          <w:sz w:val="18"/>
          <w:szCs w:val="18"/>
        </w:rPr>
        <w:t xml:space="preserve"> that would be reported in a modern test</w:t>
      </w:r>
      <w:r w:rsidR="00E43491" w:rsidRPr="000C7CFA">
        <w:rPr>
          <w:rFonts w:ascii="Verdana" w:hAnsi="Verdana"/>
          <w:sz w:val="18"/>
          <w:szCs w:val="18"/>
        </w:rPr>
        <w:t xml:space="preserve">. </w:t>
      </w:r>
      <w:r w:rsidR="00C771E7" w:rsidRPr="000C7CFA">
        <w:rPr>
          <w:rFonts w:ascii="Verdana" w:hAnsi="Verdana"/>
          <w:sz w:val="18"/>
          <w:szCs w:val="18"/>
        </w:rPr>
        <w:t xml:space="preserve">The level of </w:t>
      </w:r>
      <w:r w:rsidR="00CF3DEF" w:rsidRPr="000C7CFA">
        <w:rPr>
          <w:rFonts w:ascii="Verdana" w:hAnsi="Verdana"/>
          <w:sz w:val="18"/>
          <w:szCs w:val="18"/>
        </w:rPr>
        <w:t xml:space="preserve">toxicity </w:t>
      </w:r>
      <w:r w:rsidR="00C771E7" w:rsidRPr="000C7CFA">
        <w:rPr>
          <w:rFonts w:ascii="Verdana" w:hAnsi="Verdana"/>
          <w:sz w:val="18"/>
          <w:szCs w:val="18"/>
        </w:rPr>
        <w:t>to m</w:t>
      </w:r>
      <w:r w:rsidRPr="000C7CFA">
        <w:rPr>
          <w:rFonts w:ascii="Verdana" w:hAnsi="Verdana"/>
          <w:sz w:val="18"/>
          <w:szCs w:val="18"/>
        </w:rPr>
        <w:t>ammal</w:t>
      </w:r>
      <w:r w:rsidR="00C771E7" w:rsidRPr="000C7CFA">
        <w:rPr>
          <w:rFonts w:ascii="Verdana" w:hAnsi="Verdana"/>
          <w:sz w:val="18"/>
          <w:szCs w:val="18"/>
        </w:rPr>
        <w:t>s</w:t>
      </w:r>
      <w:r w:rsidRPr="000C7CFA">
        <w:rPr>
          <w:rFonts w:ascii="Verdana" w:hAnsi="Verdana"/>
          <w:sz w:val="18"/>
          <w:szCs w:val="18"/>
        </w:rPr>
        <w:t xml:space="preserve"> </w:t>
      </w:r>
      <w:r w:rsidR="00C771E7" w:rsidRPr="000C7CFA">
        <w:rPr>
          <w:rFonts w:ascii="Verdana" w:hAnsi="Verdana"/>
          <w:sz w:val="18"/>
          <w:szCs w:val="18"/>
        </w:rPr>
        <w:t>is unknown</w:t>
      </w:r>
      <w:r w:rsidRPr="000C7CFA">
        <w:rPr>
          <w:rFonts w:ascii="Verdana" w:hAnsi="Verdana"/>
          <w:sz w:val="18"/>
          <w:szCs w:val="18"/>
        </w:rPr>
        <w:t>.</w:t>
      </w:r>
    </w:p>
    <w:p w14:paraId="57E1718C" w14:textId="77777777" w:rsidR="00D029DA" w:rsidRPr="000C7CFA" w:rsidRDefault="00D029DA" w:rsidP="00DF46A5">
      <w:pPr>
        <w:tabs>
          <w:tab w:val="left" w:pos="1843"/>
        </w:tabs>
        <w:spacing w:after="0"/>
        <w:jc w:val="both"/>
        <w:rPr>
          <w:rFonts w:ascii="Verdana" w:hAnsi="Verdana"/>
          <w:sz w:val="18"/>
          <w:szCs w:val="18"/>
          <w:lang w:val="en-GB"/>
        </w:rPr>
      </w:pPr>
    </w:p>
    <w:p w14:paraId="272B2B34" w14:textId="47146CDF" w:rsidR="00DF46A5" w:rsidRPr="000C7CFA" w:rsidRDefault="00DF46A5" w:rsidP="00DF46A5">
      <w:pPr>
        <w:tabs>
          <w:tab w:val="left" w:pos="1843"/>
        </w:tabs>
        <w:spacing w:after="0"/>
        <w:jc w:val="both"/>
        <w:rPr>
          <w:rFonts w:ascii="Verdana" w:hAnsi="Verdana"/>
          <w:sz w:val="18"/>
          <w:szCs w:val="18"/>
          <w:lang w:val="en-GB"/>
        </w:rPr>
      </w:pPr>
      <w:r w:rsidRPr="000C7CFA">
        <w:rPr>
          <w:rFonts w:ascii="Verdana" w:hAnsi="Verdana"/>
          <w:sz w:val="18"/>
          <w:szCs w:val="18"/>
          <w:lang w:val="en-GB"/>
        </w:rPr>
        <w:t>A definitive conclusion would require experimental data</w:t>
      </w:r>
      <w:r w:rsidR="00443EB9" w:rsidRPr="000C7CFA">
        <w:rPr>
          <w:rFonts w:ascii="Verdana" w:hAnsi="Verdana"/>
          <w:sz w:val="18"/>
          <w:szCs w:val="18"/>
          <w:lang w:val="en-GB"/>
        </w:rPr>
        <w:t xml:space="preserve"> to confirm that these degradants are formed in relevant amounts in standard transformation studies, and also to</w:t>
      </w:r>
      <w:r w:rsidRPr="000C7CFA">
        <w:rPr>
          <w:rFonts w:ascii="Verdana" w:hAnsi="Verdana"/>
          <w:sz w:val="18"/>
          <w:szCs w:val="18"/>
          <w:lang w:val="en-GB"/>
        </w:rPr>
        <w:t xml:space="preserve"> confirm</w:t>
      </w:r>
      <w:r w:rsidR="00443EB9" w:rsidRPr="000C7CFA">
        <w:rPr>
          <w:rFonts w:ascii="Verdana" w:hAnsi="Verdana"/>
          <w:sz w:val="18"/>
          <w:szCs w:val="18"/>
          <w:lang w:val="en-GB"/>
        </w:rPr>
        <w:t xml:space="preserve"> their</w:t>
      </w:r>
      <w:r w:rsidRPr="000C7CFA">
        <w:rPr>
          <w:rFonts w:ascii="Verdana" w:hAnsi="Verdana"/>
          <w:sz w:val="18"/>
          <w:szCs w:val="18"/>
          <w:lang w:val="en-GB"/>
        </w:rPr>
        <w:t xml:space="preserve"> properties.</w:t>
      </w:r>
    </w:p>
    <w:p w14:paraId="3E253040" w14:textId="77777777" w:rsidR="00DF46A5" w:rsidRPr="000C7CFA" w:rsidRDefault="00DF46A5">
      <w:pPr>
        <w:spacing w:after="0"/>
        <w:rPr>
          <w:rFonts w:ascii="Verdana" w:eastAsia="BatangChe" w:hAnsi="Verdana"/>
          <w:b/>
          <w:caps/>
          <w:sz w:val="18"/>
          <w:szCs w:val="18"/>
          <w:lang w:val="en-GB"/>
        </w:rPr>
      </w:pPr>
      <w:r w:rsidRPr="000C7CFA">
        <w:rPr>
          <w:rFonts w:ascii="Verdana" w:eastAsia="BatangChe" w:hAnsi="Verdana"/>
          <w:sz w:val="18"/>
          <w:szCs w:val="18"/>
        </w:rPr>
        <w:br w:type="page"/>
      </w:r>
    </w:p>
    <w:p w14:paraId="5580508E" w14:textId="77777777" w:rsidR="007A255D" w:rsidRPr="000C7CFA" w:rsidRDefault="007A255D" w:rsidP="00990516">
      <w:pPr>
        <w:pStyle w:val="Heading1"/>
        <w:numPr>
          <w:ilvl w:val="0"/>
          <w:numId w:val="0"/>
        </w:numPr>
        <w:tabs>
          <w:tab w:val="clear" w:pos="839"/>
          <w:tab w:val="left" w:pos="1701"/>
        </w:tabs>
        <w:ind w:left="1701" w:hanging="1701"/>
        <w:rPr>
          <w:rFonts w:ascii="Verdana" w:hAnsi="Verdana"/>
          <w:sz w:val="18"/>
          <w:szCs w:val="18"/>
        </w:rPr>
        <w:sectPr w:rsidR="007A255D" w:rsidRPr="000C7CFA" w:rsidSect="00AC152A">
          <w:pgSz w:w="11906" w:h="16838" w:code="9"/>
          <w:pgMar w:top="1440" w:right="1797" w:bottom="1440" w:left="1797" w:header="709" w:footer="709" w:gutter="0"/>
          <w:cols w:space="708"/>
          <w:docGrid w:linePitch="360"/>
        </w:sectPr>
      </w:pPr>
    </w:p>
    <w:p w14:paraId="369F2EF4" w14:textId="39E52F67" w:rsidR="0000000F" w:rsidRPr="000C7CFA" w:rsidRDefault="0000000F" w:rsidP="0000000F">
      <w:pPr>
        <w:pStyle w:val="Heading1"/>
        <w:numPr>
          <w:ilvl w:val="0"/>
          <w:numId w:val="0"/>
        </w:numPr>
        <w:tabs>
          <w:tab w:val="clear" w:pos="839"/>
          <w:tab w:val="left" w:pos="1701"/>
        </w:tabs>
        <w:ind w:left="1701" w:hanging="1701"/>
        <w:rPr>
          <w:rFonts w:ascii="Verdana" w:eastAsia="BatangChe" w:hAnsi="Verdana"/>
          <w:sz w:val="18"/>
          <w:szCs w:val="18"/>
        </w:rPr>
      </w:pPr>
      <w:bookmarkStart w:id="149" w:name="_Ref427767104"/>
      <w:bookmarkStart w:id="150" w:name="_Toc491862802"/>
      <w:r w:rsidRPr="000C7CFA">
        <w:rPr>
          <w:rFonts w:ascii="Verdana" w:eastAsia="BatangChe" w:hAnsi="Verdana"/>
          <w:sz w:val="18"/>
          <w:szCs w:val="18"/>
        </w:rPr>
        <w:lastRenderedPageBreak/>
        <w:t xml:space="preserve">Appendix </w:t>
      </w:r>
      <w:r w:rsidR="00FB3AD7" w:rsidRPr="000C7CFA">
        <w:rPr>
          <w:rFonts w:ascii="Verdana" w:eastAsia="BatangChe" w:hAnsi="Verdana"/>
          <w:sz w:val="18"/>
          <w:szCs w:val="18"/>
        </w:rPr>
        <w:t>3</w:t>
      </w:r>
      <w:r w:rsidRPr="000C7CFA">
        <w:rPr>
          <w:rFonts w:ascii="Verdana" w:eastAsia="BatangChe" w:hAnsi="Verdana"/>
          <w:sz w:val="18"/>
          <w:szCs w:val="18"/>
        </w:rPr>
        <w:tab/>
      </w:r>
      <w:bookmarkEnd w:id="149"/>
      <w:r w:rsidRPr="000C7CFA">
        <w:rPr>
          <w:rFonts w:ascii="Verdana" w:eastAsia="BatangChe" w:hAnsi="Verdana"/>
          <w:sz w:val="18"/>
          <w:szCs w:val="18"/>
        </w:rPr>
        <w:t>Measured concentrations of Dechlorane Plus in biota associated with the aquatic environment</w:t>
      </w:r>
      <w:bookmarkEnd w:id="150"/>
    </w:p>
    <w:tbl>
      <w:tblPr>
        <w:tblW w:w="14007"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928"/>
        <w:gridCol w:w="1068"/>
        <w:gridCol w:w="2391"/>
        <w:gridCol w:w="1843"/>
        <w:gridCol w:w="2976"/>
        <w:gridCol w:w="2552"/>
        <w:gridCol w:w="1249"/>
      </w:tblGrid>
      <w:tr w:rsidR="0000000F" w:rsidRPr="000C7CFA" w14:paraId="57C832A5" w14:textId="77777777" w:rsidTr="00D323EC">
        <w:trPr>
          <w:cantSplit/>
          <w:tblHeader/>
        </w:trPr>
        <w:tc>
          <w:tcPr>
            <w:tcW w:w="1928" w:type="dxa"/>
            <w:tcBorders>
              <w:top w:val="single" w:sz="12" w:space="0" w:color="auto"/>
              <w:bottom w:val="single" w:sz="12" w:space="0" w:color="auto"/>
              <w:right w:val="single" w:sz="4" w:space="0" w:color="auto"/>
            </w:tcBorders>
          </w:tcPr>
          <w:p w14:paraId="13D9188A" w14:textId="77777777" w:rsidR="0000000F" w:rsidRPr="000C7CFA" w:rsidRDefault="0000000F" w:rsidP="00704CE9">
            <w:pPr>
              <w:spacing w:after="0"/>
              <w:rPr>
                <w:rFonts w:ascii="Verdana" w:hAnsi="Verdana"/>
                <w:b/>
                <w:sz w:val="18"/>
                <w:szCs w:val="18"/>
                <w:lang w:val="en-GB"/>
              </w:rPr>
            </w:pPr>
            <w:r w:rsidRPr="000C7CFA">
              <w:rPr>
                <w:rFonts w:ascii="Verdana" w:hAnsi="Verdana"/>
                <w:b/>
                <w:sz w:val="18"/>
                <w:szCs w:val="18"/>
                <w:lang w:val="en-GB"/>
              </w:rPr>
              <w:t>Species</w:t>
            </w:r>
          </w:p>
        </w:tc>
        <w:tc>
          <w:tcPr>
            <w:tcW w:w="1068" w:type="dxa"/>
            <w:tcBorders>
              <w:top w:val="single" w:sz="12" w:space="0" w:color="auto"/>
              <w:left w:val="single" w:sz="4" w:space="0" w:color="auto"/>
              <w:bottom w:val="single" w:sz="12" w:space="0" w:color="auto"/>
              <w:right w:val="single" w:sz="4" w:space="0" w:color="auto"/>
            </w:tcBorders>
          </w:tcPr>
          <w:p w14:paraId="0A8F2E11" w14:textId="77777777" w:rsidR="0000000F" w:rsidRPr="000C7CFA" w:rsidRDefault="0000000F" w:rsidP="00704CE9">
            <w:pPr>
              <w:spacing w:after="0"/>
              <w:rPr>
                <w:rFonts w:ascii="Verdana" w:hAnsi="Verdana"/>
                <w:b/>
                <w:sz w:val="18"/>
                <w:szCs w:val="18"/>
                <w:lang w:val="en-GB"/>
              </w:rPr>
            </w:pPr>
            <w:r w:rsidRPr="000C7CFA">
              <w:rPr>
                <w:rFonts w:ascii="Verdana" w:hAnsi="Verdana"/>
                <w:b/>
                <w:sz w:val="18"/>
                <w:szCs w:val="18"/>
                <w:lang w:val="en-GB"/>
              </w:rPr>
              <w:t>Tissue</w:t>
            </w:r>
          </w:p>
        </w:tc>
        <w:tc>
          <w:tcPr>
            <w:tcW w:w="2391" w:type="dxa"/>
            <w:tcBorders>
              <w:top w:val="single" w:sz="12" w:space="0" w:color="auto"/>
              <w:left w:val="single" w:sz="4" w:space="0" w:color="auto"/>
              <w:bottom w:val="single" w:sz="12" w:space="0" w:color="auto"/>
              <w:right w:val="single" w:sz="4" w:space="0" w:color="auto"/>
            </w:tcBorders>
          </w:tcPr>
          <w:p w14:paraId="31E7040A" w14:textId="77777777" w:rsidR="0000000F" w:rsidRPr="000C7CFA" w:rsidRDefault="0000000F" w:rsidP="00704CE9">
            <w:pPr>
              <w:spacing w:after="0"/>
              <w:rPr>
                <w:rFonts w:ascii="Verdana" w:hAnsi="Verdana"/>
                <w:b/>
                <w:sz w:val="18"/>
                <w:szCs w:val="18"/>
                <w:lang w:val="en-GB"/>
              </w:rPr>
            </w:pPr>
            <w:r w:rsidRPr="000C7CFA">
              <w:rPr>
                <w:rFonts w:ascii="Verdana" w:hAnsi="Verdana"/>
                <w:b/>
                <w:sz w:val="18"/>
                <w:szCs w:val="18"/>
                <w:lang w:val="en-GB"/>
              </w:rPr>
              <w:t>Sample location and date</w:t>
            </w:r>
          </w:p>
        </w:tc>
        <w:tc>
          <w:tcPr>
            <w:tcW w:w="1843" w:type="dxa"/>
            <w:tcBorders>
              <w:top w:val="single" w:sz="12" w:space="0" w:color="auto"/>
              <w:left w:val="single" w:sz="4" w:space="0" w:color="auto"/>
              <w:bottom w:val="single" w:sz="12" w:space="0" w:color="auto"/>
              <w:right w:val="single" w:sz="4" w:space="0" w:color="auto"/>
            </w:tcBorders>
          </w:tcPr>
          <w:p w14:paraId="0692C083" w14:textId="7C548E22" w:rsidR="0000000F" w:rsidRPr="000C7CFA" w:rsidRDefault="0000000F" w:rsidP="0047043A">
            <w:pPr>
              <w:spacing w:after="0"/>
              <w:jc w:val="center"/>
              <w:rPr>
                <w:rFonts w:ascii="Verdana" w:hAnsi="Verdana"/>
                <w:b/>
                <w:sz w:val="18"/>
                <w:szCs w:val="18"/>
                <w:lang w:val="en-GB"/>
              </w:rPr>
            </w:pPr>
            <w:r w:rsidRPr="000C7CFA">
              <w:rPr>
                <w:rFonts w:ascii="Verdana" w:hAnsi="Verdana"/>
                <w:b/>
                <w:sz w:val="18"/>
                <w:szCs w:val="18"/>
                <w:lang w:val="en-GB"/>
              </w:rPr>
              <w:t>Limit of detection (LoD), μg/kg ww</w:t>
            </w:r>
          </w:p>
        </w:tc>
        <w:tc>
          <w:tcPr>
            <w:tcW w:w="2976" w:type="dxa"/>
            <w:tcBorders>
              <w:top w:val="single" w:sz="12" w:space="0" w:color="auto"/>
              <w:left w:val="single" w:sz="4" w:space="0" w:color="auto"/>
              <w:bottom w:val="single" w:sz="12" w:space="0" w:color="auto"/>
              <w:right w:val="single" w:sz="4" w:space="0" w:color="auto"/>
            </w:tcBorders>
          </w:tcPr>
          <w:p w14:paraId="46F02301" w14:textId="77777777" w:rsidR="0000000F" w:rsidRPr="000C7CFA" w:rsidRDefault="0000000F" w:rsidP="00704CE9">
            <w:pPr>
              <w:spacing w:after="0"/>
              <w:rPr>
                <w:rFonts w:ascii="Verdana" w:hAnsi="Verdana"/>
                <w:b/>
                <w:sz w:val="18"/>
                <w:szCs w:val="18"/>
                <w:lang w:val="en-GB"/>
              </w:rPr>
            </w:pPr>
            <w:r w:rsidRPr="000C7CFA">
              <w:rPr>
                <w:rFonts w:ascii="Verdana" w:hAnsi="Verdana"/>
                <w:b/>
                <w:sz w:val="18"/>
                <w:szCs w:val="18"/>
                <w:lang w:val="en-GB"/>
              </w:rPr>
              <w:t>Measured concentration</w:t>
            </w:r>
          </w:p>
        </w:tc>
        <w:tc>
          <w:tcPr>
            <w:tcW w:w="2552" w:type="dxa"/>
            <w:tcBorders>
              <w:top w:val="single" w:sz="12" w:space="0" w:color="auto"/>
              <w:left w:val="single" w:sz="4" w:space="0" w:color="auto"/>
              <w:bottom w:val="single" w:sz="12" w:space="0" w:color="auto"/>
              <w:right w:val="single" w:sz="4" w:space="0" w:color="auto"/>
            </w:tcBorders>
          </w:tcPr>
          <w:p w14:paraId="057BA6CC" w14:textId="77777777" w:rsidR="0000000F" w:rsidRPr="000C7CFA" w:rsidRDefault="0000000F" w:rsidP="00704CE9">
            <w:pPr>
              <w:spacing w:after="0"/>
              <w:rPr>
                <w:rFonts w:ascii="Verdana" w:hAnsi="Verdana"/>
                <w:b/>
                <w:sz w:val="18"/>
                <w:szCs w:val="18"/>
                <w:lang w:val="en-GB"/>
              </w:rPr>
            </w:pPr>
            <w:r w:rsidRPr="000C7CFA">
              <w:rPr>
                <w:rFonts w:ascii="Verdana" w:hAnsi="Verdana"/>
                <w:b/>
                <w:sz w:val="18"/>
                <w:szCs w:val="18"/>
                <w:lang w:val="en-GB"/>
              </w:rPr>
              <w:t>Comment</w:t>
            </w:r>
          </w:p>
        </w:tc>
        <w:tc>
          <w:tcPr>
            <w:tcW w:w="1249" w:type="dxa"/>
            <w:tcBorders>
              <w:top w:val="single" w:sz="12" w:space="0" w:color="auto"/>
              <w:left w:val="single" w:sz="4" w:space="0" w:color="auto"/>
              <w:bottom w:val="single" w:sz="12" w:space="0" w:color="auto"/>
            </w:tcBorders>
          </w:tcPr>
          <w:p w14:paraId="73BA93E2" w14:textId="77777777" w:rsidR="0000000F" w:rsidRPr="000C7CFA" w:rsidRDefault="0000000F" w:rsidP="00704CE9">
            <w:pPr>
              <w:spacing w:after="0"/>
              <w:rPr>
                <w:rFonts w:ascii="Verdana" w:hAnsi="Verdana"/>
                <w:b/>
                <w:sz w:val="18"/>
                <w:szCs w:val="18"/>
                <w:lang w:val="en-GB"/>
              </w:rPr>
            </w:pPr>
            <w:r w:rsidRPr="000C7CFA">
              <w:rPr>
                <w:rFonts w:ascii="Verdana" w:hAnsi="Verdana"/>
                <w:b/>
                <w:sz w:val="18"/>
                <w:szCs w:val="18"/>
                <w:lang w:val="en-GB"/>
              </w:rPr>
              <w:t>Reference</w:t>
            </w:r>
          </w:p>
        </w:tc>
      </w:tr>
      <w:tr w:rsidR="0000000F" w:rsidRPr="000C7CFA" w14:paraId="15F84E16" w14:textId="77777777" w:rsidTr="00704CE9">
        <w:trPr>
          <w:cantSplit/>
          <w:trHeight w:val="205"/>
        </w:trPr>
        <w:tc>
          <w:tcPr>
            <w:tcW w:w="14007" w:type="dxa"/>
            <w:gridSpan w:val="7"/>
            <w:tcBorders>
              <w:top w:val="single" w:sz="12" w:space="0" w:color="auto"/>
            </w:tcBorders>
          </w:tcPr>
          <w:p w14:paraId="364BD35C" w14:textId="77777777" w:rsidR="0000000F" w:rsidRPr="000C7CFA" w:rsidRDefault="0000000F" w:rsidP="00704CE9">
            <w:pPr>
              <w:spacing w:after="0"/>
              <w:rPr>
                <w:rFonts w:ascii="Verdana" w:hAnsi="Verdana"/>
                <w:b/>
                <w:sz w:val="18"/>
                <w:szCs w:val="18"/>
                <w:lang w:val="en-GB"/>
              </w:rPr>
            </w:pPr>
            <w:r w:rsidRPr="000C7CFA">
              <w:rPr>
                <w:rFonts w:ascii="Verdana" w:hAnsi="Verdana"/>
                <w:b/>
                <w:sz w:val="18"/>
                <w:szCs w:val="18"/>
                <w:lang w:val="en-GB"/>
              </w:rPr>
              <w:t>INVERTEBRATES</w:t>
            </w:r>
          </w:p>
        </w:tc>
      </w:tr>
      <w:tr w:rsidR="0000000F" w:rsidRPr="000C7CFA" w14:paraId="4FD47202" w14:textId="77777777" w:rsidTr="00D323EC">
        <w:trPr>
          <w:cantSplit/>
          <w:trHeight w:val="1953"/>
        </w:trPr>
        <w:tc>
          <w:tcPr>
            <w:tcW w:w="1928" w:type="dxa"/>
            <w:tcBorders>
              <w:top w:val="single" w:sz="12" w:space="0" w:color="auto"/>
              <w:bottom w:val="single" w:sz="4" w:space="0" w:color="auto"/>
              <w:right w:val="single" w:sz="4" w:space="0" w:color="auto"/>
            </w:tcBorders>
          </w:tcPr>
          <w:p w14:paraId="71D8576A"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 xml:space="preserve">Mussel </w:t>
            </w:r>
          </w:p>
          <w:p w14:paraId="139E6AE8"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(species not specified)</w:t>
            </w:r>
          </w:p>
          <w:p w14:paraId="3F780140" w14:textId="77777777" w:rsidR="0000000F" w:rsidRPr="000C7CFA" w:rsidRDefault="0000000F" w:rsidP="00704CE9">
            <w:pPr>
              <w:spacing w:after="0"/>
              <w:rPr>
                <w:rFonts w:ascii="Verdana" w:hAnsi="Verdana"/>
                <w:sz w:val="18"/>
                <w:szCs w:val="18"/>
                <w:lang w:val="en-GB"/>
              </w:rPr>
            </w:pPr>
          </w:p>
        </w:tc>
        <w:tc>
          <w:tcPr>
            <w:tcW w:w="1068" w:type="dxa"/>
            <w:tcBorders>
              <w:top w:val="single" w:sz="12" w:space="0" w:color="auto"/>
              <w:left w:val="single" w:sz="4" w:space="0" w:color="auto"/>
              <w:bottom w:val="single" w:sz="4" w:space="0" w:color="auto"/>
              <w:right w:val="single" w:sz="4" w:space="0" w:color="auto"/>
            </w:tcBorders>
          </w:tcPr>
          <w:p w14:paraId="79D4CC36"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Soft parts</w:t>
            </w:r>
          </w:p>
        </w:tc>
        <w:tc>
          <w:tcPr>
            <w:tcW w:w="2391" w:type="dxa"/>
            <w:tcBorders>
              <w:top w:val="single" w:sz="12" w:space="0" w:color="auto"/>
              <w:left w:val="single" w:sz="4" w:space="0" w:color="auto"/>
              <w:bottom w:val="single" w:sz="4" w:space="0" w:color="auto"/>
              <w:right w:val="single" w:sz="4" w:space="0" w:color="auto"/>
            </w:tcBorders>
          </w:tcPr>
          <w:p w14:paraId="73AB3D42"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Niagara River area, Canada (it appears that two different locations were involved, with one mussel representing each site); date of sampling not stated</w:t>
            </w:r>
          </w:p>
          <w:p w14:paraId="0B5A00BF" w14:textId="77777777" w:rsidR="0000000F" w:rsidRPr="000C7CFA" w:rsidRDefault="0000000F" w:rsidP="00704CE9">
            <w:pPr>
              <w:spacing w:after="0"/>
              <w:rPr>
                <w:rFonts w:ascii="Verdana" w:hAnsi="Verdana"/>
                <w:sz w:val="18"/>
                <w:szCs w:val="18"/>
                <w:lang w:val="en-GB"/>
              </w:rPr>
            </w:pPr>
          </w:p>
        </w:tc>
        <w:tc>
          <w:tcPr>
            <w:tcW w:w="1843" w:type="dxa"/>
            <w:tcBorders>
              <w:top w:val="single" w:sz="12" w:space="0" w:color="auto"/>
              <w:left w:val="single" w:sz="4" w:space="0" w:color="auto"/>
              <w:bottom w:val="single" w:sz="4" w:space="0" w:color="auto"/>
              <w:right w:val="single" w:sz="4" w:space="0" w:color="auto"/>
            </w:tcBorders>
          </w:tcPr>
          <w:p w14:paraId="16DB44EE"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w:t>
            </w:r>
          </w:p>
        </w:tc>
        <w:tc>
          <w:tcPr>
            <w:tcW w:w="2976" w:type="dxa"/>
            <w:tcBorders>
              <w:top w:val="single" w:sz="12" w:space="0" w:color="auto"/>
              <w:left w:val="single" w:sz="4" w:space="0" w:color="auto"/>
              <w:bottom w:val="single" w:sz="4" w:space="0" w:color="auto"/>
              <w:right w:val="single" w:sz="4" w:space="0" w:color="auto"/>
            </w:tcBorders>
          </w:tcPr>
          <w:p w14:paraId="74F01202"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Site 1 (n=1)</w:t>
            </w:r>
          </w:p>
          <w:p w14:paraId="38EFD5BB"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Total isomers: ~4 µg/kg ww</w:t>
            </w:r>
          </w:p>
          <w:p w14:paraId="63E73C46"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Anti-DP: ~2 µg/kg ww</w:t>
            </w:r>
          </w:p>
          <w:p w14:paraId="3900455D"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 xml:space="preserve">Syn-DP: ~2 µg/kg ww </w:t>
            </w:r>
          </w:p>
          <w:p w14:paraId="5A71C4E5" w14:textId="77777777" w:rsidR="0000000F" w:rsidRPr="000C7CFA" w:rsidRDefault="0000000F" w:rsidP="00704CE9">
            <w:pPr>
              <w:pStyle w:val="NoSpacing"/>
              <w:rPr>
                <w:rFonts w:ascii="Verdana" w:hAnsi="Verdana" w:cs="Times New Roman"/>
                <w:sz w:val="18"/>
                <w:szCs w:val="18"/>
              </w:rPr>
            </w:pPr>
          </w:p>
          <w:p w14:paraId="599B634D"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Site 2 (n=1)</w:t>
            </w:r>
          </w:p>
          <w:p w14:paraId="393D6035"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Total isomers: ~1.8 µg/kg ww</w:t>
            </w:r>
          </w:p>
          <w:p w14:paraId="02A0A5ED"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Anti-DP: ~1 µg/kg ww</w:t>
            </w:r>
          </w:p>
          <w:p w14:paraId="680A3250"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Syn-DP: ~0.8 µg/kg ww</w:t>
            </w:r>
          </w:p>
        </w:tc>
        <w:tc>
          <w:tcPr>
            <w:tcW w:w="2552" w:type="dxa"/>
            <w:tcBorders>
              <w:top w:val="single" w:sz="12" w:space="0" w:color="auto"/>
              <w:left w:val="single" w:sz="4" w:space="0" w:color="auto"/>
              <w:bottom w:val="single" w:sz="4" w:space="0" w:color="auto"/>
              <w:right w:val="single" w:sz="4" w:space="0" w:color="auto"/>
            </w:tcBorders>
          </w:tcPr>
          <w:p w14:paraId="6A391043" w14:textId="77777777" w:rsidR="0000000F" w:rsidRPr="000C7CFA" w:rsidRDefault="0000000F" w:rsidP="00704CE9">
            <w:pPr>
              <w:pStyle w:val="NoSpacing"/>
              <w:spacing w:after="180"/>
              <w:rPr>
                <w:rFonts w:ascii="Verdana" w:hAnsi="Verdana" w:cs="Times New Roman"/>
                <w:sz w:val="18"/>
                <w:szCs w:val="18"/>
              </w:rPr>
            </w:pPr>
            <w:r w:rsidRPr="000C7CFA">
              <w:rPr>
                <w:rFonts w:ascii="Verdana" w:hAnsi="Verdana" w:cs="Times New Roman"/>
                <w:sz w:val="18"/>
                <w:szCs w:val="18"/>
              </w:rPr>
              <w:t>Analysis by GC-HRMS.</w:t>
            </w:r>
          </w:p>
          <w:p w14:paraId="2A31CC15" w14:textId="77777777" w:rsidR="0000000F" w:rsidRPr="000C7CFA" w:rsidRDefault="0000000F" w:rsidP="00704CE9">
            <w:pPr>
              <w:pStyle w:val="NoSpacing"/>
              <w:spacing w:after="180"/>
              <w:rPr>
                <w:rFonts w:ascii="Verdana" w:hAnsi="Verdana" w:cs="Times New Roman"/>
                <w:sz w:val="18"/>
                <w:szCs w:val="18"/>
              </w:rPr>
            </w:pPr>
          </w:p>
          <w:p w14:paraId="536F1121" w14:textId="77777777" w:rsidR="0000000F" w:rsidRPr="000C7CFA" w:rsidRDefault="0000000F" w:rsidP="00704CE9">
            <w:pPr>
              <w:pStyle w:val="NoSpacing"/>
              <w:spacing w:after="180"/>
              <w:rPr>
                <w:rFonts w:ascii="Verdana" w:hAnsi="Verdana" w:cs="Times New Roman"/>
                <w:sz w:val="18"/>
                <w:szCs w:val="18"/>
              </w:rPr>
            </w:pPr>
            <w:r w:rsidRPr="000C7CFA">
              <w:rPr>
                <w:rFonts w:ascii="Verdana" w:hAnsi="Verdana" w:cs="Times New Roman"/>
                <w:sz w:val="18"/>
                <w:szCs w:val="18"/>
              </w:rPr>
              <w:t xml:space="preserve">Not known if mussels were depurated prior to analysis. </w:t>
            </w:r>
          </w:p>
          <w:p w14:paraId="66F0EE1C" w14:textId="77777777" w:rsidR="0000000F" w:rsidRPr="000C7CFA" w:rsidRDefault="0000000F" w:rsidP="00704CE9">
            <w:pPr>
              <w:pStyle w:val="NoSpacing"/>
              <w:spacing w:after="180"/>
              <w:rPr>
                <w:rFonts w:ascii="Verdana" w:hAnsi="Verdana" w:cs="Times New Roman"/>
                <w:sz w:val="18"/>
                <w:szCs w:val="18"/>
              </w:rPr>
            </w:pPr>
          </w:p>
          <w:p w14:paraId="43EBA12E" w14:textId="77777777" w:rsidR="0000000F" w:rsidRPr="000C7CFA" w:rsidRDefault="0000000F" w:rsidP="00704CE9">
            <w:pPr>
              <w:pStyle w:val="NoSpacing"/>
              <w:spacing w:after="180"/>
              <w:rPr>
                <w:rFonts w:ascii="Verdana" w:hAnsi="Verdana" w:cs="Times New Roman"/>
                <w:sz w:val="18"/>
                <w:szCs w:val="18"/>
              </w:rPr>
            </w:pPr>
            <w:r w:rsidRPr="000C7CFA">
              <w:rPr>
                <w:rFonts w:ascii="Verdana" w:hAnsi="Verdana" w:cs="Times New Roman"/>
                <w:sz w:val="18"/>
                <w:szCs w:val="18"/>
              </w:rPr>
              <w:t>Values read from a graph.</w:t>
            </w:r>
          </w:p>
        </w:tc>
        <w:tc>
          <w:tcPr>
            <w:tcW w:w="1249" w:type="dxa"/>
            <w:tcBorders>
              <w:top w:val="single" w:sz="12" w:space="0" w:color="auto"/>
              <w:left w:val="single" w:sz="4" w:space="0" w:color="auto"/>
              <w:bottom w:val="single" w:sz="4" w:space="0" w:color="auto"/>
            </w:tcBorders>
          </w:tcPr>
          <w:p w14:paraId="419348F6"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 xml:space="preserve">Kolic </w:t>
            </w:r>
            <w:r w:rsidRPr="000C7CFA">
              <w:rPr>
                <w:rFonts w:ascii="Verdana" w:hAnsi="Verdana" w:cs="Times New Roman"/>
                <w:i/>
                <w:sz w:val="18"/>
                <w:szCs w:val="18"/>
              </w:rPr>
              <w:t>et al</w:t>
            </w:r>
            <w:r w:rsidRPr="000C7CFA">
              <w:rPr>
                <w:rFonts w:ascii="Verdana" w:hAnsi="Verdana" w:cs="Times New Roman"/>
                <w:sz w:val="18"/>
                <w:szCs w:val="18"/>
              </w:rPr>
              <w:t>. (2009)</w:t>
            </w:r>
          </w:p>
          <w:p w14:paraId="4A62EABF" w14:textId="77777777" w:rsidR="0000000F" w:rsidRPr="000C7CFA" w:rsidRDefault="0000000F" w:rsidP="00704CE9">
            <w:pPr>
              <w:spacing w:after="0"/>
              <w:rPr>
                <w:rFonts w:ascii="Verdana" w:hAnsi="Verdana"/>
                <w:sz w:val="18"/>
                <w:szCs w:val="18"/>
                <w:lang w:val="en-GB"/>
              </w:rPr>
            </w:pPr>
          </w:p>
        </w:tc>
      </w:tr>
      <w:tr w:rsidR="0000000F" w:rsidRPr="000C7CFA" w14:paraId="3E6E53A8" w14:textId="77777777" w:rsidTr="00D323EC">
        <w:trPr>
          <w:cantSplit/>
          <w:trHeight w:val="781"/>
        </w:trPr>
        <w:tc>
          <w:tcPr>
            <w:tcW w:w="1928" w:type="dxa"/>
            <w:tcBorders>
              <w:top w:val="single" w:sz="4" w:space="0" w:color="auto"/>
              <w:right w:val="single" w:sz="4" w:space="0" w:color="auto"/>
            </w:tcBorders>
          </w:tcPr>
          <w:p w14:paraId="2426A1A7"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Blue Mussel</w:t>
            </w:r>
          </w:p>
          <w:p w14:paraId="79143EDC"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w:t>
            </w:r>
            <w:r w:rsidRPr="000C7CFA">
              <w:rPr>
                <w:rFonts w:ascii="Verdana" w:hAnsi="Verdana"/>
                <w:i/>
                <w:sz w:val="18"/>
                <w:szCs w:val="18"/>
                <w:lang w:val="en-GB"/>
              </w:rPr>
              <w:t>Mytilus edulis</w:t>
            </w:r>
            <w:r w:rsidRPr="000C7CFA">
              <w:rPr>
                <w:rFonts w:ascii="Verdana" w:hAnsi="Verdana"/>
                <w:sz w:val="18"/>
                <w:szCs w:val="18"/>
                <w:lang w:val="en-GB"/>
              </w:rPr>
              <w:t xml:space="preserve">) </w:t>
            </w:r>
          </w:p>
        </w:tc>
        <w:tc>
          <w:tcPr>
            <w:tcW w:w="1068" w:type="dxa"/>
            <w:tcBorders>
              <w:top w:val="single" w:sz="4" w:space="0" w:color="auto"/>
              <w:left w:val="single" w:sz="4" w:space="0" w:color="auto"/>
              <w:right w:val="single" w:sz="4" w:space="0" w:color="auto"/>
            </w:tcBorders>
          </w:tcPr>
          <w:p w14:paraId="18BC6ACC"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Soft parts</w:t>
            </w:r>
          </w:p>
        </w:tc>
        <w:tc>
          <w:tcPr>
            <w:tcW w:w="2391" w:type="dxa"/>
            <w:tcBorders>
              <w:top w:val="single" w:sz="4" w:space="0" w:color="auto"/>
              <w:left w:val="single" w:sz="4" w:space="0" w:color="auto"/>
              <w:right w:val="single" w:sz="4" w:space="0" w:color="auto"/>
            </w:tcBorders>
          </w:tcPr>
          <w:p w14:paraId="0F59C4BE"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Receiving water from Åse WWTP, Åsefjorden, Norway (sampling date not stated).</w:t>
            </w:r>
          </w:p>
          <w:p w14:paraId="01DD5C15" w14:textId="77777777" w:rsidR="0000000F" w:rsidRPr="000C7CFA" w:rsidRDefault="0000000F" w:rsidP="00704CE9">
            <w:pPr>
              <w:spacing w:after="0"/>
              <w:rPr>
                <w:rFonts w:ascii="Verdana" w:hAnsi="Verdana"/>
                <w:sz w:val="18"/>
                <w:szCs w:val="18"/>
                <w:lang w:val="en-GB"/>
              </w:rPr>
            </w:pPr>
          </w:p>
          <w:p w14:paraId="242247CE"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Fossá river estuary, Hvalfjörður, Iceland in November 2011.</w:t>
            </w:r>
          </w:p>
        </w:tc>
        <w:tc>
          <w:tcPr>
            <w:tcW w:w="1843" w:type="dxa"/>
            <w:tcBorders>
              <w:top w:val="single" w:sz="4" w:space="0" w:color="auto"/>
              <w:left w:val="single" w:sz="4" w:space="0" w:color="auto"/>
              <w:bottom w:val="single" w:sz="12" w:space="0" w:color="auto"/>
              <w:right w:val="single" w:sz="4" w:space="0" w:color="auto"/>
            </w:tcBorders>
          </w:tcPr>
          <w:p w14:paraId="522969D4"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explicitly stated, but presumably 0.003/4 for both isomers</w:t>
            </w:r>
          </w:p>
        </w:tc>
        <w:tc>
          <w:tcPr>
            <w:tcW w:w="2976" w:type="dxa"/>
            <w:tcBorders>
              <w:top w:val="single" w:sz="4" w:space="0" w:color="auto"/>
              <w:left w:val="single" w:sz="4" w:space="0" w:color="auto"/>
              <w:right w:val="single" w:sz="4" w:space="0" w:color="auto"/>
            </w:tcBorders>
          </w:tcPr>
          <w:p w14:paraId="19CDB924"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Norwegian (urban) site:</w:t>
            </w:r>
          </w:p>
          <w:p w14:paraId="04446CBA"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Total isomers: 0.035-0.042 μg/kg ww</w:t>
            </w:r>
          </w:p>
          <w:p w14:paraId="500BDC75"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Anti-DP: 0.018-0.019 μg/kg ww </w:t>
            </w:r>
          </w:p>
          <w:p w14:paraId="721559E1"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Syn-DP: 0.017- 0.023 μg/kg ww</w:t>
            </w:r>
          </w:p>
          <w:p w14:paraId="382603BA" w14:textId="77777777" w:rsidR="0000000F" w:rsidRPr="000C7CFA" w:rsidRDefault="0000000F" w:rsidP="00704CE9">
            <w:pPr>
              <w:pStyle w:val="Tabletext"/>
              <w:spacing w:before="0" w:after="0"/>
              <w:rPr>
                <w:rFonts w:ascii="Verdana" w:hAnsi="Verdana"/>
                <w:sz w:val="18"/>
                <w:szCs w:val="18"/>
                <w:lang w:val="en-GB"/>
              </w:rPr>
            </w:pPr>
          </w:p>
          <w:p w14:paraId="2569BB22"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Icelandic site: Neither isomer was above the LoD (no. of samples not stated).</w:t>
            </w:r>
          </w:p>
        </w:tc>
        <w:tc>
          <w:tcPr>
            <w:tcW w:w="2552" w:type="dxa"/>
            <w:tcBorders>
              <w:top w:val="single" w:sz="4" w:space="0" w:color="auto"/>
              <w:left w:val="single" w:sz="4" w:space="0" w:color="auto"/>
              <w:right w:val="single" w:sz="4" w:space="0" w:color="auto"/>
            </w:tcBorders>
          </w:tcPr>
          <w:p w14:paraId="643CC28B"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Analysis by GC-MS.</w:t>
            </w:r>
          </w:p>
          <w:p w14:paraId="0A003B5F" w14:textId="77777777" w:rsidR="0000000F" w:rsidRPr="000C7CFA" w:rsidRDefault="0000000F" w:rsidP="00704CE9">
            <w:pPr>
              <w:pStyle w:val="NoSpacing"/>
              <w:rPr>
                <w:rFonts w:ascii="Verdana" w:hAnsi="Verdana" w:cs="Times New Roman"/>
                <w:sz w:val="18"/>
                <w:szCs w:val="18"/>
              </w:rPr>
            </w:pPr>
          </w:p>
          <w:p w14:paraId="45F25C11"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Not known if mussels were depurated prior to analysis.</w:t>
            </w:r>
          </w:p>
          <w:p w14:paraId="7DC2C69F" w14:textId="77777777" w:rsidR="0000000F" w:rsidRPr="000C7CFA" w:rsidRDefault="0000000F" w:rsidP="00704CE9">
            <w:pPr>
              <w:spacing w:after="0"/>
              <w:rPr>
                <w:rFonts w:ascii="Verdana" w:hAnsi="Verdana"/>
                <w:sz w:val="18"/>
                <w:szCs w:val="18"/>
                <w:lang w:val="en-GB"/>
              </w:rPr>
            </w:pPr>
          </w:p>
          <w:p w14:paraId="344AC8C9"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The Icelandic site is remote from human activity.</w:t>
            </w:r>
          </w:p>
        </w:tc>
        <w:tc>
          <w:tcPr>
            <w:tcW w:w="1249" w:type="dxa"/>
            <w:tcBorders>
              <w:top w:val="single" w:sz="4" w:space="0" w:color="auto"/>
              <w:left w:val="single" w:sz="4" w:space="0" w:color="auto"/>
            </w:tcBorders>
          </w:tcPr>
          <w:p w14:paraId="340586C9"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 xml:space="preserve">Schlabach </w:t>
            </w:r>
            <w:r w:rsidRPr="000C7CFA">
              <w:rPr>
                <w:rFonts w:ascii="Verdana" w:hAnsi="Verdana"/>
                <w:i/>
                <w:sz w:val="18"/>
                <w:szCs w:val="18"/>
                <w:lang w:val="en-GB"/>
              </w:rPr>
              <w:t>et al</w:t>
            </w:r>
            <w:r w:rsidRPr="000C7CFA">
              <w:rPr>
                <w:rFonts w:ascii="Verdana" w:hAnsi="Verdana"/>
                <w:sz w:val="18"/>
                <w:szCs w:val="18"/>
                <w:lang w:val="en-GB"/>
              </w:rPr>
              <w:t>. (2011)</w:t>
            </w:r>
          </w:p>
          <w:p w14:paraId="53109699" w14:textId="77777777" w:rsidR="0000000F" w:rsidRPr="000C7CFA" w:rsidRDefault="0000000F" w:rsidP="00704CE9">
            <w:pPr>
              <w:pStyle w:val="Tabletext"/>
              <w:spacing w:before="0" w:after="0"/>
              <w:rPr>
                <w:rFonts w:ascii="Verdana" w:eastAsia="Calibri" w:hAnsi="Verdana"/>
                <w:sz w:val="18"/>
                <w:szCs w:val="18"/>
                <w:lang w:val="en-GB"/>
              </w:rPr>
            </w:pPr>
          </w:p>
        </w:tc>
      </w:tr>
      <w:tr w:rsidR="0000000F" w:rsidRPr="000C7CFA" w14:paraId="038061E7" w14:textId="77777777" w:rsidTr="00704CE9">
        <w:trPr>
          <w:cantSplit/>
          <w:trHeight w:val="209"/>
        </w:trPr>
        <w:tc>
          <w:tcPr>
            <w:tcW w:w="14007" w:type="dxa"/>
            <w:gridSpan w:val="7"/>
            <w:tcBorders>
              <w:top w:val="single" w:sz="12" w:space="0" w:color="auto"/>
            </w:tcBorders>
          </w:tcPr>
          <w:p w14:paraId="298C3956" w14:textId="77777777" w:rsidR="0000000F" w:rsidRPr="000C7CFA" w:rsidRDefault="0000000F" w:rsidP="00704CE9">
            <w:pPr>
              <w:pStyle w:val="Tabletext"/>
              <w:spacing w:before="0" w:after="0"/>
              <w:rPr>
                <w:rFonts w:ascii="Verdana" w:hAnsi="Verdana"/>
                <w:b/>
                <w:sz w:val="18"/>
                <w:szCs w:val="18"/>
                <w:lang w:val="en-GB"/>
              </w:rPr>
            </w:pPr>
            <w:r w:rsidRPr="000C7CFA">
              <w:rPr>
                <w:rFonts w:ascii="Verdana" w:hAnsi="Verdana"/>
                <w:b/>
                <w:sz w:val="18"/>
                <w:szCs w:val="18"/>
                <w:lang w:val="en-GB" w:eastAsia="en-GB"/>
              </w:rPr>
              <w:lastRenderedPageBreak/>
              <w:t>FISH</w:t>
            </w:r>
          </w:p>
        </w:tc>
      </w:tr>
      <w:tr w:rsidR="0000000F" w:rsidRPr="000C7CFA" w14:paraId="5ACDECFF" w14:textId="77777777" w:rsidTr="00D323EC">
        <w:trPr>
          <w:cantSplit/>
          <w:trHeight w:val="490"/>
        </w:trPr>
        <w:tc>
          <w:tcPr>
            <w:tcW w:w="1928" w:type="dxa"/>
            <w:tcBorders>
              <w:top w:val="single" w:sz="12" w:space="0" w:color="auto"/>
              <w:bottom w:val="single" w:sz="4" w:space="0" w:color="auto"/>
              <w:right w:val="single" w:sz="4" w:space="0" w:color="auto"/>
            </w:tcBorders>
          </w:tcPr>
          <w:p w14:paraId="6F387D3C" w14:textId="77777777" w:rsidR="0000000F" w:rsidRPr="000C7CFA" w:rsidRDefault="0000000F" w:rsidP="00704CE9">
            <w:pPr>
              <w:spacing w:after="0"/>
              <w:rPr>
                <w:rFonts w:ascii="Verdana" w:hAnsi="Verdana"/>
                <w:sz w:val="18"/>
                <w:szCs w:val="18"/>
              </w:rPr>
            </w:pPr>
            <w:r w:rsidRPr="000C7CFA">
              <w:rPr>
                <w:rFonts w:ascii="Verdana" w:hAnsi="Verdana"/>
                <w:sz w:val="18"/>
                <w:szCs w:val="18"/>
              </w:rPr>
              <w:t>Barbel (</w:t>
            </w:r>
            <w:r w:rsidRPr="000C7CFA">
              <w:rPr>
                <w:rFonts w:ascii="Verdana" w:hAnsi="Verdana"/>
                <w:i/>
                <w:sz w:val="18"/>
                <w:szCs w:val="18"/>
              </w:rPr>
              <w:t>Barbus barbus</w:t>
            </w:r>
            <w:r w:rsidRPr="000C7CFA">
              <w:rPr>
                <w:rFonts w:ascii="Verdana" w:hAnsi="Verdana"/>
                <w:sz w:val="18"/>
                <w:szCs w:val="18"/>
              </w:rPr>
              <w:t>) (n not stated)</w:t>
            </w:r>
          </w:p>
          <w:p w14:paraId="652947FA" w14:textId="77777777" w:rsidR="0000000F" w:rsidRPr="000C7CFA" w:rsidRDefault="0000000F" w:rsidP="00704CE9">
            <w:pPr>
              <w:spacing w:after="0"/>
              <w:rPr>
                <w:rFonts w:ascii="Verdana" w:hAnsi="Verdana"/>
                <w:sz w:val="18"/>
                <w:szCs w:val="18"/>
              </w:rPr>
            </w:pPr>
          </w:p>
          <w:p w14:paraId="7BBB3249" w14:textId="77777777" w:rsidR="0000000F" w:rsidRPr="000C7CFA" w:rsidRDefault="0000000F" w:rsidP="00704CE9">
            <w:pPr>
              <w:spacing w:after="0"/>
              <w:rPr>
                <w:rFonts w:ascii="Verdana" w:hAnsi="Verdana"/>
                <w:sz w:val="18"/>
                <w:szCs w:val="18"/>
              </w:rPr>
            </w:pPr>
            <w:r w:rsidRPr="000C7CFA">
              <w:rPr>
                <w:rFonts w:ascii="Verdana" w:hAnsi="Verdana"/>
                <w:sz w:val="18"/>
                <w:szCs w:val="18"/>
              </w:rPr>
              <w:t>Wels Catfish (</w:t>
            </w:r>
            <w:r w:rsidRPr="000C7CFA">
              <w:rPr>
                <w:rFonts w:ascii="Verdana" w:hAnsi="Verdana"/>
                <w:i/>
                <w:sz w:val="18"/>
                <w:szCs w:val="18"/>
              </w:rPr>
              <w:t>Silurus glanis</w:t>
            </w:r>
            <w:r w:rsidRPr="000C7CFA">
              <w:rPr>
                <w:rFonts w:ascii="Verdana" w:hAnsi="Verdana"/>
                <w:sz w:val="18"/>
                <w:szCs w:val="18"/>
              </w:rPr>
              <w:t>) (n not stated)</w:t>
            </w:r>
          </w:p>
          <w:p w14:paraId="57850D02" w14:textId="77777777" w:rsidR="0000000F" w:rsidRPr="000C7CFA" w:rsidRDefault="0000000F" w:rsidP="00704CE9">
            <w:pPr>
              <w:spacing w:after="0"/>
              <w:rPr>
                <w:rFonts w:ascii="Verdana" w:hAnsi="Verdana"/>
                <w:sz w:val="18"/>
                <w:szCs w:val="18"/>
              </w:rPr>
            </w:pPr>
            <w:r w:rsidRPr="000C7CFA">
              <w:rPr>
                <w:rFonts w:ascii="Verdana" w:hAnsi="Verdana"/>
                <w:sz w:val="18"/>
                <w:szCs w:val="18"/>
              </w:rPr>
              <w:t xml:space="preserve"> </w:t>
            </w:r>
          </w:p>
          <w:p w14:paraId="2650F48C" w14:textId="77777777" w:rsidR="0000000F" w:rsidRPr="000C7CFA" w:rsidRDefault="0000000F" w:rsidP="00704CE9">
            <w:pPr>
              <w:spacing w:after="0"/>
              <w:rPr>
                <w:rFonts w:ascii="Verdana" w:hAnsi="Verdana"/>
                <w:sz w:val="18"/>
                <w:szCs w:val="18"/>
                <w:lang w:val="en-GB" w:eastAsia="en-GB"/>
              </w:rPr>
            </w:pPr>
            <w:r w:rsidRPr="000C7CFA">
              <w:rPr>
                <w:rFonts w:ascii="Verdana" w:hAnsi="Verdana"/>
                <w:sz w:val="18"/>
                <w:szCs w:val="18"/>
              </w:rPr>
              <w:t>Common Carp (</w:t>
            </w:r>
            <w:r w:rsidRPr="000C7CFA">
              <w:rPr>
                <w:rFonts w:ascii="Verdana" w:hAnsi="Verdana"/>
                <w:i/>
                <w:sz w:val="18"/>
                <w:szCs w:val="18"/>
              </w:rPr>
              <w:t>Cyprinus carpio</w:t>
            </w:r>
            <w:r w:rsidRPr="000C7CFA">
              <w:rPr>
                <w:rFonts w:ascii="Verdana" w:hAnsi="Verdana"/>
                <w:sz w:val="18"/>
                <w:szCs w:val="18"/>
              </w:rPr>
              <w:t>) (n not stated)</w:t>
            </w:r>
          </w:p>
        </w:tc>
        <w:tc>
          <w:tcPr>
            <w:tcW w:w="1068" w:type="dxa"/>
            <w:tcBorders>
              <w:top w:val="single" w:sz="12" w:space="0" w:color="auto"/>
              <w:left w:val="single" w:sz="4" w:space="0" w:color="auto"/>
              <w:bottom w:val="single" w:sz="4" w:space="0" w:color="auto"/>
              <w:right w:val="single" w:sz="4" w:space="0" w:color="auto"/>
            </w:tcBorders>
          </w:tcPr>
          <w:p w14:paraId="0AC26B24"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Not stated</w:t>
            </w:r>
          </w:p>
        </w:tc>
        <w:tc>
          <w:tcPr>
            <w:tcW w:w="2391" w:type="dxa"/>
            <w:tcBorders>
              <w:top w:val="single" w:sz="12" w:space="0" w:color="auto"/>
              <w:left w:val="single" w:sz="4" w:space="0" w:color="auto"/>
              <w:bottom w:val="single" w:sz="4" w:space="0" w:color="auto"/>
              <w:right w:val="single" w:sz="4" w:space="0" w:color="auto"/>
            </w:tcBorders>
          </w:tcPr>
          <w:p w14:paraId="5F94F41B"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Ebro river basin, Spain (year not stated)</w:t>
            </w:r>
          </w:p>
        </w:tc>
        <w:tc>
          <w:tcPr>
            <w:tcW w:w="1843" w:type="dxa"/>
            <w:tcBorders>
              <w:top w:val="single" w:sz="12" w:space="0" w:color="auto"/>
              <w:left w:val="single" w:sz="4" w:space="0" w:color="auto"/>
              <w:bottom w:val="single" w:sz="4" w:space="0" w:color="auto"/>
              <w:right w:val="single" w:sz="4" w:space="0" w:color="auto"/>
            </w:tcBorders>
          </w:tcPr>
          <w:p w14:paraId="70659A34" w14:textId="77777777" w:rsidR="0000000F" w:rsidRPr="000C7CFA" w:rsidRDefault="0000000F" w:rsidP="00704CE9">
            <w:pPr>
              <w:spacing w:after="0"/>
              <w:jc w:val="center"/>
              <w:rPr>
                <w:rFonts w:ascii="Verdana" w:hAnsi="Verdana"/>
                <w:sz w:val="18"/>
                <w:szCs w:val="18"/>
                <w:lang w:val="fr-CA"/>
              </w:rPr>
            </w:pPr>
            <w:r w:rsidRPr="000C7CFA">
              <w:rPr>
                <w:rFonts w:ascii="Verdana" w:hAnsi="Verdana"/>
                <w:sz w:val="18"/>
                <w:szCs w:val="18"/>
                <w:lang w:val="fr-CA"/>
              </w:rPr>
              <w:t>Anti-DP: 0.0023</w:t>
            </w:r>
          </w:p>
          <w:p w14:paraId="04D9BA66" w14:textId="77777777" w:rsidR="0000000F" w:rsidRPr="000C7CFA" w:rsidRDefault="0000000F" w:rsidP="00704CE9">
            <w:pPr>
              <w:spacing w:after="0"/>
              <w:jc w:val="center"/>
              <w:rPr>
                <w:rFonts w:ascii="Verdana" w:hAnsi="Verdana"/>
                <w:sz w:val="18"/>
                <w:szCs w:val="18"/>
                <w:lang w:val="fr-CA"/>
              </w:rPr>
            </w:pPr>
            <w:r w:rsidRPr="000C7CFA">
              <w:rPr>
                <w:rFonts w:ascii="Verdana" w:hAnsi="Verdana"/>
                <w:sz w:val="18"/>
                <w:szCs w:val="18"/>
                <w:lang w:val="fr-CA"/>
              </w:rPr>
              <w:t>Syn-DP: 0.0055</w:t>
            </w:r>
          </w:p>
          <w:p w14:paraId="2FD0981F"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fr-CA"/>
              </w:rPr>
              <w:t xml:space="preserve"> (</w:t>
            </w:r>
            <w:r w:rsidRPr="000C7CFA">
              <w:rPr>
                <w:rFonts w:ascii="Verdana" w:hAnsi="Verdana"/>
                <w:sz w:val="18"/>
                <w:szCs w:val="18"/>
                <w:lang w:val="en-GB"/>
              </w:rPr>
              <w:t>µg/kg lw</w:t>
            </w:r>
            <w:r w:rsidRPr="000C7CFA">
              <w:rPr>
                <w:rFonts w:ascii="Verdana" w:hAnsi="Verdana"/>
                <w:sz w:val="18"/>
                <w:szCs w:val="18"/>
                <w:lang w:val="fr-CA"/>
              </w:rPr>
              <w:t>)</w:t>
            </w:r>
          </w:p>
        </w:tc>
        <w:tc>
          <w:tcPr>
            <w:tcW w:w="2976" w:type="dxa"/>
            <w:tcBorders>
              <w:top w:val="single" w:sz="12" w:space="0" w:color="auto"/>
              <w:left w:val="single" w:sz="4" w:space="0" w:color="auto"/>
              <w:bottom w:val="single" w:sz="4" w:space="0" w:color="auto"/>
              <w:right w:val="single" w:sz="4" w:space="0" w:color="auto"/>
            </w:tcBorders>
          </w:tcPr>
          <w:p w14:paraId="7068B886"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Total isomer concentration:</w:t>
            </w:r>
          </w:p>
          <w:p w14:paraId="7C7BCFA8"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Median: 0.88 μg/kg lw</w:t>
            </w:r>
          </w:p>
          <w:p w14:paraId="34DA5E49"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Range: &lt;LoD – 2.24 μg/kg lw </w:t>
            </w:r>
          </w:p>
          <w:p w14:paraId="385FF2E8" w14:textId="77777777" w:rsidR="0000000F" w:rsidRPr="000C7CFA" w:rsidRDefault="0000000F" w:rsidP="00704CE9">
            <w:pPr>
              <w:pStyle w:val="Tabletext"/>
              <w:spacing w:before="0" w:after="0"/>
              <w:rPr>
                <w:rFonts w:ascii="Verdana" w:hAnsi="Verdana"/>
                <w:color w:val="000000"/>
                <w:sz w:val="18"/>
                <w:szCs w:val="18"/>
                <w:lang w:val="en-GB" w:eastAsia="en-GB"/>
              </w:rPr>
            </w:pPr>
          </w:p>
        </w:tc>
        <w:tc>
          <w:tcPr>
            <w:tcW w:w="2552" w:type="dxa"/>
            <w:tcBorders>
              <w:top w:val="single" w:sz="12" w:space="0" w:color="auto"/>
              <w:left w:val="single" w:sz="4" w:space="0" w:color="auto"/>
              <w:bottom w:val="single" w:sz="4" w:space="0" w:color="auto"/>
              <w:right w:val="single" w:sz="4" w:space="0" w:color="auto"/>
            </w:tcBorders>
          </w:tcPr>
          <w:p w14:paraId="53F686B2"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Analysis by GC-NCI-MS-MS.</w:t>
            </w:r>
          </w:p>
          <w:p w14:paraId="339A4164" w14:textId="77777777" w:rsidR="0000000F" w:rsidRPr="000C7CFA" w:rsidRDefault="0000000F" w:rsidP="00704CE9">
            <w:pPr>
              <w:spacing w:after="0"/>
              <w:rPr>
                <w:rFonts w:ascii="Verdana" w:hAnsi="Verdana"/>
                <w:sz w:val="18"/>
                <w:szCs w:val="18"/>
                <w:lang w:val="en-GB"/>
              </w:rPr>
            </w:pPr>
          </w:p>
          <w:p w14:paraId="3FCB744B"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 xml:space="preserve">Presumably a sub-set of the data reported by </w:t>
            </w:r>
            <w:hyperlink r:id="rId34" w:tooltip="Show Author Details" w:history="1">
              <w:r w:rsidRPr="000C7CFA">
                <w:rPr>
                  <w:rFonts w:ascii="Verdana" w:hAnsi="Verdana"/>
                  <w:sz w:val="18"/>
                  <w:szCs w:val="18"/>
                  <w:lang w:val="en-GB"/>
                </w:rPr>
                <w:t xml:space="preserve">Santín </w:t>
              </w:r>
            </w:hyperlink>
            <w:r w:rsidRPr="000C7CFA">
              <w:rPr>
                <w:rFonts w:ascii="Verdana" w:hAnsi="Verdana"/>
                <w:i/>
                <w:sz w:val="18"/>
                <w:szCs w:val="18"/>
                <w:lang w:val="en-GB"/>
              </w:rPr>
              <w:t>et al</w:t>
            </w:r>
            <w:r w:rsidRPr="000C7CFA">
              <w:rPr>
                <w:rFonts w:ascii="Verdana" w:hAnsi="Verdana"/>
                <w:sz w:val="18"/>
                <w:szCs w:val="18"/>
                <w:lang w:val="en-GB"/>
              </w:rPr>
              <w:t>.  (2013).</w:t>
            </w:r>
          </w:p>
        </w:tc>
        <w:tc>
          <w:tcPr>
            <w:tcW w:w="1249" w:type="dxa"/>
            <w:tcBorders>
              <w:top w:val="single" w:sz="12" w:space="0" w:color="auto"/>
              <w:left w:val="single" w:sz="4" w:space="0" w:color="auto"/>
              <w:bottom w:val="single" w:sz="4" w:space="0" w:color="auto"/>
            </w:tcBorders>
          </w:tcPr>
          <w:p w14:paraId="7B39285A"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rPr>
              <w:t xml:space="preserve">Barón </w:t>
            </w:r>
            <w:r w:rsidRPr="000C7CFA">
              <w:rPr>
                <w:rFonts w:ascii="Verdana" w:hAnsi="Verdana"/>
                <w:i/>
                <w:sz w:val="18"/>
                <w:szCs w:val="18"/>
              </w:rPr>
              <w:t>et al</w:t>
            </w:r>
            <w:r w:rsidRPr="000C7CFA">
              <w:rPr>
                <w:rFonts w:ascii="Verdana" w:hAnsi="Verdana"/>
                <w:sz w:val="18"/>
                <w:szCs w:val="18"/>
              </w:rPr>
              <w:t>. (2012)</w:t>
            </w:r>
          </w:p>
        </w:tc>
      </w:tr>
      <w:tr w:rsidR="0000000F" w:rsidRPr="000C7CFA" w14:paraId="6E258441" w14:textId="77777777" w:rsidTr="00D323EC">
        <w:trPr>
          <w:cantSplit/>
          <w:trHeight w:val="526"/>
        </w:trPr>
        <w:tc>
          <w:tcPr>
            <w:tcW w:w="1928" w:type="dxa"/>
            <w:tcBorders>
              <w:top w:val="single" w:sz="4" w:space="0" w:color="auto"/>
              <w:bottom w:val="single" w:sz="4" w:space="0" w:color="auto"/>
              <w:right w:val="single" w:sz="4" w:space="0" w:color="auto"/>
            </w:tcBorders>
          </w:tcPr>
          <w:p w14:paraId="2909C67C" w14:textId="77777777" w:rsidR="0000000F" w:rsidRPr="000C7CFA" w:rsidRDefault="0000000F" w:rsidP="00704CE9">
            <w:pPr>
              <w:spacing w:after="0"/>
              <w:rPr>
                <w:rFonts w:ascii="Verdana" w:hAnsi="Verdana"/>
                <w:sz w:val="18"/>
                <w:szCs w:val="18"/>
                <w:lang w:val="en-GB" w:eastAsia="en-GB"/>
              </w:rPr>
            </w:pPr>
            <w:r w:rsidRPr="000C7CFA">
              <w:rPr>
                <w:rFonts w:ascii="Verdana" w:hAnsi="Verdana"/>
                <w:sz w:val="18"/>
                <w:szCs w:val="18"/>
                <w:lang w:val="en-GB" w:eastAsia="en-GB"/>
              </w:rPr>
              <w:t>Fish (various species)</w:t>
            </w:r>
          </w:p>
          <w:p w14:paraId="77104056" w14:textId="77777777" w:rsidR="0000000F" w:rsidRPr="000C7CFA" w:rsidRDefault="0000000F" w:rsidP="00704CE9">
            <w:pPr>
              <w:spacing w:after="0"/>
              <w:rPr>
                <w:rFonts w:ascii="Verdana" w:hAnsi="Verdana"/>
                <w:sz w:val="18"/>
                <w:szCs w:val="18"/>
              </w:rPr>
            </w:pPr>
            <w:r w:rsidRPr="000C7CFA">
              <w:rPr>
                <w:rFonts w:ascii="Verdana" w:hAnsi="Verdana"/>
                <w:sz w:val="18"/>
                <w:szCs w:val="18"/>
              </w:rPr>
              <w:t>(n=48)</w:t>
            </w:r>
          </w:p>
          <w:p w14:paraId="45811369" w14:textId="77777777" w:rsidR="0000000F" w:rsidRPr="000C7CFA" w:rsidRDefault="0000000F" w:rsidP="00704CE9">
            <w:pPr>
              <w:spacing w:after="0"/>
              <w:rPr>
                <w:rFonts w:ascii="Verdana" w:hAnsi="Verdana"/>
                <w:sz w:val="18"/>
                <w:szCs w:val="18"/>
                <w:lang w:val="en-GB" w:eastAsia="en-GB"/>
              </w:rPr>
            </w:pPr>
          </w:p>
        </w:tc>
        <w:tc>
          <w:tcPr>
            <w:tcW w:w="1068" w:type="dxa"/>
            <w:tcBorders>
              <w:top w:val="single" w:sz="4" w:space="0" w:color="auto"/>
              <w:left w:val="single" w:sz="4" w:space="0" w:color="auto"/>
              <w:bottom w:val="single" w:sz="4" w:space="0" w:color="auto"/>
              <w:right w:val="single" w:sz="4" w:space="0" w:color="auto"/>
            </w:tcBorders>
          </w:tcPr>
          <w:p w14:paraId="03D279D7" w14:textId="77777777" w:rsidR="0000000F" w:rsidRPr="000C7CFA" w:rsidRDefault="0000000F" w:rsidP="00704CE9">
            <w:pPr>
              <w:spacing w:after="0"/>
              <w:rPr>
                <w:rFonts w:ascii="Verdana" w:hAnsi="Verdana"/>
                <w:sz w:val="18"/>
                <w:szCs w:val="18"/>
                <w:lang w:val="en-GB" w:eastAsia="da-DK"/>
              </w:rPr>
            </w:pPr>
            <w:r w:rsidRPr="000C7CFA">
              <w:rPr>
                <w:rFonts w:ascii="Verdana" w:hAnsi="Verdana"/>
                <w:sz w:val="18"/>
                <w:szCs w:val="18"/>
                <w:lang w:val="en-GB" w:eastAsia="en-GB"/>
              </w:rPr>
              <w:t>Whole body</w:t>
            </w:r>
          </w:p>
        </w:tc>
        <w:tc>
          <w:tcPr>
            <w:tcW w:w="2391" w:type="dxa"/>
            <w:tcBorders>
              <w:top w:val="single" w:sz="4" w:space="0" w:color="auto"/>
              <w:left w:val="single" w:sz="4" w:space="0" w:color="auto"/>
              <w:bottom w:val="single" w:sz="4" w:space="0" w:color="auto"/>
              <w:right w:val="single" w:sz="4" w:space="0" w:color="auto"/>
            </w:tcBorders>
          </w:tcPr>
          <w:p w14:paraId="3C98E6A7" w14:textId="77777777" w:rsidR="0000000F" w:rsidRPr="000C7CFA" w:rsidRDefault="0000000F" w:rsidP="00704CE9">
            <w:pPr>
              <w:spacing w:after="0"/>
              <w:rPr>
                <w:rFonts w:ascii="Verdana" w:hAnsi="Verdana"/>
                <w:sz w:val="18"/>
                <w:szCs w:val="18"/>
              </w:rPr>
            </w:pPr>
            <w:r w:rsidRPr="000C7CFA">
              <w:rPr>
                <w:rFonts w:ascii="Verdana" w:hAnsi="Verdana"/>
                <w:sz w:val="18"/>
                <w:szCs w:val="18"/>
              </w:rPr>
              <w:t>Llobregat, Ebro, Júcar and Guadalquivir river basins, Spain; 2010</w:t>
            </w:r>
          </w:p>
          <w:p w14:paraId="50D55B53" w14:textId="77777777" w:rsidR="0000000F" w:rsidRPr="000C7CFA" w:rsidRDefault="0000000F" w:rsidP="00704CE9">
            <w:pPr>
              <w:autoSpaceDE w:val="0"/>
              <w:autoSpaceDN w:val="0"/>
              <w:adjustRightInd w:val="0"/>
              <w:spacing w:after="0"/>
              <w:rPr>
                <w:rFonts w:ascii="Verdana" w:hAnsi="Verdana"/>
                <w:sz w:val="18"/>
                <w:szCs w:val="18"/>
                <w:lang w:val="en-GB" w:eastAsia="en-GB"/>
              </w:rPr>
            </w:pPr>
          </w:p>
        </w:tc>
        <w:tc>
          <w:tcPr>
            <w:tcW w:w="1843" w:type="dxa"/>
            <w:tcBorders>
              <w:top w:val="single" w:sz="4" w:space="0" w:color="auto"/>
              <w:left w:val="single" w:sz="4" w:space="0" w:color="auto"/>
              <w:bottom w:val="single" w:sz="4" w:space="0" w:color="auto"/>
              <w:right w:val="single" w:sz="4" w:space="0" w:color="auto"/>
            </w:tcBorders>
          </w:tcPr>
          <w:p w14:paraId="241D6402" w14:textId="77777777" w:rsidR="0000000F" w:rsidRPr="000C7CFA" w:rsidRDefault="0000000F" w:rsidP="00704CE9">
            <w:pPr>
              <w:spacing w:after="0"/>
              <w:jc w:val="center"/>
              <w:rPr>
                <w:rFonts w:ascii="Verdana" w:hAnsi="Verdana"/>
                <w:sz w:val="18"/>
                <w:szCs w:val="18"/>
                <w:lang w:val="fr-CA"/>
              </w:rPr>
            </w:pPr>
            <w:r w:rsidRPr="000C7CFA">
              <w:rPr>
                <w:rFonts w:ascii="Verdana" w:hAnsi="Verdana"/>
                <w:sz w:val="18"/>
                <w:szCs w:val="18"/>
                <w:lang w:val="fr-CA"/>
              </w:rPr>
              <w:t>Anti-DP: 0.0023</w:t>
            </w:r>
          </w:p>
          <w:p w14:paraId="169266F0" w14:textId="77777777" w:rsidR="0000000F" w:rsidRPr="000C7CFA" w:rsidRDefault="0000000F" w:rsidP="00704CE9">
            <w:pPr>
              <w:spacing w:after="0"/>
              <w:jc w:val="center"/>
              <w:rPr>
                <w:rFonts w:ascii="Verdana" w:hAnsi="Verdana"/>
                <w:sz w:val="18"/>
                <w:szCs w:val="18"/>
                <w:lang w:val="fr-CA"/>
              </w:rPr>
            </w:pPr>
            <w:r w:rsidRPr="000C7CFA">
              <w:rPr>
                <w:rFonts w:ascii="Verdana" w:hAnsi="Verdana"/>
                <w:sz w:val="18"/>
                <w:szCs w:val="18"/>
                <w:lang w:val="fr-CA"/>
              </w:rPr>
              <w:t>Syn-DP: 0.0055</w:t>
            </w:r>
          </w:p>
          <w:p w14:paraId="0983C03C" w14:textId="77777777" w:rsidR="0000000F" w:rsidRPr="000C7CFA" w:rsidRDefault="0000000F" w:rsidP="00704CE9">
            <w:pPr>
              <w:autoSpaceDE w:val="0"/>
              <w:autoSpaceDN w:val="0"/>
              <w:adjustRightInd w:val="0"/>
              <w:spacing w:after="0"/>
              <w:jc w:val="center"/>
              <w:rPr>
                <w:rFonts w:ascii="Verdana" w:hAnsi="Verdana"/>
                <w:sz w:val="18"/>
                <w:szCs w:val="18"/>
                <w:lang w:val="en-GB" w:eastAsia="en-GB"/>
              </w:rPr>
            </w:pPr>
            <w:r w:rsidRPr="000C7CFA">
              <w:rPr>
                <w:rFonts w:ascii="Verdana" w:hAnsi="Verdana"/>
                <w:sz w:val="18"/>
                <w:szCs w:val="18"/>
                <w:lang w:val="fr-CA"/>
              </w:rPr>
              <w:t xml:space="preserve"> (</w:t>
            </w:r>
            <w:r w:rsidRPr="000C7CFA">
              <w:rPr>
                <w:rFonts w:ascii="Verdana" w:hAnsi="Verdana"/>
                <w:sz w:val="18"/>
                <w:szCs w:val="18"/>
                <w:lang w:val="en-GB"/>
              </w:rPr>
              <w:t>µg/kg lw</w:t>
            </w:r>
            <w:r w:rsidRPr="000C7CFA">
              <w:rPr>
                <w:rFonts w:ascii="Verdana" w:hAnsi="Verdana"/>
                <w:sz w:val="18"/>
                <w:szCs w:val="18"/>
                <w:lang w:val="fr-CA"/>
              </w:rPr>
              <w:t>)</w:t>
            </w:r>
          </w:p>
        </w:tc>
        <w:tc>
          <w:tcPr>
            <w:tcW w:w="2976" w:type="dxa"/>
            <w:tcBorders>
              <w:top w:val="single" w:sz="4" w:space="0" w:color="auto"/>
              <w:left w:val="single" w:sz="4" w:space="0" w:color="auto"/>
              <w:bottom w:val="single" w:sz="4" w:space="0" w:color="auto"/>
              <w:right w:val="single" w:sz="4" w:space="0" w:color="auto"/>
            </w:tcBorders>
          </w:tcPr>
          <w:p w14:paraId="1E72765F"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 xml:space="preserve">Concentration ranges (total isomers), μg/kg lw: </w:t>
            </w:r>
          </w:p>
          <w:p w14:paraId="2833D34F"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rPr>
              <w:t xml:space="preserve">Llobregat river </w:t>
            </w:r>
            <w:r w:rsidRPr="000C7CFA">
              <w:rPr>
                <w:rFonts w:ascii="Verdana" w:hAnsi="Verdana"/>
                <w:sz w:val="18"/>
                <w:szCs w:val="18"/>
                <w:lang w:val="en-GB" w:eastAsia="en-GB"/>
              </w:rPr>
              <w:t>basin: 0.57–4.86</w:t>
            </w:r>
          </w:p>
          <w:p w14:paraId="673E4B66"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Ebro river basin: 0.11–1.28</w:t>
            </w:r>
          </w:p>
          <w:p w14:paraId="5BDF6FC1"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 xml:space="preserve">Júcar river basin: &lt;LoD-0.59 </w:t>
            </w:r>
          </w:p>
          <w:p w14:paraId="25CF27F1"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Guadalquivir river basin: 0.06–1.91</w:t>
            </w:r>
          </w:p>
        </w:tc>
        <w:tc>
          <w:tcPr>
            <w:tcW w:w="2552" w:type="dxa"/>
            <w:tcBorders>
              <w:top w:val="single" w:sz="4" w:space="0" w:color="auto"/>
              <w:left w:val="single" w:sz="4" w:space="0" w:color="auto"/>
              <w:bottom w:val="single" w:sz="4" w:space="0" w:color="auto"/>
              <w:right w:val="single" w:sz="4" w:space="0" w:color="auto"/>
            </w:tcBorders>
          </w:tcPr>
          <w:p w14:paraId="173C0073"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Analysis by GC-MS.</w:t>
            </w:r>
          </w:p>
          <w:p w14:paraId="73EA0295" w14:textId="77777777" w:rsidR="0000000F" w:rsidRPr="000C7CFA" w:rsidRDefault="0000000F" w:rsidP="00704CE9">
            <w:pPr>
              <w:spacing w:after="0"/>
              <w:rPr>
                <w:rFonts w:ascii="Verdana" w:hAnsi="Verdana"/>
                <w:sz w:val="18"/>
                <w:szCs w:val="18"/>
                <w:lang w:val="en-GB"/>
              </w:rPr>
            </w:pPr>
          </w:p>
          <w:p w14:paraId="737200EB"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The study included four Wels Catfish (</w:t>
            </w:r>
            <w:r w:rsidRPr="000C7CFA">
              <w:rPr>
                <w:rFonts w:ascii="Verdana" w:hAnsi="Verdana"/>
                <w:i/>
                <w:sz w:val="18"/>
                <w:szCs w:val="18"/>
                <w:lang w:val="en-GB"/>
              </w:rPr>
              <w:t>Silurus glanis</w:t>
            </w:r>
            <w:r w:rsidRPr="000C7CFA">
              <w:rPr>
                <w:rFonts w:ascii="Verdana" w:hAnsi="Verdana"/>
                <w:sz w:val="18"/>
                <w:szCs w:val="18"/>
                <w:lang w:val="en-GB"/>
              </w:rPr>
              <w:t xml:space="preserve">) caught in the Ebro river basin. </w:t>
            </w:r>
          </w:p>
        </w:tc>
        <w:tc>
          <w:tcPr>
            <w:tcW w:w="1249" w:type="dxa"/>
            <w:tcBorders>
              <w:top w:val="single" w:sz="4" w:space="0" w:color="auto"/>
              <w:left w:val="single" w:sz="4" w:space="0" w:color="auto"/>
              <w:bottom w:val="single" w:sz="4" w:space="0" w:color="auto"/>
            </w:tcBorders>
          </w:tcPr>
          <w:p w14:paraId="779A1BB2" w14:textId="77777777" w:rsidR="0000000F" w:rsidRPr="000C7CFA" w:rsidRDefault="000C7CFA" w:rsidP="00704CE9">
            <w:pPr>
              <w:pStyle w:val="Tabletext"/>
              <w:spacing w:before="0" w:after="0"/>
              <w:rPr>
                <w:rFonts w:ascii="Verdana" w:hAnsi="Verdana"/>
                <w:sz w:val="18"/>
                <w:szCs w:val="18"/>
                <w:lang w:val="en-GB"/>
              </w:rPr>
            </w:pPr>
            <w:hyperlink r:id="rId35" w:tooltip="Show Author Details" w:history="1">
              <w:r w:rsidR="0000000F" w:rsidRPr="000C7CFA">
                <w:rPr>
                  <w:rFonts w:ascii="Verdana" w:hAnsi="Verdana"/>
                  <w:sz w:val="18"/>
                  <w:szCs w:val="18"/>
                  <w:lang w:val="en-GB"/>
                </w:rPr>
                <w:t xml:space="preserve">Santín </w:t>
              </w:r>
            </w:hyperlink>
            <w:r w:rsidR="0000000F" w:rsidRPr="000C7CFA">
              <w:rPr>
                <w:rFonts w:ascii="Verdana" w:hAnsi="Verdana"/>
                <w:i/>
                <w:sz w:val="18"/>
                <w:szCs w:val="18"/>
                <w:lang w:val="en-GB"/>
              </w:rPr>
              <w:t>et al</w:t>
            </w:r>
            <w:r w:rsidR="0000000F" w:rsidRPr="000C7CFA">
              <w:rPr>
                <w:rFonts w:ascii="Verdana" w:hAnsi="Verdana"/>
                <w:sz w:val="18"/>
                <w:szCs w:val="18"/>
                <w:lang w:val="en-GB"/>
              </w:rPr>
              <w:t>.  (2013)</w:t>
            </w:r>
          </w:p>
        </w:tc>
      </w:tr>
      <w:tr w:rsidR="0000000F" w:rsidRPr="000C7CFA" w14:paraId="509FB39C" w14:textId="77777777" w:rsidTr="00D323EC">
        <w:trPr>
          <w:cantSplit/>
          <w:trHeight w:val="1365"/>
        </w:trPr>
        <w:tc>
          <w:tcPr>
            <w:tcW w:w="1928" w:type="dxa"/>
            <w:tcBorders>
              <w:top w:val="single" w:sz="4" w:space="0" w:color="auto"/>
              <w:bottom w:val="nil"/>
              <w:right w:val="single" w:sz="4" w:space="0" w:color="auto"/>
            </w:tcBorders>
          </w:tcPr>
          <w:p w14:paraId="304FB6E9" w14:textId="77777777" w:rsidR="0000000F" w:rsidRPr="000C7CFA" w:rsidRDefault="0000000F"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Lake Trout </w:t>
            </w:r>
            <w:r w:rsidRPr="000C7CFA">
              <w:rPr>
                <w:rFonts w:ascii="Verdana" w:hAnsi="Verdana"/>
                <w:sz w:val="18"/>
                <w:szCs w:val="18"/>
                <w:lang w:val="en-GB" w:eastAsia="en-GB"/>
              </w:rPr>
              <w:t>(</w:t>
            </w:r>
            <w:r w:rsidRPr="000C7CFA">
              <w:rPr>
                <w:rFonts w:ascii="Verdana" w:hAnsi="Verdana"/>
                <w:i/>
                <w:sz w:val="18"/>
                <w:szCs w:val="18"/>
              </w:rPr>
              <w:t>Salvelinus namaycush</w:t>
            </w:r>
            <w:r w:rsidRPr="000C7CFA">
              <w:rPr>
                <w:rFonts w:ascii="Verdana" w:hAnsi="Verdana"/>
                <w:sz w:val="18"/>
                <w:szCs w:val="18"/>
                <w:lang w:val="en-GB" w:eastAsia="en-GB"/>
              </w:rPr>
              <w:t xml:space="preserve">) </w:t>
            </w:r>
          </w:p>
          <w:p w14:paraId="7D28E7E0" w14:textId="77777777" w:rsidR="0000000F" w:rsidRPr="000C7CFA" w:rsidRDefault="0000000F" w:rsidP="00704CE9">
            <w:pPr>
              <w:autoSpaceDE w:val="0"/>
              <w:autoSpaceDN w:val="0"/>
              <w:adjustRightInd w:val="0"/>
              <w:spacing w:after="0"/>
              <w:rPr>
                <w:rFonts w:ascii="Verdana" w:hAnsi="Verdana"/>
                <w:sz w:val="18"/>
                <w:szCs w:val="18"/>
                <w:lang w:val="en-GB"/>
              </w:rPr>
            </w:pPr>
          </w:p>
          <w:p w14:paraId="25547769"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rPr>
              <w:t>Whitefish (</w:t>
            </w:r>
            <w:r w:rsidRPr="000C7CFA">
              <w:rPr>
                <w:rFonts w:ascii="Verdana" w:hAnsi="Verdana"/>
                <w:i/>
                <w:sz w:val="18"/>
                <w:szCs w:val="18"/>
              </w:rPr>
              <w:t>Coregonus clupeaformis</w:t>
            </w:r>
            <w:r w:rsidRPr="000C7CFA">
              <w:rPr>
                <w:rFonts w:ascii="Verdana" w:hAnsi="Verdana"/>
                <w:sz w:val="18"/>
                <w:szCs w:val="18"/>
              </w:rPr>
              <w:t>)</w:t>
            </w:r>
          </w:p>
        </w:tc>
        <w:tc>
          <w:tcPr>
            <w:tcW w:w="1068" w:type="dxa"/>
            <w:tcBorders>
              <w:top w:val="single" w:sz="4" w:space="0" w:color="auto"/>
              <w:left w:val="single" w:sz="4" w:space="0" w:color="auto"/>
              <w:bottom w:val="nil"/>
              <w:right w:val="single" w:sz="4" w:space="0" w:color="auto"/>
            </w:tcBorders>
          </w:tcPr>
          <w:p w14:paraId="3475B483" w14:textId="77777777" w:rsidR="0000000F" w:rsidRPr="000C7CFA" w:rsidRDefault="0000000F"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Dorsal muscle</w:t>
            </w:r>
          </w:p>
          <w:p w14:paraId="229AD65D" w14:textId="77777777" w:rsidR="0000000F" w:rsidRPr="000C7CFA" w:rsidRDefault="0000000F" w:rsidP="00704CE9">
            <w:pPr>
              <w:pStyle w:val="Tabletext"/>
              <w:spacing w:before="0" w:after="0"/>
              <w:rPr>
                <w:rFonts w:ascii="Verdana" w:hAnsi="Verdana"/>
                <w:sz w:val="18"/>
                <w:szCs w:val="18"/>
                <w:lang w:val="en-GB"/>
              </w:rPr>
            </w:pPr>
          </w:p>
        </w:tc>
        <w:tc>
          <w:tcPr>
            <w:tcW w:w="2391" w:type="dxa"/>
            <w:tcBorders>
              <w:top w:val="single" w:sz="4" w:space="0" w:color="auto"/>
              <w:left w:val="single" w:sz="4" w:space="0" w:color="auto"/>
              <w:bottom w:val="nil"/>
              <w:right w:val="single" w:sz="4" w:space="0" w:color="auto"/>
            </w:tcBorders>
          </w:tcPr>
          <w:p w14:paraId="291E8048" w14:textId="77777777" w:rsidR="0000000F" w:rsidRPr="000C7CFA" w:rsidRDefault="0000000F"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Lake Trout from Lake Superior in 2002 (n=3), Lake Huron in 2001 (n=5) and Lake Ontario in 1998 and 1999 (n=5), Canada. </w:t>
            </w:r>
          </w:p>
          <w:p w14:paraId="122C2379" w14:textId="77777777" w:rsidR="0000000F" w:rsidRPr="000C7CFA" w:rsidRDefault="0000000F" w:rsidP="00704CE9">
            <w:pPr>
              <w:autoSpaceDE w:val="0"/>
              <w:autoSpaceDN w:val="0"/>
              <w:adjustRightInd w:val="0"/>
              <w:spacing w:after="0"/>
              <w:rPr>
                <w:rFonts w:ascii="Verdana" w:hAnsi="Verdana"/>
                <w:sz w:val="18"/>
                <w:szCs w:val="18"/>
                <w:lang w:val="en-GB"/>
              </w:rPr>
            </w:pPr>
          </w:p>
          <w:p w14:paraId="4259A037" w14:textId="77777777" w:rsidR="0000000F" w:rsidRPr="000C7CFA" w:rsidRDefault="0000000F"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Whitefish from Lake Erie in 2002 (n=5) and Lake Ontario in 2000 (n=5). </w:t>
            </w:r>
          </w:p>
          <w:p w14:paraId="03642DDC" w14:textId="77777777" w:rsidR="0000000F" w:rsidRPr="000C7CFA" w:rsidRDefault="0000000F" w:rsidP="00704CE9">
            <w:pPr>
              <w:autoSpaceDE w:val="0"/>
              <w:autoSpaceDN w:val="0"/>
              <w:adjustRightInd w:val="0"/>
              <w:spacing w:after="0"/>
              <w:rPr>
                <w:rFonts w:ascii="Verdana" w:hAnsi="Verdana"/>
                <w:sz w:val="18"/>
                <w:szCs w:val="18"/>
                <w:lang w:val="en-GB" w:eastAsia="en-GB"/>
              </w:rPr>
            </w:pPr>
          </w:p>
        </w:tc>
        <w:tc>
          <w:tcPr>
            <w:tcW w:w="1843" w:type="dxa"/>
            <w:tcBorders>
              <w:top w:val="single" w:sz="4" w:space="0" w:color="auto"/>
              <w:left w:val="single" w:sz="4" w:space="0" w:color="auto"/>
              <w:bottom w:val="nil"/>
              <w:right w:val="single" w:sz="4" w:space="0" w:color="auto"/>
            </w:tcBorders>
          </w:tcPr>
          <w:p w14:paraId="353FF62A" w14:textId="77777777" w:rsidR="0000000F" w:rsidRPr="000C7CFA" w:rsidRDefault="0000000F" w:rsidP="00704CE9">
            <w:pPr>
              <w:autoSpaceDE w:val="0"/>
              <w:autoSpaceDN w:val="0"/>
              <w:adjustRightInd w:val="0"/>
              <w:spacing w:after="0"/>
              <w:jc w:val="center"/>
              <w:rPr>
                <w:rFonts w:ascii="Verdana" w:hAnsi="Verdana"/>
                <w:sz w:val="18"/>
                <w:szCs w:val="18"/>
                <w:lang w:val="en-GB" w:eastAsia="en-GB"/>
              </w:rPr>
            </w:pPr>
            <w:r w:rsidRPr="000C7CFA">
              <w:rPr>
                <w:rFonts w:ascii="Verdana" w:hAnsi="Verdana"/>
                <w:sz w:val="18"/>
                <w:szCs w:val="18"/>
                <w:lang w:val="en-GB" w:eastAsia="en-GB"/>
              </w:rPr>
              <w:t>-</w:t>
            </w:r>
          </w:p>
        </w:tc>
        <w:tc>
          <w:tcPr>
            <w:tcW w:w="2976" w:type="dxa"/>
            <w:tcBorders>
              <w:top w:val="single" w:sz="4" w:space="0" w:color="auto"/>
              <w:left w:val="single" w:sz="4" w:space="0" w:color="auto"/>
              <w:bottom w:val="nil"/>
              <w:right w:val="single" w:sz="4" w:space="0" w:color="auto"/>
            </w:tcBorders>
          </w:tcPr>
          <w:p w14:paraId="71D3674C" w14:textId="77777777" w:rsidR="0000000F" w:rsidRPr="000C7CFA" w:rsidRDefault="0000000F"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Detected in all samples in the range 0.061 – 2.600 µg/kg lw (total isomers)</w:t>
            </w:r>
          </w:p>
          <w:p w14:paraId="562EB7BC" w14:textId="77777777" w:rsidR="0000000F" w:rsidRPr="000C7CFA" w:rsidRDefault="0000000F" w:rsidP="00704CE9">
            <w:pPr>
              <w:autoSpaceDE w:val="0"/>
              <w:autoSpaceDN w:val="0"/>
              <w:adjustRightInd w:val="0"/>
              <w:spacing w:after="0"/>
              <w:rPr>
                <w:rFonts w:ascii="Verdana" w:hAnsi="Verdana"/>
                <w:sz w:val="18"/>
                <w:szCs w:val="18"/>
                <w:lang w:val="en-GB"/>
              </w:rPr>
            </w:pPr>
          </w:p>
          <w:p w14:paraId="594B7B24" w14:textId="77777777" w:rsidR="0000000F" w:rsidRPr="000C7CFA" w:rsidRDefault="0000000F"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Fish from Lake Ontario had higher concentrations compared to those from the other lakes.</w:t>
            </w:r>
          </w:p>
          <w:p w14:paraId="3FBFF7BC" w14:textId="77777777" w:rsidR="0000000F" w:rsidRPr="000C7CFA" w:rsidRDefault="0000000F" w:rsidP="00704CE9">
            <w:pPr>
              <w:autoSpaceDE w:val="0"/>
              <w:autoSpaceDN w:val="0"/>
              <w:adjustRightInd w:val="0"/>
              <w:spacing w:after="0"/>
              <w:rPr>
                <w:rFonts w:ascii="Verdana" w:hAnsi="Verdana"/>
                <w:sz w:val="18"/>
                <w:szCs w:val="18"/>
                <w:lang w:val="en-GB" w:eastAsia="en-GB"/>
              </w:rPr>
            </w:pPr>
          </w:p>
        </w:tc>
        <w:tc>
          <w:tcPr>
            <w:tcW w:w="2552" w:type="dxa"/>
            <w:tcBorders>
              <w:top w:val="single" w:sz="4" w:space="0" w:color="auto"/>
              <w:left w:val="single" w:sz="4" w:space="0" w:color="auto"/>
              <w:bottom w:val="nil"/>
              <w:right w:val="single" w:sz="4" w:space="0" w:color="auto"/>
            </w:tcBorders>
          </w:tcPr>
          <w:p w14:paraId="428FB11A" w14:textId="77777777" w:rsidR="0000000F" w:rsidRPr="000C7CFA" w:rsidRDefault="0000000F"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Analysis by GC-HRMS.</w:t>
            </w:r>
          </w:p>
          <w:p w14:paraId="1D8A0911" w14:textId="77777777" w:rsidR="0000000F" w:rsidRPr="000C7CFA" w:rsidRDefault="0000000F" w:rsidP="00704CE9">
            <w:pPr>
              <w:autoSpaceDE w:val="0"/>
              <w:autoSpaceDN w:val="0"/>
              <w:adjustRightInd w:val="0"/>
              <w:spacing w:after="0"/>
              <w:rPr>
                <w:rFonts w:ascii="Verdana" w:hAnsi="Verdana"/>
                <w:sz w:val="18"/>
                <w:szCs w:val="18"/>
                <w:lang w:val="en-GB"/>
              </w:rPr>
            </w:pPr>
          </w:p>
          <w:p w14:paraId="538A83C0" w14:textId="77777777" w:rsidR="0000000F" w:rsidRPr="000C7CFA" w:rsidRDefault="0000000F"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Most fish samples had f</w:t>
            </w:r>
            <w:r w:rsidRPr="000C7CFA">
              <w:rPr>
                <w:rFonts w:ascii="Verdana" w:hAnsi="Verdana"/>
                <w:sz w:val="18"/>
                <w:szCs w:val="18"/>
                <w:vertAlign w:val="subscript"/>
                <w:lang w:val="en-GB"/>
              </w:rPr>
              <w:t>anti</w:t>
            </w:r>
            <w:r w:rsidRPr="000C7CFA">
              <w:rPr>
                <w:rFonts w:ascii="Verdana" w:hAnsi="Verdana"/>
                <w:sz w:val="18"/>
                <w:szCs w:val="18"/>
                <w:lang w:val="en-GB"/>
              </w:rPr>
              <w:t xml:space="preserve"> values below the highest value of technical products (no difference was observed between the two fish species).</w:t>
            </w:r>
          </w:p>
          <w:p w14:paraId="03ED4DE5" w14:textId="77777777" w:rsidR="0000000F" w:rsidRPr="000C7CFA" w:rsidRDefault="0000000F" w:rsidP="00704CE9">
            <w:pPr>
              <w:spacing w:after="0"/>
              <w:rPr>
                <w:rFonts w:ascii="Verdana" w:hAnsi="Verdana"/>
                <w:sz w:val="18"/>
                <w:szCs w:val="18"/>
                <w:lang w:val="en-GB"/>
              </w:rPr>
            </w:pPr>
          </w:p>
        </w:tc>
        <w:tc>
          <w:tcPr>
            <w:tcW w:w="1249" w:type="dxa"/>
            <w:tcBorders>
              <w:top w:val="single" w:sz="4" w:space="0" w:color="auto"/>
              <w:left w:val="single" w:sz="4" w:space="0" w:color="auto"/>
              <w:bottom w:val="nil"/>
            </w:tcBorders>
          </w:tcPr>
          <w:p w14:paraId="41D2084F" w14:textId="77777777" w:rsidR="0000000F" w:rsidRPr="000C7CFA" w:rsidRDefault="0000000F"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Shen </w:t>
            </w:r>
            <w:r w:rsidRPr="000C7CFA">
              <w:rPr>
                <w:rFonts w:ascii="Verdana" w:hAnsi="Verdana"/>
                <w:i/>
                <w:sz w:val="18"/>
                <w:szCs w:val="18"/>
                <w:lang w:val="en-GB"/>
              </w:rPr>
              <w:t>et al</w:t>
            </w:r>
            <w:r w:rsidRPr="000C7CFA">
              <w:rPr>
                <w:rFonts w:ascii="Verdana" w:hAnsi="Verdana"/>
                <w:sz w:val="18"/>
                <w:szCs w:val="18"/>
                <w:lang w:val="en-GB"/>
              </w:rPr>
              <w:t>. (2010)</w:t>
            </w:r>
          </w:p>
          <w:p w14:paraId="3195886E" w14:textId="77777777" w:rsidR="0000000F" w:rsidRPr="000C7CFA" w:rsidRDefault="0000000F" w:rsidP="00704CE9">
            <w:pPr>
              <w:pStyle w:val="Tabletext"/>
              <w:spacing w:before="0" w:after="0"/>
              <w:rPr>
                <w:rFonts w:ascii="Verdana" w:hAnsi="Verdana"/>
                <w:sz w:val="18"/>
                <w:szCs w:val="18"/>
                <w:lang w:val="en-GB"/>
              </w:rPr>
            </w:pPr>
          </w:p>
        </w:tc>
      </w:tr>
      <w:tr w:rsidR="0000000F" w:rsidRPr="000C7CFA" w14:paraId="6FFF652F" w14:textId="77777777" w:rsidTr="00D323EC">
        <w:trPr>
          <w:cantSplit/>
          <w:trHeight w:val="1365"/>
        </w:trPr>
        <w:tc>
          <w:tcPr>
            <w:tcW w:w="1928" w:type="dxa"/>
            <w:tcBorders>
              <w:top w:val="single" w:sz="4" w:space="0" w:color="auto"/>
              <w:bottom w:val="nil"/>
              <w:right w:val="single" w:sz="4" w:space="0" w:color="auto"/>
            </w:tcBorders>
          </w:tcPr>
          <w:p w14:paraId="19BA44BC" w14:textId="77777777" w:rsidR="0000000F" w:rsidRPr="000C7CFA" w:rsidRDefault="0000000F" w:rsidP="00704CE9">
            <w:pPr>
              <w:spacing w:after="0"/>
              <w:rPr>
                <w:rFonts w:ascii="Verdana" w:hAnsi="Verdana"/>
                <w:sz w:val="18"/>
                <w:szCs w:val="18"/>
                <w:lang w:val="en-GB" w:eastAsia="en-GB"/>
              </w:rPr>
            </w:pPr>
            <w:r w:rsidRPr="000C7CFA">
              <w:rPr>
                <w:rFonts w:ascii="Verdana" w:hAnsi="Verdana"/>
                <w:sz w:val="18"/>
                <w:szCs w:val="18"/>
                <w:lang w:val="en-GB" w:eastAsia="en-GB"/>
              </w:rPr>
              <w:lastRenderedPageBreak/>
              <w:t>Walleye (</w:t>
            </w:r>
            <w:r w:rsidRPr="000C7CFA">
              <w:rPr>
                <w:rFonts w:ascii="Verdana" w:hAnsi="Verdana"/>
                <w:i/>
                <w:sz w:val="18"/>
                <w:szCs w:val="18"/>
                <w:lang w:val="en-GB" w:eastAsia="en-GB"/>
              </w:rPr>
              <w:t>Stizostedion vitreum)</w:t>
            </w:r>
          </w:p>
        </w:tc>
        <w:tc>
          <w:tcPr>
            <w:tcW w:w="1068" w:type="dxa"/>
            <w:tcBorders>
              <w:top w:val="single" w:sz="4" w:space="0" w:color="auto"/>
              <w:left w:val="single" w:sz="4" w:space="0" w:color="auto"/>
              <w:bottom w:val="nil"/>
              <w:right w:val="single" w:sz="4" w:space="0" w:color="auto"/>
            </w:tcBorders>
          </w:tcPr>
          <w:p w14:paraId="19EBAAB4"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w:t>
            </w:r>
          </w:p>
        </w:tc>
        <w:tc>
          <w:tcPr>
            <w:tcW w:w="2391" w:type="dxa"/>
            <w:tcBorders>
              <w:top w:val="single" w:sz="4" w:space="0" w:color="auto"/>
              <w:left w:val="single" w:sz="4" w:space="0" w:color="auto"/>
              <w:bottom w:val="nil"/>
              <w:right w:val="single" w:sz="4" w:space="0" w:color="auto"/>
            </w:tcBorders>
          </w:tcPr>
          <w:p w14:paraId="01007D08"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Lake Erie, USA; 1980, 1984, 1990, 1992, 1994, 1996, and 2000. Except for 1980 and 1984, there were three samples in each sampling year.</w:t>
            </w:r>
          </w:p>
        </w:tc>
        <w:tc>
          <w:tcPr>
            <w:tcW w:w="1843" w:type="dxa"/>
            <w:tcBorders>
              <w:top w:val="single" w:sz="4" w:space="0" w:color="auto"/>
              <w:left w:val="single" w:sz="4" w:space="0" w:color="auto"/>
              <w:bottom w:val="nil"/>
              <w:right w:val="single" w:sz="4" w:space="0" w:color="auto"/>
            </w:tcBorders>
          </w:tcPr>
          <w:p w14:paraId="0AC953E2" w14:textId="77777777" w:rsidR="0000000F" w:rsidRPr="000C7CFA" w:rsidRDefault="0000000F" w:rsidP="00704CE9">
            <w:pPr>
              <w:autoSpaceDE w:val="0"/>
              <w:autoSpaceDN w:val="0"/>
              <w:adjustRightInd w:val="0"/>
              <w:spacing w:after="0"/>
              <w:jc w:val="center"/>
              <w:rPr>
                <w:rFonts w:ascii="Verdana" w:hAnsi="Verdana"/>
                <w:sz w:val="18"/>
                <w:szCs w:val="18"/>
                <w:lang w:val="en-GB" w:eastAsia="en-GB"/>
              </w:rPr>
            </w:pPr>
            <w:r w:rsidRPr="000C7CFA">
              <w:rPr>
                <w:rFonts w:ascii="Verdana" w:hAnsi="Verdana"/>
                <w:sz w:val="18"/>
                <w:szCs w:val="18"/>
                <w:lang w:val="en-GB" w:eastAsia="en-GB"/>
              </w:rPr>
              <w:t>-</w:t>
            </w:r>
          </w:p>
        </w:tc>
        <w:tc>
          <w:tcPr>
            <w:tcW w:w="2976" w:type="dxa"/>
            <w:tcBorders>
              <w:top w:val="single" w:sz="4" w:space="0" w:color="auto"/>
              <w:left w:val="single" w:sz="4" w:space="0" w:color="auto"/>
              <w:bottom w:val="nil"/>
              <w:right w:val="single" w:sz="4" w:space="0" w:color="auto"/>
            </w:tcBorders>
          </w:tcPr>
          <w:p w14:paraId="68A3AC83"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 xml:space="preserve">Range: 0.14-0.91 </w:t>
            </w:r>
            <w:r w:rsidRPr="000C7CFA">
              <w:rPr>
                <w:rFonts w:ascii="Verdana" w:hAnsi="Verdana"/>
                <w:sz w:val="18"/>
                <w:szCs w:val="18"/>
                <w:lang w:val="en-GB"/>
              </w:rPr>
              <w:t>µg/kg lw</w:t>
            </w:r>
          </w:p>
        </w:tc>
        <w:tc>
          <w:tcPr>
            <w:tcW w:w="2552" w:type="dxa"/>
            <w:tcBorders>
              <w:top w:val="single" w:sz="4" w:space="0" w:color="auto"/>
              <w:left w:val="single" w:sz="4" w:space="0" w:color="auto"/>
              <w:bottom w:val="nil"/>
              <w:right w:val="single" w:sz="4" w:space="0" w:color="auto"/>
            </w:tcBorders>
          </w:tcPr>
          <w:p w14:paraId="6A1E17C2"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Analysis by GC-MS.</w:t>
            </w:r>
          </w:p>
          <w:p w14:paraId="1F8260DE" w14:textId="77777777" w:rsidR="0000000F" w:rsidRPr="000C7CFA" w:rsidRDefault="0000000F" w:rsidP="00704CE9">
            <w:pPr>
              <w:spacing w:after="0"/>
              <w:rPr>
                <w:rFonts w:ascii="Verdana" w:hAnsi="Verdana"/>
                <w:sz w:val="18"/>
                <w:szCs w:val="18"/>
                <w:lang w:val="en-GB"/>
              </w:rPr>
            </w:pPr>
          </w:p>
        </w:tc>
        <w:tc>
          <w:tcPr>
            <w:tcW w:w="1249" w:type="dxa"/>
            <w:tcBorders>
              <w:top w:val="single" w:sz="4" w:space="0" w:color="auto"/>
              <w:left w:val="single" w:sz="4" w:space="0" w:color="auto"/>
              <w:bottom w:val="nil"/>
            </w:tcBorders>
          </w:tcPr>
          <w:p w14:paraId="67CAF3FF"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Hoh </w:t>
            </w:r>
            <w:r w:rsidRPr="000C7CFA">
              <w:rPr>
                <w:rFonts w:ascii="Verdana" w:hAnsi="Verdana"/>
                <w:i/>
                <w:sz w:val="18"/>
                <w:szCs w:val="18"/>
                <w:lang w:val="en-GB"/>
              </w:rPr>
              <w:t>et al</w:t>
            </w:r>
            <w:r w:rsidRPr="000C7CFA">
              <w:rPr>
                <w:rFonts w:ascii="Verdana" w:hAnsi="Verdana"/>
                <w:sz w:val="18"/>
                <w:szCs w:val="18"/>
                <w:lang w:val="en-GB"/>
              </w:rPr>
              <w:t>. (2006)</w:t>
            </w:r>
          </w:p>
        </w:tc>
      </w:tr>
      <w:tr w:rsidR="0000000F" w:rsidRPr="000C7CFA" w14:paraId="79DA0A01" w14:textId="77777777" w:rsidTr="00D323EC">
        <w:trPr>
          <w:cantSplit/>
          <w:trHeight w:val="423"/>
        </w:trPr>
        <w:tc>
          <w:tcPr>
            <w:tcW w:w="1928" w:type="dxa"/>
            <w:tcBorders>
              <w:top w:val="nil"/>
              <w:bottom w:val="single" w:sz="4" w:space="0" w:color="auto"/>
              <w:right w:val="single" w:sz="4" w:space="0" w:color="auto"/>
            </w:tcBorders>
          </w:tcPr>
          <w:p w14:paraId="33D9BD54" w14:textId="77777777" w:rsidR="0000000F" w:rsidRPr="000C7CFA" w:rsidRDefault="0000000F" w:rsidP="00704CE9">
            <w:pPr>
              <w:spacing w:after="0"/>
              <w:rPr>
                <w:rFonts w:ascii="Verdana" w:hAnsi="Verdana"/>
                <w:sz w:val="18"/>
                <w:szCs w:val="18"/>
              </w:rPr>
            </w:pPr>
            <w:r w:rsidRPr="000C7CFA">
              <w:rPr>
                <w:rFonts w:ascii="Verdana" w:hAnsi="Verdana"/>
                <w:sz w:val="18"/>
                <w:szCs w:val="18"/>
              </w:rPr>
              <w:t>Yellow Perch (</w:t>
            </w:r>
            <w:r w:rsidRPr="000C7CFA">
              <w:rPr>
                <w:rFonts w:ascii="Verdana" w:hAnsi="Verdana"/>
                <w:i/>
                <w:sz w:val="18"/>
                <w:szCs w:val="18"/>
              </w:rPr>
              <w:t>Perca flavescens</w:t>
            </w:r>
            <w:r w:rsidRPr="000C7CFA">
              <w:rPr>
                <w:rFonts w:ascii="Verdana" w:hAnsi="Verdana"/>
                <w:sz w:val="18"/>
                <w:szCs w:val="18"/>
              </w:rPr>
              <w:t>) (n = 29)</w:t>
            </w:r>
          </w:p>
        </w:tc>
        <w:tc>
          <w:tcPr>
            <w:tcW w:w="1068" w:type="dxa"/>
            <w:tcBorders>
              <w:top w:val="nil"/>
              <w:left w:val="single" w:sz="4" w:space="0" w:color="auto"/>
              <w:bottom w:val="single" w:sz="4" w:space="0" w:color="auto"/>
              <w:right w:val="single" w:sz="4" w:space="0" w:color="auto"/>
            </w:tcBorders>
          </w:tcPr>
          <w:p w14:paraId="4340FFBB"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Whole body</w:t>
            </w:r>
          </w:p>
        </w:tc>
        <w:tc>
          <w:tcPr>
            <w:tcW w:w="2391" w:type="dxa"/>
            <w:vMerge w:val="restart"/>
            <w:tcBorders>
              <w:top w:val="nil"/>
              <w:left w:val="single" w:sz="4" w:space="0" w:color="auto"/>
              <w:right w:val="single" w:sz="4" w:space="0" w:color="auto"/>
            </w:tcBorders>
          </w:tcPr>
          <w:p w14:paraId="2F9F75F6"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rPr>
              <w:t>St. Lawrence River and tributaries, Canada; 2008–2012</w:t>
            </w:r>
          </w:p>
        </w:tc>
        <w:tc>
          <w:tcPr>
            <w:tcW w:w="1843" w:type="dxa"/>
            <w:vMerge w:val="restart"/>
            <w:tcBorders>
              <w:top w:val="nil"/>
              <w:left w:val="single" w:sz="4" w:space="0" w:color="auto"/>
              <w:right w:val="single" w:sz="4" w:space="0" w:color="auto"/>
            </w:tcBorders>
          </w:tcPr>
          <w:p w14:paraId="137D2DB8" w14:textId="77777777" w:rsidR="0000000F" w:rsidRPr="000C7CFA" w:rsidRDefault="0000000F" w:rsidP="00704CE9">
            <w:pPr>
              <w:spacing w:after="0"/>
              <w:jc w:val="center"/>
              <w:rPr>
                <w:rFonts w:ascii="Verdana" w:hAnsi="Verdana"/>
                <w:sz w:val="18"/>
                <w:szCs w:val="18"/>
                <w:lang w:val="en-GB"/>
              </w:rPr>
            </w:pPr>
            <w:r w:rsidRPr="000C7CFA">
              <w:rPr>
                <w:rFonts w:ascii="Verdana" w:hAnsi="Verdana"/>
                <w:sz w:val="18"/>
                <w:szCs w:val="18"/>
                <w:lang w:val="en-GB"/>
              </w:rPr>
              <w:t>Anti-DP: 0.05</w:t>
            </w:r>
          </w:p>
          <w:p w14:paraId="444FAD08" w14:textId="77777777" w:rsidR="0000000F" w:rsidRPr="000C7CFA" w:rsidRDefault="0000000F" w:rsidP="00704CE9">
            <w:pPr>
              <w:spacing w:after="0"/>
              <w:jc w:val="center"/>
              <w:rPr>
                <w:rFonts w:ascii="Verdana" w:hAnsi="Verdana"/>
                <w:sz w:val="18"/>
                <w:szCs w:val="18"/>
                <w:lang w:val="en-GB"/>
              </w:rPr>
            </w:pPr>
            <w:r w:rsidRPr="000C7CFA">
              <w:rPr>
                <w:rFonts w:ascii="Verdana" w:hAnsi="Verdana"/>
                <w:sz w:val="18"/>
                <w:szCs w:val="18"/>
                <w:lang w:val="en-GB"/>
              </w:rPr>
              <w:t>Syn-DP: 0.12</w:t>
            </w:r>
          </w:p>
          <w:p w14:paraId="3FADE6CB"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eastAsia="en-US"/>
              </w:rPr>
              <w:t xml:space="preserve"> (LoQ, </w:t>
            </w:r>
            <w:r w:rsidRPr="000C7CFA">
              <w:rPr>
                <w:rFonts w:ascii="Verdana" w:hAnsi="Verdana"/>
                <w:sz w:val="18"/>
                <w:szCs w:val="18"/>
                <w:lang w:val="en-GB"/>
              </w:rPr>
              <w:t>µg/kg lw</w:t>
            </w:r>
            <w:r w:rsidRPr="000C7CFA">
              <w:rPr>
                <w:rFonts w:ascii="Verdana" w:hAnsi="Verdana"/>
                <w:sz w:val="18"/>
                <w:szCs w:val="18"/>
                <w:lang w:val="en-GB" w:eastAsia="en-US"/>
              </w:rPr>
              <w:t>)</w:t>
            </w:r>
          </w:p>
        </w:tc>
        <w:tc>
          <w:tcPr>
            <w:tcW w:w="2976" w:type="dxa"/>
            <w:tcBorders>
              <w:top w:val="nil"/>
              <w:left w:val="single" w:sz="4" w:space="0" w:color="auto"/>
              <w:bottom w:val="single" w:sz="4" w:space="0" w:color="auto"/>
              <w:right w:val="single" w:sz="4" w:space="0" w:color="auto"/>
            </w:tcBorders>
          </w:tcPr>
          <w:p w14:paraId="0D7BE040" w14:textId="77777777" w:rsidR="0000000F" w:rsidRPr="000C7CFA" w:rsidRDefault="0000000F" w:rsidP="00704CE9">
            <w:pPr>
              <w:pStyle w:val="Tabletext"/>
              <w:spacing w:before="0" w:after="0"/>
              <w:rPr>
                <w:rFonts w:ascii="Verdana" w:hAnsi="Verdana"/>
                <w:color w:val="000000"/>
                <w:sz w:val="18"/>
                <w:szCs w:val="18"/>
                <w:lang w:val="en-GB" w:eastAsia="en-GB"/>
              </w:rPr>
            </w:pPr>
            <w:r w:rsidRPr="000C7CFA">
              <w:rPr>
                <w:rFonts w:ascii="Verdana" w:hAnsi="Verdana"/>
                <w:color w:val="000000"/>
                <w:sz w:val="18"/>
                <w:szCs w:val="18"/>
                <w:lang w:val="en-GB" w:eastAsia="en-GB"/>
              </w:rPr>
              <w:t>Not detected in any sample</w:t>
            </w:r>
          </w:p>
        </w:tc>
        <w:tc>
          <w:tcPr>
            <w:tcW w:w="2552" w:type="dxa"/>
            <w:vMerge w:val="restart"/>
            <w:tcBorders>
              <w:top w:val="nil"/>
              <w:left w:val="single" w:sz="4" w:space="0" w:color="auto"/>
              <w:right w:val="single" w:sz="4" w:space="0" w:color="auto"/>
            </w:tcBorders>
          </w:tcPr>
          <w:p w14:paraId="6456BD4E"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Analysis by GC-MS.</w:t>
            </w:r>
          </w:p>
          <w:p w14:paraId="6EA9532B" w14:textId="77777777" w:rsidR="0000000F" w:rsidRPr="000C7CFA" w:rsidRDefault="0000000F" w:rsidP="00704CE9">
            <w:pPr>
              <w:spacing w:after="0"/>
              <w:rPr>
                <w:rFonts w:ascii="Verdana" w:hAnsi="Verdana"/>
                <w:sz w:val="18"/>
                <w:szCs w:val="18"/>
                <w:lang w:val="en-GB"/>
              </w:rPr>
            </w:pPr>
          </w:p>
          <w:p w14:paraId="70E87FCB"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Most of the Muskelunge samples were &gt;7 years old.</w:t>
            </w:r>
          </w:p>
        </w:tc>
        <w:tc>
          <w:tcPr>
            <w:tcW w:w="1249" w:type="dxa"/>
            <w:vMerge w:val="restart"/>
            <w:tcBorders>
              <w:top w:val="nil"/>
              <w:left w:val="single" w:sz="4" w:space="0" w:color="auto"/>
            </w:tcBorders>
          </w:tcPr>
          <w:p w14:paraId="227B9399"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Houde </w:t>
            </w:r>
            <w:r w:rsidRPr="000C7CFA">
              <w:rPr>
                <w:rFonts w:ascii="Verdana" w:hAnsi="Verdana"/>
                <w:i/>
                <w:sz w:val="18"/>
                <w:szCs w:val="18"/>
                <w:lang w:val="en-GB"/>
              </w:rPr>
              <w:t>et al</w:t>
            </w:r>
            <w:r w:rsidRPr="000C7CFA">
              <w:rPr>
                <w:rFonts w:ascii="Verdana" w:hAnsi="Verdana"/>
                <w:sz w:val="18"/>
                <w:szCs w:val="18"/>
                <w:lang w:val="en-GB"/>
              </w:rPr>
              <w:t>. (2014)</w:t>
            </w:r>
          </w:p>
        </w:tc>
      </w:tr>
      <w:tr w:rsidR="0000000F" w:rsidRPr="000C7CFA" w14:paraId="086E36FF" w14:textId="77777777" w:rsidTr="00D323EC">
        <w:trPr>
          <w:cantSplit/>
          <w:trHeight w:val="409"/>
        </w:trPr>
        <w:tc>
          <w:tcPr>
            <w:tcW w:w="1928" w:type="dxa"/>
            <w:tcBorders>
              <w:top w:val="single" w:sz="4" w:space="0" w:color="auto"/>
              <w:bottom w:val="single" w:sz="4" w:space="0" w:color="auto"/>
              <w:right w:val="single" w:sz="4" w:space="0" w:color="auto"/>
            </w:tcBorders>
          </w:tcPr>
          <w:p w14:paraId="3CBEB5C2" w14:textId="77777777" w:rsidR="0000000F" w:rsidRPr="000C7CFA" w:rsidRDefault="0000000F" w:rsidP="00704CE9">
            <w:pPr>
              <w:spacing w:after="0"/>
              <w:rPr>
                <w:rFonts w:ascii="Verdana" w:hAnsi="Verdana"/>
                <w:sz w:val="18"/>
                <w:szCs w:val="18"/>
              </w:rPr>
            </w:pPr>
            <w:r w:rsidRPr="000C7CFA">
              <w:rPr>
                <w:rFonts w:ascii="Verdana" w:hAnsi="Verdana"/>
                <w:sz w:val="18"/>
                <w:szCs w:val="18"/>
              </w:rPr>
              <w:t>Northern Pike (</w:t>
            </w:r>
            <w:r w:rsidRPr="000C7CFA">
              <w:rPr>
                <w:rFonts w:ascii="Verdana" w:hAnsi="Verdana"/>
                <w:i/>
                <w:sz w:val="18"/>
                <w:szCs w:val="18"/>
              </w:rPr>
              <w:t>Esox lucius</w:t>
            </w:r>
            <w:r w:rsidRPr="000C7CFA">
              <w:rPr>
                <w:rFonts w:ascii="Verdana" w:hAnsi="Verdana"/>
                <w:sz w:val="18"/>
                <w:szCs w:val="18"/>
              </w:rPr>
              <w:t>) (n=11)</w:t>
            </w:r>
          </w:p>
        </w:tc>
        <w:tc>
          <w:tcPr>
            <w:tcW w:w="1068" w:type="dxa"/>
            <w:tcBorders>
              <w:top w:val="single" w:sz="4" w:space="0" w:color="auto"/>
              <w:left w:val="single" w:sz="4" w:space="0" w:color="auto"/>
              <w:bottom w:val="single" w:sz="4" w:space="0" w:color="auto"/>
              <w:right w:val="single" w:sz="4" w:space="0" w:color="auto"/>
            </w:tcBorders>
          </w:tcPr>
          <w:p w14:paraId="7B4FB4CE"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Liver</w:t>
            </w:r>
          </w:p>
        </w:tc>
        <w:tc>
          <w:tcPr>
            <w:tcW w:w="2391" w:type="dxa"/>
            <w:vMerge/>
            <w:tcBorders>
              <w:left w:val="single" w:sz="4" w:space="0" w:color="auto"/>
              <w:right w:val="single" w:sz="4" w:space="0" w:color="auto"/>
            </w:tcBorders>
          </w:tcPr>
          <w:p w14:paraId="3BD8412A" w14:textId="77777777" w:rsidR="0000000F" w:rsidRPr="000C7CFA" w:rsidRDefault="0000000F" w:rsidP="00704CE9">
            <w:pPr>
              <w:autoSpaceDE w:val="0"/>
              <w:autoSpaceDN w:val="0"/>
              <w:adjustRightInd w:val="0"/>
              <w:spacing w:after="0"/>
              <w:rPr>
                <w:rFonts w:ascii="Verdana" w:hAnsi="Verdana"/>
                <w:sz w:val="18"/>
                <w:szCs w:val="18"/>
              </w:rPr>
            </w:pPr>
          </w:p>
        </w:tc>
        <w:tc>
          <w:tcPr>
            <w:tcW w:w="1843" w:type="dxa"/>
            <w:vMerge/>
            <w:tcBorders>
              <w:left w:val="single" w:sz="4" w:space="0" w:color="auto"/>
              <w:right w:val="single" w:sz="4" w:space="0" w:color="auto"/>
            </w:tcBorders>
          </w:tcPr>
          <w:p w14:paraId="7248CBAF" w14:textId="77777777" w:rsidR="0000000F" w:rsidRPr="000C7CFA" w:rsidRDefault="0000000F" w:rsidP="00704CE9">
            <w:pPr>
              <w:pStyle w:val="Tabletext"/>
              <w:spacing w:before="0" w:after="0"/>
              <w:jc w:val="center"/>
              <w:rPr>
                <w:rFonts w:ascii="Verdana" w:hAnsi="Verdana"/>
                <w:sz w:val="18"/>
                <w:szCs w:val="18"/>
                <w:lang w:val="en-GB"/>
              </w:rPr>
            </w:pPr>
          </w:p>
        </w:tc>
        <w:tc>
          <w:tcPr>
            <w:tcW w:w="2976" w:type="dxa"/>
            <w:tcBorders>
              <w:top w:val="single" w:sz="4" w:space="0" w:color="auto"/>
              <w:left w:val="single" w:sz="4" w:space="0" w:color="auto"/>
              <w:bottom w:val="single" w:sz="4" w:space="0" w:color="auto"/>
              <w:right w:val="single" w:sz="4" w:space="0" w:color="auto"/>
            </w:tcBorders>
          </w:tcPr>
          <w:p w14:paraId="6DBAFA33" w14:textId="2ED9477A" w:rsidR="0000000F" w:rsidRPr="000C7CFA" w:rsidRDefault="0000000F" w:rsidP="00704CE9">
            <w:pPr>
              <w:pStyle w:val="Tabletext"/>
              <w:spacing w:before="0" w:after="0"/>
              <w:rPr>
                <w:rFonts w:ascii="Verdana" w:hAnsi="Verdana"/>
                <w:color w:val="000000"/>
                <w:sz w:val="18"/>
                <w:szCs w:val="18"/>
                <w:lang w:val="en-GB" w:eastAsia="en-GB"/>
              </w:rPr>
            </w:pPr>
            <w:r w:rsidRPr="000C7CFA">
              <w:rPr>
                <w:rFonts w:ascii="Verdana" w:hAnsi="Verdana"/>
                <w:color w:val="000000"/>
                <w:sz w:val="18"/>
                <w:szCs w:val="18"/>
                <w:lang w:val="en-GB" w:eastAsia="en-GB"/>
              </w:rPr>
              <w:t>Detected in 4</w:t>
            </w:r>
            <w:r w:rsidR="00AF7606" w:rsidRPr="000C7CFA">
              <w:rPr>
                <w:rFonts w:ascii="Verdana" w:hAnsi="Verdana"/>
                <w:color w:val="000000"/>
                <w:sz w:val="18"/>
                <w:szCs w:val="18"/>
                <w:lang w:val="en-GB" w:eastAsia="en-GB"/>
              </w:rPr>
              <w:t>5 %</w:t>
            </w:r>
            <w:r w:rsidRPr="000C7CFA">
              <w:rPr>
                <w:rFonts w:ascii="Verdana" w:hAnsi="Verdana"/>
                <w:color w:val="000000"/>
                <w:sz w:val="18"/>
                <w:szCs w:val="18"/>
                <w:lang w:val="en-GB" w:eastAsia="en-GB"/>
              </w:rPr>
              <w:t xml:space="preserve"> of samples. Range: not detected to 9.1 (syn-) or 2 (anti-) µg/kg lw</w:t>
            </w:r>
          </w:p>
        </w:tc>
        <w:tc>
          <w:tcPr>
            <w:tcW w:w="2552" w:type="dxa"/>
            <w:vMerge/>
            <w:tcBorders>
              <w:left w:val="single" w:sz="4" w:space="0" w:color="auto"/>
              <w:right w:val="single" w:sz="4" w:space="0" w:color="auto"/>
            </w:tcBorders>
          </w:tcPr>
          <w:p w14:paraId="391D59A9" w14:textId="77777777" w:rsidR="0000000F" w:rsidRPr="000C7CFA" w:rsidRDefault="0000000F" w:rsidP="00704CE9">
            <w:pPr>
              <w:spacing w:after="0"/>
              <w:rPr>
                <w:rFonts w:ascii="Verdana" w:hAnsi="Verdana"/>
                <w:sz w:val="18"/>
                <w:szCs w:val="18"/>
                <w:lang w:val="en-GB"/>
              </w:rPr>
            </w:pPr>
          </w:p>
        </w:tc>
        <w:tc>
          <w:tcPr>
            <w:tcW w:w="1249" w:type="dxa"/>
            <w:vMerge/>
            <w:tcBorders>
              <w:left w:val="single" w:sz="4" w:space="0" w:color="auto"/>
            </w:tcBorders>
          </w:tcPr>
          <w:p w14:paraId="360567DC" w14:textId="77777777" w:rsidR="0000000F" w:rsidRPr="000C7CFA" w:rsidRDefault="0000000F" w:rsidP="00704CE9">
            <w:pPr>
              <w:pStyle w:val="Tabletext"/>
              <w:spacing w:before="0" w:after="0"/>
              <w:rPr>
                <w:rFonts w:ascii="Verdana" w:hAnsi="Verdana"/>
                <w:sz w:val="18"/>
                <w:szCs w:val="18"/>
                <w:lang w:val="en-GB"/>
              </w:rPr>
            </w:pPr>
          </w:p>
        </w:tc>
      </w:tr>
      <w:tr w:rsidR="0000000F" w:rsidRPr="000C7CFA" w14:paraId="108A54F1" w14:textId="77777777" w:rsidTr="00D323EC">
        <w:trPr>
          <w:cantSplit/>
          <w:trHeight w:val="373"/>
        </w:trPr>
        <w:tc>
          <w:tcPr>
            <w:tcW w:w="1928" w:type="dxa"/>
            <w:tcBorders>
              <w:top w:val="single" w:sz="4" w:space="0" w:color="auto"/>
              <w:bottom w:val="single" w:sz="4" w:space="0" w:color="auto"/>
              <w:right w:val="single" w:sz="4" w:space="0" w:color="auto"/>
            </w:tcBorders>
          </w:tcPr>
          <w:p w14:paraId="07408079" w14:textId="77777777" w:rsidR="0000000F" w:rsidRPr="000C7CFA" w:rsidRDefault="0000000F" w:rsidP="00704CE9">
            <w:pPr>
              <w:spacing w:after="0"/>
              <w:rPr>
                <w:rFonts w:ascii="Verdana" w:hAnsi="Verdana"/>
                <w:sz w:val="18"/>
                <w:szCs w:val="18"/>
              </w:rPr>
            </w:pPr>
            <w:r w:rsidRPr="000C7CFA">
              <w:rPr>
                <w:rFonts w:ascii="Verdana" w:hAnsi="Verdana"/>
                <w:sz w:val="18"/>
                <w:szCs w:val="18"/>
              </w:rPr>
              <w:t>Muskellunge (</w:t>
            </w:r>
            <w:r w:rsidRPr="000C7CFA">
              <w:rPr>
                <w:rFonts w:ascii="Verdana" w:hAnsi="Verdana"/>
                <w:i/>
                <w:sz w:val="18"/>
                <w:szCs w:val="18"/>
              </w:rPr>
              <w:t>Esox muskellunge</w:t>
            </w:r>
            <w:r w:rsidRPr="000C7CFA">
              <w:rPr>
                <w:rFonts w:ascii="Verdana" w:hAnsi="Verdana"/>
                <w:sz w:val="18"/>
                <w:szCs w:val="18"/>
              </w:rPr>
              <w:t>) (n=10)</w:t>
            </w:r>
          </w:p>
        </w:tc>
        <w:tc>
          <w:tcPr>
            <w:tcW w:w="1068" w:type="dxa"/>
            <w:tcBorders>
              <w:top w:val="single" w:sz="4" w:space="0" w:color="auto"/>
              <w:left w:val="single" w:sz="4" w:space="0" w:color="auto"/>
              <w:bottom w:val="single" w:sz="4" w:space="0" w:color="auto"/>
              <w:right w:val="single" w:sz="4" w:space="0" w:color="auto"/>
            </w:tcBorders>
          </w:tcPr>
          <w:p w14:paraId="508D5F66"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Liver</w:t>
            </w:r>
          </w:p>
        </w:tc>
        <w:tc>
          <w:tcPr>
            <w:tcW w:w="2391" w:type="dxa"/>
            <w:vMerge/>
            <w:tcBorders>
              <w:left w:val="single" w:sz="4" w:space="0" w:color="auto"/>
              <w:bottom w:val="single" w:sz="4" w:space="0" w:color="auto"/>
              <w:right w:val="single" w:sz="4" w:space="0" w:color="auto"/>
            </w:tcBorders>
          </w:tcPr>
          <w:p w14:paraId="5A91A3CB" w14:textId="77777777" w:rsidR="0000000F" w:rsidRPr="000C7CFA" w:rsidRDefault="0000000F" w:rsidP="00704CE9">
            <w:pPr>
              <w:autoSpaceDE w:val="0"/>
              <w:autoSpaceDN w:val="0"/>
              <w:adjustRightInd w:val="0"/>
              <w:spacing w:after="0"/>
              <w:rPr>
                <w:rFonts w:ascii="Verdana" w:hAnsi="Verdana"/>
                <w:sz w:val="18"/>
                <w:szCs w:val="18"/>
              </w:rPr>
            </w:pPr>
          </w:p>
        </w:tc>
        <w:tc>
          <w:tcPr>
            <w:tcW w:w="1843" w:type="dxa"/>
            <w:vMerge/>
            <w:tcBorders>
              <w:left w:val="single" w:sz="4" w:space="0" w:color="auto"/>
              <w:bottom w:val="single" w:sz="4" w:space="0" w:color="auto"/>
              <w:right w:val="single" w:sz="4" w:space="0" w:color="auto"/>
            </w:tcBorders>
          </w:tcPr>
          <w:p w14:paraId="2045977D" w14:textId="77777777" w:rsidR="0000000F" w:rsidRPr="000C7CFA" w:rsidRDefault="0000000F" w:rsidP="00704CE9">
            <w:pPr>
              <w:pStyle w:val="Tabletext"/>
              <w:spacing w:before="0" w:after="0"/>
              <w:jc w:val="center"/>
              <w:rPr>
                <w:rFonts w:ascii="Verdana" w:hAnsi="Verdana"/>
                <w:sz w:val="18"/>
                <w:szCs w:val="18"/>
                <w:lang w:val="en-GB"/>
              </w:rPr>
            </w:pPr>
          </w:p>
        </w:tc>
        <w:tc>
          <w:tcPr>
            <w:tcW w:w="2976" w:type="dxa"/>
            <w:tcBorders>
              <w:top w:val="single" w:sz="4" w:space="0" w:color="auto"/>
              <w:left w:val="single" w:sz="4" w:space="0" w:color="auto"/>
              <w:bottom w:val="single" w:sz="4" w:space="0" w:color="auto"/>
              <w:right w:val="single" w:sz="4" w:space="0" w:color="auto"/>
            </w:tcBorders>
          </w:tcPr>
          <w:p w14:paraId="28D149BD" w14:textId="77777777" w:rsidR="0000000F" w:rsidRPr="000C7CFA" w:rsidRDefault="0000000F" w:rsidP="00704CE9">
            <w:pPr>
              <w:pStyle w:val="Tabletext"/>
              <w:spacing w:before="0" w:after="0"/>
              <w:rPr>
                <w:rFonts w:ascii="Verdana" w:hAnsi="Verdana"/>
                <w:color w:val="000000"/>
                <w:sz w:val="18"/>
                <w:szCs w:val="18"/>
                <w:lang w:val="en-GB" w:eastAsia="en-GB"/>
              </w:rPr>
            </w:pPr>
            <w:r w:rsidRPr="000C7CFA">
              <w:rPr>
                <w:rFonts w:ascii="Verdana" w:hAnsi="Verdana"/>
                <w:color w:val="000000"/>
                <w:sz w:val="18"/>
                <w:szCs w:val="18"/>
                <w:lang w:val="en-GB" w:eastAsia="en-GB"/>
              </w:rPr>
              <w:t>Detected in at least 90% of samples. Mean concentration (total isomers):</w:t>
            </w:r>
          </w:p>
          <w:p w14:paraId="00069B66" w14:textId="77777777" w:rsidR="0000000F" w:rsidRPr="000C7CFA" w:rsidRDefault="0000000F" w:rsidP="00704CE9">
            <w:pPr>
              <w:pStyle w:val="Tabletext"/>
              <w:spacing w:before="0" w:after="0"/>
              <w:rPr>
                <w:rFonts w:ascii="Verdana" w:hAnsi="Verdana"/>
                <w:color w:val="000000"/>
                <w:sz w:val="18"/>
                <w:szCs w:val="18"/>
                <w:lang w:val="en-GB" w:eastAsia="en-GB"/>
              </w:rPr>
            </w:pPr>
            <w:r w:rsidRPr="000C7CFA">
              <w:rPr>
                <w:rFonts w:ascii="Verdana" w:hAnsi="Verdana"/>
                <w:color w:val="000000"/>
                <w:sz w:val="18"/>
                <w:szCs w:val="18"/>
                <w:lang w:val="en-GB" w:eastAsia="en-GB"/>
              </w:rPr>
              <w:t>6.2 ± 3.6 µg/kg lw (one fish contained 37.4 µg/kg lw)</w:t>
            </w:r>
          </w:p>
        </w:tc>
        <w:tc>
          <w:tcPr>
            <w:tcW w:w="2552" w:type="dxa"/>
            <w:vMerge/>
            <w:tcBorders>
              <w:left w:val="single" w:sz="4" w:space="0" w:color="auto"/>
              <w:bottom w:val="single" w:sz="4" w:space="0" w:color="auto"/>
              <w:right w:val="single" w:sz="4" w:space="0" w:color="auto"/>
            </w:tcBorders>
          </w:tcPr>
          <w:p w14:paraId="18845353" w14:textId="77777777" w:rsidR="0000000F" w:rsidRPr="000C7CFA" w:rsidRDefault="0000000F" w:rsidP="00704CE9">
            <w:pPr>
              <w:spacing w:after="0"/>
              <w:rPr>
                <w:rFonts w:ascii="Verdana" w:hAnsi="Verdana"/>
                <w:sz w:val="18"/>
                <w:szCs w:val="18"/>
                <w:lang w:val="en-GB"/>
              </w:rPr>
            </w:pPr>
          </w:p>
        </w:tc>
        <w:tc>
          <w:tcPr>
            <w:tcW w:w="1249" w:type="dxa"/>
            <w:vMerge/>
            <w:tcBorders>
              <w:left w:val="single" w:sz="4" w:space="0" w:color="auto"/>
              <w:bottom w:val="single" w:sz="4" w:space="0" w:color="auto"/>
            </w:tcBorders>
          </w:tcPr>
          <w:p w14:paraId="277D64A2" w14:textId="77777777" w:rsidR="0000000F" w:rsidRPr="000C7CFA" w:rsidRDefault="0000000F" w:rsidP="00704CE9">
            <w:pPr>
              <w:pStyle w:val="Tabletext"/>
              <w:spacing w:before="0" w:after="0"/>
              <w:rPr>
                <w:rFonts w:ascii="Verdana" w:hAnsi="Verdana"/>
                <w:sz w:val="18"/>
                <w:szCs w:val="18"/>
                <w:lang w:val="en-GB"/>
              </w:rPr>
            </w:pPr>
          </w:p>
        </w:tc>
      </w:tr>
      <w:tr w:rsidR="0000000F" w:rsidRPr="000C7CFA" w14:paraId="11736C1D" w14:textId="77777777" w:rsidTr="00D323EC">
        <w:trPr>
          <w:cantSplit/>
          <w:trHeight w:val="1365"/>
        </w:trPr>
        <w:tc>
          <w:tcPr>
            <w:tcW w:w="1928" w:type="dxa"/>
            <w:tcBorders>
              <w:top w:val="single" w:sz="4" w:space="0" w:color="auto"/>
              <w:bottom w:val="single" w:sz="4" w:space="0" w:color="auto"/>
              <w:right w:val="single" w:sz="4" w:space="0" w:color="auto"/>
            </w:tcBorders>
          </w:tcPr>
          <w:p w14:paraId="25E96AC2" w14:textId="77777777" w:rsidR="0000000F" w:rsidRPr="000C7CFA" w:rsidRDefault="0000000F" w:rsidP="00704CE9">
            <w:pPr>
              <w:spacing w:after="0"/>
              <w:rPr>
                <w:rFonts w:ascii="Verdana" w:hAnsi="Verdana"/>
                <w:sz w:val="18"/>
                <w:szCs w:val="18"/>
                <w:lang w:val="en-GB" w:eastAsia="en-GB"/>
              </w:rPr>
            </w:pPr>
            <w:r w:rsidRPr="000C7CFA">
              <w:rPr>
                <w:rFonts w:ascii="Verdana" w:hAnsi="Verdana"/>
                <w:sz w:val="18"/>
                <w:szCs w:val="18"/>
                <w:lang w:val="en-GB" w:eastAsia="en-GB"/>
              </w:rPr>
              <w:t>Lake Trout (</w:t>
            </w:r>
            <w:r w:rsidRPr="000C7CFA">
              <w:rPr>
                <w:rFonts w:ascii="Verdana" w:hAnsi="Verdana"/>
                <w:i/>
                <w:sz w:val="18"/>
                <w:szCs w:val="18"/>
              </w:rPr>
              <w:t>Salvelinus namaycush</w:t>
            </w:r>
            <w:r w:rsidRPr="000C7CFA">
              <w:rPr>
                <w:rFonts w:ascii="Verdana" w:hAnsi="Verdana"/>
                <w:sz w:val="18"/>
                <w:szCs w:val="18"/>
                <w:lang w:val="en-GB" w:eastAsia="en-GB"/>
              </w:rPr>
              <w:t>) (n=5 per year)</w:t>
            </w:r>
          </w:p>
        </w:tc>
        <w:tc>
          <w:tcPr>
            <w:tcW w:w="1068" w:type="dxa"/>
            <w:tcBorders>
              <w:top w:val="single" w:sz="4" w:space="0" w:color="auto"/>
              <w:left w:val="single" w:sz="4" w:space="0" w:color="auto"/>
              <w:bottom w:val="single" w:sz="4" w:space="0" w:color="auto"/>
              <w:right w:val="single" w:sz="4" w:space="0" w:color="auto"/>
            </w:tcBorders>
          </w:tcPr>
          <w:p w14:paraId="06B159B7"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Whole body</w:t>
            </w:r>
          </w:p>
        </w:tc>
        <w:tc>
          <w:tcPr>
            <w:tcW w:w="2391" w:type="dxa"/>
            <w:tcBorders>
              <w:top w:val="single" w:sz="4" w:space="0" w:color="auto"/>
              <w:left w:val="single" w:sz="4" w:space="0" w:color="auto"/>
              <w:bottom w:val="single" w:sz="4" w:space="0" w:color="auto"/>
              <w:right w:val="single" w:sz="4" w:space="0" w:color="auto"/>
            </w:tcBorders>
          </w:tcPr>
          <w:p w14:paraId="5CCB6EA9" w14:textId="77777777" w:rsidR="0000000F" w:rsidRPr="000C7CFA" w:rsidRDefault="0000000F" w:rsidP="00704CE9">
            <w:pPr>
              <w:autoSpaceDE w:val="0"/>
              <w:autoSpaceDN w:val="0"/>
              <w:adjustRightInd w:val="0"/>
              <w:spacing w:after="0"/>
              <w:rPr>
                <w:rFonts w:ascii="Verdana" w:hAnsi="Verdana"/>
                <w:sz w:val="18"/>
                <w:szCs w:val="18"/>
              </w:rPr>
            </w:pPr>
            <w:r w:rsidRPr="000C7CFA">
              <w:rPr>
                <w:rFonts w:ascii="Verdana" w:hAnsi="Verdana"/>
                <w:sz w:val="18"/>
                <w:szCs w:val="18"/>
              </w:rPr>
              <w:t>Lake Ontario (north of Main Duck Island), Canada; 1979, 1983, 1988, 1993, 1998 &amp;</w:t>
            </w:r>
          </w:p>
          <w:p w14:paraId="0361378B"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rPr>
              <w:t>2004</w:t>
            </w:r>
          </w:p>
        </w:tc>
        <w:tc>
          <w:tcPr>
            <w:tcW w:w="1843" w:type="dxa"/>
            <w:tcBorders>
              <w:top w:val="single" w:sz="4" w:space="0" w:color="auto"/>
              <w:left w:val="single" w:sz="4" w:space="0" w:color="auto"/>
              <w:bottom w:val="single" w:sz="4" w:space="0" w:color="auto"/>
              <w:right w:val="single" w:sz="4" w:space="0" w:color="auto"/>
            </w:tcBorders>
          </w:tcPr>
          <w:p w14:paraId="439C836C"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0.01</w:t>
            </w:r>
          </w:p>
        </w:tc>
        <w:tc>
          <w:tcPr>
            <w:tcW w:w="2976" w:type="dxa"/>
            <w:tcBorders>
              <w:top w:val="single" w:sz="4" w:space="0" w:color="auto"/>
              <w:left w:val="single" w:sz="4" w:space="0" w:color="auto"/>
              <w:bottom w:val="single" w:sz="4" w:space="0" w:color="auto"/>
              <w:right w:val="single" w:sz="4" w:space="0" w:color="auto"/>
            </w:tcBorders>
          </w:tcPr>
          <w:p w14:paraId="666A9B5A" w14:textId="77777777" w:rsidR="0000000F" w:rsidRPr="000C7CFA" w:rsidRDefault="0000000F" w:rsidP="00704CE9">
            <w:pPr>
              <w:spacing w:after="0"/>
              <w:rPr>
                <w:rFonts w:ascii="Verdana" w:hAnsi="Verdana"/>
                <w:sz w:val="18"/>
                <w:szCs w:val="18"/>
              </w:rPr>
            </w:pPr>
            <w:r w:rsidRPr="000C7CFA">
              <w:rPr>
                <w:rFonts w:ascii="Verdana" w:hAnsi="Verdana"/>
                <w:sz w:val="18"/>
                <w:szCs w:val="18"/>
              </w:rPr>
              <w:t xml:space="preserve">Mean per year (total isomers): </w:t>
            </w:r>
          </w:p>
          <w:p w14:paraId="22D6B2B9" w14:textId="77777777" w:rsidR="0000000F" w:rsidRPr="000C7CFA" w:rsidRDefault="0000000F" w:rsidP="00704CE9">
            <w:pPr>
              <w:pStyle w:val="Tabletext"/>
              <w:spacing w:before="0" w:after="0"/>
              <w:rPr>
                <w:rFonts w:ascii="Verdana" w:hAnsi="Verdana"/>
                <w:sz w:val="18"/>
                <w:szCs w:val="18"/>
                <w:lang w:eastAsia="en-US"/>
              </w:rPr>
            </w:pPr>
            <w:r w:rsidRPr="000C7CFA">
              <w:rPr>
                <w:rFonts w:ascii="Verdana" w:hAnsi="Verdana"/>
                <w:sz w:val="18"/>
                <w:szCs w:val="18"/>
                <w:lang w:eastAsia="en-US"/>
              </w:rPr>
              <w:t xml:space="preserve">0.31±0.07 to 0.85±0.20 </w:t>
            </w:r>
            <w:r w:rsidRPr="000C7CFA">
              <w:rPr>
                <w:rFonts w:ascii="Verdana" w:hAnsi="Verdana"/>
                <w:color w:val="000000"/>
                <w:sz w:val="18"/>
                <w:szCs w:val="18"/>
                <w:lang w:val="en-GB" w:eastAsia="en-GB"/>
              </w:rPr>
              <w:t xml:space="preserve">µg/kg </w:t>
            </w:r>
            <w:r w:rsidRPr="000C7CFA">
              <w:rPr>
                <w:rFonts w:ascii="Verdana" w:hAnsi="Verdana"/>
                <w:sz w:val="18"/>
                <w:szCs w:val="18"/>
                <w:lang w:eastAsia="en-US"/>
              </w:rPr>
              <w:t>ww</w:t>
            </w:r>
          </w:p>
          <w:p w14:paraId="219333AF" w14:textId="77777777" w:rsidR="0000000F" w:rsidRPr="000C7CFA" w:rsidRDefault="0000000F" w:rsidP="00704CE9">
            <w:pPr>
              <w:pStyle w:val="Tabletext"/>
              <w:spacing w:before="0" w:after="0"/>
              <w:rPr>
                <w:rFonts w:ascii="Verdana" w:hAnsi="Verdana"/>
                <w:color w:val="000000"/>
                <w:sz w:val="18"/>
                <w:szCs w:val="18"/>
                <w:lang w:val="en-GB" w:eastAsia="en-GB"/>
              </w:rPr>
            </w:pPr>
            <w:r w:rsidRPr="000C7CFA">
              <w:rPr>
                <w:rFonts w:ascii="Verdana" w:hAnsi="Verdana"/>
                <w:sz w:val="18"/>
                <w:szCs w:val="18"/>
                <w:lang w:eastAsia="en-US"/>
              </w:rPr>
              <w:t xml:space="preserve">[2.3±0.6 to 7.2±1.3 </w:t>
            </w:r>
            <w:r w:rsidRPr="000C7CFA">
              <w:rPr>
                <w:rFonts w:ascii="Verdana" w:hAnsi="Verdana"/>
                <w:color w:val="000000"/>
                <w:sz w:val="18"/>
                <w:szCs w:val="18"/>
                <w:lang w:val="en-GB" w:eastAsia="en-GB"/>
              </w:rPr>
              <w:t>µg/kg lw]</w:t>
            </w:r>
          </w:p>
        </w:tc>
        <w:tc>
          <w:tcPr>
            <w:tcW w:w="2552" w:type="dxa"/>
            <w:tcBorders>
              <w:top w:val="single" w:sz="4" w:space="0" w:color="auto"/>
              <w:left w:val="single" w:sz="4" w:space="0" w:color="auto"/>
              <w:bottom w:val="single" w:sz="4" w:space="0" w:color="auto"/>
              <w:right w:val="single" w:sz="4" w:space="0" w:color="auto"/>
            </w:tcBorders>
          </w:tcPr>
          <w:p w14:paraId="27327733"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Analysis by GC-MS.</w:t>
            </w:r>
          </w:p>
          <w:p w14:paraId="5613A2F6" w14:textId="77777777" w:rsidR="0000000F" w:rsidRPr="000C7CFA" w:rsidRDefault="0000000F" w:rsidP="00704CE9">
            <w:pPr>
              <w:spacing w:after="0"/>
              <w:rPr>
                <w:rFonts w:ascii="Verdana" w:hAnsi="Verdana"/>
                <w:sz w:val="18"/>
                <w:szCs w:val="18"/>
                <w:lang w:val="en-GB"/>
              </w:rPr>
            </w:pPr>
          </w:p>
          <w:p w14:paraId="4A5FA37D"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rPr>
              <w:t>Sampled fish were four to five years old</w:t>
            </w:r>
            <w:r w:rsidRPr="000C7CFA">
              <w:rPr>
                <w:rFonts w:ascii="Verdana" w:hAnsi="Verdana"/>
                <w:sz w:val="18"/>
                <w:szCs w:val="18"/>
                <w:lang w:val="en-GB"/>
              </w:rPr>
              <w:t>.</w:t>
            </w:r>
          </w:p>
          <w:p w14:paraId="520FD05F" w14:textId="77777777" w:rsidR="0000000F" w:rsidRPr="000C7CFA" w:rsidRDefault="0000000F" w:rsidP="00704CE9">
            <w:pPr>
              <w:spacing w:after="0"/>
              <w:rPr>
                <w:rFonts w:ascii="Verdana" w:hAnsi="Verdana"/>
                <w:sz w:val="18"/>
                <w:szCs w:val="18"/>
                <w:lang w:val="en-GB"/>
              </w:rPr>
            </w:pPr>
          </w:p>
          <w:p w14:paraId="43B99DCF"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Stable isotope analysis showed that trophic status and food sources were highly variable over time.</w:t>
            </w:r>
          </w:p>
          <w:p w14:paraId="42E7EB1C" w14:textId="77777777" w:rsidR="0000000F" w:rsidRPr="000C7CFA" w:rsidRDefault="0000000F" w:rsidP="00704CE9">
            <w:pPr>
              <w:spacing w:after="0"/>
              <w:rPr>
                <w:rFonts w:ascii="Verdana" w:hAnsi="Verdana"/>
                <w:sz w:val="18"/>
                <w:szCs w:val="18"/>
                <w:lang w:val="en-GB"/>
              </w:rPr>
            </w:pPr>
          </w:p>
        </w:tc>
        <w:tc>
          <w:tcPr>
            <w:tcW w:w="1249" w:type="dxa"/>
            <w:tcBorders>
              <w:top w:val="single" w:sz="4" w:space="0" w:color="auto"/>
              <w:left w:val="single" w:sz="4" w:space="0" w:color="auto"/>
              <w:bottom w:val="single" w:sz="4" w:space="0" w:color="auto"/>
            </w:tcBorders>
          </w:tcPr>
          <w:p w14:paraId="56337400"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Ismail </w:t>
            </w:r>
            <w:r w:rsidRPr="000C7CFA">
              <w:rPr>
                <w:rFonts w:ascii="Verdana" w:hAnsi="Verdana"/>
                <w:i/>
                <w:sz w:val="18"/>
                <w:szCs w:val="18"/>
                <w:lang w:val="en-GB"/>
              </w:rPr>
              <w:t>et al</w:t>
            </w:r>
            <w:r w:rsidRPr="000C7CFA">
              <w:rPr>
                <w:rFonts w:ascii="Verdana" w:hAnsi="Verdana"/>
                <w:sz w:val="18"/>
                <w:szCs w:val="18"/>
                <w:lang w:val="en-GB"/>
              </w:rPr>
              <w:t>. (2009)</w:t>
            </w:r>
          </w:p>
          <w:p w14:paraId="0EF6143F" w14:textId="77777777" w:rsidR="0000000F" w:rsidRPr="000C7CFA" w:rsidRDefault="0000000F" w:rsidP="00704CE9">
            <w:pPr>
              <w:pStyle w:val="Tabletext"/>
              <w:spacing w:before="0" w:after="0"/>
              <w:rPr>
                <w:rFonts w:ascii="Verdana" w:hAnsi="Verdana"/>
                <w:sz w:val="18"/>
                <w:szCs w:val="18"/>
                <w:lang w:val="en-GB"/>
              </w:rPr>
            </w:pPr>
          </w:p>
        </w:tc>
      </w:tr>
      <w:tr w:rsidR="0000000F" w:rsidRPr="000C7CFA" w14:paraId="305E1EE3" w14:textId="77777777" w:rsidTr="00D323EC">
        <w:trPr>
          <w:cantSplit/>
          <w:trHeight w:val="1365"/>
        </w:trPr>
        <w:tc>
          <w:tcPr>
            <w:tcW w:w="1928" w:type="dxa"/>
            <w:vMerge w:val="restart"/>
            <w:tcBorders>
              <w:top w:val="single" w:sz="4" w:space="0" w:color="auto"/>
              <w:right w:val="single" w:sz="4" w:space="0" w:color="auto"/>
            </w:tcBorders>
          </w:tcPr>
          <w:p w14:paraId="140742FE"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eastAsia="en-GB"/>
              </w:rPr>
              <w:lastRenderedPageBreak/>
              <w:t>European Eel (</w:t>
            </w:r>
            <w:r w:rsidRPr="000C7CFA">
              <w:rPr>
                <w:rFonts w:ascii="Verdana" w:hAnsi="Verdana"/>
                <w:i/>
                <w:sz w:val="18"/>
                <w:szCs w:val="18"/>
                <w:lang w:val="en-GB" w:eastAsia="en-GB"/>
              </w:rPr>
              <w:t>Anguilla anguilla</w:t>
            </w:r>
            <w:r w:rsidRPr="000C7CFA">
              <w:rPr>
                <w:rFonts w:ascii="Verdana" w:hAnsi="Verdana"/>
                <w:sz w:val="18"/>
                <w:szCs w:val="18"/>
                <w:lang w:val="en-GB" w:eastAsia="en-GB"/>
              </w:rPr>
              <w:t>)</w:t>
            </w:r>
          </w:p>
        </w:tc>
        <w:tc>
          <w:tcPr>
            <w:tcW w:w="1068" w:type="dxa"/>
            <w:vMerge w:val="restart"/>
            <w:tcBorders>
              <w:top w:val="single" w:sz="4" w:space="0" w:color="auto"/>
              <w:left w:val="single" w:sz="4" w:space="0" w:color="auto"/>
              <w:right w:val="single" w:sz="4" w:space="0" w:color="auto"/>
            </w:tcBorders>
          </w:tcPr>
          <w:p w14:paraId="75A1D56C"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Whole body or muscle</w:t>
            </w:r>
          </w:p>
        </w:tc>
        <w:tc>
          <w:tcPr>
            <w:tcW w:w="2391" w:type="dxa"/>
            <w:vMerge w:val="restart"/>
            <w:tcBorders>
              <w:top w:val="single" w:sz="4" w:space="0" w:color="auto"/>
              <w:left w:val="single" w:sz="4" w:space="0" w:color="auto"/>
              <w:right w:val="single" w:sz="4" w:space="0" w:color="auto"/>
            </w:tcBorders>
          </w:tcPr>
          <w:p w14:paraId="5C85978E"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Glass eels (n=100, split into 10 samples) collected from the French Atlantic coast; date not stated</w:t>
            </w:r>
          </w:p>
          <w:p w14:paraId="0C13FE3A" w14:textId="77777777" w:rsidR="0000000F" w:rsidRPr="000C7CFA" w:rsidRDefault="0000000F" w:rsidP="00704CE9">
            <w:pPr>
              <w:autoSpaceDE w:val="0"/>
              <w:autoSpaceDN w:val="0"/>
              <w:adjustRightInd w:val="0"/>
              <w:spacing w:after="0"/>
              <w:rPr>
                <w:rFonts w:ascii="Verdana" w:hAnsi="Verdana"/>
                <w:sz w:val="18"/>
                <w:szCs w:val="18"/>
                <w:lang w:val="en-GB" w:eastAsia="en-GB"/>
              </w:rPr>
            </w:pPr>
          </w:p>
          <w:p w14:paraId="760CB02A" w14:textId="77777777" w:rsidR="0000000F" w:rsidRPr="000C7CFA" w:rsidRDefault="0000000F"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eastAsia="en-GB"/>
              </w:rPr>
              <w:t xml:space="preserve">Elvers (n=30), yellow (n=30) and silver eels (n=12) collected from Germany (River Vidå, River Elbe and Rivers Elbe and Rhine, respectively); date not stated </w:t>
            </w:r>
          </w:p>
        </w:tc>
        <w:tc>
          <w:tcPr>
            <w:tcW w:w="1843" w:type="dxa"/>
            <w:tcBorders>
              <w:top w:val="single" w:sz="4" w:space="0" w:color="auto"/>
              <w:left w:val="single" w:sz="4" w:space="0" w:color="auto"/>
              <w:bottom w:val="single" w:sz="12" w:space="0" w:color="auto"/>
              <w:right w:val="single" w:sz="4" w:space="0" w:color="auto"/>
            </w:tcBorders>
          </w:tcPr>
          <w:p w14:paraId="5FCF24D5"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Anti-DP: 0.017</w:t>
            </w:r>
          </w:p>
        </w:tc>
        <w:tc>
          <w:tcPr>
            <w:tcW w:w="2976" w:type="dxa"/>
            <w:vMerge w:val="restart"/>
            <w:tcBorders>
              <w:top w:val="single" w:sz="4" w:space="0" w:color="auto"/>
              <w:left w:val="single" w:sz="4" w:space="0" w:color="auto"/>
              <w:right w:val="single" w:sz="4" w:space="0" w:color="auto"/>
            </w:tcBorders>
          </w:tcPr>
          <w:p w14:paraId="28C4D6AC" w14:textId="77777777" w:rsidR="0000000F" w:rsidRPr="000C7CFA" w:rsidRDefault="0000000F" w:rsidP="00704CE9">
            <w:pPr>
              <w:pStyle w:val="Tabletext"/>
              <w:spacing w:before="0" w:after="0"/>
              <w:rPr>
                <w:rFonts w:ascii="Verdana" w:hAnsi="Verdana"/>
                <w:color w:val="000000"/>
                <w:sz w:val="18"/>
                <w:szCs w:val="18"/>
                <w:lang w:val="en-GB" w:eastAsia="en-GB"/>
              </w:rPr>
            </w:pPr>
            <w:r w:rsidRPr="000C7CFA">
              <w:rPr>
                <w:rFonts w:ascii="Verdana" w:hAnsi="Verdana"/>
                <w:color w:val="000000"/>
                <w:sz w:val="18"/>
                <w:szCs w:val="18"/>
                <w:lang w:val="en-GB" w:eastAsia="en-GB"/>
              </w:rPr>
              <w:t>Detected in all life stages. Total isomer concentrations were:</w:t>
            </w:r>
          </w:p>
          <w:p w14:paraId="226C4F6A" w14:textId="77777777" w:rsidR="0000000F" w:rsidRPr="000C7CFA" w:rsidRDefault="0000000F" w:rsidP="00704CE9">
            <w:pPr>
              <w:pStyle w:val="Tabletext"/>
              <w:spacing w:before="0" w:after="0"/>
              <w:rPr>
                <w:rFonts w:ascii="Verdana" w:hAnsi="Verdana"/>
                <w:color w:val="000000"/>
                <w:sz w:val="18"/>
                <w:szCs w:val="18"/>
                <w:lang w:val="en-GB" w:eastAsia="en-GB"/>
              </w:rPr>
            </w:pPr>
          </w:p>
          <w:p w14:paraId="302F6190"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Glass eels: &lt;0.02 – 0.32 µg/kg ww</w:t>
            </w:r>
          </w:p>
          <w:p w14:paraId="24BE92CD"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[&lt;LoD – 31.8 µg/kg lw]</w:t>
            </w:r>
          </w:p>
          <w:p w14:paraId="3E1292DF" w14:textId="77777777" w:rsidR="0000000F" w:rsidRPr="000C7CFA" w:rsidRDefault="0000000F" w:rsidP="00704CE9">
            <w:pPr>
              <w:pStyle w:val="Tabletext"/>
              <w:spacing w:before="0" w:after="0"/>
              <w:rPr>
                <w:rFonts w:ascii="Verdana" w:hAnsi="Verdana"/>
                <w:sz w:val="18"/>
                <w:szCs w:val="18"/>
                <w:lang w:val="en-GB"/>
              </w:rPr>
            </w:pPr>
          </w:p>
          <w:p w14:paraId="69994B07"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Elvers: &lt;0.02 – 0.46 µg/kg ww</w:t>
            </w:r>
          </w:p>
          <w:p w14:paraId="38E03977"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[&lt;LoD – 33.8 µg/kg lw]</w:t>
            </w:r>
          </w:p>
          <w:p w14:paraId="0D094F9E" w14:textId="77777777" w:rsidR="0000000F" w:rsidRPr="000C7CFA" w:rsidRDefault="0000000F" w:rsidP="00704CE9">
            <w:pPr>
              <w:pStyle w:val="Tabletext"/>
              <w:spacing w:before="0" w:after="0"/>
              <w:rPr>
                <w:rFonts w:ascii="Verdana" w:hAnsi="Verdana"/>
                <w:sz w:val="18"/>
                <w:szCs w:val="18"/>
                <w:lang w:val="en-GB"/>
              </w:rPr>
            </w:pPr>
          </w:p>
          <w:p w14:paraId="39401B85"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Yellow eels: 0.013–0.50 µg/kg ww</w:t>
            </w:r>
          </w:p>
          <w:p w14:paraId="6B6C7CDA"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[0.14±0.008 µg/kg lw]</w:t>
            </w:r>
          </w:p>
          <w:p w14:paraId="3BFEB899" w14:textId="77777777" w:rsidR="0000000F" w:rsidRPr="000C7CFA" w:rsidRDefault="0000000F" w:rsidP="00704CE9">
            <w:pPr>
              <w:pStyle w:val="Tabletext"/>
              <w:spacing w:before="0" w:after="0"/>
              <w:rPr>
                <w:rFonts w:ascii="Verdana" w:hAnsi="Verdana"/>
                <w:sz w:val="18"/>
                <w:szCs w:val="18"/>
                <w:lang w:val="en-GB"/>
              </w:rPr>
            </w:pPr>
          </w:p>
          <w:p w14:paraId="35FC93BC"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Silver eels: 0.017–0.38 µg/kg ww</w:t>
            </w:r>
          </w:p>
          <w:p w14:paraId="35BC5815"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[0.17±0.19 µg/kg lw]</w:t>
            </w:r>
          </w:p>
        </w:tc>
        <w:tc>
          <w:tcPr>
            <w:tcW w:w="2552" w:type="dxa"/>
            <w:vMerge w:val="restart"/>
            <w:tcBorders>
              <w:top w:val="single" w:sz="4" w:space="0" w:color="auto"/>
              <w:left w:val="single" w:sz="4" w:space="0" w:color="auto"/>
              <w:right w:val="single" w:sz="4" w:space="0" w:color="auto"/>
            </w:tcBorders>
          </w:tcPr>
          <w:p w14:paraId="158BEDBB"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Analysis by GC-MS.</w:t>
            </w:r>
          </w:p>
          <w:p w14:paraId="342BD914" w14:textId="77777777" w:rsidR="0000000F" w:rsidRPr="000C7CFA" w:rsidRDefault="0000000F" w:rsidP="00704CE9">
            <w:pPr>
              <w:spacing w:after="0"/>
              <w:rPr>
                <w:rFonts w:ascii="Verdana" w:hAnsi="Verdana"/>
                <w:sz w:val="18"/>
                <w:szCs w:val="18"/>
                <w:lang w:val="en-GB"/>
              </w:rPr>
            </w:pPr>
          </w:p>
          <w:p w14:paraId="1133AC4F"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Levels were similar to American Eels, and probably reflect diffuse exposure.</w:t>
            </w:r>
          </w:p>
          <w:p w14:paraId="06661697" w14:textId="77777777" w:rsidR="0000000F" w:rsidRPr="000C7CFA" w:rsidRDefault="0000000F" w:rsidP="00704CE9">
            <w:pPr>
              <w:autoSpaceDE w:val="0"/>
              <w:autoSpaceDN w:val="0"/>
              <w:adjustRightInd w:val="0"/>
              <w:spacing w:after="0"/>
              <w:rPr>
                <w:rFonts w:ascii="Verdana" w:hAnsi="Verdana"/>
                <w:color w:val="000000"/>
                <w:sz w:val="18"/>
                <w:szCs w:val="18"/>
                <w:lang w:val="en-GB" w:eastAsia="en-GB"/>
              </w:rPr>
            </w:pPr>
          </w:p>
          <w:p w14:paraId="157D41B3" w14:textId="77777777" w:rsidR="0000000F" w:rsidRPr="000C7CFA" w:rsidRDefault="0000000F" w:rsidP="00704CE9">
            <w:pPr>
              <w:autoSpaceDE w:val="0"/>
              <w:autoSpaceDN w:val="0"/>
              <w:adjustRightInd w:val="0"/>
              <w:spacing w:after="0"/>
              <w:rPr>
                <w:rFonts w:ascii="Verdana" w:hAnsi="Verdana"/>
                <w:sz w:val="18"/>
                <w:szCs w:val="18"/>
                <w:lang w:val="en-GB"/>
              </w:rPr>
            </w:pPr>
            <w:r w:rsidRPr="000C7CFA">
              <w:rPr>
                <w:rFonts w:ascii="Verdana" w:hAnsi="Verdana"/>
                <w:color w:val="000000"/>
                <w:sz w:val="18"/>
                <w:szCs w:val="18"/>
                <w:lang w:val="en-GB" w:eastAsia="en-GB"/>
              </w:rPr>
              <w:t>The isomer ratio changes over the life cycle. The syn- isomer predominates (&gt;80%) in glass, elvers and yellow eels, but its contribution drops to 40% in silver (fully adult) eels that have stopped feeding.</w:t>
            </w:r>
          </w:p>
        </w:tc>
        <w:tc>
          <w:tcPr>
            <w:tcW w:w="1249" w:type="dxa"/>
            <w:vMerge w:val="restart"/>
            <w:tcBorders>
              <w:top w:val="single" w:sz="4" w:space="0" w:color="auto"/>
              <w:left w:val="single" w:sz="4" w:space="0" w:color="auto"/>
            </w:tcBorders>
          </w:tcPr>
          <w:p w14:paraId="014E3544" w14:textId="5CE5C7BC"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Sühring </w:t>
            </w:r>
            <w:r w:rsidRPr="000C7CFA">
              <w:rPr>
                <w:rFonts w:ascii="Verdana" w:hAnsi="Verdana"/>
                <w:i/>
                <w:sz w:val="18"/>
                <w:szCs w:val="18"/>
                <w:lang w:val="en-GB"/>
              </w:rPr>
              <w:t>et al</w:t>
            </w:r>
            <w:r w:rsidRPr="000C7CFA">
              <w:rPr>
                <w:rFonts w:ascii="Verdana" w:hAnsi="Verdana"/>
                <w:sz w:val="18"/>
                <w:szCs w:val="18"/>
                <w:lang w:val="en-GB"/>
              </w:rPr>
              <w:t>. (2013 and 2014)</w:t>
            </w:r>
          </w:p>
        </w:tc>
      </w:tr>
      <w:tr w:rsidR="0000000F" w:rsidRPr="000C7CFA" w14:paraId="0108C542" w14:textId="77777777" w:rsidTr="00D323EC">
        <w:trPr>
          <w:cantSplit/>
          <w:trHeight w:val="1365"/>
        </w:trPr>
        <w:tc>
          <w:tcPr>
            <w:tcW w:w="1928" w:type="dxa"/>
            <w:vMerge/>
            <w:tcBorders>
              <w:bottom w:val="single" w:sz="4" w:space="0" w:color="auto"/>
              <w:right w:val="single" w:sz="4" w:space="0" w:color="auto"/>
            </w:tcBorders>
          </w:tcPr>
          <w:p w14:paraId="25D3B240" w14:textId="77777777" w:rsidR="0000000F" w:rsidRPr="000C7CFA" w:rsidRDefault="0000000F" w:rsidP="00704CE9">
            <w:pPr>
              <w:spacing w:after="0"/>
              <w:rPr>
                <w:rFonts w:ascii="Verdana" w:hAnsi="Verdana"/>
                <w:sz w:val="18"/>
                <w:szCs w:val="18"/>
                <w:lang w:val="en-GB" w:eastAsia="en-GB"/>
              </w:rPr>
            </w:pPr>
          </w:p>
        </w:tc>
        <w:tc>
          <w:tcPr>
            <w:tcW w:w="1068" w:type="dxa"/>
            <w:vMerge/>
            <w:tcBorders>
              <w:left w:val="single" w:sz="4" w:space="0" w:color="auto"/>
              <w:bottom w:val="single" w:sz="4" w:space="0" w:color="auto"/>
              <w:right w:val="single" w:sz="4" w:space="0" w:color="auto"/>
            </w:tcBorders>
          </w:tcPr>
          <w:p w14:paraId="456A00AD" w14:textId="77777777" w:rsidR="0000000F" w:rsidRPr="000C7CFA" w:rsidRDefault="0000000F" w:rsidP="00704CE9">
            <w:pPr>
              <w:pStyle w:val="Tabletext"/>
              <w:spacing w:before="0" w:after="0"/>
              <w:rPr>
                <w:rFonts w:ascii="Verdana" w:hAnsi="Verdana"/>
                <w:sz w:val="18"/>
                <w:szCs w:val="18"/>
                <w:lang w:val="en-GB"/>
              </w:rPr>
            </w:pPr>
          </w:p>
        </w:tc>
        <w:tc>
          <w:tcPr>
            <w:tcW w:w="2391" w:type="dxa"/>
            <w:vMerge/>
            <w:tcBorders>
              <w:left w:val="single" w:sz="4" w:space="0" w:color="auto"/>
              <w:bottom w:val="single" w:sz="4" w:space="0" w:color="auto"/>
              <w:right w:val="single" w:sz="4" w:space="0" w:color="auto"/>
            </w:tcBorders>
          </w:tcPr>
          <w:p w14:paraId="0EA8D09E" w14:textId="77777777" w:rsidR="0000000F" w:rsidRPr="000C7CFA" w:rsidRDefault="0000000F" w:rsidP="00704CE9">
            <w:pPr>
              <w:autoSpaceDE w:val="0"/>
              <w:autoSpaceDN w:val="0"/>
              <w:adjustRightInd w:val="0"/>
              <w:spacing w:after="0"/>
              <w:rPr>
                <w:rFonts w:ascii="Verdana" w:hAnsi="Verdana"/>
                <w:sz w:val="18"/>
                <w:szCs w:val="18"/>
                <w:lang w:val="en-GB" w:eastAsia="en-GB"/>
              </w:rPr>
            </w:pPr>
          </w:p>
        </w:tc>
        <w:tc>
          <w:tcPr>
            <w:tcW w:w="1843" w:type="dxa"/>
            <w:tcBorders>
              <w:top w:val="single" w:sz="12" w:space="0" w:color="auto"/>
              <w:left w:val="single" w:sz="4" w:space="0" w:color="auto"/>
              <w:bottom w:val="single" w:sz="4" w:space="0" w:color="auto"/>
              <w:right w:val="single" w:sz="4" w:space="0" w:color="auto"/>
            </w:tcBorders>
          </w:tcPr>
          <w:p w14:paraId="7D57FE6F"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Syn-DP: 0.0053</w:t>
            </w:r>
          </w:p>
        </w:tc>
        <w:tc>
          <w:tcPr>
            <w:tcW w:w="2976" w:type="dxa"/>
            <w:vMerge/>
            <w:tcBorders>
              <w:left w:val="single" w:sz="4" w:space="0" w:color="auto"/>
              <w:bottom w:val="single" w:sz="4" w:space="0" w:color="auto"/>
              <w:right w:val="single" w:sz="4" w:space="0" w:color="auto"/>
            </w:tcBorders>
          </w:tcPr>
          <w:p w14:paraId="33C8DBA4" w14:textId="77777777" w:rsidR="0000000F" w:rsidRPr="000C7CFA" w:rsidRDefault="0000000F" w:rsidP="00704CE9">
            <w:pPr>
              <w:pStyle w:val="Tabletext"/>
              <w:spacing w:before="0" w:after="0"/>
              <w:rPr>
                <w:rFonts w:ascii="Verdana" w:hAnsi="Verdana"/>
                <w:color w:val="000000"/>
                <w:sz w:val="18"/>
                <w:szCs w:val="18"/>
                <w:lang w:val="en-GB" w:eastAsia="en-GB"/>
              </w:rPr>
            </w:pPr>
          </w:p>
        </w:tc>
        <w:tc>
          <w:tcPr>
            <w:tcW w:w="2552" w:type="dxa"/>
            <w:vMerge/>
            <w:tcBorders>
              <w:left w:val="single" w:sz="4" w:space="0" w:color="auto"/>
              <w:bottom w:val="single" w:sz="4" w:space="0" w:color="auto"/>
              <w:right w:val="single" w:sz="4" w:space="0" w:color="auto"/>
            </w:tcBorders>
          </w:tcPr>
          <w:p w14:paraId="3B9EEB09" w14:textId="77777777" w:rsidR="0000000F" w:rsidRPr="000C7CFA" w:rsidRDefault="0000000F" w:rsidP="00704CE9">
            <w:pPr>
              <w:spacing w:after="0"/>
              <w:rPr>
                <w:rFonts w:ascii="Verdana" w:hAnsi="Verdana"/>
                <w:sz w:val="18"/>
                <w:szCs w:val="18"/>
                <w:lang w:val="en-GB"/>
              </w:rPr>
            </w:pPr>
          </w:p>
        </w:tc>
        <w:tc>
          <w:tcPr>
            <w:tcW w:w="1249" w:type="dxa"/>
            <w:vMerge/>
            <w:tcBorders>
              <w:left w:val="single" w:sz="4" w:space="0" w:color="auto"/>
              <w:bottom w:val="single" w:sz="4" w:space="0" w:color="auto"/>
            </w:tcBorders>
          </w:tcPr>
          <w:p w14:paraId="5AAB848C" w14:textId="77777777" w:rsidR="0000000F" w:rsidRPr="000C7CFA" w:rsidRDefault="0000000F" w:rsidP="00704CE9">
            <w:pPr>
              <w:pStyle w:val="Tabletext"/>
              <w:spacing w:before="0" w:after="0"/>
              <w:rPr>
                <w:rFonts w:ascii="Verdana" w:hAnsi="Verdana"/>
                <w:sz w:val="18"/>
                <w:szCs w:val="18"/>
                <w:lang w:val="en-GB"/>
              </w:rPr>
            </w:pPr>
          </w:p>
        </w:tc>
      </w:tr>
      <w:tr w:rsidR="0000000F" w:rsidRPr="000C7CFA" w14:paraId="07E324C3" w14:textId="77777777" w:rsidTr="00D323EC">
        <w:trPr>
          <w:cantSplit/>
          <w:trHeight w:val="3704"/>
        </w:trPr>
        <w:tc>
          <w:tcPr>
            <w:tcW w:w="1928" w:type="dxa"/>
            <w:tcBorders>
              <w:top w:val="single" w:sz="4" w:space="0" w:color="auto"/>
              <w:right w:val="single" w:sz="4" w:space="0" w:color="auto"/>
            </w:tcBorders>
          </w:tcPr>
          <w:p w14:paraId="488412A6" w14:textId="77777777" w:rsidR="0000000F" w:rsidRPr="000C7CFA" w:rsidRDefault="0000000F" w:rsidP="00704CE9">
            <w:pPr>
              <w:spacing w:after="0"/>
              <w:rPr>
                <w:rFonts w:ascii="Verdana" w:hAnsi="Verdana"/>
                <w:sz w:val="18"/>
                <w:szCs w:val="18"/>
                <w:lang w:val="en-GB" w:eastAsia="en-GB"/>
              </w:rPr>
            </w:pPr>
            <w:r w:rsidRPr="000C7CFA">
              <w:rPr>
                <w:rFonts w:ascii="Verdana" w:hAnsi="Verdana"/>
                <w:sz w:val="18"/>
                <w:szCs w:val="18"/>
                <w:lang w:val="en-GB" w:eastAsia="en-GB"/>
              </w:rPr>
              <w:lastRenderedPageBreak/>
              <w:t>American Eel</w:t>
            </w:r>
          </w:p>
          <w:p w14:paraId="0DCC4173"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eastAsia="en-GB"/>
              </w:rPr>
              <w:t>(</w:t>
            </w:r>
            <w:r w:rsidRPr="000C7CFA">
              <w:rPr>
                <w:rFonts w:ascii="Verdana" w:hAnsi="Verdana"/>
                <w:i/>
                <w:sz w:val="18"/>
                <w:szCs w:val="18"/>
                <w:lang w:val="en-GB" w:eastAsia="en-GB"/>
              </w:rPr>
              <w:t>Anguilla rostrata</w:t>
            </w:r>
            <w:r w:rsidRPr="000C7CFA">
              <w:rPr>
                <w:rFonts w:ascii="Verdana" w:hAnsi="Verdana"/>
                <w:sz w:val="18"/>
                <w:szCs w:val="18"/>
                <w:lang w:val="en-GB" w:eastAsia="en-GB"/>
              </w:rPr>
              <w:t xml:space="preserve">) </w:t>
            </w:r>
          </w:p>
        </w:tc>
        <w:tc>
          <w:tcPr>
            <w:tcW w:w="1068" w:type="dxa"/>
            <w:tcBorders>
              <w:top w:val="single" w:sz="4" w:space="0" w:color="auto"/>
              <w:left w:val="single" w:sz="4" w:space="0" w:color="auto"/>
              <w:right w:val="single" w:sz="4" w:space="0" w:color="auto"/>
            </w:tcBorders>
          </w:tcPr>
          <w:p w14:paraId="6FF7A13B"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Whole body or muscle</w:t>
            </w:r>
          </w:p>
        </w:tc>
        <w:tc>
          <w:tcPr>
            <w:tcW w:w="2391" w:type="dxa"/>
            <w:tcBorders>
              <w:top w:val="single" w:sz="4" w:space="0" w:color="auto"/>
              <w:left w:val="single" w:sz="4" w:space="0" w:color="auto"/>
              <w:right w:val="single" w:sz="4" w:space="0" w:color="auto"/>
            </w:tcBorders>
          </w:tcPr>
          <w:p w14:paraId="09F14714"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 xml:space="preserve">Glass eels (n=37, pooled into three samples) from </w:t>
            </w:r>
            <w:r w:rsidRPr="000C7CFA">
              <w:rPr>
                <w:rFonts w:ascii="Verdana" w:hAnsi="Verdana"/>
                <w:color w:val="000000"/>
                <w:sz w:val="18"/>
                <w:szCs w:val="18"/>
                <w:lang w:val="en-GB" w:eastAsia="en-GB"/>
              </w:rPr>
              <w:t>Baie des Sables, Matane, Quebec, Canada; 2007 and 2008</w:t>
            </w:r>
          </w:p>
          <w:p w14:paraId="08407A73" w14:textId="77777777" w:rsidR="0000000F" w:rsidRPr="000C7CFA" w:rsidRDefault="0000000F" w:rsidP="00704CE9">
            <w:pPr>
              <w:autoSpaceDE w:val="0"/>
              <w:autoSpaceDN w:val="0"/>
              <w:adjustRightInd w:val="0"/>
              <w:spacing w:after="0"/>
              <w:rPr>
                <w:rFonts w:ascii="Verdana" w:hAnsi="Verdana"/>
                <w:color w:val="000000"/>
                <w:sz w:val="18"/>
                <w:szCs w:val="18"/>
                <w:lang w:val="en-GB" w:eastAsia="en-GB"/>
              </w:rPr>
            </w:pPr>
          </w:p>
          <w:p w14:paraId="2CA63963"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 xml:space="preserve">Young yellow eels (n=10) </w:t>
            </w:r>
            <w:r w:rsidRPr="000C7CFA">
              <w:rPr>
                <w:rFonts w:ascii="Verdana" w:hAnsi="Verdana"/>
                <w:color w:val="000000"/>
                <w:sz w:val="18"/>
                <w:szCs w:val="18"/>
                <w:lang w:val="en-GB" w:eastAsia="en-GB"/>
              </w:rPr>
              <w:t>from the Saint Lawrence River, Canada; 2007 and 2008</w:t>
            </w:r>
          </w:p>
          <w:p w14:paraId="7FF459DC" w14:textId="77777777" w:rsidR="0000000F" w:rsidRPr="000C7CFA" w:rsidRDefault="0000000F" w:rsidP="00704CE9">
            <w:pPr>
              <w:autoSpaceDE w:val="0"/>
              <w:autoSpaceDN w:val="0"/>
              <w:adjustRightInd w:val="0"/>
              <w:spacing w:after="0"/>
              <w:rPr>
                <w:rFonts w:ascii="Verdana" w:hAnsi="Verdana"/>
                <w:sz w:val="18"/>
                <w:szCs w:val="18"/>
                <w:lang w:val="en-GB" w:eastAsia="en-GB"/>
              </w:rPr>
            </w:pPr>
          </w:p>
          <w:p w14:paraId="5C285763"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Yellow eels (n=15, muscle)</w:t>
            </w:r>
            <w:r w:rsidRPr="000C7CFA">
              <w:rPr>
                <w:rFonts w:ascii="Verdana" w:hAnsi="Verdana"/>
                <w:color w:val="000000"/>
                <w:sz w:val="18"/>
                <w:szCs w:val="18"/>
                <w:lang w:val="en-GB" w:eastAsia="en-GB"/>
              </w:rPr>
              <w:t xml:space="preserve"> from Lake Ontario and the upper Saint Lawrence River, Canada; 2007 and 2008</w:t>
            </w:r>
          </w:p>
          <w:p w14:paraId="12AD6495" w14:textId="77777777" w:rsidR="0000000F" w:rsidRPr="000C7CFA" w:rsidRDefault="0000000F" w:rsidP="00704CE9">
            <w:pPr>
              <w:autoSpaceDE w:val="0"/>
              <w:autoSpaceDN w:val="0"/>
              <w:adjustRightInd w:val="0"/>
              <w:spacing w:after="0"/>
              <w:rPr>
                <w:rFonts w:ascii="Verdana" w:hAnsi="Verdana"/>
                <w:sz w:val="18"/>
                <w:szCs w:val="18"/>
                <w:lang w:val="en-GB" w:eastAsia="en-GB"/>
              </w:rPr>
            </w:pPr>
          </w:p>
          <w:p w14:paraId="20F86606" w14:textId="77777777" w:rsidR="0000000F" w:rsidRPr="000C7CFA" w:rsidRDefault="0000000F" w:rsidP="00704CE9">
            <w:pPr>
              <w:pStyle w:val="Default"/>
              <w:spacing w:after="180"/>
              <w:rPr>
                <w:rFonts w:ascii="Verdana" w:hAnsi="Verdana"/>
                <w:sz w:val="18"/>
                <w:szCs w:val="18"/>
              </w:rPr>
            </w:pPr>
            <w:r w:rsidRPr="000C7CFA">
              <w:rPr>
                <w:rFonts w:ascii="Verdana" w:hAnsi="Verdana"/>
                <w:sz w:val="18"/>
                <w:szCs w:val="18"/>
              </w:rPr>
              <w:t>Silver eels from Lake Ontario, Canada; 2007 and 2008</w:t>
            </w:r>
          </w:p>
        </w:tc>
        <w:tc>
          <w:tcPr>
            <w:tcW w:w="1843" w:type="dxa"/>
            <w:tcBorders>
              <w:top w:val="single" w:sz="4" w:space="0" w:color="auto"/>
              <w:left w:val="single" w:sz="4" w:space="0" w:color="auto"/>
              <w:right w:val="single" w:sz="4" w:space="0" w:color="auto"/>
            </w:tcBorders>
          </w:tcPr>
          <w:p w14:paraId="746EA900"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Anti-DP: 0.017</w:t>
            </w:r>
          </w:p>
          <w:p w14:paraId="54566760"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Syn-DP: 0.0053</w:t>
            </w:r>
          </w:p>
        </w:tc>
        <w:tc>
          <w:tcPr>
            <w:tcW w:w="2976" w:type="dxa"/>
            <w:tcBorders>
              <w:top w:val="single" w:sz="4" w:space="0" w:color="auto"/>
              <w:left w:val="single" w:sz="4" w:space="0" w:color="auto"/>
              <w:right w:val="single" w:sz="4" w:space="0" w:color="auto"/>
            </w:tcBorders>
          </w:tcPr>
          <w:p w14:paraId="11C8A9D1" w14:textId="77777777" w:rsidR="0000000F" w:rsidRPr="000C7CFA" w:rsidRDefault="0000000F" w:rsidP="00704CE9">
            <w:pPr>
              <w:pStyle w:val="Tabletext"/>
              <w:spacing w:before="0" w:after="0"/>
              <w:rPr>
                <w:rFonts w:ascii="Verdana" w:hAnsi="Verdana"/>
                <w:color w:val="000000"/>
                <w:sz w:val="18"/>
                <w:szCs w:val="18"/>
                <w:lang w:val="en-GB" w:eastAsia="en-GB"/>
              </w:rPr>
            </w:pPr>
            <w:r w:rsidRPr="000C7CFA">
              <w:rPr>
                <w:rFonts w:ascii="Verdana" w:hAnsi="Verdana"/>
                <w:color w:val="000000"/>
                <w:sz w:val="18"/>
                <w:szCs w:val="18"/>
                <w:lang w:val="en-GB" w:eastAsia="en-GB"/>
              </w:rPr>
              <w:t>Detected in all life stages. Total isomer concentrations were:</w:t>
            </w:r>
          </w:p>
          <w:p w14:paraId="5A276588" w14:textId="77777777" w:rsidR="0000000F" w:rsidRPr="000C7CFA" w:rsidRDefault="0000000F" w:rsidP="00704CE9">
            <w:pPr>
              <w:pStyle w:val="Tabletext"/>
              <w:spacing w:before="0" w:after="0"/>
              <w:rPr>
                <w:rFonts w:ascii="Verdana" w:hAnsi="Verdana"/>
                <w:sz w:val="18"/>
                <w:szCs w:val="18"/>
                <w:lang w:val="en-GB"/>
              </w:rPr>
            </w:pPr>
          </w:p>
          <w:p w14:paraId="346EEB7F"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Glass eels: &lt;0.02 µg/kg ww</w:t>
            </w:r>
          </w:p>
          <w:p w14:paraId="1E4D3FDB" w14:textId="77777777" w:rsidR="0000000F" w:rsidRPr="000C7CFA" w:rsidRDefault="0000000F" w:rsidP="00704CE9">
            <w:pPr>
              <w:pStyle w:val="Tabletext"/>
              <w:spacing w:before="0" w:after="0"/>
              <w:rPr>
                <w:rFonts w:ascii="Verdana" w:hAnsi="Verdana"/>
                <w:sz w:val="18"/>
                <w:szCs w:val="18"/>
                <w:lang w:val="en-GB"/>
              </w:rPr>
            </w:pPr>
          </w:p>
          <w:p w14:paraId="14976A6F"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Young yellow eels: 0.10–0.69 µg/kg ww</w:t>
            </w:r>
          </w:p>
          <w:p w14:paraId="0FDAEECE"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[1.7 ± 0.92 µg/kg lw]</w:t>
            </w:r>
          </w:p>
          <w:p w14:paraId="5D081D71" w14:textId="77777777" w:rsidR="0000000F" w:rsidRPr="000C7CFA" w:rsidRDefault="0000000F" w:rsidP="00704CE9">
            <w:pPr>
              <w:pStyle w:val="Tabletext"/>
              <w:spacing w:before="0" w:after="0"/>
              <w:rPr>
                <w:rFonts w:ascii="Verdana" w:hAnsi="Verdana"/>
                <w:sz w:val="18"/>
                <w:szCs w:val="18"/>
                <w:lang w:val="en-GB"/>
              </w:rPr>
            </w:pPr>
          </w:p>
          <w:p w14:paraId="1B5E5244"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Yellow eels: 0.19 ± 0.086 to 0.29 ± 0.20 µg/kg ww</w:t>
            </w:r>
          </w:p>
          <w:p w14:paraId="0C86C8DB"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[0.90 ± 0.41 to 0.17±0.19 µg/kg lw]</w:t>
            </w:r>
          </w:p>
          <w:p w14:paraId="29D43E58" w14:textId="77777777" w:rsidR="0000000F" w:rsidRPr="000C7CFA" w:rsidRDefault="0000000F" w:rsidP="00704CE9">
            <w:pPr>
              <w:pStyle w:val="Tabletext"/>
              <w:spacing w:before="0" w:after="0"/>
              <w:rPr>
                <w:rFonts w:ascii="Verdana" w:hAnsi="Verdana"/>
                <w:sz w:val="18"/>
                <w:szCs w:val="18"/>
                <w:lang w:val="en-GB"/>
              </w:rPr>
            </w:pPr>
          </w:p>
          <w:p w14:paraId="4E688611"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Silver eels: 0.067 ± 0.048 µg/kg lw</w:t>
            </w:r>
          </w:p>
          <w:p w14:paraId="1AEC1AB0" w14:textId="77777777" w:rsidR="0000000F" w:rsidRPr="000C7CFA" w:rsidRDefault="0000000F" w:rsidP="00704CE9">
            <w:pPr>
              <w:pStyle w:val="Tabletext"/>
              <w:spacing w:before="0" w:after="0"/>
              <w:rPr>
                <w:rFonts w:ascii="Verdana" w:hAnsi="Verdana"/>
                <w:sz w:val="18"/>
                <w:szCs w:val="18"/>
                <w:lang w:val="en-GB"/>
              </w:rPr>
            </w:pPr>
          </w:p>
          <w:p w14:paraId="6EC8839D"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DPMA was detected</w:t>
            </w:r>
            <w:r w:rsidRPr="000C7CFA">
              <w:rPr>
                <w:rFonts w:ascii="Verdana" w:hAnsi="Verdana"/>
                <w:sz w:val="18"/>
                <w:szCs w:val="18"/>
                <w:lang w:val="en-GB" w:eastAsia="en-GB"/>
              </w:rPr>
              <w:t xml:space="preserve"> in yellow and silver eels from the same area.</w:t>
            </w:r>
          </w:p>
        </w:tc>
        <w:tc>
          <w:tcPr>
            <w:tcW w:w="2552" w:type="dxa"/>
            <w:tcBorders>
              <w:top w:val="single" w:sz="4" w:space="0" w:color="auto"/>
              <w:left w:val="single" w:sz="4" w:space="0" w:color="auto"/>
              <w:right w:val="single" w:sz="4" w:space="0" w:color="auto"/>
            </w:tcBorders>
          </w:tcPr>
          <w:p w14:paraId="1D6E0849"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Analysis by GC-MS.</w:t>
            </w:r>
          </w:p>
          <w:p w14:paraId="2140A1E0" w14:textId="77777777" w:rsidR="0000000F" w:rsidRPr="000C7CFA" w:rsidRDefault="0000000F" w:rsidP="00704CE9">
            <w:pPr>
              <w:spacing w:after="0"/>
              <w:rPr>
                <w:rFonts w:ascii="Verdana" w:hAnsi="Verdana"/>
                <w:sz w:val="18"/>
                <w:szCs w:val="18"/>
                <w:lang w:val="en-GB"/>
              </w:rPr>
            </w:pPr>
          </w:p>
          <w:p w14:paraId="478EE18C"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Levels were similar to European Eels, and probably reflect point source as well as diffuse exposure.</w:t>
            </w:r>
          </w:p>
          <w:p w14:paraId="4F6F8329" w14:textId="77777777" w:rsidR="0000000F" w:rsidRPr="000C7CFA" w:rsidRDefault="0000000F" w:rsidP="00704CE9">
            <w:pPr>
              <w:autoSpaceDE w:val="0"/>
              <w:autoSpaceDN w:val="0"/>
              <w:adjustRightInd w:val="0"/>
              <w:spacing w:after="0"/>
              <w:rPr>
                <w:rFonts w:ascii="Verdana" w:hAnsi="Verdana"/>
                <w:color w:val="000000"/>
                <w:sz w:val="18"/>
                <w:szCs w:val="18"/>
                <w:lang w:val="en-GB" w:eastAsia="en-GB"/>
              </w:rPr>
            </w:pPr>
          </w:p>
          <w:p w14:paraId="0407AACB" w14:textId="6F1F4B4E" w:rsidR="0000000F" w:rsidRPr="000C7CFA" w:rsidRDefault="0000000F" w:rsidP="00704CE9">
            <w:pPr>
              <w:pStyle w:val="Tabletext"/>
              <w:spacing w:before="0" w:after="0"/>
              <w:rPr>
                <w:rFonts w:ascii="Verdana" w:hAnsi="Verdana"/>
                <w:sz w:val="18"/>
                <w:szCs w:val="18"/>
                <w:lang w:val="en-GB"/>
              </w:rPr>
            </w:pPr>
            <w:r w:rsidRPr="000C7CFA">
              <w:rPr>
                <w:rFonts w:ascii="Verdana" w:hAnsi="Verdana"/>
                <w:color w:val="000000"/>
                <w:sz w:val="18"/>
                <w:szCs w:val="18"/>
                <w:lang w:val="en-GB" w:eastAsia="en-GB"/>
              </w:rPr>
              <w:t>The isomer ratio changes over the life cycle. The syn- isomer predominates (&gt;70%) in yellow eels, but its contribution drops to 4</w:t>
            </w:r>
            <w:r w:rsidR="00AF7606" w:rsidRPr="000C7CFA">
              <w:rPr>
                <w:rFonts w:ascii="Verdana" w:hAnsi="Verdana"/>
                <w:color w:val="000000"/>
                <w:sz w:val="18"/>
                <w:szCs w:val="18"/>
                <w:lang w:val="en-GB" w:eastAsia="en-GB"/>
              </w:rPr>
              <w:t>4 %</w:t>
            </w:r>
            <w:r w:rsidRPr="000C7CFA">
              <w:rPr>
                <w:rFonts w:ascii="Verdana" w:hAnsi="Verdana"/>
                <w:color w:val="000000"/>
                <w:sz w:val="18"/>
                <w:szCs w:val="18"/>
                <w:lang w:val="en-GB" w:eastAsia="en-GB"/>
              </w:rPr>
              <w:t xml:space="preserve"> in silver (fully adult) eels that have stopped feeding.</w:t>
            </w:r>
          </w:p>
        </w:tc>
        <w:tc>
          <w:tcPr>
            <w:tcW w:w="1249" w:type="dxa"/>
            <w:tcBorders>
              <w:top w:val="single" w:sz="4" w:space="0" w:color="auto"/>
              <w:left w:val="single" w:sz="4" w:space="0" w:color="auto"/>
            </w:tcBorders>
          </w:tcPr>
          <w:p w14:paraId="352FDAA1" w14:textId="77777777" w:rsidR="0000000F" w:rsidRPr="000C7CFA" w:rsidRDefault="0000000F" w:rsidP="00704CE9">
            <w:pPr>
              <w:pStyle w:val="Tabletext"/>
              <w:spacing w:before="0" w:after="0"/>
              <w:rPr>
                <w:rFonts w:ascii="Verdana" w:eastAsia="Calibri" w:hAnsi="Verdana"/>
                <w:sz w:val="18"/>
                <w:szCs w:val="18"/>
                <w:lang w:val="en-GB"/>
              </w:rPr>
            </w:pPr>
            <w:r w:rsidRPr="000C7CFA">
              <w:rPr>
                <w:rFonts w:ascii="Verdana" w:hAnsi="Verdana"/>
                <w:sz w:val="18"/>
                <w:szCs w:val="18"/>
                <w:lang w:val="fr-FR"/>
              </w:rPr>
              <w:t xml:space="preserve">Sühring </w:t>
            </w:r>
            <w:r w:rsidRPr="000C7CFA">
              <w:rPr>
                <w:rFonts w:ascii="Verdana" w:hAnsi="Verdana"/>
                <w:i/>
                <w:sz w:val="18"/>
                <w:szCs w:val="18"/>
                <w:lang w:val="fr-FR"/>
              </w:rPr>
              <w:t>et al</w:t>
            </w:r>
            <w:r w:rsidRPr="000C7CFA">
              <w:rPr>
                <w:rFonts w:ascii="Verdana" w:hAnsi="Verdana"/>
                <w:sz w:val="18"/>
                <w:szCs w:val="18"/>
                <w:lang w:val="fr-FR"/>
              </w:rPr>
              <w:t xml:space="preserve">. (2014) &amp; Byer </w:t>
            </w:r>
            <w:r w:rsidRPr="000C7CFA">
              <w:rPr>
                <w:rFonts w:ascii="Verdana" w:hAnsi="Verdana"/>
                <w:i/>
                <w:sz w:val="18"/>
                <w:szCs w:val="18"/>
                <w:lang w:val="fr-FR"/>
              </w:rPr>
              <w:t>et al</w:t>
            </w:r>
            <w:r w:rsidRPr="000C7CFA">
              <w:rPr>
                <w:rFonts w:ascii="Verdana" w:hAnsi="Verdana"/>
                <w:sz w:val="18"/>
                <w:szCs w:val="18"/>
                <w:lang w:val="fr-FR"/>
              </w:rPr>
              <w:t xml:space="preserve">. </w:t>
            </w:r>
            <w:r w:rsidRPr="000C7CFA">
              <w:rPr>
                <w:rFonts w:ascii="Verdana" w:hAnsi="Verdana"/>
                <w:sz w:val="18"/>
                <w:szCs w:val="18"/>
                <w:lang w:val="en-GB"/>
              </w:rPr>
              <w:t>(2013)</w:t>
            </w:r>
          </w:p>
        </w:tc>
      </w:tr>
      <w:tr w:rsidR="0000000F" w:rsidRPr="000C7CFA" w14:paraId="45DB6C25" w14:textId="77777777" w:rsidTr="00D323EC">
        <w:trPr>
          <w:cantSplit/>
          <w:trHeight w:val="2602"/>
        </w:trPr>
        <w:tc>
          <w:tcPr>
            <w:tcW w:w="1928" w:type="dxa"/>
            <w:tcBorders>
              <w:top w:val="single" w:sz="4" w:space="0" w:color="auto"/>
              <w:right w:val="single" w:sz="4" w:space="0" w:color="auto"/>
            </w:tcBorders>
          </w:tcPr>
          <w:p w14:paraId="30061140"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lastRenderedPageBreak/>
              <w:t xml:space="preserve">Perch </w:t>
            </w:r>
          </w:p>
          <w:p w14:paraId="73D097DE"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w:t>
            </w:r>
            <w:r w:rsidRPr="000C7CFA">
              <w:rPr>
                <w:rFonts w:ascii="Verdana" w:hAnsi="Verdana"/>
                <w:i/>
                <w:sz w:val="18"/>
                <w:szCs w:val="18"/>
                <w:lang w:val="en-GB"/>
              </w:rPr>
              <w:t>Perca fluviatilis</w:t>
            </w:r>
            <w:r w:rsidRPr="000C7CFA">
              <w:rPr>
                <w:rFonts w:ascii="Verdana" w:hAnsi="Verdana"/>
                <w:sz w:val="18"/>
                <w:szCs w:val="18"/>
                <w:lang w:val="en-GB"/>
              </w:rPr>
              <w:t>)</w:t>
            </w:r>
          </w:p>
        </w:tc>
        <w:tc>
          <w:tcPr>
            <w:tcW w:w="1068" w:type="dxa"/>
            <w:tcBorders>
              <w:top w:val="single" w:sz="4" w:space="0" w:color="auto"/>
              <w:left w:val="single" w:sz="4" w:space="0" w:color="auto"/>
              <w:right w:val="single" w:sz="4" w:space="0" w:color="auto"/>
            </w:tcBorders>
          </w:tcPr>
          <w:p w14:paraId="245F14C3"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Muscle</w:t>
            </w:r>
          </w:p>
        </w:tc>
        <w:tc>
          <w:tcPr>
            <w:tcW w:w="2391" w:type="dxa"/>
            <w:tcBorders>
              <w:top w:val="single" w:sz="4" w:space="0" w:color="auto"/>
              <w:left w:val="single" w:sz="4" w:space="0" w:color="auto"/>
              <w:right w:val="single" w:sz="4" w:space="0" w:color="auto"/>
            </w:tcBorders>
          </w:tcPr>
          <w:p w14:paraId="6EAC5314"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One composite sample from Helsinki (Old City Bay) and five composite samples from Pyhäjärvi, Tampere. Finland (6–10 individuals per composite) (sampling date not stated).</w:t>
            </w:r>
          </w:p>
          <w:p w14:paraId="63FC2917" w14:textId="77777777" w:rsidR="0000000F" w:rsidRPr="000C7CFA" w:rsidRDefault="0000000F" w:rsidP="00704CE9">
            <w:pPr>
              <w:pStyle w:val="Tabletext"/>
              <w:spacing w:before="0" w:after="0"/>
              <w:rPr>
                <w:rFonts w:ascii="Verdana" w:hAnsi="Verdana"/>
                <w:sz w:val="18"/>
                <w:szCs w:val="18"/>
                <w:lang w:val="en-GB"/>
              </w:rPr>
            </w:pPr>
          </w:p>
          <w:p w14:paraId="5BC136E3"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Two locations (Riddarfjärden and Stora Essingen) at Lake Mälaren, Stockholm, Sweden (sampling date not stated).</w:t>
            </w:r>
          </w:p>
        </w:tc>
        <w:tc>
          <w:tcPr>
            <w:tcW w:w="1843" w:type="dxa"/>
            <w:tcBorders>
              <w:top w:val="single" w:sz="4" w:space="0" w:color="auto"/>
              <w:left w:val="single" w:sz="4" w:space="0" w:color="auto"/>
              <w:right w:val="single" w:sz="4" w:space="0" w:color="auto"/>
            </w:tcBorders>
          </w:tcPr>
          <w:p w14:paraId="1E639302"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 xml:space="preserve">Anti-DP: 0.001-0.003 </w:t>
            </w:r>
          </w:p>
          <w:p w14:paraId="6D0B86D2" w14:textId="77777777" w:rsidR="0000000F" w:rsidRPr="000C7CFA" w:rsidRDefault="0000000F" w:rsidP="00704CE9">
            <w:pPr>
              <w:pStyle w:val="Tabletext"/>
              <w:jc w:val="center"/>
              <w:rPr>
                <w:rFonts w:ascii="Verdana" w:hAnsi="Verdana"/>
                <w:sz w:val="18"/>
                <w:szCs w:val="18"/>
                <w:lang w:val="en-GB"/>
              </w:rPr>
            </w:pPr>
            <w:r w:rsidRPr="000C7CFA">
              <w:rPr>
                <w:rFonts w:ascii="Verdana" w:hAnsi="Verdana"/>
                <w:sz w:val="18"/>
                <w:szCs w:val="18"/>
                <w:lang w:val="en-GB"/>
              </w:rPr>
              <w:t>Syn-DP: 0.002- 0.004</w:t>
            </w:r>
          </w:p>
        </w:tc>
        <w:tc>
          <w:tcPr>
            <w:tcW w:w="2976" w:type="dxa"/>
            <w:tcBorders>
              <w:top w:val="single" w:sz="4" w:space="0" w:color="auto"/>
              <w:left w:val="single" w:sz="4" w:space="0" w:color="auto"/>
              <w:right w:val="single" w:sz="4" w:space="0" w:color="auto"/>
            </w:tcBorders>
          </w:tcPr>
          <w:p w14:paraId="6E4010FC"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Finnish sites:</w:t>
            </w:r>
          </w:p>
          <w:p w14:paraId="2AD88690"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Anti-DP: 0.0011 &amp; 0.0030 μg/kg ww in two composite samples, all others below LoD</w:t>
            </w:r>
          </w:p>
          <w:p w14:paraId="4FAF1542"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Syn-DP: 0.0038 μg/kg ww in one composite sample, all others below LoD.</w:t>
            </w:r>
          </w:p>
          <w:p w14:paraId="0ACF61BE" w14:textId="77777777" w:rsidR="0000000F" w:rsidRPr="000C7CFA" w:rsidRDefault="0000000F" w:rsidP="00704CE9">
            <w:pPr>
              <w:pStyle w:val="Tabletext"/>
              <w:spacing w:before="0" w:after="0"/>
              <w:rPr>
                <w:rFonts w:ascii="Verdana" w:hAnsi="Verdana"/>
                <w:sz w:val="18"/>
                <w:szCs w:val="18"/>
                <w:lang w:val="en-GB"/>
              </w:rPr>
            </w:pPr>
          </w:p>
          <w:p w14:paraId="50E5648E"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Swedish site: Neither isomer was above the LoD (no. of samples not stated).</w:t>
            </w:r>
          </w:p>
        </w:tc>
        <w:tc>
          <w:tcPr>
            <w:tcW w:w="2552" w:type="dxa"/>
            <w:tcBorders>
              <w:top w:val="single" w:sz="4" w:space="0" w:color="auto"/>
              <w:left w:val="single" w:sz="4" w:space="0" w:color="auto"/>
              <w:right w:val="single" w:sz="4" w:space="0" w:color="auto"/>
            </w:tcBorders>
          </w:tcPr>
          <w:p w14:paraId="0B4F6DB6"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Analysis by GC-MS.</w:t>
            </w:r>
          </w:p>
          <w:p w14:paraId="01309598"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The sites are in urban areas.</w:t>
            </w:r>
          </w:p>
        </w:tc>
        <w:tc>
          <w:tcPr>
            <w:tcW w:w="1249" w:type="dxa"/>
            <w:tcBorders>
              <w:top w:val="single" w:sz="4" w:space="0" w:color="auto"/>
              <w:left w:val="single" w:sz="4" w:space="0" w:color="auto"/>
            </w:tcBorders>
          </w:tcPr>
          <w:p w14:paraId="3FE79DB8"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 xml:space="preserve">Schlabach </w:t>
            </w:r>
            <w:r w:rsidRPr="000C7CFA">
              <w:rPr>
                <w:rFonts w:ascii="Verdana" w:hAnsi="Verdana"/>
                <w:i/>
                <w:sz w:val="18"/>
                <w:szCs w:val="18"/>
                <w:lang w:val="en-GB"/>
              </w:rPr>
              <w:t>et al</w:t>
            </w:r>
            <w:r w:rsidRPr="000C7CFA">
              <w:rPr>
                <w:rFonts w:ascii="Verdana" w:hAnsi="Verdana"/>
                <w:sz w:val="18"/>
                <w:szCs w:val="18"/>
                <w:lang w:val="en-GB"/>
              </w:rPr>
              <w:t>. (2011)</w:t>
            </w:r>
          </w:p>
          <w:p w14:paraId="339A69D9" w14:textId="77777777" w:rsidR="0000000F" w:rsidRPr="000C7CFA" w:rsidRDefault="0000000F" w:rsidP="00704CE9">
            <w:pPr>
              <w:pStyle w:val="Tabletext"/>
              <w:spacing w:before="0" w:after="0"/>
              <w:rPr>
                <w:rFonts w:ascii="Verdana" w:eastAsia="Calibri" w:hAnsi="Verdana"/>
                <w:sz w:val="18"/>
                <w:szCs w:val="18"/>
                <w:lang w:val="en-GB"/>
              </w:rPr>
            </w:pPr>
          </w:p>
        </w:tc>
      </w:tr>
      <w:tr w:rsidR="0000000F" w:rsidRPr="000C7CFA" w14:paraId="32AAE39D" w14:textId="77777777" w:rsidTr="00D323EC">
        <w:trPr>
          <w:cantSplit/>
          <w:trHeight w:val="781"/>
        </w:trPr>
        <w:tc>
          <w:tcPr>
            <w:tcW w:w="1928" w:type="dxa"/>
            <w:tcBorders>
              <w:top w:val="single" w:sz="4" w:space="0" w:color="auto"/>
              <w:bottom w:val="single" w:sz="4" w:space="0" w:color="auto"/>
              <w:right w:val="single" w:sz="4" w:space="0" w:color="auto"/>
            </w:tcBorders>
          </w:tcPr>
          <w:p w14:paraId="0DD097C5"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Arctic Char (</w:t>
            </w:r>
            <w:r w:rsidRPr="000C7CFA">
              <w:rPr>
                <w:rFonts w:ascii="Verdana" w:hAnsi="Verdana"/>
                <w:i/>
                <w:sz w:val="18"/>
                <w:szCs w:val="18"/>
                <w:lang w:val="en-GB"/>
              </w:rPr>
              <w:t>Salvelinus alpinus</w:t>
            </w:r>
            <w:r w:rsidRPr="000C7CFA">
              <w:rPr>
                <w:rFonts w:ascii="Verdana" w:hAnsi="Verdana"/>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165B0941"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Muscle</w:t>
            </w:r>
          </w:p>
        </w:tc>
        <w:tc>
          <w:tcPr>
            <w:tcW w:w="2391" w:type="dxa"/>
            <w:tcBorders>
              <w:top w:val="single" w:sz="4" w:space="0" w:color="auto"/>
              <w:left w:val="single" w:sz="4" w:space="0" w:color="auto"/>
              <w:bottom w:val="single" w:sz="4" w:space="0" w:color="auto"/>
              <w:right w:val="single" w:sz="4" w:space="0" w:color="auto"/>
            </w:tcBorders>
          </w:tcPr>
          <w:p w14:paraId="3D7ECE4B" w14:textId="77777777" w:rsidR="0000000F" w:rsidRPr="000C7CFA" w:rsidRDefault="0000000F" w:rsidP="00704CE9">
            <w:pPr>
              <w:pStyle w:val="Default"/>
              <w:rPr>
                <w:rFonts w:ascii="Verdana" w:hAnsi="Verdana"/>
                <w:sz w:val="18"/>
                <w:szCs w:val="18"/>
              </w:rPr>
            </w:pPr>
            <w:proofErr w:type="gramStart"/>
            <w:r w:rsidRPr="000C7CFA">
              <w:rPr>
                <w:rFonts w:ascii="Verdana" w:hAnsi="Verdana"/>
                <w:sz w:val="18"/>
                <w:szCs w:val="18"/>
              </w:rPr>
              <w:t>á</w:t>
            </w:r>
            <w:proofErr w:type="gramEnd"/>
            <w:r w:rsidRPr="000C7CFA">
              <w:rPr>
                <w:rFonts w:ascii="Verdana" w:hAnsi="Verdana"/>
                <w:sz w:val="18"/>
                <w:szCs w:val="18"/>
              </w:rPr>
              <w:t xml:space="preserve"> Mýranar lake, Faroe Islands (sampling date not stated).</w:t>
            </w:r>
          </w:p>
          <w:p w14:paraId="44BCD841" w14:textId="77777777" w:rsidR="0000000F" w:rsidRPr="000C7CFA" w:rsidRDefault="0000000F" w:rsidP="00704CE9">
            <w:pPr>
              <w:pStyle w:val="Default"/>
              <w:rPr>
                <w:rFonts w:ascii="Verdana" w:hAnsi="Verdana"/>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BC11A9F"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explicitly stated, but presumably 0.003/4 for both isomers</w:t>
            </w:r>
          </w:p>
        </w:tc>
        <w:tc>
          <w:tcPr>
            <w:tcW w:w="2976" w:type="dxa"/>
            <w:tcBorders>
              <w:top w:val="single" w:sz="4" w:space="0" w:color="auto"/>
              <w:left w:val="single" w:sz="4" w:space="0" w:color="auto"/>
              <w:bottom w:val="single" w:sz="4" w:space="0" w:color="auto"/>
              <w:right w:val="single" w:sz="4" w:space="0" w:color="auto"/>
            </w:tcBorders>
          </w:tcPr>
          <w:p w14:paraId="5A26F38B"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12 fish analysed as a pooled sample. Neither isomer was above the LoD.</w:t>
            </w:r>
          </w:p>
        </w:tc>
        <w:tc>
          <w:tcPr>
            <w:tcW w:w="2552" w:type="dxa"/>
            <w:tcBorders>
              <w:top w:val="single" w:sz="4" w:space="0" w:color="auto"/>
              <w:left w:val="single" w:sz="4" w:space="0" w:color="auto"/>
              <w:bottom w:val="single" w:sz="4" w:space="0" w:color="auto"/>
              <w:right w:val="single" w:sz="4" w:space="0" w:color="auto"/>
            </w:tcBorders>
          </w:tcPr>
          <w:p w14:paraId="2359F4AA"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Analysis by GC-MS.</w:t>
            </w:r>
          </w:p>
          <w:p w14:paraId="4D0BD714"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Site is remote from human activity.</w:t>
            </w:r>
          </w:p>
          <w:p w14:paraId="5A46F261" w14:textId="77777777" w:rsidR="0000000F" w:rsidRPr="000C7CFA" w:rsidRDefault="0000000F" w:rsidP="00704CE9">
            <w:pPr>
              <w:pStyle w:val="Tabletext"/>
              <w:spacing w:before="0" w:after="0"/>
              <w:rPr>
                <w:rFonts w:ascii="Verdana" w:hAnsi="Verdana"/>
                <w:sz w:val="18"/>
                <w:szCs w:val="18"/>
                <w:lang w:val="en-GB"/>
              </w:rPr>
            </w:pPr>
          </w:p>
        </w:tc>
        <w:tc>
          <w:tcPr>
            <w:tcW w:w="1249" w:type="dxa"/>
            <w:tcBorders>
              <w:top w:val="single" w:sz="4" w:space="0" w:color="auto"/>
              <w:left w:val="single" w:sz="4" w:space="0" w:color="auto"/>
              <w:bottom w:val="single" w:sz="4" w:space="0" w:color="auto"/>
            </w:tcBorders>
          </w:tcPr>
          <w:p w14:paraId="6ECD6474"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 xml:space="preserve">Schlabach </w:t>
            </w:r>
            <w:r w:rsidRPr="000C7CFA">
              <w:rPr>
                <w:rFonts w:ascii="Verdana" w:hAnsi="Verdana"/>
                <w:i/>
                <w:sz w:val="18"/>
                <w:szCs w:val="18"/>
                <w:lang w:val="en-GB"/>
              </w:rPr>
              <w:t>et al</w:t>
            </w:r>
            <w:r w:rsidRPr="000C7CFA">
              <w:rPr>
                <w:rFonts w:ascii="Verdana" w:hAnsi="Verdana"/>
                <w:sz w:val="18"/>
                <w:szCs w:val="18"/>
                <w:lang w:val="en-GB"/>
              </w:rPr>
              <w:t>. (2011)</w:t>
            </w:r>
          </w:p>
          <w:p w14:paraId="5893A196" w14:textId="77777777" w:rsidR="0000000F" w:rsidRPr="000C7CFA" w:rsidRDefault="0000000F" w:rsidP="00704CE9">
            <w:pPr>
              <w:pStyle w:val="Tabletext"/>
              <w:spacing w:before="0" w:after="0"/>
              <w:rPr>
                <w:rFonts w:ascii="Verdana" w:eastAsia="Calibri" w:hAnsi="Verdana"/>
                <w:sz w:val="18"/>
                <w:szCs w:val="18"/>
                <w:lang w:val="en-GB"/>
              </w:rPr>
            </w:pPr>
          </w:p>
        </w:tc>
      </w:tr>
      <w:tr w:rsidR="0000000F" w:rsidRPr="000C7CFA" w14:paraId="58647D78" w14:textId="77777777" w:rsidTr="00D323EC">
        <w:trPr>
          <w:cantSplit/>
          <w:trHeight w:val="781"/>
        </w:trPr>
        <w:tc>
          <w:tcPr>
            <w:tcW w:w="1928" w:type="dxa"/>
            <w:tcBorders>
              <w:top w:val="single" w:sz="4" w:space="0" w:color="auto"/>
              <w:bottom w:val="single" w:sz="4" w:space="0" w:color="auto"/>
              <w:right w:val="single" w:sz="4" w:space="0" w:color="auto"/>
            </w:tcBorders>
          </w:tcPr>
          <w:p w14:paraId="60EADBFE" w14:textId="77777777" w:rsidR="0000000F" w:rsidRPr="000C7CFA" w:rsidRDefault="0000000F"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r w:rsidRPr="000C7CFA">
              <w:rPr>
                <w:rFonts w:ascii="Verdana" w:hAnsi="Verdana"/>
                <w:sz w:val="18"/>
                <w:szCs w:val="18"/>
                <w:lang w:eastAsia="en-GB"/>
              </w:rPr>
              <w:lastRenderedPageBreak/>
              <w:t>Striped Bass (</w:t>
            </w:r>
            <w:r w:rsidRPr="000C7CFA">
              <w:rPr>
                <w:rFonts w:ascii="Verdana" w:hAnsi="Verdana"/>
                <w:i/>
                <w:iCs/>
                <w:sz w:val="18"/>
                <w:szCs w:val="18"/>
                <w:lang w:eastAsia="en-GB"/>
              </w:rPr>
              <w:t>Morone saxatilis</w:t>
            </w:r>
            <w:r w:rsidRPr="000C7CFA">
              <w:rPr>
                <w:rFonts w:ascii="Verdana" w:hAnsi="Verdana"/>
                <w:sz w:val="18"/>
                <w:szCs w:val="18"/>
                <w:lang w:eastAsia="en-GB"/>
              </w:rPr>
              <w:t>) (n=1)</w:t>
            </w:r>
          </w:p>
          <w:p w14:paraId="2D0696EF" w14:textId="77777777" w:rsidR="0000000F" w:rsidRPr="000C7CFA" w:rsidRDefault="0000000F"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p>
          <w:p w14:paraId="70D92BBC" w14:textId="77777777" w:rsidR="0000000F" w:rsidRPr="000C7CFA" w:rsidRDefault="0000000F"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r w:rsidRPr="000C7CFA">
              <w:rPr>
                <w:rFonts w:ascii="Verdana" w:hAnsi="Verdana"/>
                <w:sz w:val="18"/>
                <w:szCs w:val="18"/>
                <w:lang w:eastAsia="en-GB"/>
              </w:rPr>
              <w:t>Tilapia (</w:t>
            </w:r>
            <w:r w:rsidRPr="000C7CFA">
              <w:rPr>
                <w:rFonts w:ascii="Verdana" w:hAnsi="Verdana"/>
                <w:i/>
                <w:iCs/>
                <w:sz w:val="18"/>
                <w:szCs w:val="18"/>
                <w:lang w:eastAsia="en-GB"/>
              </w:rPr>
              <w:t>Oreochromis mossambicus</w:t>
            </w:r>
            <w:r w:rsidRPr="000C7CFA">
              <w:rPr>
                <w:rFonts w:ascii="Verdana" w:hAnsi="Verdana"/>
                <w:sz w:val="18"/>
                <w:szCs w:val="18"/>
                <w:lang w:eastAsia="en-GB"/>
              </w:rPr>
              <w:t>)] (n=1)</w:t>
            </w:r>
          </w:p>
          <w:p w14:paraId="566FAE20" w14:textId="77777777" w:rsidR="0000000F" w:rsidRPr="000C7CFA" w:rsidRDefault="0000000F"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p>
          <w:p w14:paraId="1577F1F2" w14:textId="77777777" w:rsidR="0000000F" w:rsidRPr="000C7CFA" w:rsidRDefault="0000000F"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r w:rsidRPr="000C7CFA">
              <w:rPr>
                <w:rFonts w:ascii="Verdana" w:hAnsi="Verdana"/>
                <w:sz w:val="18"/>
                <w:szCs w:val="18"/>
                <w:lang w:eastAsia="en-GB"/>
              </w:rPr>
              <w:t>Cod (</w:t>
            </w:r>
            <w:r w:rsidRPr="000C7CFA">
              <w:rPr>
                <w:rFonts w:ascii="Verdana" w:hAnsi="Verdana"/>
                <w:i/>
                <w:iCs/>
                <w:sz w:val="18"/>
                <w:szCs w:val="18"/>
                <w:lang w:eastAsia="en-GB"/>
              </w:rPr>
              <w:t>Gadus morhua</w:t>
            </w:r>
            <w:r w:rsidRPr="000C7CFA">
              <w:rPr>
                <w:rFonts w:ascii="Verdana" w:hAnsi="Verdana"/>
                <w:sz w:val="18"/>
                <w:szCs w:val="18"/>
                <w:lang w:eastAsia="en-GB"/>
              </w:rPr>
              <w:t>) (n=1)</w:t>
            </w:r>
          </w:p>
          <w:p w14:paraId="35898F1B" w14:textId="77777777" w:rsidR="0000000F" w:rsidRPr="000C7CFA" w:rsidRDefault="0000000F"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p>
          <w:p w14:paraId="7943CF81" w14:textId="77777777" w:rsidR="0000000F" w:rsidRPr="000C7CFA" w:rsidRDefault="0000000F"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r w:rsidRPr="000C7CFA">
              <w:rPr>
                <w:rFonts w:ascii="Verdana" w:hAnsi="Verdana"/>
                <w:sz w:val="18"/>
                <w:szCs w:val="18"/>
                <w:lang w:eastAsia="en-GB"/>
              </w:rPr>
              <w:t>Atlantic Salmon (</w:t>
            </w:r>
            <w:r w:rsidRPr="000C7CFA">
              <w:rPr>
                <w:rFonts w:ascii="Verdana" w:hAnsi="Verdana"/>
                <w:i/>
                <w:iCs/>
                <w:sz w:val="18"/>
                <w:szCs w:val="18"/>
                <w:lang w:eastAsia="en-GB"/>
              </w:rPr>
              <w:t>Salmo salar</w:t>
            </w:r>
            <w:r w:rsidRPr="000C7CFA">
              <w:rPr>
                <w:rFonts w:ascii="Verdana" w:hAnsi="Verdana"/>
                <w:sz w:val="18"/>
                <w:szCs w:val="18"/>
                <w:lang w:eastAsia="en-GB"/>
              </w:rPr>
              <w:t>)] (n=1)</w:t>
            </w:r>
          </w:p>
        </w:tc>
        <w:tc>
          <w:tcPr>
            <w:tcW w:w="1068" w:type="dxa"/>
            <w:tcBorders>
              <w:top w:val="single" w:sz="4" w:space="0" w:color="auto"/>
              <w:left w:val="single" w:sz="4" w:space="0" w:color="auto"/>
              <w:bottom w:val="single" w:sz="4" w:space="0" w:color="auto"/>
              <w:right w:val="single" w:sz="4" w:space="0" w:color="auto"/>
            </w:tcBorders>
          </w:tcPr>
          <w:p w14:paraId="397C79C1"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Muscle</w:t>
            </w:r>
          </w:p>
        </w:tc>
        <w:tc>
          <w:tcPr>
            <w:tcW w:w="2391" w:type="dxa"/>
            <w:tcBorders>
              <w:top w:val="single" w:sz="4" w:space="0" w:color="auto"/>
              <w:left w:val="single" w:sz="4" w:space="0" w:color="auto"/>
              <w:bottom w:val="single" w:sz="4" w:space="0" w:color="auto"/>
              <w:right w:val="single" w:sz="4" w:space="0" w:color="auto"/>
            </w:tcBorders>
          </w:tcPr>
          <w:p w14:paraId="7757BE8C" w14:textId="77777777" w:rsidR="0000000F" w:rsidRPr="000C7CFA" w:rsidRDefault="0000000F"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r w:rsidRPr="000C7CFA">
              <w:rPr>
                <w:rFonts w:ascii="Verdana" w:hAnsi="Verdana"/>
                <w:sz w:val="18"/>
                <w:szCs w:val="18"/>
                <w:lang w:eastAsia="en-GB"/>
              </w:rPr>
              <w:t>Two Supermarket in Chung-Li city, Taiwan (the cod and salmon were imported, the other two species were locally caught).</w:t>
            </w:r>
          </w:p>
          <w:p w14:paraId="7C35EE1A" w14:textId="77777777" w:rsidR="0000000F" w:rsidRPr="000C7CFA" w:rsidRDefault="0000000F" w:rsidP="00704CE9">
            <w:pPr>
              <w:pStyle w:val="Tabletext"/>
              <w:spacing w:before="0" w:after="0"/>
              <w:rPr>
                <w:rFonts w:ascii="Verdana" w:hAnsi="Verdana"/>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3BFC555B"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0.0003</w:t>
            </w:r>
            <w:r w:rsidRPr="000C7CFA">
              <w:rPr>
                <w:rFonts w:ascii="Verdana" w:hAnsi="Verdana"/>
                <w:sz w:val="18"/>
                <w:szCs w:val="18"/>
              </w:rPr>
              <w:t xml:space="preserve"> </w:t>
            </w:r>
            <w:r w:rsidRPr="000C7CFA">
              <w:rPr>
                <w:rFonts w:ascii="Verdana" w:hAnsi="Verdana"/>
                <w:sz w:val="18"/>
                <w:szCs w:val="18"/>
                <w:lang w:val="en-GB"/>
              </w:rPr>
              <w:t>μ</w:t>
            </w:r>
            <w:r w:rsidRPr="000C7CFA">
              <w:rPr>
                <w:rFonts w:ascii="Verdana" w:hAnsi="Verdana"/>
                <w:sz w:val="18"/>
                <w:szCs w:val="18"/>
              </w:rPr>
              <w:t>g/g lw (both isomers)</w:t>
            </w:r>
          </w:p>
        </w:tc>
        <w:tc>
          <w:tcPr>
            <w:tcW w:w="2976" w:type="dxa"/>
            <w:tcBorders>
              <w:top w:val="single" w:sz="4" w:space="0" w:color="auto"/>
              <w:left w:val="single" w:sz="4" w:space="0" w:color="auto"/>
              <w:bottom w:val="single" w:sz="4" w:space="0" w:color="auto"/>
              <w:right w:val="single" w:sz="4" w:space="0" w:color="auto"/>
            </w:tcBorders>
          </w:tcPr>
          <w:p w14:paraId="5A634BEA" w14:textId="77777777" w:rsidR="0000000F" w:rsidRPr="000C7CFA" w:rsidRDefault="0000000F" w:rsidP="00704CE9">
            <w:pPr>
              <w:spacing w:after="0"/>
              <w:ind w:left="33" w:hanging="33"/>
              <w:rPr>
                <w:rFonts w:ascii="Verdana" w:hAnsi="Verdana"/>
                <w:sz w:val="18"/>
                <w:szCs w:val="18"/>
                <w:lang w:val="en-GB"/>
              </w:rPr>
            </w:pPr>
            <w:r w:rsidRPr="000C7CFA">
              <w:rPr>
                <w:rFonts w:ascii="Verdana" w:hAnsi="Verdana"/>
                <w:sz w:val="18"/>
                <w:szCs w:val="18"/>
                <w:lang w:val="en-GB"/>
              </w:rPr>
              <w:t>Anti-DP: range 0.034 – 0.300 μg/kg lw</w:t>
            </w:r>
          </w:p>
          <w:p w14:paraId="2E643144" w14:textId="77777777" w:rsidR="0000000F" w:rsidRPr="000C7CFA" w:rsidRDefault="0000000F" w:rsidP="00704CE9">
            <w:pPr>
              <w:spacing w:after="0"/>
              <w:ind w:left="33" w:hanging="33"/>
              <w:rPr>
                <w:rFonts w:ascii="Verdana" w:hAnsi="Verdana"/>
                <w:sz w:val="18"/>
                <w:szCs w:val="18"/>
                <w:lang w:val="en-GB"/>
              </w:rPr>
            </w:pPr>
            <w:r w:rsidRPr="000C7CFA">
              <w:rPr>
                <w:rFonts w:ascii="Verdana" w:hAnsi="Verdana"/>
                <w:sz w:val="18"/>
                <w:szCs w:val="18"/>
                <w:lang w:val="en-GB"/>
              </w:rPr>
              <w:t>Syn-DP: range 0.038 – 0.273 μg/kg lw</w:t>
            </w:r>
          </w:p>
          <w:p w14:paraId="54C2CEB3" w14:textId="77777777" w:rsidR="0000000F" w:rsidRPr="000C7CFA" w:rsidRDefault="0000000F" w:rsidP="00704CE9">
            <w:pPr>
              <w:spacing w:after="0"/>
              <w:ind w:left="33" w:hanging="33"/>
              <w:rPr>
                <w:rFonts w:ascii="Verdana" w:hAnsi="Verdana"/>
                <w:sz w:val="18"/>
                <w:szCs w:val="18"/>
                <w:lang w:val="en-GB"/>
              </w:rPr>
            </w:pPr>
          </w:p>
          <w:p w14:paraId="5080906D" w14:textId="77777777" w:rsidR="0000000F" w:rsidRPr="000C7CFA" w:rsidRDefault="0000000F" w:rsidP="00704CE9">
            <w:pPr>
              <w:spacing w:after="0"/>
              <w:ind w:left="33" w:hanging="33"/>
              <w:rPr>
                <w:rFonts w:ascii="Verdana" w:hAnsi="Verdana"/>
                <w:sz w:val="18"/>
                <w:szCs w:val="18"/>
                <w:lang w:val="en-GB"/>
              </w:rPr>
            </w:pPr>
            <w:r w:rsidRPr="000C7CFA">
              <w:rPr>
                <w:rFonts w:ascii="Verdana" w:hAnsi="Verdana"/>
                <w:sz w:val="18"/>
                <w:szCs w:val="18"/>
                <w:lang w:val="en-GB"/>
              </w:rPr>
              <w:t>The highest concentrations occurred in the bass.</w:t>
            </w:r>
          </w:p>
        </w:tc>
        <w:tc>
          <w:tcPr>
            <w:tcW w:w="2552" w:type="dxa"/>
            <w:tcBorders>
              <w:top w:val="single" w:sz="4" w:space="0" w:color="auto"/>
              <w:left w:val="single" w:sz="4" w:space="0" w:color="auto"/>
              <w:bottom w:val="single" w:sz="4" w:space="0" w:color="auto"/>
              <w:right w:val="single" w:sz="4" w:space="0" w:color="auto"/>
            </w:tcBorders>
          </w:tcPr>
          <w:p w14:paraId="6F3198E9"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Analysis was by GC-MS.</w:t>
            </w:r>
          </w:p>
          <w:p w14:paraId="5CC41163" w14:textId="77777777" w:rsidR="0000000F" w:rsidRPr="000C7CFA" w:rsidRDefault="0000000F" w:rsidP="00704CE9">
            <w:pPr>
              <w:pStyle w:val="Tabletext"/>
              <w:spacing w:before="0" w:after="0"/>
              <w:rPr>
                <w:rFonts w:ascii="Verdana" w:hAnsi="Verdana"/>
                <w:sz w:val="18"/>
                <w:szCs w:val="18"/>
                <w:lang w:val="en-GB"/>
              </w:rPr>
            </w:pPr>
          </w:p>
        </w:tc>
        <w:tc>
          <w:tcPr>
            <w:tcW w:w="1249" w:type="dxa"/>
            <w:tcBorders>
              <w:top w:val="single" w:sz="4" w:space="0" w:color="auto"/>
              <w:left w:val="single" w:sz="4" w:space="0" w:color="auto"/>
              <w:bottom w:val="single" w:sz="4" w:space="0" w:color="auto"/>
            </w:tcBorders>
          </w:tcPr>
          <w:p w14:paraId="68DBEEC9" w14:textId="77777777" w:rsidR="0000000F" w:rsidRPr="000C7CFA" w:rsidRDefault="0000000F" w:rsidP="00704CE9">
            <w:pPr>
              <w:pStyle w:val="Tabletext"/>
              <w:spacing w:before="0" w:after="0"/>
              <w:rPr>
                <w:rFonts w:ascii="Verdana" w:eastAsia="Calibri" w:hAnsi="Verdana"/>
                <w:sz w:val="18"/>
                <w:szCs w:val="18"/>
                <w:lang w:val="en-GB"/>
              </w:rPr>
            </w:pPr>
            <w:r w:rsidRPr="000C7CFA">
              <w:rPr>
                <w:rFonts w:ascii="Verdana" w:eastAsia="Calibri" w:hAnsi="Verdana"/>
                <w:sz w:val="18"/>
                <w:szCs w:val="18"/>
                <w:lang w:val="en-GB"/>
              </w:rPr>
              <w:t xml:space="preserve">Chen </w:t>
            </w:r>
            <w:r w:rsidRPr="000C7CFA">
              <w:rPr>
                <w:rFonts w:ascii="Verdana" w:eastAsia="Calibri" w:hAnsi="Verdana"/>
                <w:i/>
                <w:sz w:val="18"/>
                <w:szCs w:val="18"/>
                <w:lang w:val="en-GB"/>
              </w:rPr>
              <w:t>et al</w:t>
            </w:r>
            <w:r w:rsidRPr="000C7CFA">
              <w:rPr>
                <w:rFonts w:ascii="Verdana" w:eastAsia="Calibri" w:hAnsi="Verdana"/>
                <w:sz w:val="18"/>
                <w:szCs w:val="18"/>
                <w:lang w:val="en-GB"/>
              </w:rPr>
              <w:t>. (2014)</w:t>
            </w:r>
          </w:p>
        </w:tc>
      </w:tr>
      <w:tr w:rsidR="0000000F" w:rsidRPr="000C7CFA" w14:paraId="2DDBD6F4" w14:textId="77777777" w:rsidTr="00D323EC">
        <w:trPr>
          <w:cantSplit/>
          <w:trHeight w:val="781"/>
        </w:trPr>
        <w:tc>
          <w:tcPr>
            <w:tcW w:w="1928" w:type="dxa"/>
            <w:tcBorders>
              <w:top w:val="single" w:sz="4" w:space="0" w:color="auto"/>
              <w:bottom w:val="single" w:sz="4" w:space="0" w:color="auto"/>
              <w:right w:val="single" w:sz="4" w:space="0" w:color="auto"/>
            </w:tcBorders>
          </w:tcPr>
          <w:p w14:paraId="222E4661"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lastRenderedPageBreak/>
              <w:t>Fish (15 marine species) (n=20)</w:t>
            </w:r>
          </w:p>
        </w:tc>
        <w:tc>
          <w:tcPr>
            <w:tcW w:w="1068" w:type="dxa"/>
            <w:tcBorders>
              <w:top w:val="single" w:sz="4" w:space="0" w:color="auto"/>
              <w:left w:val="single" w:sz="4" w:space="0" w:color="auto"/>
              <w:bottom w:val="single" w:sz="4" w:space="0" w:color="auto"/>
              <w:right w:val="single" w:sz="4" w:space="0" w:color="auto"/>
            </w:tcBorders>
          </w:tcPr>
          <w:p w14:paraId="644EAC49"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Muscle</w:t>
            </w:r>
          </w:p>
        </w:tc>
        <w:tc>
          <w:tcPr>
            <w:tcW w:w="2391" w:type="dxa"/>
            <w:tcBorders>
              <w:top w:val="single" w:sz="4" w:space="0" w:color="auto"/>
              <w:left w:val="single" w:sz="4" w:space="0" w:color="auto"/>
              <w:bottom w:val="single" w:sz="4" w:space="0" w:color="auto"/>
              <w:right w:val="single" w:sz="4" w:space="0" w:color="auto"/>
            </w:tcBorders>
          </w:tcPr>
          <w:p w14:paraId="39345D70"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eastAsia="en-US"/>
              </w:rPr>
              <w:t>Supermarkets in Osaka, Japan; June 2011</w:t>
            </w:r>
          </w:p>
        </w:tc>
        <w:tc>
          <w:tcPr>
            <w:tcW w:w="1843" w:type="dxa"/>
            <w:tcBorders>
              <w:top w:val="single" w:sz="4" w:space="0" w:color="auto"/>
              <w:left w:val="single" w:sz="4" w:space="0" w:color="auto"/>
              <w:bottom w:val="single" w:sz="4" w:space="0" w:color="auto"/>
              <w:right w:val="single" w:sz="4" w:space="0" w:color="auto"/>
            </w:tcBorders>
          </w:tcPr>
          <w:p w14:paraId="28F16143"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0.0002</w:t>
            </w:r>
          </w:p>
        </w:tc>
        <w:tc>
          <w:tcPr>
            <w:tcW w:w="2976" w:type="dxa"/>
            <w:tcBorders>
              <w:top w:val="single" w:sz="4" w:space="0" w:color="auto"/>
              <w:left w:val="single" w:sz="4" w:space="0" w:color="auto"/>
              <w:bottom w:val="single" w:sz="4" w:space="0" w:color="auto"/>
              <w:right w:val="single" w:sz="4" w:space="0" w:color="auto"/>
            </w:tcBorders>
          </w:tcPr>
          <w:p w14:paraId="4F2D1D6F" w14:textId="77777777" w:rsidR="0000000F" w:rsidRPr="000C7CFA" w:rsidRDefault="0000000F" w:rsidP="00704CE9">
            <w:pPr>
              <w:spacing w:after="0"/>
              <w:ind w:left="33" w:hanging="33"/>
              <w:rPr>
                <w:rFonts w:ascii="Verdana" w:hAnsi="Verdana"/>
                <w:sz w:val="18"/>
                <w:szCs w:val="18"/>
                <w:lang w:val="en-GB"/>
              </w:rPr>
            </w:pPr>
            <w:r w:rsidRPr="000C7CFA">
              <w:rPr>
                <w:rFonts w:ascii="Verdana" w:hAnsi="Verdana"/>
                <w:sz w:val="18"/>
                <w:szCs w:val="18"/>
                <w:lang w:val="en-GB"/>
              </w:rPr>
              <w:t>Detected in 18 out of 20 samples, up to 0.0</w:t>
            </w:r>
            <w:r w:rsidRPr="000C7CFA">
              <w:rPr>
                <w:rFonts w:ascii="Verdana" w:hAnsi="Verdana"/>
                <w:sz w:val="18"/>
                <w:szCs w:val="18"/>
              </w:rPr>
              <w:t xml:space="preserve">142 </w:t>
            </w:r>
            <w:r w:rsidRPr="000C7CFA">
              <w:rPr>
                <w:rFonts w:ascii="Verdana" w:hAnsi="Verdana"/>
                <w:sz w:val="18"/>
                <w:szCs w:val="18"/>
                <w:lang w:val="en-GB"/>
              </w:rPr>
              <w:t>μ</w:t>
            </w:r>
            <w:r w:rsidRPr="000C7CFA">
              <w:rPr>
                <w:rFonts w:ascii="Verdana" w:hAnsi="Verdana"/>
                <w:sz w:val="18"/>
                <w:szCs w:val="18"/>
              </w:rPr>
              <w:t>g/g ww</w:t>
            </w:r>
          </w:p>
        </w:tc>
        <w:tc>
          <w:tcPr>
            <w:tcW w:w="2552" w:type="dxa"/>
            <w:tcBorders>
              <w:top w:val="single" w:sz="4" w:space="0" w:color="auto"/>
              <w:left w:val="single" w:sz="4" w:space="0" w:color="auto"/>
              <w:bottom w:val="single" w:sz="4" w:space="0" w:color="auto"/>
              <w:right w:val="single" w:sz="4" w:space="0" w:color="auto"/>
            </w:tcBorders>
          </w:tcPr>
          <w:p w14:paraId="10CEF9DA"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Analysis was by GC-MS.</w:t>
            </w:r>
          </w:p>
          <w:p w14:paraId="6F53E175" w14:textId="77777777" w:rsidR="0000000F" w:rsidRPr="000C7CFA" w:rsidRDefault="0000000F" w:rsidP="00704CE9">
            <w:pPr>
              <w:pStyle w:val="Tabletext"/>
              <w:spacing w:before="0" w:after="0"/>
              <w:rPr>
                <w:rFonts w:ascii="Verdana" w:hAnsi="Verdana"/>
                <w:sz w:val="18"/>
                <w:szCs w:val="18"/>
                <w:lang w:val="en-GB"/>
              </w:rPr>
            </w:pPr>
          </w:p>
        </w:tc>
        <w:tc>
          <w:tcPr>
            <w:tcW w:w="1249" w:type="dxa"/>
            <w:tcBorders>
              <w:top w:val="single" w:sz="4" w:space="0" w:color="auto"/>
              <w:left w:val="single" w:sz="4" w:space="0" w:color="auto"/>
              <w:bottom w:val="single" w:sz="4" w:space="0" w:color="auto"/>
            </w:tcBorders>
          </w:tcPr>
          <w:p w14:paraId="7FFD275B" w14:textId="77777777" w:rsidR="0000000F" w:rsidRPr="000C7CFA" w:rsidRDefault="0000000F" w:rsidP="00704CE9">
            <w:pPr>
              <w:pStyle w:val="Tabletext"/>
              <w:spacing w:before="0" w:after="0"/>
              <w:rPr>
                <w:rFonts w:ascii="Verdana" w:eastAsia="Calibri" w:hAnsi="Verdana"/>
                <w:sz w:val="18"/>
                <w:szCs w:val="18"/>
                <w:lang w:val="en-GB"/>
              </w:rPr>
            </w:pPr>
            <w:r w:rsidRPr="000C7CFA">
              <w:rPr>
                <w:rFonts w:ascii="Verdana" w:eastAsia="Calibri" w:hAnsi="Verdana"/>
                <w:sz w:val="18"/>
                <w:szCs w:val="18"/>
                <w:lang w:val="en-GB"/>
              </w:rPr>
              <w:t xml:space="preserve">Kakimoto </w:t>
            </w:r>
            <w:r w:rsidRPr="000C7CFA">
              <w:rPr>
                <w:rFonts w:ascii="Verdana" w:eastAsia="Calibri" w:hAnsi="Verdana"/>
                <w:i/>
                <w:sz w:val="18"/>
                <w:szCs w:val="18"/>
                <w:lang w:val="en-GB"/>
              </w:rPr>
              <w:t>et al</w:t>
            </w:r>
            <w:r w:rsidRPr="000C7CFA">
              <w:rPr>
                <w:rFonts w:ascii="Verdana" w:eastAsia="Calibri" w:hAnsi="Verdana"/>
                <w:sz w:val="18"/>
                <w:szCs w:val="18"/>
                <w:lang w:val="en-GB"/>
              </w:rPr>
              <w:t>. (2012)</w:t>
            </w:r>
          </w:p>
        </w:tc>
      </w:tr>
      <w:tr w:rsidR="0000000F" w:rsidRPr="000C7CFA" w14:paraId="65201215" w14:textId="77777777" w:rsidTr="00D323EC">
        <w:trPr>
          <w:cantSplit/>
          <w:trHeight w:val="781"/>
        </w:trPr>
        <w:tc>
          <w:tcPr>
            <w:tcW w:w="1928" w:type="dxa"/>
            <w:tcBorders>
              <w:top w:val="single" w:sz="4" w:space="0" w:color="auto"/>
              <w:bottom w:val="single" w:sz="4" w:space="0" w:color="auto"/>
              <w:right w:val="single" w:sz="4" w:space="0" w:color="auto"/>
            </w:tcBorders>
          </w:tcPr>
          <w:p w14:paraId="65D22315"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Common Mullet</w:t>
            </w:r>
          </w:p>
          <w:p w14:paraId="4998D1AB"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Oriental Goby</w:t>
            </w:r>
          </w:p>
          <w:p w14:paraId="06B05C53"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Steed Barbel</w:t>
            </w:r>
          </w:p>
          <w:p w14:paraId="36D28F67"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Temperate Sea Bass </w:t>
            </w:r>
          </w:p>
          <w:p w14:paraId="46D4458C"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Crucian Carp</w:t>
            </w:r>
          </w:p>
          <w:p w14:paraId="587CF19C" w14:textId="77777777" w:rsidR="0000000F" w:rsidRPr="000C7CFA" w:rsidRDefault="0000000F" w:rsidP="00704CE9">
            <w:pPr>
              <w:pStyle w:val="Tabletext"/>
              <w:spacing w:before="0" w:after="0"/>
              <w:rPr>
                <w:rFonts w:ascii="Verdana" w:hAnsi="Verdana"/>
                <w:sz w:val="18"/>
                <w:szCs w:val="18"/>
                <w:lang w:val="en-GB"/>
              </w:rPr>
            </w:pPr>
          </w:p>
          <w:p w14:paraId="4C4DE123" w14:textId="77777777" w:rsidR="0000000F" w:rsidRPr="000C7CFA" w:rsidRDefault="0000000F" w:rsidP="00704CE9">
            <w:pPr>
              <w:pStyle w:val="Tabletext"/>
              <w:spacing w:before="0" w:after="0"/>
              <w:rPr>
                <w:rFonts w:ascii="Verdana" w:eastAsiaTheme="minorHAnsi" w:hAnsi="Verdana"/>
                <w:sz w:val="18"/>
                <w:szCs w:val="18"/>
                <w:lang w:val="en-GB" w:eastAsia="en-US"/>
              </w:rPr>
            </w:pPr>
            <w:r w:rsidRPr="000C7CFA">
              <w:rPr>
                <w:rFonts w:ascii="Verdana" w:hAnsi="Verdana"/>
                <w:sz w:val="18"/>
                <w:szCs w:val="18"/>
                <w:lang w:val="en-GB"/>
              </w:rPr>
              <w:t>(Latin names not provided)</w:t>
            </w:r>
          </w:p>
        </w:tc>
        <w:tc>
          <w:tcPr>
            <w:tcW w:w="1068" w:type="dxa"/>
            <w:tcBorders>
              <w:top w:val="single" w:sz="4" w:space="0" w:color="auto"/>
              <w:left w:val="single" w:sz="4" w:space="0" w:color="auto"/>
              <w:bottom w:val="single" w:sz="4" w:space="0" w:color="auto"/>
              <w:right w:val="single" w:sz="4" w:space="0" w:color="auto"/>
            </w:tcBorders>
          </w:tcPr>
          <w:p w14:paraId="62C2D208"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Muscle </w:t>
            </w:r>
          </w:p>
        </w:tc>
        <w:tc>
          <w:tcPr>
            <w:tcW w:w="2391" w:type="dxa"/>
            <w:tcBorders>
              <w:top w:val="single" w:sz="4" w:space="0" w:color="auto"/>
              <w:left w:val="single" w:sz="4" w:space="0" w:color="auto"/>
              <w:bottom w:val="single" w:sz="4" w:space="0" w:color="auto"/>
              <w:right w:val="single" w:sz="4" w:space="0" w:color="auto"/>
            </w:tcBorders>
          </w:tcPr>
          <w:p w14:paraId="67006056"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22 rivers across South Korea from late July to early October 2008.</w:t>
            </w:r>
          </w:p>
          <w:p w14:paraId="147C9E82"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Urban-industrial: 15 sites</w:t>
            </w:r>
          </w:p>
          <w:p w14:paraId="0BD99DD9"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Rural-industrial: 3 sites</w:t>
            </w:r>
          </w:p>
          <w:p w14:paraId="36893F49"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Rural: 4 sites </w:t>
            </w:r>
          </w:p>
          <w:p w14:paraId="4A4DA8DD" w14:textId="77777777" w:rsidR="0000000F" w:rsidRPr="000C7CFA" w:rsidRDefault="0000000F" w:rsidP="00704CE9">
            <w:pPr>
              <w:pStyle w:val="Tabletext"/>
              <w:spacing w:before="0" w:after="0"/>
              <w:rPr>
                <w:rFonts w:ascii="Verdana" w:hAnsi="Verdana"/>
                <w:sz w:val="18"/>
                <w:szCs w:val="18"/>
                <w:lang w:val="en-GB"/>
              </w:rPr>
            </w:pPr>
          </w:p>
          <w:p w14:paraId="2053FBDB"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Fish were sampled twice at each site, and several individual fish carcasses were combined and homogenized to provide a pooled sample. </w:t>
            </w:r>
          </w:p>
        </w:tc>
        <w:tc>
          <w:tcPr>
            <w:tcW w:w="1843" w:type="dxa"/>
            <w:tcBorders>
              <w:top w:val="single" w:sz="4" w:space="0" w:color="auto"/>
              <w:left w:val="single" w:sz="4" w:space="0" w:color="auto"/>
              <w:bottom w:val="single" w:sz="4" w:space="0" w:color="auto"/>
              <w:right w:val="single" w:sz="4" w:space="0" w:color="auto"/>
            </w:tcBorders>
          </w:tcPr>
          <w:p w14:paraId="50F1C4AB"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stated</w:t>
            </w:r>
          </w:p>
        </w:tc>
        <w:tc>
          <w:tcPr>
            <w:tcW w:w="2976" w:type="dxa"/>
            <w:tcBorders>
              <w:top w:val="single" w:sz="4" w:space="0" w:color="auto"/>
              <w:left w:val="single" w:sz="4" w:space="0" w:color="auto"/>
              <w:bottom w:val="single" w:sz="4" w:space="0" w:color="auto"/>
              <w:right w:val="single" w:sz="4" w:space="0" w:color="auto"/>
            </w:tcBorders>
          </w:tcPr>
          <w:p w14:paraId="6612B23B" w14:textId="77777777" w:rsidR="0000000F" w:rsidRPr="000C7CFA" w:rsidRDefault="0000000F" w:rsidP="00704CE9">
            <w:pPr>
              <w:tabs>
                <w:tab w:val="left" w:pos="185"/>
              </w:tabs>
              <w:spacing w:after="0"/>
              <w:ind w:left="459" w:hanging="459"/>
              <w:rPr>
                <w:rFonts w:ascii="Verdana" w:hAnsi="Verdana"/>
                <w:sz w:val="18"/>
                <w:szCs w:val="18"/>
                <w:lang w:val="en-GB"/>
              </w:rPr>
            </w:pPr>
            <w:r w:rsidRPr="000C7CFA">
              <w:rPr>
                <w:rFonts w:ascii="Verdana" w:hAnsi="Verdana"/>
                <w:sz w:val="18"/>
                <w:szCs w:val="18"/>
                <w:lang w:val="en-GB"/>
              </w:rPr>
              <w:t>Average total concentration:</w:t>
            </w:r>
          </w:p>
          <w:p w14:paraId="764C60AA" w14:textId="77777777" w:rsidR="0000000F" w:rsidRPr="000C7CFA" w:rsidRDefault="0000000F" w:rsidP="00704CE9">
            <w:pPr>
              <w:tabs>
                <w:tab w:val="left" w:pos="185"/>
              </w:tabs>
              <w:spacing w:after="0"/>
              <w:ind w:left="459" w:hanging="459"/>
              <w:rPr>
                <w:rFonts w:ascii="Verdana" w:hAnsi="Verdana"/>
                <w:sz w:val="18"/>
                <w:szCs w:val="18"/>
                <w:lang w:val="en-GB"/>
              </w:rPr>
            </w:pPr>
            <w:r w:rsidRPr="000C7CFA">
              <w:rPr>
                <w:rFonts w:ascii="Verdana" w:hAnsi="Verdana"/>
                <w:sz w:val="18"/>
                <w:szCs w:val="18"/>
                <w:lang w:val="en-GB"/>
              </w:rPr>
              <w:tab/>
              <w:t>Overall: 24.5 (range: 0.61 – 126) μg/kg lw</w:t>
            </w:r>
          </w:p>
          <w:p w14:paraId="6B2554CA" w14:textId="77777777" w:rsidR="0000000F" w:rsidRPr="000C7CFA" w:rsidRDefault="0000000F" w:rsidP="00704CE9">
            <w:pPr>
              <w:tabs>
                <w:tab w:val="left" w:pos="185"/>
              </w:tabs>
              <w:spacing w:after="0"/>
              <w:ind w:left="459" w:hanging="459"/>
              <w:rPr>
                <w:rFonts w:ascii="Verdana" w:hAnsi="Verdana"/>
                <w:sz w:val="18"/>
                <w:szCs w:val="18"/>
              </w:rPr>
            </w:pPr>
            <w:r w:rsidRPr="000C7CFA">
              <w:rPr>
                <w:rFonts w:ascii="Verdana" w:hAnsi="Verdana"/>
                <w:sz w:val="18"/>
                <w:szCs w:val="18"/>
              </w:rPr>
              <w:tab/>
              <w:t>Urban-industrial region: 36.1±35.3 ng/g lw</w:t>
            </w:r>
          </w:p>
          <w:p w14:paraId="1232AD1E" w14:textId="77777777" w:rsidR="0000000F" w:rsidRPr="000C7CFA" w:rsidRDefault="0000000F" w:rsidP="00704CE9">
            <w:pPr>
              <w:tabs>
                <w:tab w:val="left" w:pos="185"/>
              </w:tabs>
              <w:spacing w:after="0"/>
              <w:ind w:left="459" w:hanging="459"/>
              <w:rPr>
                <w:rFonts w:ascii="Verdana" w:hAnsi="Verdana"/>
                <w:sz w:val="18"/>
                <w:szCs w:val="18"/>
              </w:rPr>
            </w:pPr>
            <w:r w:rsidRPr="000C7CFA">
              <w:rPr>
                <w:rFonts w:ascii="Verdana" w:hAnsi="Verdana"/>
                <w:sz w:val="18"/>
                <w:szCs w:val="18"/>
              </w:rPr>
              <w:tab/>
              <w:t>Rural region: 1.4±1.0 μg/kg lw</w:t>
            </w:r>
          </w:p>
          <w:p w14:paraId="3D280262" w14:textId="77777777" w:rsidR="0000000F" w:rsidRPr="000C7CFA" w:rsidRDefault="0000000F" w:rsidP="00704CE9">
            <w:pPr>
              <w:tabs>
                <w:tab w:val="left" w:pos="185"/>
              </w:tabs>
              <w:spacing w:after="0"/>
              <w:ind w:left="459" w:hanging="459"/>
              <w:rPr>
                <w:rFonts w:ascii="Verdana" w:hAnsi="Verdana"/>
                <w:sz w:val="18"/>
                <w:szCs w:val="18"/>
              </w:rPr>
            </w:pPr>
          </w:p>
          <w:p w14:paraId="42F04311" w14:textId="7213FA1A" w:rsidR="0000000F" w:rsidRPr="000C7CFA" w:rsidRDefault="0000000F" w:rsidP="00A11FA5">
            <w:pPr>
              <w:spacing w:after="0"/>
              <w:rPr>
                <w:rFonts w:ascii="Verdana" w:hAnsi="Verdana"/>
                <w:color w:val="4A6463"/>
                <w:sz w:val="18"/>
                <w:szCs w:val="18"/>
                <w:lang w:eastAsia="en-GB"/>
              </w:rPr>
            </w:pPr>
            <w:r w:rsidRPr="000C7CFA">
              <w:rPr>
                <w:rFonts w:ascii="Verdana" w:hAnsi="Verdana"/>
                <w:sz w:val="18"/>
                <w:szCs w:val="18"/>
              </w:rPr>
              <w:t xml:space="preserve">Concentrations of syn- and anti-DP isomer ranged from 0.17 – 30 </w:t>
            </w:r>
            <w:r w:rsidRPr="000C7CFA">
              <w:rPr>
                <w:rFonts w:ascii="Verdana" w:hAnsi="Verdana"/>
                <w:sz w:val="18"/>
                <w:szCs w:val="18"/>
                <w:lang w:val="en-GB"/>
              </w:rPr>
              <w:t xml:space="preserve">μg/kg </w:t>
            </w:r>
            <w:r w:rsidRPr="000C7CFA">
              <w:rPr>
                <w:rFonts w:ascii="Verdana" w:hAnsi="Verdana"/>
                <w:sz w:val="18"/>
                <w:szCs w:val="18"/>
              </w:rPr>
              <w:t xml:space="preserve">lw and 0.44 – 97 </w:t>
            </w:r>
            <w:r w:rsidRPr="000C7CFA">
              <w:rPr>
                <w:rFonts w:ascii="Verdana" w:hAnsi="Verdana"/>
                <w:sz w:val="18"/>
                <w:szCs w:val="18"/>
                <w:lang w:val="en-GB"/>
              </w:rPr>
              <w:t xml:space="preserve">μg/kg </w:t>
            </w:r>
            <w:r w:rsidRPr="000C7CFA">
              <w:rPr>
                <w:rFonts w:ascii="Verdana" w:hAnsi="Verdana"/>
                <w:sz w:val="18"/>
                <w:szCs w:val="18"/>
              </w:rPr>
              <w:t>lw, respectively. The anti-DP isomer was dominant in all samples.</w:t>
            </w:r>
            <w:r w:rsidR="00C723A2" w:rsidRPr="000C7CFA">
              <w:rPr>
                <w:rFonts w:ascii="Verdana" w:hAnsi="Verdana"/>
                <w:sz w:val="18"/>
                <w:szCs w:val="18"/>
              </w:rPr>
              <w:t xml:space="preserve"> </w:t>
            </w:r>
            <w:r w:rsidR="00A11FA5" w:rsidRPr="000C7CFA">
              <w:rPr>
                <w:rFonts w:ascii="Verdana" w:hAnsi="Verdana"/>
                <w:sz w:val="18"/>
                <w:szCs w:val="18"/>
              </w:rPr>
              <w:t>T</w:t>
            </w:r>
            <w:r w:rsidR="00C723A2" w:rsidRPr="000C7CFA">
              <w:rPr>
                <w:rFonts w:ascii="Verdana" w:hAnsi="Verdana"/>
                <w:sz w:val="18"/>
                <w:szCs w:val="18"/>
              </w:rPr>
              <w:t>he mean f</w:t>
            </w:r>
            <w:r w:rsidR="00C723A2" w:rsidRPr="000C7CFA">
              <w:rPr>
                <w:rFonts w:ascii="Verdana" w:hAnsi="Verdana"/>
                <w:sz w:val="18"/>
                <w:szCs w:val="18"/>
                <w:vertAlign w:val="subscript"/>
              </w:rPr>
              <w:t>anti</w:t>
            </w:r>
            <w:r w:rsidR="00C723A2" w:rsidRPr="000C7CFA">
              <w:rPr>
                <w:rFonts w:ascii="Verdana" w:hAnsi="Verdana"/>
                <w:sz w:val="18"/>
                <w:szCs w:val="18"/>
              </w:rPr>
              <w:t xml:space="preserve"> value (0.67 ±0.060) was signiﬁcantly lower than that of the technical product (0.75) (p = 0.032) suggesting that the syn- isomer may be more bioaccumulative. </w:t>
            </w:r>
          </w:p>
        </w:tc>
        <w:tc>
          <w:tcPr>
            <w:tcW w:w="2552" w:type="dxa"/>
            <w:tcBorders>
              <w:top w:val="single" w:sz="4" w:space="0" w:color="auto"/>
              <w:left w:val="single" w:sz="4" w:space="0" w:color="auto"/>
              <w:bottom w:val="single" w:sz="4" w:space="0" w:color="auto"/>
              <w:right w:val="single" w:sz="4" w:space="0" w:color="auto"/>
            </w:tcBorders>
          </w:tcPr>
          <w:p w14:paraId="1649B85F"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Analysis was by GC- high resolution MS.</w:t>
            </w:r>
          </w:p>
          <w:p w14:paraId="2532DC25" w14:textId="77777777" w:rsidR="0000000F" w:rsidRPr="000C7CFA" w:rsidRDefault="0000000F" w:rsidP="00704CE9">
            <w:pPr>
              <w:pStyle w:val="Tabletext"/>
              <w:spacing w:before="0" w:after="0"/>
              <w:rPr>
                <w:rFonts w:ascii="Verdana" w:hAnsi="Verdana"/>
                <w:sz w:val="18"/>
                <w:szCs w:val="18"/>
                <w:lang w:val="en-GB"/>
              </w:rPr>
            </w:pPr>
          </w:p>
          <w:p w14:paraId="2B3443CC"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Both</w:t>
            </w:r>
            <w:r w:rsidRPr="000C7CFA">
              <w:rPr>
                <w:rFonts w:ascii="Verdana" w:hAnsi="Verdana"/>
                <w:sz w:val="18"/>
                <w:szCs w:val="18"/>
                <w:lang w:val="en-GB" w:eastAsia="da-DK"/>
              </w:rPr>
              <w:t xml:space="preserve"> isomers were consistently detected in all fish</w:t>
            </w:r>
            <w:r w:rsidRPr="000C7CFA">
              <w:rPr>
                <w:rFonts w:ascii="Verdana" w:hAnsi="Verdana"/>
                <w:sz w:val="18"/>
                <w:szCs w:val="18"/>
                <w:lang w:val="en-GB"/>
              </w:rPr>
              <w:t xml:space="preserve"> </w:t>
            </w:r>
            <w:r w:rsidRPr="000C7CFA">
              <w:rPr>
                <w:rFonts w:ascii="Verdana" w:hAnsi="Verdana"/>
                <w:sz w:val="18"/>
                <w:szCs w:val="18"/>
                <w:lang w:val="en-GB" w:eastAsia="da-DK"/>
              </w:rPr>
              <w:t>samples regardless of sampling sites and fish species.</w:t>
            </w:r>
            <w:r w:rsidRPr="000C7CFA">
              <w:rPr>
                <w:rFonts w:ascii="Verdana" w:hAnsi="Verdana"/>
                <w:sz w:val="18"/>
                <w:szCs w:val="18"/>
                <w:lang w:val="en-GB"/>
              </w:rPr>
              <w:t xml:space="preserve"> Mean concentrations at the urban sites were around 25 times greater than those at the rural sites. There is no manufacturing facility in South Korea.</w:t>
            </w:r>
          </w:p>
        </w:tc>
        <w:tc>
          <w:tcPr>
            <w:tcW w:w="1249" w:type="dxa"/>
            <w:tcBorders>
              <w:top w:val="single" w:sz="4" w:space="0" w:color="auto"/>
              <w:left w:val="single" w:sz="4" w:space="0" w:color="auto"/>
              <w:bottom w:val="single" w:sz="4" w:space="0" w:color="auto"/>
            </w:tcBorders>
          </w:tcPr>
          <w:p w14:paraId="0F19A01C" w14:textId="77777777" w:rsidR="0000000F" w:rsidRPr="000C7CFA" w:rsidRDefault="0000000F" w:rsidP="00704CE9">
            <w:pPr>
              <w:pStyle w:val="Tabletext"/>
              <w:spacing w:before="0" w:after="0"/>
              <w:rPr>
                <w:rFonts w:ascii="Verdana" w:hAnsi="Verdana"/>
                <w:sz w:val="18"/>
                <w:szCs w:val="18"/>
                <w:lang w:val="en-GB"/>
              </w:rPr>
            </w:pPr>
            <w:r w:rsidRPr="000C7CFA">
              <w:rPr>
                <w:rFonts w:ascii="Verdana" w:eastAsia="Calibri" w:hAnsi="Verdana"/>
                <w:sz w:val="18"/>
                <w:szCs w:val="18"/>
                <w:lang w:val="fr-FR"/>
              </w:rPr>
              <w:t xml:space="preserve">Kang </w:t>
            </w:r>
            <w:r w:rsidRPr="000C7CFA">
              <w:rPr>
                <w:rFonts w:ascii="Verdana" w:eastAsia="Calibri" w:hAnsi="Verdana"/>
                <w:i/>
                <w:sz w:val="18"/>
                <w:szCs w:val="18"/>
                <w:lang w:val="fr-FR"/>
              </w:rPr>
              <w:t>et al</w:t>
            </w:r>
            <w:r w:rsidRPr="000C7CFA">
              <w:rPr>
                <w:rFonts w:ascii="Verdana" w:eastAsia="Calibri" w:hAnsi="Verdana"/>
                <w:sz w:val="18"/>
                <w:szCs w:val="18"/>
                <w:lang w:val="fr-FR"/>
              </w:rPr>
              <w:t xml:space="preserve">. (2010); Kang </w:t>
            </w:r>
            <w:r w:rsidRPr="000C7CFA">
              <w:rPr>
                <w:rFonts w:ascii="Verdana" w:eastAsia="Calibri" w:hAnsi="Verdana"/>
                <w:i/>
                <w:sz w:val="18"/>
                <w:szCs w:val="18"/>
                <w:lang w:val="fr-FR"/>
              </w:rPr>
              <w:t>et al</w:t>
            </w:r>
            <w:r w:rsidRPr="000C7CFA">
              <w:rPr>
                <w:rFonts w:ascii="Verdana" w:eastAsia="Calibri" w:hAnsi="Verdana"/>
                <w:sz w:val="18"/>
                <w:szCs w:val="18"/>
                <w:lang w:val="fr-FR"/>
              </w:rPr>
              <w:t xml:space="preserve">. </w:t>
            </w:r>
            <w:r w:rsidRPr="000C7CFA">
              <w:rPr>
                <w:rFonts w:ascii="Verdana" w:eastAsia="Calibri" w:hAnsi="Verdana"/>
                <w:sz w:val="18"/>
                <w:szCs w:val="18"/>
                <w:lang w:val="en-GB"/>
              </w:rPr>
              <w:t>(2009) [ABST].</w:t>
            </w:r>
          </w:p>
        </w:tc>
      </w:tr>
      <w:tr w:rsidR="0000000F" w:rsidRPr="000C7CFA" w14:paraId="67341972" w14:textId="77777777" w:rsidTr="00D323EC">
        <w:trPr>
          <w:cantSplit/>
          <w:trHeight w:val="890"/>
        </w:trPr>
        <w:tc>
          <w:tcPr>
            <w:tcW w:w="1928" w:type="dxa"/>
            <w:vMerge w:val="restart"/>
            <w:tcBorders>
              <w:top w:val="single" w:sz="4" w:space="0" w:color="auto"/>
              <w:left w:val="single" w:sz="12" w:space="0" w:color="auto"/>
              <w:right w:val="single" w:sz="4" w:space="0" w:color="auto"/>
            </w:tcBorders>
          </w:tcPr>
          <w:p w14:paraId="1A62AD83" w14:textId="77777777" w:rsidR="0000000F" w:rsidRPr="000C7CFA" w:rsidRDefault="0000000F" w:rsidP="00704CE9">
            <w:pPr>
              <w:pStyle w:val="NoSpacing"/>
              <w:jc w:val="both"/>
              <w:rPr>
                <w:rFonts w:ascii="Verdana" w:hAnsi="Verdana" w:cs="Times New Roman"/>
                <w:sz w:val="18"/>
                <w:szCs w:val="18"/>
                <w:lang w:val="fi-FI"/>
              </w:rPr>
            </w:pPr>
            <w:r w:rsidRPr="000C7CFA">
              <w:rPr>
                <w:rFonts w:ascii="Verdana" w:hAnsi="Verdana" w:cs="Times New Roman"/>
                <w:sz w:val="18"/>
                <w:szCs w:val="18"/>
                <w:lang w:val="fi-FI"/>
              </w:rPr>
              <w:t xml:space="preserve">Mud Carp </w:t>
            </w:r>
          </w:p>
          <w:p w14:paraId="56A7340F" w14:textId="77777777" w:rsidR="0000000F" w:rsidRPr="000C7CFA" w:rsidRDefault="0000000F" w:rsidP="00704CE9">
            <w:pPr>
              <w:pStyle w:val="NoSpacing"/>
              <w:jc w:val="both"/>
              <w:rPr>
                <w:rFonts w:ascii="Verdana" w:hAnsi="Verdana" w:cs="Times New Roman"/>
                <w:sz w:val="18"/>
                <w:szCs w:val="18"/>
                <w:lang w:val="fi-FI"/>
              </w:rPr>
            </w:pPr>
            <w:r w:rsidRPr="000C7CFA">
              <w:rPr>
                <w:rFonts w:ascii="Verdana" w:hAnsi="Verdana" w:cs="Times New Roman"/>
                <w:sz w:val="18"/>
                <w:szCs w:val="18"/>
                <w:lang w:val="fi-FI"/>
              </w:rPr>
              <w:t>(</w:t>
            </w:r>
            <w:r w:rsidRPr="000C7CFA">
              <w:rPr>
                <w:rFonts w:ascii="Verdana" w:hAnsi="Verdana" w:cs="Times New Roman"/>
                <w:i/>
                <w:sz w:val="18"/>
                <w:szCs w:val="18"/>
                <w:lang w:val="fi-FI"/>
              </w:rPr>
              <w:t>Cirrhinus molitorella</w:t>
            </w:r>
            <w:r w:rsidRPr="000C7CFA">
              <w:rPr>
                <w:rFonts w:ascii="Verdana" w:hAnsi="Verdana" w:cs="Times New Roman"/>
                <w:sz w:val="18"/>
                <w:szCs w:val="18"/>
                <w:lang w:val="fi-FI"/>
              </w:rPr>
              <w:t>) (n=10)</w:t>
            </w:r>
          </w:p>
          <w:p w14:paraId="67850980" w14:textId="77777777" w:rsidR="0000000F" w:rsidRPr="000C7CFA" w:rsidRDefault="0000000F" w:rsidP="00704CE9">
            <w:pPr>
              <w:pStyle w:val="NoSpacing"/>
              <w:jc w:val="both"/>
              <w:rPr>
                <w:rFonts w:ascii="Verdana" w:hAnsi="Verdana" w:cs="Times New Roman"/>
                <w:sz w:val="18"/>
                <w:szCs w:val="18"/>
                <w:lang w:val="fi-FI"/>
              </w:rPr>
            </w:pPr>
            <w:r w:rsidRPr="000C7CFA">
              <w:rPr>
                <w:rFonts w:ascii="Verdana" w:hAnsi="Verdana" w:cs="Times New Roman"/>
                <w:sz w:val="18"/>
                <w:szCs w:val="18"/>
                <w:lang w:val="fi-FI"/>
              </w:rPr>
              <w:lastRenderedPageBreak/>
              <w:t xml:space="preserve"> </w:t>
            </w:r>
          </w:p>
          <w:p w14:paraId="75CA5C79"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Northern Snakehead (</w:t>
            </w:r>
            <w:r w:rsidRPr="000C7CFA">
              <w:rPr>
                <w:rFonts w:ascii="Verdana" w:hAnsi="Verdana" w:cs="Times New Roman"/>
                <w:i/>
                <w:sz w:val="18"/>
                <w:szCs w:val="18"/>
              </w:rPr>
              <w:t>Channa argus</w:t>
            </w:r>
            <w:r w:rsidRPr="000C7CFA">
              <w:rPr>
                <w:rFonts w:ascii="Verdana" w:hAnsi="Verdana" w:cs="Times New Roman"/>
                <w:sz w:val="18"/>
                <w:szCs w:val="18"/>
              </w:rPr>
              <w:t>)  (n=10)</w:t>
            </w:r>
          </w:p>
          <w:p w14:paraId="6F4A7A27" w14:textId="77777777" w:rsidR="0000000F" w:rsidRPr="000C7CFA" w:rsidRDefault="0000000F" w:rsidP="00704CE9">
            <w:pPr>
              <w:autoSpaceDE w:val="0"/>
              <w:autoSpaceDN w:val="0"/>
              <w:adjustRightInd w:val="0"/>
              <w:rPr>
                <w:rFonts w:ascii="Verdana" w:eastAsiaTheme="minorHAnsi" w:hAnsi="Verdana"/>
                <w:color w:val="000000"/>
                <w:sz w:val="18"/>
                <w:szCs w:val="18"/>
                <w:lang w:val="en-GB"/>
              </w:rPr>
            </w:pPr>
          </w:p>
        </w:tc>
        <w:tc>
          <w:tcPr>
            <w:tcW w:w="1068" w:type="dxa"/>
            <w:vMerge w:val="restart"/>
            <w:tcBorders>
              <w:top w:val="single" w:sz="4" w:space="0" w:color="auto"/>
              <w:left w:val="single" w:sz="4" w:space="0" w:color="auto"/>
              <w:right w:val="single" w:sz="4" w:space="0" w:color="auto"/>
            </w:tcBorders>
          </w:tcPr>
          <w:p w14:paraId="173D0F19"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lastRenderedPageBreak/>
              <w:t>Muscle, liver &amp; brain</w:t>
            </w:r>
          </w:p>
        </w:tc>
        <w:tc>
          <w:tcPr>
            <w:tcW w:w="2391" w:type="dxa"/>
            <w:vMerge w:val="restart"/>
            <w:tcBorders>
              <w:top w:val="single" w:sz="4" w:space="0" w:color="auto"/>
              <w:left w:val="single" w:sz="4" w:space="0" w:color="auto"/>
              <w:right w:val="single" w:sz="4" w:space="0" w:color="auto"/>
            </w:tcBorders>
          </w:tcPr>
          <w:p w14:paraId="1C78FF56"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 xml:space="preserve">Natural pond at an e-waste recycling site, South China; December 2009 </w:t>
            </w:r>
          </w:p>
          <w:p w14:paraId="68E84421" w14:textId="77777777" w:rsidR="0000000F" w:rsidRPr="000C7CFA" w:rsidRDefault="0000000F" w:rsidP="00704CE9">
            <w:pPr>
              <w:spacing w:after="0"/>
              <w:rPr>
                <w:rFonts w:ascii="Verdana" w:hAnsi="Verdana"/>
                <w:sz w:val="18"/>
                <w:szCs w:val="18"/>
                <w:lang w:val="en-GB" w:eastAsia="ar-SA"/>
              </w:rPr>
            </w:pPr>
          </w:p>
        </w:tc>
        <w:tc>
          <w:tcPr>
            <w:tcW w:w="1843" w:type="dxa"/>
            <w:tcBorders>
              <w:top w:val="single" w:sz="4" w:space="0" w:color="auto"/>
              <w:left w:val="single" w:sz="4" w:space="0" w:color="auto"/>
              <w:bottom w:val="single" w:sz="12" w:space="0" w:color="auto"/>
              <w:right w:val="single" w:sz="4" w:space="0" w:color="auto"/>
            </w:tcBorders>
          </w:tcPr>
          <w:p w14:paraId="318AA78A" w14:textId="77777777" w:rsidR="0000000F" w:rsidRPr="000C7CFA" w:rsidRDefault="0000000F" w:rsidP="00704CE9">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lastRenderedPageBreak/>
              <w:t>Anti-DP:</w:t>
            </w:r>
          </w:p>
          <w:p w14:paraId="2F4A3525" w14:textId="77777777" w:rsidR="0000000F" w:rsidRPr="000C7CFA" w:rsidRDefault="0000000F" w:rsidP="00704CE9">
            <w:pPr>
              <w:pStyle w:val="NoSpacing"/>
              <w:jc w:val="center"/>
              <w:rPr>
                <w:rFonts w:ascii="Verdana" w:hAnsi="Verdana"/>
                <w:sz w:val="18"/>
                <w:szCs w:val="18"/>
              </w:rPr>
            </w:pPr>
            <w:r w:rsidRPr="000C7CFA">
              <w:rPr>
                <w:rFonts w:ascii="Verdana" w:hAnsi="Verdana" w:cs="Times New Roman"/>
                <w:sz w:val="18"/>
                <w:szCs w:val="18"/>
              </w:rPr>
              <w:t>0.00052 (muscle)  to 0.024</w:t>
            </w:r>
            <w:r w:rsidRPr="000C7CFA">
              <w:rPr>
                <w:rFonts w:ascii="Verdana" w:hAnsi="Verdana"/>
                <w:sz w:val="18"/>
                <w:szCs w:val="18"/>
              </w:rPr>
              <w:t xml:space="preserve"> </w:t>
            </w:r>
            <w:r w:rsidRPr="000C7CFA">
              <w:rPr>
                <w:rFonts w:ascii="Verdana" w:hAnsi="Verdana" w:cs="Times New Roman"/>
                <w:sz w:val="18"/>
                <w:szCs w:val="18"/>
              </w:rPr>
              <w:t>(brain)</w:t>
            </w:r>
          </w:p>
        </w:tc>
        <w:tc>
          <w:tcPr>
            <w:tcW w:w="2976" w:type="dxa"/>
            <w:vMerge w:val="restart"/>
            <w:tcBorders>
              <w:top w:val="single" w:sz="4" w:space="0" w:color="auto"/>
              <w:left w:val="single" w:sz="4" w:space="0" w:color="auto"/>
              <w:right w:val="single" w:sz="4" w:space="0" w:color="auto"/>
            </w:tcBorders>
          </w:tcPr>
          <w:p w14:paraId="4CE5A861"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Both isomers were detected in all samples. Median concentrations of total isomers were as follows:</w:t>
            </w:r>
          </w:p>
          <w:p w14:paraId="21796636"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p>
          <w:p w14:paraId="4952D858"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Mud Carp</w:t>
            </w:r>
          </w:p>
          <w:p w14:paraId="0A4280B0"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Muscle: 0.38 µg/kg ww</w:t>
            </w:r>
          </w:p>
          <w:p w14:paraId="344F95D0"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Liver: 9.55 µg/kg ww</w:t>
            </w:r>
          </w:p>
          <w:p w14:paraId="6C33170A"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Brain: 18.26 µg/kg ww</w:t>
            </w:r>
          </w:p>
          <w:p w14:paraId="7F07C999"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p>
          <w:p w14:paraId="68CDF33B"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Northern Snakehead</w:t>
            </w:r>
          </w:p>
          <w:p w14:paraId="3FF919FE"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Muscle: 0.76 µg/kg ww</w:t>
            </w:r>
          </w:p>
          <w:p w14:paraId="5266ECE7"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Liver: 92.0 µg/kg ww</w:t>
            </w:r>
          </w:p>
          <w:p w14:paraId="519B4CA2"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Brain: 11.8 µg/kg ww</w:t>
            </w:r>
          </w:p>
          <w:p w14:paraId="4DD7C036"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p>
          <w:p w14:paraId="68F5BDE4"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Anti-DP-1Cl was detected in 100% of liver and 80% of muscle samples, with median concentrations of 0.01-5.63 µg/kg ww. Anti-DP-2Cl was detected in one muscle sample of Mud Carp, at a concentration of 0.01 µg/kg ww. Both isomers were detected in all five sediment samples collected at the same time (at concentrations from 6.32 to 25.0 (median: 12.0) µg/kg and from 0.42 to 0.83 (median: 0.64) µg/kg dw, respectively).</w:t>
            </w:r>
          </w:p>
        </w:tc>
        <w:tc>
          <w:tcPr>
            <w:tcW w:w="2552" w:type="dxa"/>
            <w:vMerge w:val="restart"/>
            <w:tcBorders>
              <w:top w:val="single" w:sz="4" w:space="0" w:color="auto"/>
              <w:left w:val="single" w:sz="4" w:space="0" w:color="auto"/>
              <w:right w:val="single" w:sz="4" w:space="0" w:color="auto"/>
            </w:tcBorders>
          </w:tcPr>
          <w:p w14:paraId="3682D1B5" w14:textId="77777777" w:rsidR="0000000F" w:rsidRPr="000C7CFA" w:rsidRDefault="0000000F" w:rsidP="002D5EFF">
            <w:pPr>
              <w:autoSpaceDE w:val="0"/>
              <w:autoSpaceDN w:val="0"/>
              <w:adjustRightInd w:val="0"/>
              <w:spacing w:after="120"/>
              <w:rPr>
                <w:rFonts w:ascii="Verdana" w:hAnsi="Verdana"/>
                <w:sz w:val="18"/>
                <w:szCs w:val="18"/>
              </w:rPr>
            </w:pPr>
            <w:r w:rsidRPr="000C7CFA">
              <w:rPr>
                <w:rFonts w:ascii="Verdana" w:eastAsiaTheme="minorHAnsi" w:hAnsi="Verdana"/>
                <w:color w:val="000000"/>
                <w:sz w:val="18"/>
                <w:szCs w:val="18"/>
                <w:lang w:val="en-GB"/>
              </w:rPr>
              <w:lastRenderedPageBreak/>
              <w:t>Analysis</w:t>
            </w:r>
            <w:r w:rsidRPr="000C7CFA">
              <w:rPr>
                <w:rFonts w:ascii="Verdana" w:hAnsi="Verdana"/>
                <w:sz w:val="18"/>
                <w:szCs w:val="18"/>
              </w:rPr>
              <w:t xml:space="preserve"> was by GC-MS.</w:t>
            </w:r>
          </w:p>
          <w:p w14:paraId="53B3EC96" w14:textId="77777777" w:rsidR="0000000F" w:rsidRPr="000C7CFA" w:rsidRDefault="0000000F" w:rsidP="00704CE9">
            <w:pPr>
              <w:pStyle w:val="NoSpacing"/>
              <w:spacing w:after="180"/>
              <w:rPr>
                <w:rFonts w:ascii="Verdana" w:hAnsi="Verdana" w:cs="Times New Roman"/>
                <w:sz w:val="18"/>
                <w:szCs w:val="18"/>
              </w:rPr>
            </w:pPr>
            <w:r w:rsidRPr="000C7CFA">
              <w:rPr>
                <w:rFonts w:ascii="Verdana" w:hAnsi="Verdana" w:cs="Times New Roman"/>
                <w:sz w:val="18"/>
                <w:szCs w:val="18"/>
              </w:rPr>
              <w:t xml:space="preserve">Both species are associated with benthic </w:t>
            </w:r>
            <w:r w:rsidRPr="000C7CFA">
              <w:rPr>
                <w:rFonts w:ascii="Verdana" w:hAnsi="Verdana" w:cs="Times New Roman"/>
                <w:sz w:val="18"/>
                <w:szCs w:val="18"/>
              </w:rPr>
              <w:lastRenderedPageBreak/>
              <w:t>environments. The median sediment concentration (total isomers) was above 3,000 µg/kg dw.</w:t>
            </w:r>
          </w:p>
          <w:p w14:paraId="38881C8C"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hAnsi="Verdana"/>
                <w:sz w:val="18"/>
                <w:szCs w:val="18"/>
                <w:lang w:val="en-GB"/>
              </w:rPr>
              <w:t xml:space="preserve">Higher levels of the anti- isomer were detected in the brain than liver or muscle for Mud Carp, whereas liver accumulated more of both isomers in Northern Snakehead. Lipid-normalized concentrations indicated preferential distribution to liver in both species, suggesting that hepatic proteins might be important in the accumulation of this substance. </w:t>
            </w:r>
            <w:r w:rsidRPr="000C7CFA">
              <w:rPr>
                <w:rFonts w:ascii="Verdana" w:eastAsiaTheme="minorHAnsi" w:hAnsi="Verdana"/>
                <w:color w:val="000000"/>
                <w:sz w:val="18"/>
                <w:szCs w:val="18"/>
                <w:lang w:val="en-GB"/>
              </w:rPr>
              <w:t>It appeared that there was enrichment of the syn- isomer in all tissues (except Northern Snakehead brain) compared to levels in sediment and the technical product.</w:t>
            </w:r>
          </w:p>
          <w:p w14:paraId="58BBE978" w14:textId="77777777" w:rsidR="0000000F" w:rsidRPr="000C7CFA" w:rsidRDefault="0000000F" w:rsidP="00704CE9">
            <w:pPr>
              <w:pStyle w:val="NoSpacing"/>
              <w:rPr>
                <w:rFonts w:ascii="Verdana" w:hAnsi="Verdana" w:cs="Times New Roman"/>
                <w:sz w:val="18"/>
                <w:szCs w:val="18"/>
              </w:rPr>
            </w:pPr>
          </w:p>
          <w:p w14:paraId="3BF88CCA" w14:textId="77777777" w:rsidR="0000000F" w:rsidRPr="000C7CFA" w:rsidRDefault="0000000F" w:rsidP="00704CE9">
            <w:pPr>
              <w:pStyle w:val="NoSpacing"/>
              <w:rPr>
                <w:rFonts w:ascii="Verdana" w:hAnsi="Verdana" w:cs="Times New Roman"/>
                <w:sz w:val="18"/>
                <w:szCs w:val="18"/>
              </w:rPr>
            </w:pPr>
            <w:r w:rsidRPr="000C7CFA">
              <w:rPr>
                <w:rFonts w:ascii="Verdana" w:hAnsi="Verdana" w:cs="Times New Roman"/>
                <w:sz w:val="18"/>
                <w:szCs w:val="18"/>
              </w:rPr>
              <w:t>The study shows that both isomers can cross the blood-brain barrier in fish.</w:t>
            </w:r>
          </w:p>
        </w:tc>
        <w:tc>
          <w:tcPr>
            <w:tcW w:w="1249" w:type="dxa"/>
            <w:vMerge w:val="restart"/>
            <w:tcBorders>
              <w:top w:val="single" w:sz="4" w:space="0" w:color="auto"/>
              <w:left w:val="single" w:sz="4" w:space="0" w:color="auto"/>
              <w:right w:val="single" w:sz="12" w:space="0" w:color="auto"/>
            </w:tcBorders>
          </w:tcPr>
          <w:p w14:paraId="493E0650" w14:textId="77777777" w:rsidR="0000000F" w:rsidRPr="000C7CFA" w:rsidRDefault="0000000F" w:rsidP="00704CE9">
            <w:pPr>
              <w:pStyle w:val="NoSpacing"/>
              <w:spacing w:after="180"/>
              <w:jc w:val="both"/>
              <w:rPr>
                <w:rFonts w:ascii="Verdana" w:hAnsi="Verdana" w:cs="Times New Roman"/>
                <w:sz w:val="18"/>
                <w:szCs w:val="18"/>
              </w:rPr>
            </w:pPr>
            <w:r w:rsidRPr="000C7CFA">
              <w:rPr>
                <w:rFonts w:ascii="Verdana" w:hAnsi="Verdana" w:cs="Times New Roman"/>
                <w:sz w:val="18"/>
                <w:szCs w:val="18"/>
              </w:rPr>
              <w:lastRenderedPageBreak/>
              <w:t xml:space="preserve">Zhang </w:t>
            </w:r>
            <w:r w:rsidRPr="000C7CFA">
              <w:rPr>
                <w:rFonts w:ascii="Verdana" w:hAnsi="Verdana" w:cs="Times New Roman"/>
                <w:i/>
                <w:sz w:val="18"/>
                <w:szCs w:val="18"/>
              </w:rPr>
              <w:t>et al</w:t>
            </w:r>
            <w:r w:rsidRPr="000C7CFA">
              <w:rPr>
                <w:rFonts w:ascii="Verdana" w:hAnsi="Verdana" w:cs="Times New Roman"/>
                <w:sz w:val="18"/>
                <w:szCs w:val="18"/>
              </w:rPr>
              <w:t>. (2011a)</w:t>
            </w:r>
          </w:p>
          <w:p w14:paraId="6B84F83C" w14:textId="77777777" w:rsidR="0000000F" w:rsidRPr="000C7CFA" w:rsidRDefault="0000000F" w:rsidP="00704CE9">
            <w:pPr>
              <w:spacing w:after="0"/>
              <w:rPr>
                <w:rFonts w:ascii="Verdana" w:hAnsi="Verdana"/>
                <w:sz w:val="18"/>
                <w:szCs w:val="18"/>
                <w:lang w:val="en-GB" w:eastAsia="ar-SA"/>
              </w:rPr>
            </w:pPr>
          </w:p>
        </w:tc>
      </w:tr>
      <w:tr w:rsidR="0000000F" w:rsidRPr="000C7CFA" w14:paraId="7B78B657" w14:textId="77777777" w:rsidTr="00D323EC">
        <w:trPr>
          <w:cantSplit/>
          <w:trHeight w:val="890"/>
        </w:trPr>
        <w:tc>
          <w:tcPr>
            <w:tcW w:w="1928" w:type="dxa"/>
            <w:vMerge/>
            <w:tcBorders>
              <w:left w:val="single" w:sz="12" w:space="0" w:color="auto"/>
              <w:right w:val="single" w:sz="4" w:space="0" w:color="auto"/>
            </w:tcBorders>
          </w:tcPr>
          <w:p w14:paraId="54C109CC" w14:textId="77777777" w:rsidR="0000000F" w:rsidRPr="000C7CFA" w:rsidRDefault="0000000F" w:rsidP="00704CE9">
            <w:pPr>
              <w:pStyle w:val="NoSpacing"/>
              <w:spacing w:after="180"/>
              <w:jc w:val="both"/>
              <w:rPr>
                <w:rFonts w:ascii="Verdana" w:hAnsi="Verdana" w:cs="Times New Roman"/>
                <w:sz w:val="18"/>
                <w:szCs w:val="18"/>
              </w:rPr>
            </w:pPr>
          </w:p>
        </w:tc>
        <w:tc>
          <w:tcPr>
            <w:tcW w:w="1068" w:type="dxa"/>
            <w:vMerge/>
            <w:tcBorders>
              <w:left w:val="single" w:sz="4" w:space="0" w:color="auto"/>
              <w:right w:val="single" w:sz="4" w:space="0" w:color="auto"/>
            </w:tcBorders>
          </w:tcPr>
          <w:p w14:paraId="0CA1B9B8" w14:textId="77777777" w:rsidR="0000000F" w:rsidRPr="000C7CFA" w:rsidRDefault="0000000F" w:rsidP="00704CE9">
            <w:pPr>
              <w:pStyle w:val="Tabletext"/>
              <w:spacing w:before="0" w:after="0"/>
              <w:rPr>
                <w:rFonts w:ascii="Verdana" w:hAnsi="Verdana"/>
                <w:sz w:val="18"/>
                <w:szCs w:val="18"/>
                <w:lang w:val="en-GB"/>
              </w:rPr>
            </w:pPr>
          </w:p>
        </w:tc>
        <w:tc>
          <w:tcPr>
            <w:tcW w:w="2391" w:type="dxa"/>
            <w:vMerge/>
            <w:tcBorders>
              <w:left w:val="single" w:sz="4" w:space="0" w:color="auto"/>
              <w:right w:val="single" w:sz="4" w:space="0" w:color="auto"/>
            </w:tcBorders>
          </w:tcPr>
          <w:p w14:paraId="335E7CD2" w14:textId="77777777" w:rsidR="0000000F" w:rsidRPr="000C7CFA" w:rsidRDefault="0000000F" w:rsidP="00704CE9">
            <w:pPr>
              <w:pStyle w:val="NoSpacing"/>
              <w:spacing w:after="180"/>
              <w:rPr>
                <w:rFonts w:ascii="Verdana" w:hAnsi="Verdana" w:cs="Times New Roman"/>
                <w:sz w:val="18"/>
                <w:szCs w:val="18"/>
              </w:rPr>
            </w:pPr>
          </w:p>
        </w:tc>
        <w:tc>
          <w:tcPr>
            <w:tcW w:w="1843" w:type="dxa"/>
            <w:tcBorders>
              <w:top w:val="single" w:sz="12" w:space="0" w:color="auto"/>
              <w:left w:val="single" w:sz="4" w:space="0" w:color="auto"/>
              <w:bottom w:val="single" w:sz="12" w:space="0" w:color="auto"/>
              <w:right w:val="single" w:sz="4" w:space="0" w:color="auto"/>
            </w:tcBorders>
          </w:tcPr>
          <w:p w14:paraId="4AE747E0" w14:textId="77777777" w:rsidR="0000000F" w:rsidRPr="000C7CFA" w:rsidRDefault="0000000F" w:rsidP="00704CE9">
            <w:pPr>
              <w:pStyle w:val="Tabletext"/>
              <w:spacing w:before="0" w:after="0"/>
              <w:jc w:val="center"/>
              <w:rPr>
                <w:rFonts w:ascii="Verdana" w:hAnsi="Verdana"/>
                <w:sz w:val="18"/>
                <w:szCs w:val="18"/>
              </w:rPr>
            </w:pPr>
            <w:r w:rsidRPr="000C7CFA">
              <w:rPr>
                <w:rFonts w:ascii="Verdana" w:hAnsi="Verdana"/>
                <w:snapToGrid/>
                <w:sz w:val="18"/>
                <w:szCs w:val="18"/>
                <w:lang w:val="en-GB" w:eastAsia="ar-SA"/>
              </w:rPr>
              <w:t xml:space="preserve">Syn-DP: </w:t>
            </w:r>
            <w:r w:rsidRPr="000C7CFA">
              <w:rPr>
                <w:rFonts w:ascii="Verdana" w:hAnsi="Verdana"/>
                <w:sz w:val="18"/>
                <w:szCs w:val="18"/>
              </w:rPr>
              <w:t>0.0012 (muscle) to 0.055 (brain)</w:t>
            </w:r>
          </w:p>
          <w:p w14:paraId="25BD3012" w14:textId="77777777" w:rsidR="0000000F" w:rsidRPr="000C7CFA" w:rsidRDefault="0000000F" w:rsidP="00704CE9">
            <w:pPr>
              <w:pStyle w:val="Tabletext"/>
              <w:spacing w:before="0" w:after="0"/>
              <w:jc w:val="center"/>
              <w:rPr>
                <w:rFonts w:ascii="Verdana" w:hAnsi="Verdana"/>
                <w:snapToGrid/>
                <w:sz w:val="18"/>
                <w:szCs w:val="18"/>
                <w:lang w:val="en-GB" w:eastAsia="ar-SA"/>
              </w:rPr>
            </w:pPr>
          </w:p>
        </w:tc>
        <w:tc>
          <w:tcPr>
            <w:tcW w:w="2976" w:type="dxa"/>
            <w:vMerge/>
            <w:tcBorders>
              <w:left w:val="single" w:sz="4" w:space="0" w:color="auto"/>
              <w:right w:val="single" w:sz="4" w:space="0" w:color="auto"/>
            </w:tcBorders>
          </w:tcPr>
          <w:p w14:paraId="65E9F841" w14:textId="77777777" w:rsidR="0000000F" w:rsidRPr="000C7CFA" w:rsidRDefault="0000000F" w:rsidP="00704CE9">
            <w:pPr>
              <w:pStyle w:val="Tabletext"/>
              <w:rPr>
                <w:rFonts w:ascii="Verdana" w:eastAsiaTheme="minorHAnsi" w:hAnsi="Verdana"/>
                <w:sz w:val="18"/>
                <w:szCs w:val="18"/>
                <w:lang w:val="en-GB"/>
              </w:rPr>
            </w:pPr>
          </w:p>
        </w:tc>
        <w:tc>
          <w:tcPr>
            <w:tcW w:w="2552" w:type="dxa"/>
            <w:vMerge/>
            <w:tcBorders>
              <w:left w:val="single" w:sz="4" w:space="0" w:color="auto"/>
              <w:right w:val="single" w:sz="4" w:space="0" w:color="auto"/>
            </w:tcBorders>
          </w:tcPr>
          <w:p w14:paraId="5BE5CE06" w14:textId="77777777" w:rsidR="0000000F" w:rsidRPr="000C7CFA" w:rsidRDefault="0000000F" w:rsidP="00704CE9">
            <w:pPr>
              <w:pStyle w:val="NoSpacing"/>
              <w:spacing w:after="180"/>
              <w:rPr>
                <w:rFonts w:ascii="Verdana" w:hAnsi="Verdana" w:cs="Times New Roman"/>
                <w:sz w:val="18"/>
                <w:szCs w:val="18"/>
              </w:rPr>
            </w:pPr>
          </w:p>
        </w:tc>
        <w:tc>
          <w:tcPr>
            <w:tcW w:w="1249" w:type="dxa"/>
            <w:vMerge/>
            <w:tcBorders>
              <w:left w:val="single" w:sz="4" w:space="0" w:color="auto"/>
              <w:right w:val="single" w:sz="12" w:space="0" w:color="auto"/>
            </w:tcBorders>
          </w:tcPr>
          <w:p w14:paraId="1A1D920D" w14:textId="77777777" w:rsidR="0000000F" w:rsidRPr="000C7CFA" w:rsidRDefault="0000000F" w:rsidP="00704CE9">
            <w:pPr>
              <w:pStyle w:val="NoSpacing"/>
              <w:spacing w:after="180"/>
              <w:jc w:val="both"/>
              <w:rPr>
                <w:rFonts w:ascii="Verdana" w:hAnsi="Verdana" w:cs="Times New Roman"/>
                <w:sz w:val="18"/>
                <w:szCs w:val="18"/>
              </w:rPr>
            </w:pPr>
          </w:p>
        </w:tc>
      </w:tr>
      <w:tr w:rsidR="008B3C29" w:rsidRPr="000C7CFA" w14:paraId="4BD32E63" w14:textId="77777777" w:rsidTr="00D323EC">
        <w:trPr>
          <w:cantSplit/>
          <w:trHeight w:val="1235"/>
        </w:trPr>
        <w:tc>
          <w:tcPr>
            <w:tcW w:w="1928" w:type="dxa"/>
            <w:tcBorders>
              <w:top w:val="single" w:sz="8" w:space="0" w:color="auto"/>
              <w:left w:val="single" w:sz="12" w:space="0" w:color="auto"/>
              <w:bottom w:val="single" w:sz="4" w:space="0" w:color="auto"/>
              <w:right w:val="single" w:sz="4" w:space="0" w:color="auto"/>
            </w:tcBorders>
          </w:tcPr>
          <w:p w14:paraId="60F81B98" w14:textId="77777777" w:rsidR="008B3C29" w:rsidRPr="000C7CFA" w:rsidRDefault="008B3C29" w:rsidP="00FC2B2F">
            <w:pPr>
              <w:autoSpaceDE w:val="0"/>
              <w:autoSpaceDN w:val="0"/>
              <w:adjustRightInd w:val="0"/>
              <w:spacing w:after="0"/>
              <w:rPr>
                <w:rFonts w:ascii="Verdana" w:hAnsi="Verdana"/>
                <w:spacing w:val="8"/>
                <w:sz w:val="18"/>
                <w:szCs w:val="18"/>
              </w:rPr>
            </w:pPr>
            <w:r w:rsidRPr="000C7CFA">
              <w:rPr>
                <w:rFonts w:ascii="Verdana" w:hAnsi="Verdana"/>
                <w:spacing w:val="8"/>
                <w:sz w:val="18"/>
                <w:szCs w:val="18"/>
              </w:rPr>
              <w:lastRenderedPageBreak/>
              <w:t>Mud Carp (</w:t>
            </w:r>
            <w:r w:rsidRPr="000C7CFA">
              <w:rPr>
                <w:rFonts w:ascii="Verdana" w:hAnsi="Verdana"/>
                <w:i/>
                <w:spacing w:val="8"/>
                <w:sz w:val="18"/>
                <w:szCs w:val="18"/>
              </w:rPr>
              <w:t>Cirrhinus molitorella</w:t>
            </w:r>
            <w:r w:rsidRPr="000C7CFA">
              <w:rPr>
                <w:rFonts w:ascii="Verdana" w:hAnsi="Verdana"/>
                <w:spacing w:val="8"/>
                <w:sz w:val="18"/>
                <w:szCs w:val="18"/>
              </w:rPr>
              <w:t>)</w:t>
            </w:r>
          </w:p>
          <w:p w14:paraId="294776F4" w14:textId="77777777" w:rsidR="008B3C29" w:rsidRPr="000C7CFA" w:rsidRDefault="008B3C29" w:rsidP="00FC2B2F">
            <w:pPr>
              <w:autoSpaceDE w:val="0"/>
              <w:autoSpaceDN w:val="0"/>
              <w:adjustRightInd w:val="0"/>
              <w:spacing w:after="0"/>
              <w:rPr>
                <w:rFonts w:ascii="Verdana" w:hAnsi="Verdana"/>
                <w:spacing w:val="8"/>
                <w:sz w:val="18"/>
                <w:szCs w:val="18"/>
              </w:rPr>
            </w:pPr>
          </w:p>
          <w:p w14:paraId="35AB3539" w14:textId="77777777" w:rsidR="008B3C29" w:rsidRPr="000C7CFA" w:rsidRDefault="008B3C29" w:rsidP="00FC2B2F">
            <w:pPr>
              <w:autoSpaceDE w:val="0"/>
              <w:autoSpaceDN w:val="0"/>
              <w:adjustRightInd w:val="0"/>
              <w:spacing w:after="0"/>
              <w:rPr>
                <w:rFonts w:ascii="Verdana" w:hAnsi="Verdana"/>
                <w:spacing w:val="8"/>
                <w:sz w:val="18"/>
                <w:szCs w:val="18"/>
              </w:rPr>
            </w:pPr>
            <w:r w:rsidRPr="000C7CFA">
              <w:rPr>
                <w:rFonts w:ascii="Verdana" w:hAnsi="Verdana"/>
                <w:spacing w:val="8"/>
                <w:sz w:val="18"/>
                <w:szCs w:val="18"/>
              </w:rPr>
              <w:t>Northern Snakehead (</w:t>
            </w:r>
            <w:r w:rsidRPr="000C7CFA">
              <w:rPr>
                <w:rFonts w:ascii="Verdana" w:hAnsi="Verdana"/>
                <w:i/>
                <w:spacing w:val="8"/>
                <w:sz w:val="18"/>
                <w:szCs w:val="18"/>
              </w:rPr>
              <w:t>Ophicephalus argus</w:t>
            </w:r>
            <w:r w:rsidRPr="000C7CFA">
              <w:rPr>
                <w:rFonts w:ascii="Verdana" w:hAnsi="Verdana"/>
                <w:spacing w:val="8"/>
                <w:sz w:val="18"/>
                <w:szCs w:val="18"/>
              </w:rPr>
              <w:t>)</w:t>
            </w:r>
          </w:p>
        </w:tc>
        <w:tc>
          <w:tcPr>
            <w:tcW w:w="1068" w:type="dxa"/>
            <w:tcBorders>
              <w:top w:val="single" w:sz="8" w:space="0" w:color="auto"/>
              <w:left w:val="single" w:sz="4" w:space="0" w:color="auto"/>
              <w:bottom w:val="single" w:sz="4" w:space="0" w:color="auto"/>
              <w:right w:val="single" w:sz="4" w:space="0" w:color="auto"/>
            </w:tcBorders>
          </w:tcPr>
          <w:p w14:paraId="0425A999" w14:textId="77777777" w:rsidR="008B3C29" w:rsidRPr="000C7CFA" w:rsidRDefault="008B3C29" w:rsidP="00FC2B2F">
            <w:pPr>
              <w:pStyle w:val="Tabletext"/>
              <w:spacing w:before="0" w:after="0"/>
              <w:rPr>
                <w:rFonts w:ascii="Verdana" w:hAnsi="Verdana"/>
                <w:sz w:val="18"/>
                <w:szCs w:val="18"/>
                <w:lang w:val="en-GB"/>
              </w:rPr>
            </w:pPr>
            <w:r w:rsidRPr="000C7CFA">
              <w:rPr>
                <w:rFonts w:ascii="Verdana" w:hAnsi="Verdana"/>
                <w:sz w:val="18"/>
                <w:szCs w:val="18"/>
                <w:lang w:val="en-GB"/>
              </w:rPr>
              <w:t>Blood serum</w:t>
            </w:r>
          </w:p>
        </w:tc>
        <w:tc>
          <w:tcPr>
            <w:tcW w:w="2391" w:type="dxa"/>
            <w:tcBorders>
              <w:top w:val="single" w:sz="8" w:space="0" w:color="auto"/>
              <w:left w:val="single" w:sz="4" w:space="0" w:color="auto"/>
              <w:bottom w:val="single" w:sz="4" w:space="0" w:color="auto"/>
              <w:right w:val="single" w:sz="4" w:space="0" w:color="auto"/>
            </w:tcBorders>
          </w:tcPr>
          <w:p w14:paraId="33E7F68C" w14:textId="77777777" w:rsidR="008B3C29" w:rsidRPr="000C7CFA" w:rsidRDefault="008B3C29" w:rsidP="00FC2B2F">
            <w:pPr>
              <w:pStyle w:val="Tabletext"/>
              <w:spacing w:before="0" w:after="0"/>
              <w:rPr>
                <w:rFonts w:ascii="Verdana" w:hAnsi="Verdana"/>
                <w:sz w:val="18"/>
                <w:szCs w:val="18"/>
                <w:lang w:eastAsia="en-US"/>
              </w:rPr>
            </w:pPr>
            <w:r w:rsidRPr="000C7CFA">
              <w:rPr>
                <w:rFonts w:ascii="Verdana" w:hAnsi="Verdana"/>
                <w:sz w:val="18"/>
                <w:szCs w:val="18"/>
                <w:lang w:eastAsia="en-US"/>
              </w:rPr>
              <w:t>Electronics waste recycling site in south China, 2010. 3 pooled samples for each species each taken from 6 individuals. Each pooled sample was divided into 2 subsamples for analysis</w:t>
            </w:r>
          </w:p>
        </w:tc>
        <w:tc>
          <w:tcPr>
            <w:tcW w:w="1843" w:type="dxa"/>
            <w:tcBorders>
              <w:top w:val="single" w:sz="12" w:space="0" w:color="auto"/>
              <w:left w:val="single" w:sz="4" w:space="0" w:color="auto"/>
              <w:bottom w:val="single" w:sz="4" w:space="0" w:color="auto"/>
              <w:right w:val="single" w:sz="4" w:space="0" w:color="auto"/>
            </w:tcBorders>
          </w:tcPr>
          <w:p w14:paraId="64EA39E4" w14:textId="77777777" w:rsidR="008B3C29" w:rsidRPr="000C7CFA" w:rsidRDefault="008B3C29" w:rsidP="00FC2B2F">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0.009-0.026</w:t>
            </w:r>
          </w:p>
        </w:tc>
        <w:tc>
          <w:tcPr>
            <w:tcW w:w="2976" w:type="dxa"/>
            <w:tcBorders>
              <w:top w:val="single" w:sz="8" w:space="0" w:color="auto"/>
              <w:left w:val="single" w:sz="4" w:space="0" w:color="auto"/>
              <w:bottom w:val="single" w:sz="4" w:space="0" w:color="auto"/>
              <w:right w:val="single" w:sz="4" w:space="0" w:color="auto"/>
            </w:tcBorders>
          </w:tcPr>
          <w:p w14:paraId="08BBC24A" w14:textId="77777777" w:rsidR="008B3C29" w:rsidRPr="000C7CFA" w:rsidRDefault="008B3C29" w:rsidP="00FC2B2F">
            <w:pPr>
              <w:rPr>
                <w:rFonts w:ascii="Verdana" w:hAnsi="Verdana"/>
                <w:sz w:val="18"/>
                <w:szCs w:val="18"/>
                <w:lang w:val="en-GB" w:eastAsia="en-GB"/>
              </w:rPr>
            </w:pPr>
            <w:r w:rsidRPr="000C7CFA">
              <w:rPr>
                <w:rFonts w:ascii="Verdana" w:hAnsi="Verdana"/>
                <w:sz w:val="18"/>
                <w:szCs w:val="18"/>
                <w:lang w:val="en-GB" w:eastAsia="en-GB"/>
              </w:rPr>
              <w:t>Detected in all  pooled samples</w:t>
            </w:r>
          </w:p>
          <w:p w14:paraId="261937EC" w14:textId="77777777" w:rsidR="003F6F51" w:rsidRPr="000C7CFA" w:rsidRDefault="008B3C29" w:rsidP="003F6F51">
            <w:pPr>
              <w:spacing w:after="0"/>
              <w:rPr>
                <w:rFonts w:ascii="Verdana" w:hAnsi="Verdana"/>
                <w:sz w:val="18"/>
                <w:szCs w:val="18"/>
                <w:lang w:val="en-GB" w:eastAsia="en-GB"/>
              </w:rPr>
            </w:pPr>
            <w:r w:rsidRPr="000C7CFA">
              <w:rPr>
                <w:rFonts w:ascii="Verdana" w:hAnsi="Verdana"/>
                <w:sz w:val="18"/>
                <w:szCs w:val="18"/>
                <w:lang w:val="en-GB" w:eastAsia="en-GB"/>
              </w:rPr>
              <w:t>Mud Carp</w:t>
            </w:r>
          </w:p>
          <w:p w14:paraId="30832490" w14:textId="77777777" w:rsidR="008B3C29" w:rsidRPr="000C7CFA" w:rsidRDefault="008B3C29" w:rsidP="003F6F51">
            <w:pPr>
              <w:spacing w:after="0"/>
              <w:rPr>
                <w:rFonts w:ascii="Verdana" w:hAnsi="Verdana"/>
                <w:sz w:val="18"/>
                <w:szCs w:val="18"/>
                <w:lang w:val="en-GB" w:eastAsia="en-GB"/>
              </w:rPr>
            </w:pPr>
            <w:r w:rsidRPr="000C7CFA">
              <w:rPr>
                <w:rFonts w:ascii="Verdana" w:hAnsi="Verdana"/>
                <w:sz w:val="18"/>
                <w:szCs w:val="18"/>
                <w:lang w:val="en-GB" w:eastAsia="en-GB"/>
              </w:rPr>
              <w:t xml:space="preserve">Total isomers: </w:t>
            </w:r>
          </w:p>
          <w:p w14:paraId="321E7B42" w14:textId="77777777" w:rsidR="008B3C29" w:rsidRPr="000C7CFA" w:rsidRDefault="008B3C29" w:rsidP="00FC2B2F">
            <w:pPr>
              <w:spacing w:after="0"/>
              <w:rPr>
                <w:rFonts w:ascii="Verdana" w:hAnsi="Verdana"/>
                <w:sz w:val="18"/>
                <w:szCs w:val="18"/>
                <w:lang w:val="en-GB" w:eastAsia="en-GB"/>
              </w:rPr>
            </w:pPr>
            <w:r w:rsidRPr="000C7CFA">
              <w:rPr>
                <w:rFonts w:ascii="Verdana" w:hAnsi="Verdana"/>
                <w:sz w:val="18"/>
                <w:szCs w:val="18"/>
                <w:lang w:val="en-GB" w:eastAsia="en-GB"/>
              </w:rPr>
              <w:t xml:space="preserve">Mean: 0.3 μg/kg ww </w:t>
            </w:r>
          </w:p>
          <w:p w14:paraId="566B6FBD" w14:textId="77777777" w:rsidR="008B3C29" w:rsidRPr="000C7CFA" w:rsidRDefault="008B3C29" w:rsidP="00FC2B2F">
            <w:pPr>
              <w:rPr>
                <w:rFonts w:ascii="Verdana" w:hAnsi="Verdana"/>
                <w:sz w:val="18"/>
                <w:szCs w:val="18"/>
                <w:lang w:val="en-GB" w:eastAsia="en-GB"/>
              </w:rPr>
            </w:pPr>
            <w:r w:rsidRPr="000C7CFA">
              <w:rPr>
                <w:rFonts w:ascii="Verdana" w:hAnsi="Verdana"/>
                <w:sz w:val="18"/>
                <w:szCs w:val="18"/>
                <w:lang w:val="en-GB" w:eastAsia="en-GB"/>
              </w:rPr>
              <w:t>Mean f</w:t>
            </w:r>
            <w:r w:rsidRPr="000C7CFA">
              <w:rPr>
                <w:rFonts w:ascii="Verdana" w:hAnsi="Verdana"/>
                <w:sz w:val="18"/>
                <w:szCs w:val="18"/>
                <w:vertAlign w:val="subscript"/>
                <w:lang w:val="en-GB" w:eastAsia="en-GB"/>
              </w:rPr>
              <w:t>anti</w:t>
            </w:r>
            <w:r w:rsidRPr="000C7CFA">
              <w:rPr>
                <w:rFonts w:ascii="Verdana" w:hAnsi="Verdana"/>
                <w:sz w:val="18"/>
                <w:szCs w:val="18"/>
                <w:lang w:val="en-GB" w:eastAsia="en-GB"/>
              </w:rPr>
              <w:t xml:space="preserve"> = 0.44</w:t>
            </w:r>
          </w:p>
          <w:p w14:paraId="72AA7A8D" w14:textId="77777777" w:rsidR="008B3C29" w:rsidRPr="000C7CFA" w:rsidRDefault="008B3C29" w:rsidP="003F6F51">
            <w:pPr>
              <w:spacing w:after="0"/>
              <w:rPr>
                <w:rFonts w:ascii="Verdana" w:hAnsi="Verdana"/>
                <w:sz w:val="18"/>
                <w:szCs w:val="18"/>
                <w:lang w:val="en-GB" w:eastAsia="en-GB"/>
              </w:rPr>
            </w:pPr>
            <w:r w:rsidRPr="000C7CFA">
              <w:rPr>
                <w:rFonts w:ascii="Verdana" w:hAnsi="Verdana"/>
                <w:sz w:val="18"/>
                <w:szCs w:val="18"/>
                <w:lang w:val="en-GB" w:eastAsia="en-GB"/>
              </w:rPr>
              <w:t>Northern Snakehead</w:t>
            </w:r>
          </w:p>
          <w:p w14:paraId="112C6BB6" w14:textId="77777777" w:rsidR="008B3C29" w:rsidRPr="000C7CFA" w:rsidRDefault="008B3C29" w:rsidP="00FC2B2F">
            <w:pPr>
              <w:spacing w:after="0"/>
              <w:rPr>
                <w:rFonts w:ascii="Verdana" w:hAnsi="Verdana"/>
                <w:sz w:val="18"/>
                <w:szCs w:val="18"/>
                <w:lang w:val="en-GB" w:eastAsia="en-GB"/>
              </w:rPr>
            </w:pPr>
            <w:r w:rsidRPr="000C7CFA">
              <w:rPr>
                <w:rFonts w:ascii="Verdana" w:hAnsi="Verdana"/>
                <w:sz w:val="18"/>
                <w:szCs w:val="18"/>
                <w:lang w:val="en-GB" w:eastAsia="en-GB"/>
              </w:rPr>
              <w:t>Total isomers:</w:t>
            </w:r>
          </w:p>
          <w:p w14:paraId="702CDB96" w14:textId="77777777" w:rsidR="008B3C29" w:rsidRPr="000C7CFA" w:rsidRDefault="008B3C29" w:rsidP="00FC2B2F">
            <w:pPr>
              <w:spacing w:after="0"/>
              <w:rPr>
                <w:rFonts w:ascii="Verdana" w:hAnsi="Verdana"/>
                <w:sz w:val="18"/>
                <w:szCs w:val="18"/>
                <w:lang w:val="en-GB" w:eastAsia="en-GB"/>
              </w:rPr>
            </w:pPr>
            <w:r w:rsidRPr="000C7CFA">
              <w:rPr>
                <w:rFonts w:ascii="Verdana" w:hAnsi="Verdana"/>
                <w:sz w:val="18"/>
                <w:szCs w:val="18"/>
                <w:lang w:val="en-GB" w:eastAsia="en-GB"/>
              </w:rPr>
              <w:t>Mean:4.6 μg/kg ww</w:t>
            </w:r>
          </w:p>
          <w:p w14:paraId="03F10BB9" w14:textId="77777777" w:rsidR="008B3C29" w:rsidRPr="000C7CFA" w:rsidRDefault="008B3C29" w:rsidP="00FC2B2F">
            <w:pPr>
              <w:rPr>
                <w:rFonts w:ascii="Verdana" w:hAnsi="Verdana"/>
                <w:sz w:val="18"/>
                <w:szCs w:val="18"/>
                <w:lang w:val="en-GB" w:eastAsia="en-GB"/>
              </w:rPr>
            </w:pPr>
            <w:r w:rsidRPr="000C7CFA">
              <w:rPr>
                <w:rFonts w:ascii="Verdana" w:hAnsi="Verdana"/>
                <w:sz w:val="18"/>
                <w:szCs w:val="18"/>
                <w:lang w:val="en-GB" w:eastAsia="en-GB"/>
              </w:rPr>
              <w:t>Mean f</w:t>
            </w:r>
            <w:r w:rsidRPr="000C7CFA">
              <w:rPr>
                <w:rFonts w:ascii="Verdana" w:hAnsi="Verdana"/>
                <w:sz w:val="18"/>
                <w:szCs w:val="18"/>
                <w:vertAlign w:val="subscript"/>
                <w:lang w:val="en-GB" w:eastAsia="en-GB"/>
              </w:rPr>
              <w:t xml:space="preserve">anti </w:t>
            </w:r>
            <w:r w:rsidRPr="000C7CFA">
              <w:rPr>
                <w:rFonts w:ascii="Verdana" w:hAnsi="Verdana"/>
                <w:sz w:val="18"/>
                <w:szCs w:val="18"/>
                <w:lang w:val="en-GB" w:eastAsia="en-GB"/>
              </w:rPr>
              <w:t>= 0.56</w:t>
            </w:r>
          </w:p>
        </w:tc>
        <w:tc>
          <w:tcPr>
            <w:tcW w:w="2552" w:type="dxa"/>
            <w:tcBorders>
              <w:top w:val="single" w:sz="8" w:space="0" w:color="auto"/>
              <w:left w:val="single" w:sz="4" w:space="0" w:color="auto"/>
              <w:bottom w:val="single" w:sz="4" w:space="0" w:color="auto"/>
              <w:right w:val="single" w:sz="4" w:space="0" w:color="auto"/>
            </w:tcBorders>
          </w:tcPr>
          <w:p w14:paraId="515B5FFE" w14:textId="52D4CADD" w:rsidR="008B3C29" w:rsidRPr="000C7CFA" w:rsidRDefault="008B3C29"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Analysis by GC-MS. The range of concentrations was given as 0.3-5.1 μg/kg </w:t>
            </w:r>
            <w:r w:rsidR="0047043A" w:rsidRPr="000C7CFA">
              <w:rPr>
                <w:rFonts w:ascii="Verdana" w:eastAsiaTheme="minorHAnsi" w:hAnsi="Verdana"/>
                <w:sz w:val="18"/>
                <w:szCs w:val="18"/>
                <w:lang w:val="en-GB"/>
              </w:rPr>
              <w:t>ww</w:t>
            </w:r>
            <w:r w:rsidRPr="000C7CFA">
              <w:rPr>
                <w:rFonts w:ascii="Verdana" w:eastAsiaTheme="minorHAnsi" w:hAnsi="Verdana"/>
                <w:sz w:val="18"/>
                <w:szCs w:val="18"/>
                <w:lang w:val="en-GB"/>
              </w:rPr>
              <w:t xml:space="preserve"> or 47-727 μg/kg </w:t>
            </w:r>
            <w:r w:rsidR="0047043A" w:rsidRPr="000C7CFA">
              <w:rPr>
                <w:rFonts w:ascii="Verdana" w:eastAsiaTheme="minorHAnsi" w:hAnsi="Verdana"/>
                <w:sz w:val="18"/>
                <w:szCs w:val="18"/>
                <w:lang w:val="en-GB"/>
              </w:rPr>
              <w:t>lw</w:t>
            </w:r>
            <w:r w:rsidRPr="000C7CFA">
              <w:rPr>
                <w:rFonts w:ascii="Verdana" w:eastAsiaTheme="minorHAnsi" w:hAnsi="Verdana"/>
                <w:sz w:val="18"/>
                <w:szCs w:val="18"/>
                <w:lang w:val="en-GB"/>
              </w:rPr>
              <w:t xml:space="preserve">. The lipid weight concentrations are not given separately for each species. </w:t>
            </w:r>
          </w:p>
          <w:p w14:paraId="397E7E6C" w14:textId="4A62A339" w:rsidR="008B3C29" w:rsidRPr="000C7CFA" w:rsidRDefault="008B3C29"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The f</w:t>
            </w:r>
            <w:r w:rsidRPr="000C7CFA">
              <w:rPr>
                <w:rFonts w:ascii="Verdana" w:eastAsiaTheme="minorHAnsi" w:hAnsi="Verdana"/>
                <w:sz w:val="18"/>
                <w:szCs w:val="18"/>
                <w:vertAlign w:val="subscript"/>
                <w:lang w:val="en-GB"/>
              </w:rPr>
              <w:t>anti</w:t>
            </w:r>
            <w:r w:rsidRPr="000C7CFA">
              <w:rPr>
                <w:rFonts w:ascii="Verdana" w:eastAsiaTheme="minorHAnsi" w:hAnsi="Verdana"/>
                <w:sz w:val="18"/>
                <w:szCs w:val="18"/>
                <w:lang w:val="en-GB"/>
              </w:rPr>
              <w:t xml:space="preserve"> in both species was </w:t>
            </w:r>
            <w:r w:rsidR="00A11FA5" w:rsidRPr="000C7CFA">
              <w:rPr>
                <w:rFonts w:ascii="Verdana" w:eastAsiaTheme="minorHAnsi" w:hAnsi="Verdana"/>
                <w:sz w:val="18"/>
                <w:szCs w:val="18"/>
                <w:lang w:val="en-GB"/>
              </w:rPr>
              <w:t>significantly</w:t>
            </w:r>
            <w:r w:rsidRPr="000C7CFA">
              <w:rPr>
                <w:rFonts w:ascii="Verdana" w:eastAsiaTheme="minorHAnsi" w:hAnsi="Verdana"/>
                <w:sz w:val="18"/>
                <w:szCs w:val="18"/>
                <w:lang w:val="en-GB"/>
              </w:rPr>
              <w:t xml:space="preserve"> lower (</w:t>
            </w:r>
            <w:r w:rsidRPr="000C7CFA">
              <w:rPr>
                <w:rFonts w:ascii="Verdana" w:eastAsiaTheme="minorHAnsi" w:hAnsi="Verdana"/>
                <w:i/>
                <w:sz w:val="18"/>
                <w:szCs w:val="18"/>
                <w:lang w:val="en-GB"/>
              </w:rPr>
              <w:t>p</w:t>
            </w:r>
            <w:r w:rsidRPr="000C7CFA">
              <w:rPr>
                <w:rFonts w:ascii="Verdana" w:eastAsiaTheme="minorHAnsi" w:hAnsi="Verdana"/>
                <w:sz w:val="18"/>
                <w:szCs w:val="18"/>
                <w:lang w:val="en-GB"/>
              </w:rPr>
              <w:t>&lt;0.001) than that in sediments from the area (f</w:t>
            </w:r>
            <w:r w:rsidRPr="000C7CFA">
              <w:rPr>
                <w:rFonts w:ascii="Verdana" w:eastAsiaTheme="minorHAnsi" w:hAnsi="Verdana"/>
                <w:sz w:val="18"/>
                <w:szCs w:val="18"/>
                <w:vertAlign w:val="subscript"/>
                <w:lang w:val="en-GB"/>
              </w:rPr>
              <w:t>anti</w:t>
            </w:r>
            <w:r w:rsidRPr="000C7CFA">
              <w:rPr>
                <w:rFonts w:ascii="Verdana" w:eastAsiaTheme="minorHAnsi" w:hAnsi="Verdana"/>
                <w:sz w:val="18"/>
                <w:szCs w:val="18"/>
                <w:lang w:val="en-GB"/>
              </w:rPr>
              <w:t xml:space="preserve">=0.755). </w:t>
            </w:r>
          </w:p>
        </w:tc>
        <w:tc>
          <w:tcPr>
            <w:tcW w:w="1249" w:type="dxa"/>
            <w:tcBorders>
              <w:top w:val="single" w:sz="8" w:space="0" w:color="auto"/>
              <w:left w:val="single" w:sz="4" w:space="0" w:color="auto"/>
              <w:bottom w:val="single" w:sz="4" w:space="0" w:color="auto"/>
              <w:right w:val="single" w:sz="12" w:space="0" w:color="auto"/>
            </w:tcBorders>
          </w:tcPr>
          <w:p w14:paraId="44C4C555" w14:textId="77777777" w:rsidR="008B3C29" w:rsidRPr="000C7CFA" w:rsidRDefault="008B3C29" w:rsidP="00FC2B2F">
            <w:pPr>
              <w:spacing w:after="0"/>
              <w:rPr>
                <w:rFonts w:ascii="Verdana" w:hAnsi="Verdana"/>
                <w:sz w:val="18"/>
                <w:szCs w:val="18"/>
                <w:lang w:val="en-GB" w:eastAsia="ar-SA"/>
              </w:rPr>
            </w:pPr>
            <w:r w:rsidRPr="000C7CFA">
              <w:rPr>
                <w:rFonts w:ascii="Verdana" w:hAnsi="Verdana"/>
                <w:sz w:val="18"/>
                <w:szCs w:val="18"/>
                <w:lang w:val="en-GB" w:eastAsia="ar-SA"/>
              </w:rPr>
              <w:t xml:space="preserve">Zeng </w:t>
            </w:r>
            <w:r w:rsidRPr="000C7CFA">
              <w:rPr>
                <w:rFonts w:ascii="Verdana" w:hAnsi="Verdana"/>
                <w:i/>
                <w:sz w:val="18"/>
                <w:szCs w:val="18"/>
                <w:lang w:val="en-GB" w:eastAsia="ar-SA"/>
              </w:rPr>
              <w:t>et al.</w:t>
            </w:r>
            <w:r w:rsidRPr="000C7CFA">
              <w:rPr>
                <w:rFonts w:ascii="Verdana" w:hAnsi="Verdana"/>
                <w:sz w:val="18"/>
                <w:szCs w:val="18"/>
                <w:lang w:val="en-GB" w:eastAsia="ar-SA"/>
              </w:rPr>
              <w:t xml:space="preserve"> (2014b)</w:t>
            </w:r>
          </w:p>
        </w:tc>
      </w:tr>
      <w:tr w:rsidR="0000000F" w:rsidRPr="000C7CFA" w14:paraId="4DD01680" w14:textId="77777777" w:rsidTr="00D323EC">
        <w:trPr>
          <w:cantSplit/>
          <w:trHeight w:val="1235"/>
        </w:trPr>
        <w:tc>
          <w:tcPr>
            <w:tcW w:w="1928" w:type="dxa"/>
            <w:tcBorders>
              <w:top w:val="single" w:sz="4" w:space="0" w:color="auto"/>
              <w:left w:val="single" w:sz="12" w:space="0" w:color="auto"/>
              <w:bottom w:val="single" w:sz="4" w:space="0" w:color="auto"/>
              <w:right w:val="single" w:sz="4" w:space="0" w:color="auto"/>
            </w:tcBorders>
          </w:tcPr>
          <w:p w14:paraId="7FA76401" w14:textId="77777777" w:rsidR="0000000F" w:rsidRPr="000C7CFA" w:rsidRDefault="0000000F" w:rsidP="00704CE9">
            <w:pPr>
              <w:autoSpaceDE w:val="0"/>
              <w:autoSpaceDN w:val="0"/>
              <w:adjustRightInd w:val="0"/>
              <w:spacing w:after="0"/>
              <w:rPr>
                <w:rFonts w:ascii="Verdana" w:hAnsi="Verdana"/>
                <w:sz w:val="18"/>
                <w:szCs w:val="18"/>
              </w:rPr>
            </w:pPr>
            <w:r w:rsidRPr="000C7CFA">
              <w:rPr>
                <w:rFonts w:ascii="Verdana" w:hAnsi="Verdana"/>
                <w:spacing w:val="8"/>
                <w:sz w:val="18"/>
                <w:szCs w:val="18"/>
              </w:rPr>
              <w:t>Crucian Carp</w:t>
            </w:r>
            <w:r w:rsidRPr="000C7CFA">
              <w:rPr>
                <w:rFonts w:ascii="Verdana" w:hAnsi="Verdana"/>
                <w:i/>
                <w:spacing w:val="8"/>
                <w:sz w:val="18"/>
                <w:szCs w:val="18"/>
              </w:rPr>
              <w:t xml:space="preserve"> </w:t>
            </w:r>
            <w:r w:rsidRPr="000C7CFA">
              <w:rPr>
                <w:rFonts w:ascii="Verdana" w:hAnsi="Verdana"/>
                <w:spacing w:val="8"/>
                <w:sz w:val="18"/>
                <w:szCs w:val="18"/>
              </w:rPr>
              <w:t>(</w:t>
            </w:r>
            <w:r w:rsidRPr="000C7CFA">
              <w:rPr>
                <w:rFonts w:ascii="Verdana" w:hAnsi="Verdana"/>
                <w:i/>
                <w:spacing w:val="8"/>
                <w:sz w:val="18"/>
                <w:szCs w:val="18"/>
              </w:rPr>
              <w:t>Carassius carassius</w:t>
            </w:r>
            <w:r w:rsidRPr="000C7CFA">
              <w:rPr>
                <w:rFonts w:ascii="Verdana" w:hAnsi="Verdana"/>
                <w:spacing w:val="8"/>
                <w:sz w:val="18"/>
                <w:szCs w:val="18"/>
              </w:rPr>
              <w:t>)</w:t>
            </w:r>
          </w:p>
          <w:p w14:paraId="53B4649C" w14:textId="77777777" w:rsidR="0000000F" w:rsidRPr="000C7CFA" w:rsidRDefault="0000000F" w:rsidP="00704CE9">
            <w:pPr>
              <w:autoSpaceDE w:val="0"/>
              <w:autoSpaceDN w:val="0"/>
              <w:adjustRightInd w:val="0"/>
              <w:spacing w:after="0"/>
              <w:rPr>
                <w:rFonts w:ascii="Verdana" w:hAnsi="Verdana"/>
                <w:spacing w:val="8"/>
                <w:sz w:val="18"/>
                <w:szCs w:val="18"/>
              </w:rPr>
            </w:pPr>
          </w:p>
          <w:p w14:paraId="4A84A464" w14:textId="77777777" w:rsidR="0000000F" w:rsidRPr="000C7CFA" w:rsidRDefault="0000000F" w:rsidP="00704CE9">
            <w:pPr>
              <w:autoSpaceDE w:val="0"/>
              <w:autoSpaceDN w:val="0"/>
              <w:adjustRightInd w:val="0"/>
              <w:spacing w:after="0"/>
              <w:rPr>
                <w:rFonts w:ascii="Verdana" w:hAnsi="Verdana"/>
                <w:spacing w:val="8"/>
                <w:sz w:val="18"/>
                <w:szCs w:val="18"/>
              </w:rPr>
            </w:pPr>
            <w:r w:rsidRPr="000C7CFA">
              <w:rPr>
                <w:rFonts w:ascii="Verdana" w:hAnsi="Verdana"/>
                <w:spacing w:val="8"/>
                <w:sz w:val="18"/>
                <w:szCs w:val="18"/>
              </w:rPr>
              <w:t>Common Carp (</w:t>
            </w:r>
            <w:r w:rsidRPr="000C7CFA">
              <w:rPr>
                <w:rFonts w:ascii="Verdana" w:hAnsi="Verdana"/>
                <w:i/>
                <w:spacing w:val="8"/>
                <w:sz w:val="18"/>
                <w:szCs w:val="18"/>
              </w:rPr>
              <w:t>Cyprinus carpio</w:t>
            </w:r>
            <w:r w:rsidRPr="000C7CFA">
              <w:rPr>
                <w:rFonts w:ascii="Verdana" w:hAnsi="Verdana"/>
                <w:spacing w:val="8"/>
                <w:sz w:val="18"/>
                <w:szCs w:val="18"/>
              </w:rPr>
              <w:t>)</w:t>
            </w:r>
          </w:p>
          <w:p w14:paraId="5DA3637F" w14:textId="77777777" w:rsidR="0000000F" w:rsidRPr="000C7CFA" w:rsidRDefault="0000000F" w:rsidP="00704CE9">
            <w:pPr>
              <w:autoSpaceDE w:val="0"/>
              <w:autoSpaceDN w:val="0"/>
              <w:adjustRightInd w:val="0"/>
              <w:spacing w:after="0"/>
              <w:rPr>
                <w:rFonts w:ascii="Verdana" w:hAnsi="Verdana"/>
                <w:sz w:val="18"/>
                <w:szCs w:val="18"/>
              </w:rPr>
            </w:pPr>
          </w:p>
          <w:p w14:paraId="602CF0CD" w14:textId="77777777" w:rsidR="0000000F" w:rsidRPr="000C7CFA" w:rsidRDefault="0000000F" w:rsidP="00704CE9">
            <w:pPr>
              <w:autoSpaceDE w:val="0"/>
              <w:autoSpaceDN w:val="0"/>
              <w:adjustRightInd w:val="0"/>
              <w:spacing w:after="0"/>
              <w:rPr>
                <w:rFonts w:ascii="Verdana" w:hAnsi="Verdana"/>
                <w:spacing w:val="8"/>
                <w:sz w:val="18"/>
                <w:szCs w:val="18"/>
              </w:rPr>
            </w:pPr>
            <w:r w:rsidRPr="000C7CFA">
              <w:rPr>
                <w:rFonts w:ascii="Verdana" w:hAnsi="Verdana"/>
                <w:sz w:val="18"/>
                <w:szCs w:val="18"/>
              </w:rPr>
              <w:t>Grass Carp (</w:t>
            </w:r>
            <w:r w:rsidRPr="000C7CFA">
              <w:rPr>
                <w:rFonts w:ascii="Verdana" w:hAnsi="Verdana"/>
                <w:i/>
                <w:spacing w:val="8"/>
                <w:sz w:val="18"/>
                <w:szCs w:val="18"/>
              </w:rPr>
              <w:t>Ctenopharyngodon idellus</w:t>
            </w:r>
            <w:r w:rsidRPr="000C7CFA">
              <w:rPr>
                <w:rFonts w:ascii="Verdana" w:hAnsi="Verdana"/>
                <w:spacing w:val="8"/>
                <w:sz w:val="18"/>
                <w:szCs w:val="18"/>
              </w:rPr>
              <w:t>)</w:t>
            </w:r>
          </w:p>
          <w:p w14:paraId="371ED75E" w14:textId="77777777" w:rsidR="0000000F" w:rsidRPr="000C7CFA" w:rsidRDefault="0000000F" w:rsidP="00704CE9">
            <w:pPr>
              <w:autoSpaceDE w:val="0"/>
              <w:autoSpaceDN w:val="0"/>
              <w:adjustRightInd w:val="0"/>
              <w:spacing w:after="0"/>
              <w:rPr>
                <w:rFonts w:ascii="Verdana" w:hAnsi="Verdana"/>
                <w:sz w:val="18"/>
                <w:szCs w:val="18"/>
              </w:rPr>
            </w:pPr>
          </w:p>
          <w:p w14:paraId="35390465" w14:textId="77777777" w:rsidR="0000000F" w:rsidRPr="000C7CFA" w:rsidRDefault="0000000F" w:rsidP="00704CE9">
            <w:pPr>
              <w:autoSpaceDE w:val="0"/>
              <w:autoSpaceDN w:val="0"/>
              <w:adjustRightInd w:val="0"/>
              <w:spacing w:after="0"/>
              <w:rPr>
                <w:rFonts w:ascii="Verdana" w:hAnsi="Verdana"/>
                <w:spacing w:val="8"/>
                <w:sz w:val="18"/>
                <w:szCs w:val="18"/>
              </w:rPr>
            </w:pPr>
            <w:r w:rsidRPr="000C7CFA">
              <w:rPr>
                <w:rFonts w:ascii="Verdana" w:hAnsi="Verdana"/>
                <w:sz w:val="18"/>
                <w:szCs w:val="18"/>
              </w:rPr>
              <w:t>Sharpbelly (</w:t>
            </w:r>
            <w:hyperlink r:id="rId36" w:tgtFrame="_blank" w:history="1">
              <w:r w:rsidRPr="000C7CFA">
                <w:rPr>
                  <w:rFonts w:ascii="Verdana" w:hAnsi="Verdana"/>
                  <w:i/>
                  <w:spacing w:val="8"/>
                  <w:sz w:val="18"/>
                  <w:szCs w:val="18"/>
                </w:rPr>
                <w:t>Hemiculter leucisculus</w:t>
              </w:r>
            </w:hyperlink>
            <w:r w:rsidRPr="000C7CFA">
              <w:rPr>
                <w:rFonts w:ascii="Verdana" w:hAnsi="Verdana"/>
                <w:spacing w:val="8"/>
                <w:sz w:val="18"/>
                <w:szCs w:val="18"/>
              </w:rPr>
              <w:t>)</w:t>
            </w:r>
          </w:p>
          <w:p w14:paraId="676A68F6" w14:textId="77777777" w:rsidR="0000000F" w:rsidRPr="000C7CFA" w:rsidRDefault="0000000F" w:rsidP="00704CE9">
            <w:pPr>
              <w:autoSpaceDE w:val="0"/>
              <w:autoSpaceDN w:val="0"/>
              <w:adjustRightInd w:val="0"/>
              <w:spacing w:after="0"/>
              <w:rPr>
                <w:rFonts w:ascii="Verdana" w:hAnsi="Verdana"/>
                <w:sz w:val="18"/>
                <w:szCs w:val="18"/>
              </w:rPr>
            </w:pPr>
          </w:p>
          <w:p w14:paraId="78499023" w14:textId="77777777" w:rsidR="0000000F" w:rsidRPr="000C7CFA" w:rsidRDefault="0000000F" w:rsidP="00704CE9">
            <w:pPr>
              <w:autoSpaceDE w:val="0"/>
              <w:autoSpaceDN w:val="0"/>
              <w:adjustRightInd w:val="0"/>
              <w:spacing w:after="0"/>
              <w:rPr>
                <w:rFonts w:ascii="Verdana" w:hAnsi="Verdana"/>
                <w:sz w:val="18"/>
                <w:szCs w:val="18"/>
              </w:rPr>
            </w:pPr>
            <w:r w:rsidRPr="000C7CFA">
              <w:rPr>
                <w:rFonts w:ascii="Verdana" w:hAnsi="Verdana"/>
                <w:sz w:val="18"/>
                <w:szCs w:val="18"/>
              </w:rPr>
              <w:t>Pond Loach (</w:t>
            </w:r>
            <w:r w:rsidRPr="000C7CFA">
              <w:rPr>
                <w:rFonts w:ascii="Verdana" w:hAnsi="Verdana"/>
                <w:i/>
                <w:sz w:val="18"/>
                <w:szCs w:val="18"/>
              </w:rPr>
              <w:t>Misgurnus anguillicaudatus</w:t>
            </w:r>
            <w:r w:rsidRPr="000C7CFA">
              <w:rPr>
                <w:rFonts w:ascii="Verdana" w:hAnsi="Verdana"/>
                <w:sz w:val="18"/>
                <w:szCs w:val="18"/>
              </w:rPr>
              <w:t>)</w:t>
            </w:r>
          </w:p>
        </w:tc>
        <w:tc>
          <w:tcPr>
            <w:tcW w:w="1068" w:type="dxa"/>
            <w:tcBorders>
              <w:top w:val="single" w:sz="4" w:space="0" w:color="auto"/>
              <w:left w:val="single" w:sz="4" w:space="0" w:color="auto"/>
              <w:bottom w:val="single" w:sz="4" w:space="0" w:color="auto"/>
              <w:right w:val="single" w:sz="4" w:space="0" w:color="auto"/>
            </w:tcBorders>
          </w:tcPr>
          <w:p w14:paraId="392B88B3"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Muscle</w:t>
            </w:r>
          </w:p>
        </w:tc>
        <w:tc>
          <w:tcPr>
            <w:tcW w:w="2391" w:type="dxa"/>
            <w:tcBorders>
              <w:top w:val="single" w:sz="4" w:space="0" w:color="auto"/>
              <w:left w:val="single" w:sz="4" w:space="0" w:color="auto"/>
              <w:bottom w:val="single" w:sz="4" w:space="0" w:color="auto"/>
              <w:right w:val="single" w:sz="4" w:space="0" w:color="auto"/>
            </w:tcBorders>
          </w:tcPr>
          <w:p w14:paraId="562809C7" w14:textId="77777777" w:rsidR="0000000F" w:rsidRPr="000C7CFA" w:rsidRDefault="0000000F" w:rsidP="00704CE9">
            <w:pPr>
              <w:pStyle w:val="Tabletext"/>
              <w:spacing w:before="0" w:after="0"/>
              <w:rPr>
                <w:rFonts w:ascii="Verdana" w:hAnsi="Verdana"/>
                <w:sz w:val="18"/>
                <w:szCs w:val="18"/>
                <w:lang w:val="en-GB" w:eastAsia="ar-SA"/>
              </w:rPr>
            </w:pPr>
            <w:r w:rsidRPr="000C7CFA">
              <w:rPr>
                <w:rFonts w:ascii="Verdana" w:hAnsi="Verdana"/>
                <w:sz w:val="18"/>
                <w:szCs w:val="18"/>
                <w:lang w:eastAsia="en-US"/>
              </w:rPr>
              <w:t xml:space="preserve">Liaohe </w:t>
            </w:r>
            <w:r w:rsidRPr="000C7CFA">
              <w:rPr>
                <w:rFonts w:ascii="Verdana" w:hAnsi="Verdana"/>
                <w:sz w:val="18"/>
                <w:szCs w:val="18"/>
                <w:lang w:val="en-GB"/>
              </w:rPr>
              <w:t>River, Liaoning province, China; August 2010. 18 pooled samples (6 sites)</w:t>
            </w:r>
          </w:p>
        </w:tc>
        <w:tc>
          <w:tcPr>
            <w:tcW w:w="1843" w:type="dxa"/>
            <w:tcBorders>
              <w:top w:val="single" w:sz="4" w:space="0" w:color="auto"/>
              <w:left w:val="single" w:sz="4" w:space="0" w:color="auto"/>
              <w:bottom w:val="single" w:sz="4" w:space="0" w:color="auto"/>
              <w:right w:val="single" w:sz="4" w:space="0" w:color="auto"/>
            </w:tcBorders>
          </w:tcPr>
          <w:p w14:paraId="590BED76" w14:textId="77777777" w:rsidR="0000000F" w:rsidRPr="000C7CFA" w:rsidRDefault="0000000F" w:rsidP="00704CE9">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w:t>
            </w:r>
          </w:p>
        </w:tc>
        <w:tc>
          <w:tcPr>
            <w:tcW w:w="2976" w:type="dxa"/>
            <w:tcBorders>
              <w:top w:val="single" w:sz="4" w:space="0" w:color="auto"/>
              <w:left w:val="single" w:sz="4" w:space="0" w:color="auto"/>
              <w:bottom w:val="single" w:sz="4" w:space="0" w:color="auto"/>
              <w:right w:val="single" w:sz="4" w:space="0" w:color="auto"/>
            </w:tcBorders>
          </w:tcPr>
          <w:p w14:paraId="39A19D5C" w14:textId="77777777" w:rsidR="0000000F" w:rsidRPr="000C7CFA" w:rsidRDefault="0000000F" w:rsidP="00704CE9">
            <w:pPr>
              <w:rPr>
                <w:rFonts w:ascii="Verdana" w:hAnsi="Verdana"/>
                <w:sz w:val="18"/>
                <w:szCs w:val="18"/>
                <w:lang w:val="en-GB" w:eastAsia="en-GB"/>
              </w:rPr>
            </w:pPr>
            <w:r w:rsidRPr="000C7CFA">
              <w:rPr>
                <w:rFonts w:ascii="Verdana" w:hAnsi="Verdana"/>
                <w:sz w:val="18"/>
                <w:szCs w:val="18"/>
                <w:lang w:val="en-GB" w:eastAsia="en-GB"/>
              </w:rPr>
              <w:t>Detected in 17 out of 18 pooled samples</w:t>
            </w:r>
          </w:p>
          <w:p w14:paraId="081EB5EE"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Total isomers:</w:t>
            </w:r>
          </w:p>
          <w:p w14:paraId="1D362755"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Mean: 223 ng/kg lw</w:t>
            </w:r>
          </w:p>
          <w:p w14:paraId="418FA060" w14:textId="77777777" w:rsidR="0000000F" w:rsidRPr="000C7CFA" w:rsidRDefault="0000000F"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Median: 215 ng/kg lw</w:t>
            </w:r>
          </w:p>
          <w:p w14:paraId="3E085B11" w14:textId="77777777" w:rsidR="0000000F" w:rsidRPr="000C7CFA" w:rsidRDefault="0000000F" w:rsidP="00704CE9">
            <w:pPr>
              <w:rPr>
                <w:rFonts w:ascii="Verdana" w:hAnsi="Verdana"/>
                <w:sz w:val="18"/>
                <w:szCs w:val="18"/>
                <w:lang w:val="en-GB" w:eastAsia="en-GB"/>
              </w:rPr>
            </w:pPr>
            <w:r w:rsidRPr="000C7CFA">
              <w:rPr>
                <w:rFonts w:ascii="Verdana" w:hAnsi="Verdana"/>
                <w:sz w:val="18"/>
                <w:szCs w:val="18"/>
                <w:lang w:val="en-GB" w:eastAsia="en-GB"/>
              </w:rPr>
              <w:t>Range: not detected – 470 ng/kg lw</w:t>
            </w:r>
          </w:p>
          <w:p w14:paraId="619A6CFF" w14:textId="77777777" w:rsidR="0000000F" w:rsidRPr="000C7CFA" w:rsidRDefault="0000000F" w:rsidP="00704CE9">
            <w:pPr>
              <w:rPr>
                <w:rFonts w:ascii="Verdana" w:hAnsi="Verdana" w:cs="AdvOT863180fb"/>
                <w:sz w:val="18"/>
                <w:szCs w:val="18"/>
                <w:lang w:val="en-GB" w:eastAsia="en-GB"/>
              </w:rPr>
            </w:pPr>
          </w:p>
          <w:p w14:paraId="7C5459F6" w14:textId="77777777" w:rsidR="0000000F" w:rsidRPr="000C7CFA" w:rsidRDefault="0000000F" w:rsidP="00704CE9">
            <w:pPr>
              <w:rPr>
                <w:rFonts w:ascii="Verdana" w:eastAsiaTheme="minorHAnsi" w:hAnsi="Verdana"/>
                <w:sz w:val="18"/>
                <w:szCs w:val="18"/>
                <w:lang w:val="en-GB"/>
              </w:rPr>
            </w:pPr>
          </w:p>
        </w:tc>
        <w:tc>
          <w:tcPr>
            <w:tcW w:w="2552" w:type="dxa"/>
            <w:tcBorders>
              <w:top w:val="single" w:sz="4" w:space="0" w:color="auto"/>
              <w:left w:val="single" w:sz="4" w:space="0" w:color="auto"/>
              <w:bottom w:val="single" w:sz="4" w:space="0" w:color="auto"/>
              <w:right w:val="single" w:sz="4" w:space="0" w:color="auto"/>
            </w:tcBorders>
          </w:tcPr>
          <w:p w14:paraId="4B0C1EB7" w14:textId="77777777" w:rsidR="0000000F" w:rsidRPr="000C7CFA" w:rsidRDefault="0000000F"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Analysis by GC-MS.</w:t>
            </w:r>
          </w:p>
        </w:tc>
        <w:tc>
          <w:tcPr>
            <w:tcW w:w="1249" w:type="dxa"/>
            <w:tcBorders>
              <w:top w:val="single" w:sz="4" w:space="0" w:color="auto"/>
              <w:left w:val="single" w:sz="4" w:space="0" w:color="auto"/>
              <w:bottom w:val="single" w:sz="4" w:space="0" w:color="auto"/>
              <w:right w:val="single" w:sz="12" w:space="0" w:color="auto"/>
            </w:tcBorders>
          </w:tcPr>
          <w:p w14:paraId="2B031F22"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eastAsia="ar-SA"/>
              </w:rPr>
              <w:t xml:space="preserve">Ren </w:t>
            </w:r>
            <w:r w:rsidRPr="000C7CFA">
              <w:rPr>
                <w:rFonts w:ascii="Verdana" w:hAnsi="Verdana"/>
                <w:i/>
                <w:sz w:val="18"/>
                <w:szCs w:val="18"/>
                <w:lang w:val="en-GB"/>
              </w:rPr>
              <w:t>et al</w:t>
            </w:r>
            <w:r w:rsidRPr="000C7CFA">
              <w:rPr>
                <w:rFonts w:ascii="Verdana" w:hAnsi="Verdana"/>
                <w:sz w:val="18"/>
                <w:szCs w:val="18"/>
                <w:lang w:val="en-GB"/>
              </w:rPr>
              <w:t>. (2013)</w:t>
            </w:r>
          </w:p>
          <w:p w14:paraId="31CE2E39" w14:textId="77777777" w:rsidR="0000000F" w:rsidRPr="000C7CFA" w:rsidRDefault="0000000F" w:rsidP="00704CE9">
            <w:pPr>
              <w:spacing w:after="0"/>
              <w:rPr>
                <w:rFonts w:ascii="Verdana" w:hAnsi="Verdana"/>
                <w:sz w:val="18"/>
                <w:szCs w:val="18"/>
                <w:lang w:val="en-GB" w:eastAsia="ar-SA"/>
              </w:rPr>
            </w:pPr>
          </w:p>
        </w:tc>
      </w:tr>
      <w:tr w:rsidR="0000000F" w:rsidRPr="000C7CFA" w14:paraId="4F5EB92C" w14:textId="77777777" w:rsidTr="00D323EC">
        <w:trPr>
          <w:cantSplit/>
          <w:trHeight w:val="1672"/>
        </w:trPr>
        <w:tc>
          <w:tcPr>
            <w:tcW w:w="1928" w:type="dxa"/>
            <w:tcBorders>
              <w:top w:val="single" w:sz="4" w:space="0" w:color="auto"/>
              <w:left w:val="single" w:sz="12" w:space="0" w:color="auto"/>
              <w:right w:val="single" w:sz="4" w:space="0" w:color="auto"/>
            </w:tcBorders>
          </w:tcPr>
          <w:p w14:paraId="42FC0584" w14:textId="77777777" w:rsidR="0000000F" w:rsidRPr="000C7CFA" w:rsidRDefault="0000000F" w:rsidP="00704CE9">
            <w:pPr>
              <w:spacing w:after="0"/>
              <w:rPr>
                <w:rFonts w:ascii="Verdana" w:eastAsiaTheme="minorHAnsi" w:hAnsi="Verdana"/>
                <w:color w:val="000000"/>
                <w:sz w:val="18"/>
                <w:szCs w:val="18"/>
                <w:lang w:val="en-GB"/>
              </w:rPr>
            </w:pPr>
            <w:r w:rsidRPr="000C7CFA">
              <w:rPr>
                <w:rFonts w:ascii="Verdana" w:hAnsi="Verdana"/>
                <w:sz w:val="18"/>
                <w:szCs w:val="18"/>
                <w:lang w:val="en-GB" w:eastAsia="ar-SA"/>
              </w:rPr>
              <w:lastRenderedPageBreak/>
              <w:t>Bleeker (</w:t>
            </w:r>
            <w:r w:rsidRPr="000C7CFA">
              <w:rPr>
                <w:rFonts w:ascii="Verdana" w:hAnsi="Verdana"/>
                <w:i/>
                <w:sz w:val="18"/>
                <w:szCs w:val="18"/>
                <w:lang w:val="en-GB" w:eastAsia="ar-SA"/>
              </w:rPr>
              <w:t>Pseudolaubuca sinensis</w:t>
            </w:r>
            <w:r w:rsidRPr="000C7CFA">
              <w:rPr>
                <w:rFonts w:ascii="Verdana" w:hAnsi="Verdana"/>
                <w:sz w:val="18"/>
                <w:szCs w:val="18"/>
                <w:lang w:val="en-GB" w:eastAsia="ar-SA"/>
              </w:rPr>
              <w:t>)</w:t>
            </w:r>
            <w:r w:rsidRPr="000C7CFA">
              <w:rPr>
                <w:rFonts w:ascii="Verdana" w:eastAsiaTheme="minorHAnsi" w:hAnsi="Verdana"/>
                <w:color w:val="000000"/>
                <w:sz w:val="18"/>
                <w:szCs w:val="18"/>
                <w:lang w:val="en-GB"/>
              </w:rPr>
              <w:t xml:space="preserve"> (n = 12)</w:t>
            </w:r>
          </w:p>
          <w:p w14:paraId="596C6AB3" w14:textId="77777777" w:rsidR="0000000F" w:rsidRPr="000C7CFA" w:rsidRDefault="0000000F" w:rsidP="00704CE9">
            <w:pPr>
              <w:spacing w:after="0"/>
              <w:rPr>
                <w:rFonts w:ascii="Verdana" w:hAnsi="Verdana"/>
                <w:sz w:val="18"/>
                <w:szCs w:val="18"/>
                <w:lang w:val="en-GB" w:eastAsia="ar-SA"/>
              </w:rPr>
            </w:pPr>
          </w:p>
          <w:p w14:paraId="2F463563" w14:textId="77777777" w:rsidR="0000000F" w:rsidRPr="000C7CFA" w:rsidRDefault="0000000F" w:rsidP="00704CE9">
            <w:pPr>
              <w:spacing w:after="0"/>
              <w:rPr>
                <w:rFonts w:ascii="Verdana" w:eastAsiaTheme="minorHAnsi" w:hAnsi="Verdana"/>
                <w:color w:val="000000"/>
                <w:sz w:val="18"/>
                <w:szCs w:val="18"/>
                <w:lang w:val="en-GB"/>
              </w:rPr>
            </w:pPr>
            <w:r w:rsidRPr="000C7CFA">
              <w:rPr>
                <w:rFonts w:ascii="Verdana" w:hAnsi="Verdana"/>
                <w:sz w:val="18"/>
                <w:szCs w:val="18"/>
                <w:lang w:val="en-GB" w:eastAsia="ar-SA"/>
              </w:rPr>
              <w:t>Loach (</w:t>
            </w:r>
            <w:r w:rsidRPr="000C7CFA">
              <w:rPr>
                <w:rFonts w:ascii="Verdana" w:hAnsi="Verdana"/>
                <w:i/>
                <w:sz w:val="18"/>
                <w:szCs w:val="18"/>
                <w:lang w:val="en-GB" w:eastAsia="ar-SA"/>
              </w:rPr>
              <w:t>Misgurnus anguillicaudatus</w:t>
            </w:r>
            <w:r w:rsidRPr="000C7CFA">
              <w:rPr>
                <w:rFonts w:ascii="Verdana" w:hAnsi="Verdana"/>
                <w:sz w:val="18"/>
                <w:szCs w:val="18"/>
                <w:lang w:val="en-GB" w:eastAsia="ar-SA"/>
              </w:rPr>
              <w:t xml:space="preserve">) </w:t>
            </w:r>
            <w:r w:rsidRPr="000C7CFA">
              <w:rPr>
                <w:rFonts w:ascii="Verdana" w:eastAsiaTheme="minorHAnsi" w:hAnsi="Verdana"/>
                <w:color w:val="000000"/>
                <w:sz w:val="18"/>
                <w:szCs w:val="18"/>
                <w:lang w:val="en-GB"/>
              </w:rPr>
              <w:t>(n = 7)</w:t>
            </w:r>
          </w:p>
          <w:p w14:paraId="337AE112" w14:textId="77777777" w:rsidR="0000000F" w:rsidRPr="000C7CFA" w:rsidRDefault="0000000F" w:rsidP="00704CE9">
            <w:pPr>
              <w:spacing w:after="0"/>
              <w:rPr>
                <w:rFonts w:ascii="Verdana" w:hAnsi="Verdana"/>
                <w:sz w:val="18"/>
                <w:szCs w:val="18"/>
                <w:lang w:val="en-GB" w:eastAsia="ar-SA"/>
              </w:rPr>
            </w:pPr>
          </w:p>
          <w:p w14:paraId="0C193BAB" w14:textId="77777777" w:rsidR="0000000F" w:rsidRPr="000C7CFA" w:rsidRDefault="0000000F" w:rsidP="00704CE9">
            <w:pPr>
              <w:spacing w:after="0"/>
              <w:rPr>
                <w:rFonts w:ascii="Verdana" w:eastAsiaTheme="minorHAnsi" w:hAnsi="Verdana"/>
                <w:color w:val="000000"/>
                <w:sz w:val="18"/>
                <w:szCs w:val="18"/>
              </w:rPr>
            </w:pPr>
            <w:r w:rsidRPr="000C7CFA">
              <w:rPr>
                <w:rFonts w:ascii="Verdana" w:hAnsi="Verdana"/>
                <w:sz w:val="18"/>
                <w:szCs w:val="18"/>
                <w:lang w:eastAsia="ar-SA"/>
              </w:rPr>
              <w:t>Crucian Carp (</w:t>
            </w:r>
            <w:r w:rsidRPr="000C7CFA">
              <w:rPr>
                <w:rFonts w:ascii="Verdana" w:hAnsi="Verdana"/>
                <w:i/>
                <w:sz w:val="18"/>
                <w:szCs w:val="18"/>
                <w:lang w:eastAsia="ar-SA"/>
              </w:rPr>
              <w:t>Carassius auratus</w:t>
            </w:r>
            <w:r w:rsidRPr="000C7CFA">
              <w:rPr>
                <w:rFonts w:ascii="Verdana" w:hAnsi="Verdana"/>
                <w:sz w:val="18"/>
                <w:szCs w:val="18"/>
                <w:lang w:eastAsia="ar-SA"/>
              </w:rPr>
              <w:t xml:space="preserve">) </w:t>
            </w:r>
            <w:r w:rsidRPr="000C7CFA">
              <w:rPr>
                <w:rFonts w:ascii="Verdana" w:eastAsiaTheme="minorHAnsi" w:hAnsi="Verdana"/>
                <w:color w:val="000000"/>
                <w:sz w:val="18"/>
                <w:szCs w:val="18"/>
              </w:rPr>
              <w:t>(n = 9)</w:t>
            </w:r>
          </w:p>
          <w:p w14:paraId="3F12D794" w14:textId="77777777" w:rsidR="0000000F" w:rsidRPr="000C7CFA" w:rsidRDefault="0000000F" w:rsidP="00704CE9">
            <w:pPr>
              <w:spacing w:after="0"/>
              <w:rPr>
                <w:rFonts w:ascii="Verdana" w:hAnsi="Verdana"/>
                <w:sz w:val="18"/>
                <w:szCs w:val="18"/>
                <w:lang w:eastAsia="ar-SA"/>
              </w:rPr>
            </w:pPr>
          </w:p>
          <w:p w14:paraId="50E5150B" w14:textId="77777777" w:rsidR="0000000F" w:rsidRPr="000C7CFA" w:rsidRDefault="0000000F" w:rsidP="00704CE9">
            <w:pPr>
              <w:spacing w:after="0"/>
              <w:rPr>
                <w:rFonts w:ascii="Verdana" w:eastAsiaTheme="minorHAnsi" w:hAnsi="Verdana"/>
                <w:color w:val="000000"/>
                <w:sz w:val="18"/>
                <w:szCs w:val="18"/>
                <w:lang w:val="en-GB"/>
              </w:rPr>
            </w:pPr>
            <w:r w:rsidRPr="000C7CFA">
              <w:rPr>
                <w:rFonts w:ascii="Verdana" w:hAnsi="Verdana"/>
                <w:sz w:val="18"/>
                <w:szCs w:val="18"/>
                <w:lang w:val="en-GB" w:eastAsia="ar-SA"/>
              </w:rPr>
              <w:t>Common Carp (</w:t>
            </w:r>
            <w:r w:rsidRPr="000C7CFA">
              <w:rPr>
                <w:rFonts w:ascii="Verdana" w:hAnsi="Verdana"/>
                <w:i/>
                <w:sz w:val="18"/>
                <w:szCs w:val="18"/>
                <w:lang w:val="en-GB" w:eastAsia="ar-SA"/>
              </w:rPr>
              <w:t>Cyprinus carpio</w:t>
            </w:r>
            <w:r w:rsidRPr="000C7CFA">
              <w:rPr>
                <w:rFonts w:ascii="Verdana" w:hAnsi="Verdana"/>
                <w:sz w:val="18"/>
                <w:szCs w:val="18"/>
                <w:lang w:val="en-GB" w:eastAsia="ar-SA"/>
              </w:rPr>
              <w:t xml:space="preserve">) </w:t>
            </w:r>
            <w:r w:rsidRPr="000C7CFA">
              <w:rPr>
                <w:rFonts w:ascii="Verdana" w:eastAsiaTheme="minorHAnsi" w:hAnsi="Verdana"/>
                <w:color w:val="000000"/>
                <w:sz w:val="18"/>
                <w:szCs w:val="18"/>
                <w:lang w:val="en-GB"/>
              </w:rPr>
              <w:t>(n = 8)</w:t>
            </w:r>
          </w:p>
          <w:p w14:paraId="7F651D63" w14:textId="77777777" w:rsidR="0000000F" w:rsidRPr="000C7CFA" w:rsidRDefault="0000000F" w:rsidP="00704CE9">
            <w:pPr>
              <w:spacing w:after="0"/>
              <w:rPr>
                <w:rFonts w:ascii="Verdana" w:hAnsi="Verdana"/>
                <w:sz w:val="18"/>
                <w:szCs w:val="18"/>
                <w:lang w:val="en-GB" w:eastAsia="ar-SA"/>
              </w:rPr>
            </w:pPr>
          </w:p>
          <w:p w14:paraId="6525495C" w14:textId="77777777" w:rsidR="0000000F" w:rsidRPr="000C7CFA" w:rsidRDefault="0000000F" w:rsidP="00704CE9">
            <w:pPr>
              <w:spacing w:after="0"/>
              <w:rPr>
                <w:rFonts w:ascii="Verdana" w:hAnsi="Verdana"/>
                <w:sz w:val="18"/>
                <w:szCs w:val="18"/>
                <w:lang w:val="en-GB" w:eastAsia="ar-SA"/>
              </w:rPr>
            </w:pPr>
            <w:r w:rsidRPr="000C7CFA">
              <w:rPr>
                <w:rFonts w:ascii="Verdana" w:hAnsi="Verdana"/>
                <w:sz w:val="18"/>
                <w:szCs w:val="18"/>
                <w:lang w:val="en-GB" w:eastAsia="ar-SA"/>
              </w:rPr>
              <w:t>Northern Snakehead (</w:t>
            </w:r>
            <w:r w:rsidRPr="000C7CFA">
              <w:rPr>
                <w:rFonts w:ascii="Verdana" w:hAnsi="Verdana"/>
                <w:i/>
                <w:sz w:val="18"/>
                <w:szCs w:val="18"/>
                <w:lang w:val="en-GB" w:eastAsia="ar-SA"/>
              </w:rPr>
              <w:t>Channa argus</w:t>
            </w:r>
            <w:r w:rsidRPr="000C7CFA">
              <w:rPr>
                <w:rFonts w:ascii="Verdana" w:hAnsi="Verdana"/>
                <w:sz w:val="18"/>
                <w:szCs w:val="18"/>
                <w:lang w:val="en-GB" w:eastAsia="ar-SA"/>
              </w:rPr>
              <w:t>)</w:t>
            </w:r>
            <w:r w:rsidRPr="000C7CFA">
              <w:rPr>
                <w:rFonts w:ascii="Verdana" w:eastAsiaTheme="minorHAnsi" w:hAnsi="Verdana"/>
                <w:color w:val="000000"/>
                <w:sz w:val="18"/>
                <w:szCs w:val="18"/>
                <w:lang w:val="en-GB"/>
              </w:rPr>
              <w:t xml:space="preserve"> (n = 3)</w:t>
            </w:r>
          </w:p>
        </w:tc>
        <w:tc>
          <w:tcPr>
            <w:tcW w:w="1068" w:type="dxa"/>
            <w:tcBorders>
              <w:top w:val="single" w:sz="4" w:space="0" w:color="auto"/>
              <w:left w:val="single" w:sz="4" w:space="0" w:color="auto"/>
              <w:right w:val="single" w:sz="4" w:space="0" w:color="auto"/>
            </w:tcBorders>
          </w:tcPr>
          <w:p w14:paraId="627C4BED"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Muscle</w:t>
            </w:r>
          </w:p>
        </w:tc>
        <w:tc>
          <w:tcPr>
            <w:tcW w:w="2391" w:type="dxa"/>
            <w:tcBorders>
              <w:top w:val="single" w:sz="4" w:space="0" w:color="auto"/>
              <w:left w:val="single" w:sz="4" w:space="0" w:color="auto"/>
              <w:right w:val="single" w:sz="4" w:space="0" w:color="auto"/>
            </w:tcBorders>
          </w:tcPr>
          <w:p w14:paraId="5579A674" w14:textId="77777777" w:rsidR="0000000F" w:rsidRPr="000C7CFA" w:rsidRDefault="0000000F" w:rsidP="00704CE9">
            <w:pPr>
              <w:spacing w:after="0"/>
              <w:rPr>
                <w:rFonts w:ascii="Verdana" w:hAnsi="Verdana"/>
                <w:sz w:val="18"/>
                <w:szCs w:val="18"/>
                <w:lang w:val="en-GB" w:eastAsia="ar-SA"/>
              </w:rPr>
            </w:pPr>
            <w:r w:rsidRPr="000C7CFA">
              <w:rPr>
                <w:rFonts w:ascii="Verdana" w:hAnsi="Verdana"/>
                <w:sz w:val="18"/>
                <w:szCs w:val="18"/>
                <w:lang w:val="en-GB" w:eastAsia="ar-SA"/>
              </w:rPr>
              <w:t>Beijing–Hangzhou Grand Canal, Huai'an, Jiangsu province, China; May 2010. Five fish were pooled into composite samples for each species (except Northern Snakehead).</w:t>
            </w:r>
          </w:p>
        </w:tc>
        <w:tc>
          <w:tcPr>
            <w:tcW w:w="1843" w:type="dxa"/>
            <w:tcBorders>
              <w:top w:val="single" w:sz="4" w:space="0" w:color="auto"/>
              <w:left w:val="single" w:sz="4" w:space="0" w:color="auto"/>
              <w:right w:val="single" w:sz="4" w:space="0" w:color="auto"/>
            </w:tcBorders>
          </w:tcPr>
          <w:p w14:paraId="36F38470" w14:textId="77777777" w:rsidR="0000000F" w:rsidRPr="000C7CFA" w:rsidRDefault="0000000F" w:rsidP="00704CE9">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 xml:space="preserve">Anti-DP: 0.135 </w:t>
            </w:r>
          </w:p>
          <w:p w14:paraId="372C7D6D"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napToGrid/>
                <w:sz w:val="18"/>
                <w:szCs w:val="18"/>
                <w:lang w:val="en-GB" w:eastAsia="ar-SA"/>
              </w:rPr>
              <w:t>Syn-DP: 0.120</w:t>
            </w:r>
          </w:p>
        </w:tc>
        <w:tc>
          <w:tcPr>
            <w:tcW w:w="2976" w:type="dxa"/>
            <w:tcBorders>
              <w:top w:val="single" w:sz="4" w:space="0" w:color="auto"/>
              <w:left w:val="single" w:sz="4" w:space="0" w:color="auto"/>
              <w:right w:val="single" w:sz="4" w:space="0" w:color="auto"/>
            </w:tcBorders>
          </w:tcPr>
          <w:p w14:paraId="40D4960A" w14:textId="77777777" w:rsidR="0000000F" w:rsidRPr="000C7CFA" w:rsidRDefault="0000000F" w:rsidP="00704CE9">
            <w:pPr>
              <w:rPr>
                <w:rFonts w:ascii="Verdana" w:eastAsiaTheme="minorHAnsi" w:hAnsi="Verdana"/>
                <w:sz w:val="18"/>
                <w:szCs w:val="18"/>
                <w:lang w:val="en-GB"/>
              </w:rPr>
            </w:pPr>
            <w:r w:rsidRPr="000C7CFA">
              <w:rPr>
                <w:rFonts w:ascii="Verdana" w:eastAsiaTheme="minorHAnsi" w:hAnsi="Verdana"/>
                <w:sz w:val="18"/>
                <w:szCs w:val="18"/>
                <w:lang w:val="en-GB"/>
              </w:rPr>
              <w:t xml:space="preserve">Total isomers: </w:t>
            </w:r>
          </w:p>
          <w:p w14:paraId="368CD680" w14:textId="748B0C1C" w:rsidR="0000000F" w:rsidRPr="000C7CFA" w:rsidRDefault="0000000F" w:rsidP="00704CE9">
            <w:pPr>
              <w:rPr>
                <w:rFonts w:ascii="Verdana" w:eastAsiaTheme="minorHAnsi" w:hAnsi="Verdana"/>
                <w:sz w:val="18"/>
                <w:szCs w:val="18"/>
                <w:lang w:val="en-GB"/>
              </w:rPr>
            </w:pPr>
            <w:r w:rsidRPr="000C7CFA">
              <w:rPr>
                <w:rFonts w:ascii="Verdana" w:eastAsiaTheme="minorHAnsi" w:hAnsi="Verdana"/>
                <w:sz w:val="18"/>
                <w:szCs w:val="18"/>
                <w:lang w:val="en-GB"/>
              </w:rPr>
              <w:t xml:space="preserve">Mean: </w:t>
            </w:r>
            <w:r w:rsidRPr="000C7CFA">
              <w:rPr>
                <w:rFonts w:ascii="Verdana" w:hAnsi="Verdana"/>
                <w:sz w:val="18"/>
                <w:szCs w:val="18"/>
                <w:lang w:val="en-GB" w:eastAsia="ar-SA"/>
              </w:rPr>
              <w:t xml:space="preserve">764 </w:t>
            </w:r>
            <w:r w:rsidRPr="000C7CFA">
              <w:rPr>
                <w:rFonts w:ascii="Verdana" w:eastAsiaTheme="minorHAnsi" w:hAnsi="Verdana"/>
                <w:sz w:val="18"/>
                <w:szCs w:val="18"/>
                <w:lang w:val="en-GB"/>
              </w:rPr>
              <w:t xml:space="preserve">(range of means for each species: </w:t>
            </w:r>
            <w:r w:rsidR="002D4EB9" w:rsidRPr="000C7CFA">
              <w:rPr>
                <w:rFonts w:ascii="Verdana" w:hAnsi="Verdana"/>
                <w:sz w:val="18"/>
                <w:szCs w:val="18"/>
                <w:lang w:val="en-GB" w:eastAsia="ar-SA"/>
              </w:rPr>
              <w:t>56.8 to 1 </w:t>
            </w:r>
            <w:r w:rsidRPr="000C7CFA">
              <w:rPr>
                <w:rFonts w:ascii="Verdana" w:hAnsi="Verdana"/>
                <w:sz w:val="18"/>
                <w:szCs w:val="18"/>
                <w:lang w:val="en-GB" w:eastAsia="ar-SA"/>
              </w:rPr>
              <w:t>110</w:t>
            </w:r>
            <w:r w:rsidRPr="000C7CFA">
              <w:rPr>
                <w:rFonts w:ascii="Verdana" w:eastAsiaTheme="minorHAnsi" w:hAnsi="Verdana"/>
                <w:sz w:val="18"/>
                <w:szCs w:val="18"/>
                <w:lang w:val="en-GB"/>
              </w:rPr>
              <w:t>) µg/kg ww</w:t>
            </w:r>
          </w:p>
          <w:p w14:paraId="540DB04F" w14:textId="1C286E38" w:rsidR="0000000F" w:rsidRPr="000C7CFA" w:rsidRDefault="0000000F" w:rsidP="00704CE9">
            <w:pPr>
              <w:rPr>
                <w:rFonts w:ascii="Verdana" w:eastAsiaTheme="minorHAnsi" w:hAnsi="Verdana"/>
                <w:sz w:val="18"/>
                <w:szCs w:val="18"/>
                <w:lang w:val="en-GB"/>
              </w:rPr>
            </w:pPr>
            <w:r w:rsidRPr="000C7CFA">
              <w:rPr>
                <w:rFonts w:ascii="Verdana" w:eastAsiaTheme="minorHAnsi" w:hAnsi="Verdana"/>
                <w:sz w:val="18"/>
                <w:szCs w:val="18"/>
                <w:lang w:val="en-GB"/>
              </w:rPr>
              <w:t xml:space="preserve">Mean: </w:t>
            </w:r>
            <w:r w:rsidR="002D4EB9" w:rsidRPr="000C7CFA">
              <w:rPr>
                <w:rFonts w:ascii="Verdana" w:hAnsi="Verdana"/>
                <w:sz w:val="18"/>
                <w:szCs w:val="18"/>
                <w:lang w:val="en-GB" w:eastAsia="ar-SA"/>
              </w:rPr>
              <w:t>67 </w:t>
            </w:r>
            <w:r w:rsidRPr="000C7CFA">
              <w:rPr>
                <w:rFonts w:ascii="Verdana" w:hAnsi="Verdana"/>
                <w:sz w:val="18"/>
                <w:szCs w:val="18"/>
                <w:lang w:val="en-GB" w:eastAsia="ar-SA"/>
              </w:rPr>
              <w:t xml:space="preserve">500 </w:t>
            </w:r>
            <w:r w:rsidRPr="000C7CFA">
              <w:rPr>
                <w:rFonts w:ascii="Verdana" w:eastAsiaTheme="minorHAnsi" w:hAnsi="Verdana"/>
                <w:sz w:val="18"/>
                <w:szCs w:val="18"/>
                <w:lang w:val="en-GB"/>
              </w:rPr>
              <w:t xml:space="preserve">µg/kg lw (range of means for each species: </w:t>
            </w:r>
            <w:r w:rsidRPr="000C7CFA">
              <w:rPr>
                <w:rFonts w:ascii="Verdana" w:hAnsi="Verdana"/>
                <w:sz w:val="18"/>
                <w:szCs w:val="18"/>
                <w:lang w:val="en-GB" w:eastAsia="ar-SA"/>
              </w:rPr>
              <w:t>2</w:t>
            </w:r>
            <w:r w:rsidR="002D4EB9" w:rsidRPr="000C7CFA">
              <w:rPr>
                <w:rFonts w:ascii="Verdana" w:hAnsi="Verdana"/>
                <w:sz w:val="18"/>
                <w:szCs w:val="18"/>
                <w:lang w:val="en-GB" w:eastAsia="ar-SA"/>
              </w:rPr>
              <w:t> </w:t>
            </w:r>
            <w:r w:rsidRPr="000C7CFA">
              <w:rPr>
                <w:rFonts w:ascii="Verdana" w:hAnsi="Verdana"/>
                <w:sz w:val="18"/>
                <w:szCs w:val="18"/>
                <w:lang w:val="en-GB" w:eastAsia="ar-SA"/>
              </w:rPr>
              <w:t>760−96</w:t>
            </w:r>
            <w:r w:rsidR="002D4EB9" w:rsidRPr="000C7CFA">
              <w:rPr>
                <w:rFonts w:ascii="Verdana" w:hAnsi="Verdana"/>
                <w:sz w:val="18"/>
                <w:szCs w:val="18"/>
                <w:lang w:val="en-GB" w:eastAsia="ar-SA"/>
              </w:rPr>
              <w:t> </w:t>
            </w:r>
            <w:r w:rsidRPr="000C7CFA">
              <w:rPr>
                <w:rFonts w:ascii="Verdana" w:hAnsi="Verdana"/>
                <w:sz w:val="18"/>
                <w:szCs w:val="18"/>
                <w:lang w:val="en-GB" w:eastAsia="ar-SA"/>
              </w:rPr>
              <w:t xml:space="preserve">800 </w:t>
            </w:r>
            <w:r w:rsidRPr="000C7CFA">
              <w:rPr>
                <w:rFonts w:ascii="Verdana" w:eastAsiaTheme="minorHAnsi" w:hAnsi="Verdana"/>
                <w:sz w:val="18"/>
                <w:szCs w:val="18"/>
                <w:lang w:val="en-GB"/>
              </w:rPr>
              <w:t>µg/kg lw)</w:t>
            </w:r>
          </w:p>
          <w:p w14:paraId="2C31AF4D" w14:textId="77777777" w:rsidR="0000000F" w:rsidRPr="000C7CFA" w:rsidRDefault="0000000F" w:rsidP="00704CE9">
            <w:pPr>
              <w:autoSpaceDE w:val="0"/>
              <w:autoSpaceDN w:val="0"/>
              <w:adjustRightInd w:val="0"/>
              <w:spacing w:after="0"/>
              <w:rPr>
                <w:rFonts w:ascii="Verdana" w:eastAsiaTheme="minorHAnsi" w:hAnsi="Verdana"/>
                <w:sz w:val="18"/>
                <w:szCs w:val="18"/>
                <w:lang w:val="en-GB"/>
              </w:rPr>
            </w:pPr>
          </w:p>
          <w:p w14:paraId="091EE655" w14:textId="77777777" w:rsidR="0000000F" w:rsidRPr="000C7CFA" w:rsidRDefault="0000000F" w:rsidP="00704CE9">
            <w:pPr>
              <w:autoSpaceDE w:val="0"/>
              <w:autoSpaceDN w:val="0"/>
              <w:adjustRightInd w:val="0"/>
              <w:rPr>
                <w:rFonts w:ascii="Verdana" w:eastAsiaTheme="minorHAnsi" w:hAnsi="Verdana"/>
                <w:color w:val="000000"/>
                <w:sz w:val="18"/>
                <w:szCs w:val="18"/>
                <w:lang w:val="en-GB"/>
              </w:rPr>
            </w:pPr>
          </w:p>
        </w:tc>
        <w:tc>
          <w:tcPr>
            <w:tcW w:w="2552" w:type="dxa"/>
            <w:tcBorders>
              <w:top w:val="single" w:sz="4" w:space="0" w:color="auto"/>
              <w:left w:val="single" w:sz="4" w:space="0" w:color="auto"/>
              <w:right w:val="single" w:sz="4" w:space="0" w:color="auto"/>
            </w:tcBorders>
          </w:tcPr>
          <w:p w14:paraId="0176F7B1" w14:textId="77777777" w:rsidR="0000000F" w:rsidRPr="000C7CFA" w:rsidRDefault="0000000F"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Analysis by GC- high resolution MS.</w:t>
            </w:r>
          </w:p>
          <w:p w14:paraId="4C08E63D" w14:textId="77777777" w:rsidR="0000000F" w:rsidRPr="000C7CFA" w:rsidRDefault="0000000F" w:rsidP="00704CE9">
            <w:pPr>
              <w:autoSpaceDE w:val="0"/>
              <w:autoSpaceDN w:val="0"/>
              <w:adjustRightInd w:val="0"/>
              <w:spacing w:after="0"/>
              <w:rPr>
                <w:rFonts w:ascii="Verdana" w:eastAsiaTheme="minorHAnsi" w:hAnsi="Verdana"/>
                <w:sz w:val="18"/>
                <w:szCs w:val="18"/>
                <w:lang w:val="en-GB"/>
              </w:rPr>
            </w:pPr>
          </w:p>
          <w:p w14:paraId="0C75A10F"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The site was downstream of the discharge point of the Chinese manufacturing facility.</w:t>
            </w:r>
          </w:p>
          <w:p w14:paraId="17B074CC" w14:textId="77777777" w:rsidR="0000000F" w:rsidRPr="000C7CFA" w:rsidRDefault="0000000F" w:rsidP="00704CE9">
            <w:pPr>
              <w:spacing w:after="0"/>
              <w:rPr>
                <w:rFonts w:ascii="Verdana" w:hAnsi="Verdana"/>
                <w:sz w:val="18"/>
                <w:szCs w:val="18"/>
                <w:lang w:val="en-GB"/>
              </w:rPr>
            </w:pPr>
          </w:p>
          <w:p w14:paraId="677D805C" w14:textId="578A95F1" w:rsidR="0000000F" w:rsidRPr="000C7CFA" w:rsidRDefault="0000000F" w:rsidP="00A3136A">
            <w:pPr>
              <w:rPr>
                <w:rFonts w:ascii="Verdana" w:hAnsi="Verdana"/>
                <w:sz w:val="18"/>
                <w:szCs w:val="18"/>
                <w:lang w:val="en-GB"/>
              </w:rPr>
            </w:pPr>
            <w:r w:rsidRPr="000C7CFA">
              <w:rPr>
                <w:rFonts w:ascii="Verdana" w:hAnsi="Verdana"/>
                <w:sz w:val="18"/>
                <w:szCs w:val="18"/>
                <w:lang w:val="en-GB"/>
              </w:rPr>
              <w:t xml:space="preserve">The highest mean concentration was </w:t>
            </w:r>
            <w:r w:rsidR="00A3136A" w:rsidRPr="000C7CFA">
              <w:rPr>
                <w:rFonts w:ascii="Verdana" w:hAnsi="Verdana"/>
                <w:sz w:val="18"/>
                <w:szCs w:val="18"/>
                <w:lang w:val="en-GB"/>
              </w:rPr>
              <w:t xml:space="preserve">1.1 mg/kg ww </w:t>
            </w:r>
            <w:r w:rsidRPr="000C7CFA">
              <w:rPr>
                <w:rFonts w:ascii="Verdana" w:hAnsi="Verdana"/>
                <w:sz w:val="18"/>
                <w:szCs w:val="18"/>
                <w:lang w:val="en-GB"/>
              </w:rPr>
              <w:t>in Common Carp</w:t>
            </w:r>
            <w:r w:rsidR="00A3136A" w:rsidRPr="000C7CFA">
              <w:rPr>
                <w:rFonts w:ascii="Verdana" w:hAnsi="Verdana"/>
                <w:sz w:val="18"/>
                <w:szCs w:val="18"/>
                <w:lang w:val="en-GB"/>
              </w:rPr>
              <w:t xml:space="preserve">, </w:t>
            </w:r>
            <w:r w:rsidR="00A11FA5" w:rsidRPr="000C7CFA">
              <w:rPr>
                <w:rFonts w:ascii="Verdana" w:hAnsi="Verdana"/>
                <w:sz w:val="18"/>
                <w:szCs w:val="18"/>
                <w:lang w:val="en-GB"/>
              </w:rPr>
              <w:t>or 97</w:t>
            </w:r>
            <w:r w:rsidR="00A3136A" w:rsidRPr="000C7CFA">
              <w:rPr>
                <w:rFonts w:ascii="Verdana" w:hAnsi="Verdana"/>
                <w:sz w:val="18"/>
                <w:szCs w:val="18"/>
                <w:lang w:val="en-GB" w:eastAsia="ar-SA"/>
              </w:rPr>
              <w:t xml:space="preserve"> m</w:t>
            </w:r>
            <w:r w:rsidR="00A3136A" w:rsidRPr="000C7CFA">
              <w:rPr>
                <w:rFonts w:ascii="Verdana" w:eastAsiaTheme="minorHAnsi" w:hAnsi="Verdana"/>
                <w:sz w:val="18"/>
                <w:szCs w:val="18"/>
                <w:lang w:val="en-GB"/>
              </w:rPr>
              <w:t>g/kg lw</w:t>
            </w:r>
            <w:r w:rsidR="00A3136A" w:rsidRPr="000C7CFA">
              <w:rPr>
                <w:rFonts w:ascii="Verdana" w:hAnsi="Verdana"/>
                <w:sz w:val="18"/>
                <w:szCs w:val="18"/>
                <w:lang w:val="en-GB"/>
              </w:rPr>
              <w:t xml:space="preserve"> in</w:t>
            </w:r>
            <w:r w:rsidRPr="000C7CFA">
              <w:rPr>
                <w:rFonts w:ascii="Verdana" w:hAnsi="Verdana"/>
                <w:sz w:val="18"/>
                <w:szCs w:val="18"/>
                <w:lang w:val="en-GB"/>
              </w:rPr>
              <w:t xml:space="preserve"> Bleeker</w:t>
            </w:r>
            <w:r w:rsidRPr="000C7CFA">
              <w:rPr>
                <w:rFonts w:ascii="Verdana" w:eastAsiaTheme="minorHAnsi" w:hAnsi="Verdana"/>
                <w:sz w:val="18"/>
                <w:szCs w:val="18"/>
                <w:lang w:val="en-GB"/>
              </w:rPr>
              <w:t>.</w:t>
            </w:r>
            <w:r w:rsidRPr="000C7CFA">
              <w:rPr>
                <w:rFonts w:ascii="Verdana" w:hAnsi="Verdana"/>
                <w:sz w:val="18"/>
                <w:szCs w:val="18"/>
                <w:lang w:val="en-GB"/>
              </w:rPr>
              <w:t xml:space="preserve"> </w:t>
            </w:r>
          </w:p>
        </w:tc>
        <w:tc>
          <w:tcPr>
            <w:tcW w:w="1249" w:type="dxa"/>
            <w:tcBorders>
              <w:top w:val="single" w:sz="4" w:space="0" w:color="auto"/>
              <w:left w:val="single" w:sz="4" w:space="0" w:color="auto"/>
              <w:right w:val="single" w:sz="12" w:space="0" w:color="auto"/>
            </w:tcBorders>
          </w:tcPr>
          <w:p w14:paraId="54B249D9"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eastAsia="ar-SA"/>
              </w:rPr>
              <w:t xml:space="preserve">Wang </w:t>
            </w:r>
            <w:r w:rsidRPr="000C7CFA">
              <w:rPr>
                <w:rFonts w:ascii="Verdana" w:hAnsi="Verdana"/>
                <w:i/>
                <w:sz w:val="18"/>
                <w:szCs w:val="18"/>
                <w:lang w:val="en-GB"/>
              </w:rPr>
              <w:t>et al</w:t>
            </w:r>
            <w:r w:rsidRPr="000C7CFA">
              <w:rPr>
                <w:rFonts w:ascii="Verdana" w:hAnsi="Verdana"/>
                <w:sz w:val="18"/>
                <w:szCs w:val="18"/>
                <w:lang w:val="en-GB"/>
              </w:rPr>
              <w:t>. (2013)</w:t>
            </w:r>
          </w:p>
          <w:p w14:paraId="56C7F068" w14:textId="77777777" w:rsidR="0000000F" w:rsidRPr="000C7CFA" w:rsidRDefault="0000000F" w:rsidP="00704CE9">
            <w:pPr>
              <w:pStyle w:val="Tabletext"/>
              <w:spacing w:before="0" w:after="0"/>
              <w:rPr>
                <w:rFonts w:ascii="Verdana" w:hAnsi="Verdana"/>
                <w:sz w:val="18"/>
                <w:szCs w:val="18"/>
                <w:lang w:val="en-GB"/>
              </w:rPr>
            </w:pPr>
          </w:p>
        </w:tc>
      </w:tr>
      <w:tr w:rsidR="0000000F" w:rsidRPr="000C7CFA" w14:paraId="1F3078BE" w14:textId="77777777" w:rsidTr="00D323EC">
        <w:trPr>
          <w:cantSplit/>
          <w:trHeight w:val="4804"/>
        </w:trPr>
        <w:tc>
          <w:tcPr>
            <w:tcW w:w="1928" w:type="dxa"/>
            <w:tcBorders>
              <w:top w:val="single" w:sz="8" w:space="0" w:color="auto"/>
              <w:left w:val="single" w:sz="12" w:space="0" w:color="auto"/>
              <w:right w:val="single" w:sz="4" w:space="0" w:color="auto"/>
            </w:tcBorders>
          </w:tcPr>
          <w:p w14:paraId="7FF29C54" w14:textId="77777777" w:rsidR="0000000F" w:rsidRPr="000C7CFA" w:rsidRDefault="0000000F" w:rsidP="00704CE9">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lastRenderedPageBreak/>
              <w:t>Mosquito Fish (</w:t>
            </w:r>
            <w:r w:rsidRPr="000C7CFA">
              <w:rPr>
                <w:rFonts w:ascii="Verdana" w:eastAsiaTheme="minorHAnsi" w:hAnsi="Verdana"/>
                <w:i/>
                <w:color w:val="000000"/>
                <w:sz w:val="18"/>
                <w:szCs w:val="18"/>
                <w:lang w:val="en-GB"/>
              </w:rPr>
              <w:t>Gambusia affinis</w:t>
            </w:r>
            <w:r w:rsidRPr="000C7CFA">
              <w:rPr>
                <w:rFonts w:ascii="Verdana" w:eastAsiaTheme="minorHAnsi" w:hAnsi="Verdana"/>
                <w:color w:val="000000"/>
                <w:sz w:val="18"/>
                <w:szCs w:val="18"/>
                <w:lang w:val="en-GB"/>
              </w:rPr>
              <w:t>) (n = 11)</w:t>
            </w:r>
          </w:p>
          <w:p w14:paraId="1964506F" w14:textId="77777777" w:rsidR="0000000F" w:rsidRPr="000C7CFA" w:rsidRDefault="0000000F" w:rsidP="00704CE9">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Paradise Fish (</w:t>
            </w:r>
            <w:r w:rsidRPr="000C7CFA">
              <w:rPr>
                <w:rFonts w:ascii="Verdana" w:eastAsiaTheme="minorHAnsi" w:hAnsi="Verdana"/>
                <w:i/>
                <w:color w:val="000000"/>
                <w:sz w:val="18"/>
                <w:szCs w:val="18"/>
                <w:lang w:val="en-GB"/>
              </w:rPr>
              <w:t>Macropodus opercularis</w:t>
            </w:r>
            <w:r w:rsidRPr="000C7CFA">
              <w:rPr>
                <w:rFonts w:ascii="Verdana" w:eastAsiaTheme="minorHAnsi" w:hAnsi="Verdana"/>
                <w:color w:val="000000"/>
                <w:sz w:val="18"/>
                <w:szCs w:val="18"/>
                <w:lang w:val="en-GB"/>
              </w:rPr>
              <w:t>) (n = 9)</w:t>
            </w:r>
          </w:p>
          <w:p w14:paraId="386E6700" w14:textId="77777777" w:rsidR="0000000F" w:rsidRPr="000C7CFA" w:rsidRDefault="0000000F" w:rsidP="00704CE9">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Chinese Hooksnout Carp (</w:t>
            </w:r>
            <w:r w:rsidRPr="000C7CFA">
              <w:rPr>
                <w:rFonts w:ascii="Verdana" w:eastAsiaTheme="minorHAnsi" w:hAnsi="Verdana"/>
                <w:i/>
                <w:color w:val="000000"/>
                <w:sz w:val="18"/>
                <w:szCs w:val="18"/>
                <w:lang w:val="en-GB"/>
              </w:rPr>
              <w:t>Opsariichthys bidens</w:t>
            </w:r>
            <w:r w:rsidRPr="000C7CFA">
              <w:rPr>
                <w:rFonts w:ascii="Verdana" w:eastAsiaTheme="minorHAnsi" w:hAnsi="Verdana"/>
                <w:color w:val="000000"/>
                <w:sz w:val="18"/>
                <w:szCs w:val="18"/>
                <w:lang w:val="en-GB"/>
              </w:rPr>
              <w:t>) (n = 18).</w:t>
            </w:r>
          </w:p>
          <w:p w14:paraId="7E723912" w14:textId="77777777" w:rsidR="0000000F" w:rsidRPr="000C7CFA" w:rsidRDefault="0000000F" w:rsidP="00704CE9">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Chinese False Gudgeon (</w:t>
            </w:r>
            <w:r w:rsidRPr="000C7CFA">
              <w:rPr>
                <w:rFonts w:ascii="Verdana" w:eastAsiaTheme="minorHAnsi" w:hAnsi="Verdana"/>
                <w:i/>
                <w:color w:val="000000"/>
                <w:sz w:val="18"/>
                <w:szCs w:val="18"/>
                <w:lang w:val="en-GB"/>
              </w:rPr>
              <w:t>Abbottina rivularis</w:t>
            </w:r>
            <w:r w:rsidRPr="000C7CFA">
              <w:rPr>
                <w:rFonts w:ascii="Verdana" w:eastAsiaTheme="minorHAnsi" w:hAnsi="Verdana"/>
                <w:color w:val="000000"/>
                <w:sz w:val="18"/>
                <w:szCs w:val="18"/>
                <w:lang w:val="en-GB"/>
              </w:rPr>
              <w:t>) (n = 10)</w:t>
            </w:r>
          </w:p>
          <w:p w14:paraId="7F047214" w14:textId="77777777" w:rsidR="0000000F" w:rsidRPr="000C7CFA" w:rsidRDefault="0000000F" w:rsidP="00704CE9">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Nichols’ Minnow (</w:t>
            </w:r>
            <w:r w:rsidRPr="000C7CFA">
              <w:rPr>
                <w:rFonts w:ascii="Verdana" w:eastAsiaTheme="minorHAnsi" w:hAnsi="Verdana"/>
                <w:i/>
                <w:color w:val="000000"/>
                <w:sz w:val="18"/>
                <w:szCs w:val="18"/>
                <w:lang w:val="en-GB"/>
              </w:rPr>
              <w:t>Nicholsicypris normalis</w:t>
            </w:r>
            <w:r w:rsidRPr="000C7CFA">
              <w:rPr>
                <w:rFonts w:ascii="Verdana" w:eastAsiaTheme="minorHAnsi" w:hAnsi="Verdana"/>
                <w:color w:val="000000"/>
                <w:sz w:val="18"/>
                <w:szCs w:val="18"/>
                <w:lang w:val="en-GB"/>
              </w:rPr>
              <w:t>) (n = 6)</w:t>
            </w:r>
          </w:p>
          <w:p w14:paraId="689963EC" w14:textId="77777777" w:rsidR="0000000F" w:rsidRPr="000C7CFA" w:rsidRDefault="0000000F" w:rsidP="00704CE9">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Chinese Bitterling (</w:t>
            </w:r>
            <w:r w:rsidRPr="000C7CFA">
              <w:rPr>
                <w:rFonts w:ascii="Verdana" w:eastAsiaTheme="minorHAnsi" w:hAnsi="Verdana"/>
                <w:i/>
                <w:color w:val="000000"/>
                <w:sz w:val="18"/>
                <w:szCs w:val="18"/>
                <w:lang w:val="en-GB"/>
              </w:rPr>
              <w:t>Rhodeinae</w:t>
            </w:r>
            <w:r w:rsidRPr="000C7CFA">
              <w:rPr>
                <w:rFonts w:ascii="Verdana" w:eastAsiaTheme="minorHAnsi" w:hAnsi="Verdana"/>
                <w:color w:val="000000"/>
                <w:sz w:val="18"/>
                <w:szCs w:val="18"/>
                <w:lang w:val="en-GB"/>
              </w:rPr>
              <w:t>) (n = 9)</w:t>
            </w:r>
          </w:p>
        </w:tc>
        <w:tc>
          <w:tcPr>
            <w:tcW w:w="1068" w:type="dxa"/>
            <w:tcBorders>
              <w:top w:val="single" w:sz="8" w:space="0" w:color="auto"/>
              <w:left w:val="single" w:sz="4" w:space="0" w:color="auto"/>
              <w:right w:val="single" w:sz="4" w:space="0" w:color="auto"/>
            </w:tcBorders>
          </w:tcPr>
          <w:p w14:paraId="5F9B3BE9" w14:textId="77777777" w:rsidR="0000000F" w:rsidRPr="000C7CFA" w:rsidRDefault="0000000F" w:rsidP="00704CE9">
            <w:pPr>
              <w:pStyle w:val="Tabletext"/>
              <w:spacing w:before="0" w:after="0"/>
              <w:rPr>
                <w:rFonts w:ascii="Verdana" w:hAnsi="Verdana"/>
                <w:sz w:val="18"/>
                <w:szCs w:val="18"/>
                <w:lang w:val="en-GB"/>
              </w:rPr>
            </w:pPr>
            <w:r w:rsidRPr="000C7CFA">
              <w:rPr>
                <w:rFonts w:ascii="Verdana" w:hAnsi="Verdana"/>
                <w:sz w:val="18"/>
                <w:szCs w:val="18"/>
                <w:lang w:val="en-GB"/>
              </w:rPr>
              <w:t>Whole fish</w:t>
            </w:r>
          </w:p>
        </w:tc>
        <w:tc>
          <w:tcPr>
            <w:tcW w:w="2391" w:type="dxa"/>
            <w:tcBorders>
              <w:top w:val="single" w:sz="8" w:space="0" w:color="auto"/>
              <w:left w:val="single" w:sz="4" w:space="0" w:color="auto"/>
              <w:right w:val="single" w:sz="4" w:space="0" w:color="auto"/>
            </w:tcBorders>
          </w:tcPr>
          <w:p w14:paraId="6156380D" w14:textId="77777777" w:rsidR="0000000F" w:rsidRPr="000C7CFA" w:rsidRDefault="0000000F" w:rsidP="00704CE9">
            <w:pPr>
              <w:spacing w:after="0"/>
              <w:rPr>
                <w:rFonts w:ascii="Verdana" w:hAnsi="Verdana"/>
                <w:sz w:val="18"/>
                <w:szCs w:val="18"/>
                <w:lang w:val="en-GB" w:eastAsia="ar-SA"/>
              </w:rPr>
            </w:pPr>
            <w:r w:rsidRPr="000C7CFA">
              <w:rPr>
                <w:rFonts w:ascii="Verdana" w:hAnsi="Verdana"/>
                <w:sz w:val="18"/>
                <w:szCs w:val="18"/>
                <w:lang w:val="en-GB" w:eastAsia="ar-SA"/>
              </w:rPr>
              <w:t>E-waste recycling site &amp;  reference site (Dinghu Mountain) in the Pearl River Delta, Guangdong Province, southern China; March - July 2010. Fish were pooled into composites for each species at each site.</w:t>
            </w:r>
          </w:p>
        </w:tc>
        <w:tc>
          <w:tcPr>
            <w:tcW w:w="1843" w:type="dxa"/>
            <w:tcBorders>
              <w:top w:val="single" w:sz="12" w:space="0" w:color="auto"/>
              <w:left w:val="single" w:sz="4" w:space="0" w:color="auto"/>
              <w:right w:val="single" w:sz="4" w:space="0" w:color="auto"/>
            </w:tcBorders>
          </w:tcPr>
          <w:p w14:paraId="43B145D4" w14:textId="26722B45"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napToGrid/>
                <w:sz w:val="18"/>
                <w:szCs w:val="18"/>
                <w:lang w:val="en-GB" w:eastAsia="ar-SA"/>
              </w:rPr>
              <w:t>Anti-DP: 0.59 (lw)</w:t>
            </w:r>
          </w:p>
          <w:p w14:paraId="02D0C091" w14:textId="77777777" w:rsidR="0000000F" w:rsidRPr="000C7CFA" w:rsidRDefault="0000000F" w:rsidP="00704CE9">
            <w:pPr>
              <w:pStyle w:val="Tabletext"/>
              <w:spacing w:before="0" w:after="0"/>
              <w:jc w:val="center"/>
              <w:rPr>
                <w:rFonts w:ascii="Verdana" w:hAnsi="Verdana"/>
                <w:sz w:val="18"/>
                <w:szCs w:val="18"/>
                <w:lang w:val="en-GB"/>
              </w:rPr>
            </w:pPr>
            <w:r w:rsidRPr="000C7CFA">
              <w:rPr>
                <w:rFonts w:ascii="Verdana" w:hAnsi="Verdana"/>
                <w:sz w:val="18"/>
                <w:szCs w:val="18"/>
                <w:lang w:val="en-GB" w:eastAsia="ar-SA"/>
              </w:rPr>
              <w:t xml:space="preserve">Syn-DP: </w:t>
            </w:r>
            <w:r w:rsidRPr="000C7CFA">
              <w:rPr>
                <w:rFonts w:ascii="Verdana" w:hAnsi="Verdana"/>
                <w:snapToGrid/>
                <w:sz w:val="18"/>
                <w:szCs w:val="18"/>
                <w:lang w:val="en-GB" w:eastAsia="ar-SA"/>
              </w:rPr>
              <w:t>0.14 (lw)</w:t>
            </w:r>
          </w:p>
        </w:tc>
        <w:tc>
          <w:tcPr>
            <w:tcW w:w="2976" w:type="dxa"/>
            <w:tcBorders>
              <w:top w:val="single" w:sz="8" w:space="0" w:color="auto"/>
              <w:left w:val="single" w:sz="4" w:space="0" w:color="auto"/>
              <w:right w:val="single" w:sz="4" w:space="0" w:color="auto"/>
            </w:tcBorders>
          </w:tcPr>
          <w:p w14:paraId="1D783965" w14:textId="77777777" w:rsidR="0000000F" w:rsidRPr="000C7CFA" w:rsidRDefault="0000000F" w:rsidP="00704CE9">
            <w:pPr>
              <w:autoSpaceDE w:val="0"/>
              <w:autoSpaceDN w:val="0"/>
              <w:adjustRightInd w:val="0"/>
              <w:spacing w:after="0"/>
              <w:rPr>
                <w:rFonts w:ascii="Verdana" w:eastAsiaTheme="minorHAnsi" w:hAnsi="Verdana"/>
                <w:color w:val="000000"/>
                <w:sz w:val="18"/>
                <w:szCs w:val="18"/>
                <w:lang w:val="en-GB"/>
              </w:rPr>
            </w:pPr>
            <w:r w:rsidRPr="000C7CFA">
              <w:rPr>
                <w:rFonts w:ascii="Verdana" w:eastAsiaTheme="minorHAnsi" w:hAnsi="Verdana"/>
                <w:sz w:val="18"/>
                <w:szCs w:val="18"/>
                <w:lang w:val="en-GB"/>
              </w:rPr>
              <w:t xml:space="preserve">E-waste recycling site </w:t>
            </w:r>
            <w:r w:rsidRPr="000C7CFA">
              <w:rPr>
                <w:rFonts w:ascii="Verdana" w:eastAsiaTheme="minorHAnsi" w:hAnsi="Verdana"/>
                <w:color w:val="000000"/>
                <w:sz w:val="18"/>
                <w:szCs w:val="18"/>
                <w:lang w:val="en-GB"/>
              </w:rPr>
              <w:t>(29 fish, 9 composites)</w:t>
            </w:r>
          </w:p>
          <w:p w14:paraId="283E8C72" w14:textId="77777777" w:rsidR="0000000F" w:rsidRPr="000C7CFA" w:rsidRDefault="0000000F" w:rsidP="00704CE9">
            <w:pPr>
              <w:rPr>
                <w:rFonts w:ascii="Verdana" w:eastAsiaTheme="minorHAnsi" w:hAnsi="Verdana"/>
                <w:sz w:val="18"/>
                <w:szCs w:val="18"/>
                <w:lang w:val="en-GB"/>
              </w:rPr>
            </w:pPr>
            <w:r w:rsidRPr="000C7CFA">
              <w:rPr>
                <w:rFonts w:ascii="Verdana" w:eastAsiaTheme="minorHAnsi" w:hAnsi="Verdana"/>
                <w:sz w:val="18"/>
                <w:szCs w:val="18"/>
                <w:lang w:val="en-GB"/>
              </w:rPr>
              <w:t>Total isomers: medians per species: 79-410 µg/kg lw (overall range 60-420 µg/kg lw)</w:t>
            </w:r>
          </w:p>
          <w:p w14:paraId="029EB71A" w14:textId="77777777" w:rsidR="0000000F" w:rsidRPr="000C7CFA" w:rsidRDefault="0000000F" w:rsidP="00704CE9">
            <w:pPr>
              <w:autoSpaceDE w:val="0"/>
              <w:autoSpaceDN w:val="0"/>
              <w:adjustRightInd w:val="0"/>
              <w:spacing w:after="0"/>
              <w:rPr>
                <w:rFonts w:ascii="Verdana" w:eastAsiaTheme="minorHAnsi" w:hAnsi="Verdana"/>
                <w:sz w:val="18"/>
                <w:szCs w:val="18"/>
                <w:lang w:val="en-GB"/>
              </w:rPr>
            </w:pPr>
          </w:p>
          <w:p w14:paraId="1DE31114" w14:textId="77777777" w:rsidR="0000000F" w:rsidRPr="000C7CFA" w:rsidRDefault="0000000F"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Reference site </w:t>
            </w:r>
            <w:r w:rsidRPr="000C7CFA">
              <w:rPr>
                <w:rFonts w:ascii="Verdana" w:eastAsiaTheme="minorHAnsi" w:hAnsi="Verdana"/>
                <w:color w:val="000000"/>
                <w:sz w:val="18"/>
                <w:szCs w:val="18"/>
                <w:lang w:val="en-GB"/>
              </w:rPr>
              <w:t>(34 fish, 12 composites)</w:t>
            </w:r>
          </w:p>
          <w:p w14:paraId="2B12DB53" w14:textId="77777777" w:rsidR="0000000F" w:rsidRPr="000C7CFA" w:rsidRDefault="0000000F" w:rsidP="00704CE9">
            <w:pPr>
              <w:rPr>
                <w:rFonts w:ascii="Verdana" w:eastAsiaTheme="minorHAnsi" w:hAnsi="Verdana"/>
                <w:sz w:val="18"/>
                <w:szCs w:val="18"/>
                <w:lang w:val="en-GB"/>
              </w:rPr>
            </w:pPr>
            <w:r w:rsidRPr="000C7CFA">
              <w:rPr>
                <w:rFonts w:ascii="Verdana" w:eastAsiaTheme="minorHAnsi" w:hAnsi="Verdana"/>
                <w:sz w:val="18"/>
                <w:szCs w:val="18"/>
                <w:lang w:val="en-GB"/>
              </w:rPr>
              <w:t>Total isomers: medians per species: 1.7-8.4 µg/kg lw (overall range 0.96-8.8 µg/kg lw)</w:t>
            </w:r>
          </w:p>
          <w:p w14:paraId="0D74CC55" w14:textId="77777777" w:rsidR="0000000F" w:rsidRPr="000C7CFA" w:rsidRDefault="0000000F" w:rsidP="00704CE9">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 xml:space="preserve">Anti-DP-1Cl was detected in all samples collected from the e-waste recycling site (range: 2.4-14 </w:t>
            </w:r>
            <w:r w:rsidRPr="000C7CFA">
              <w:rPr>
                <w:rFonts w:ascii="Verdana" w:eastAsiaTheme="minorHAnsi" w:hAnsi="Verdana"/>
                <w:sz w:val="18"/>
                <w:szCs w:val="18"/>
                <w:lang w:val="en-GB"/>
              </w:rPr>
              <w:t xml:space="preserve">µg/kg </w:t>
            </w:r>
            <w:r w:rsidRPr="000C7CFA">
              <w:rPr>
                <w:rFonts w:ascii="Verdana" w:eastAsiaTheme="minorHAnsi" w:hAnsi="Verdana"/>
                <w:color w:val="000000"/>
                <w:sz w:val="18"/>
                <w:szCs w:val="18"/>
                <w:lang w:val="en-GB"/>
              </w:rPr>
              <w:t xml:space="preserve">lw), but not at the reference site (LoD 0.09 </w:t>
            </w:r>
            <w:r w:rsidRPr="000C7CFA">
              <w:rPr>
                <w:rFonts w:ascii="Verdana" w:eastAsiaTheme="minorHAnsi" w:hAnsi="Verdana"/>
                <w:sz w:val="18"/>
                <w:szCs w:val="18"/>
                <w:lang w:val="en-GB"/>
              </w:rPr>
              <w:t xml:space="preserve">µg/kg </w:t>
            </w:r>
            <w:r w:rsidRPr="000C7CFA">
              <w:rPr>
                <w:rFonts w:ascii="Verdana" w:eastAsiaTheme="minorHAnsi" w:hAnsi="Verdana"/>
                <w:color w:val="000000"/>
                <w:sz w:val="18"/>
                <w:szCs w:val="18"/>
                <w:lang w:val="en-GB"/>
              </w:rPr>
              <w:t xml:space="preserve">lw). Anti-DP-2Cl was not detected in any sample (LoD 0.01 </w:t>
            </w:r>
            <w:r w:rsidRPr="000C7CFA">
              <w:rPr>
                <w:rFonts w:ascii="Verdana" w:eastAsiaTheme="minorHAnsi" w:hAnsi="Verdana"/>
                <w:sz w:val="18"/>
                <w:szCs w:val="18"/>
                <w:lang w:val="en-GB"/>
              </w:rPr>
              <w:t xml:space="preserve">µg/kg </w:t>
            </w:r>
            <w:r w:rsidRPr="000C7CFA">
              <w:rPr>
                <w:rFonts w:ascii="Verdana" w:eastAsiaTheme="minorHAnsi" w:hAnsi="Verdana"/>
                <w:color w:val="000000"/>
                <w:sz w:val="18"/>
                <w:szCs w:val="18"/>
                <w:lang w:val="en-GB"/>
              </w:rPr>
              <w:t>lw).</w:t>
            </w:r>
          </w:p>
        </w:tc>
        <w:tc>
          <w:tcPr>
            <w:tcW w:w="2552" w:type="dxa"/>
            <w:tcBorders>
              <w:top w:val="single" w:sz="8" w:space="0" w:color="auto"/>
              <w:left w:val="single" w:sz="4" w:space="0" w:color="auto"/>
              <w:right w:val="single" w:sz="4" w:space="0" w:color="auto"/>
            </w:tcBorders>
          </w:tcPr>
          <w:p w14:paraId="54CF8FCD" w14:textId="77777777" w:rsidR="0000000F" w:rsidRPr="000C7CFA" w:rsidRDefault="0000000F"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Analysis by GC-MS.</w:t>
            </w:r>
          </w:p>
          <w:p w14:paraId="39CC8AC8" w14:textId="77777777" w:rsidR="0000000F" w:rsidRPr="000C7CFA" w:rsidRDefault="0000000F" w:rsidP="00704CE9">
            <w:pPr>
              <w:autoSpaceDE w:val="0"/>
              <w:autoSpaceDN w:val="0"/>
              <w:adjustRightInd w:val="0"/>
              <w:spacing w:after="0"/>
              <w:rPr>
                <w:rFonts w:ascii="Verdana" w:eastAsiaTheme="minorHAnsi" w:hAnsi="Verdana"/>
                <w:sz w:val="18"/>
                <w:szCs w:val="18"/>
                <w:lang w:val="en-GB"/>
              </w:rPr>
            </w:pPr>
          </w:p>
          <w:p w14:paraId="76F4F64A"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rPr>
              <w:t xml:space="preserve">The e-waste site is in a heavily industrialized area. The reference site is in a relatively non-contaminated </w:t>
            </w:r>
            <w:r w:rsidRPr="000C7CFA">
              <w:rPr>
                <w:rFonts w:ascii="Verdana" w:hAnsi="Verdana"/>
                <w:sz w:val="18"/>
                <w:szCs w:val="18"/>
                <w:lang w:val="en-GB" w:eastAsia="ar-SA"/>
              </w:rPr>
              <w:t>agricultural area</w:t>
            </w:r>
            <w:r w:rsidRPr="000C7CFA">
              <w:rPr>
                <w:rFonts w:ascii="Verdana" w:hAnsi="Verdana"/>
                <w:sz w:val="18"/>
                <w:szCs w:val="18"/>
                <w:lang w:val="en-GB"/>
              </w:rPr>
              <w:t>.</w:t>
            </w:r>
          </w:p>
          <w:p w14:paraId="2E997AB5" w14:textId="77777777" w:rsidR="0000000F" w:rsidRPr="000C7CFA" w:rsidRDefault="0000000F" w:rsidP="00704CE9">
            <w:pPr>
              <w:spacing w:after="0"/>
              <w:rPr>
                <w:rFonts w:ascii="Verdana" w:hAnsi="Verdana"/>
                <w:sz w:val="18"/>
                <w:szCs w:val="18"/>
                <w:lang w:val="en-GB"/>
              </w:rPr>
            </w:pPr>
          </w:p>
          <w:p w14:paraId="5105351D" w14:textId="77777777" w:rsidR="0000000F" w:rsidRPr="000C7CFA" w:rsidRDefault="0000000F" w:rsidP="00704CE9">
            <w:pPr>
              <w:spacing w:after="0"/>
              <w:rPr>
                <w:rFonts w:ascii="Verdana" w:hAnsi="Verdana"/>
                <w:sz w:val="18"/>
                <w:szCs w:val="18"/>
                <w:lang w:val="en-GB"/>
              </w:rPr>
            </w:pPr>
          </w:p>
        </w:tc>
        <w:tc>
          <w:tcPr>
            <w:tcW w:w="1249" w:type="dxa"/>
            <w:tcBorders>
              <w:top w:val="single" w:sz="8" w:space="0" w:color="auto"/>
              <w:left w:val="single" w:sz="4" w:space="0" w:color="auto"/>
              <w:right w:val="single" w:sz="12" w:space="0" w:color="auto"/>
            </w:tcBorders>
          </w:tcPr>
          <w:p w14:paraId="4FD37EB0" w14:textId="77777777" w:rsidR="0000000F" w:rsidRPr="000C7CFA" w:rsidRDefault="0000000F" w:rsidP="00704CE9">
            <w:pPr>
              <w:spacing w:after="0"/>
              <w:rPr>
                <w:rFonts w:ascii="Verdana" w:hAnsi="Verdana"/>
                <w:sz w:val="18"/>
                <w:szCs w:val="18"/>
                <w:lang w:val="en-GB"/>
              </w:rPr>
            </w:pPr>
            <w:r w:rsidRPr="000C7CFA">
              <w:rPr>
                <w:rFonts w:ascii="Verdana" w:hAnsi="Verdana"/>
                <w:sz w:val="18"/>
                <w:szCs w:val="18"/>
                <w:lang w:val="en-GB" w:eastAsia="ar-SA"/>
              </w:rPr>
              <w:t>Mo</w:t>
            </w:r>
            <w:r w:rsidRPr="000C7CFA">
              <w:rPr>
                <w:rFonts w:ascii="Verdana" w:hAnsi="Verdana"/>
                <w:sz w:val="18"/>
                <w:szCs w:val="18"/>
                <w:lang w:val="en-GB"/>
              </w:rPr>
              <w:t xml:space="preserve"> </w:t>
            </w:r>
            <w:r w:rsidRPr="000C7CFA">
              <w:rPr>
                <w:rFonts w:ascii="Verdana" w:hAnsi="Verdana"/>
                <w:i/>
                <w:sz w:val="18"/>
                <w:szCs w:val="18"/>
                <w:lang w:val="en-GB"/>
              </w:rPr>
              <w:t>et al</w:t>
            </w:r>
            <w:r w:rsidRPr="000C7CFA">
              <w:rPr>
                <w:rFonts w:ascii="Verdana" w:hAnsi="Verdana"/>
                <w:sz w:val="18"/>
                <w:szCs w:val="18"/>
                <w:lang w:val="en-GB"/>
              </w:rPr>
              <w:t>. (2013)</w:t>
            </w:r>
          </w:p>
          <w:p w14:paraId="7FB00804" w14:textId="77777777" w:rsidR="0000000F" w:rsidRPr="000C7CFA" w:rsidRDefault="0000000F" w:rsidP="00704CE9">
            <w:pPr>
              <w:pStyle w:val="Tabletext"/>
              <w:spacing w:before="0" w:after="0"/>
              <w:rPr>
                <w:rFonts w:ascii="Verdana" w:hAnsi="Verdana"/>
                <w:sz w:val="18"/>
                <w:szCs w:val="18"/>
                <w:lang w:val="en-GB"/>
              </w:rPr>
            </w:pPr>
          </w:p>
        </w:tc>
      </w:tr>
      <w:tr w:rsidR="00555502" w:rsidRPr="000C7CFA" w14:paraId="0C15AA9E" w14:textId="77777777" w:rsidTr="00D323EC">
        <w:trPr>
          <w:cantSplit/>
          <w:trHeight w:val="4804"/>
        </w:trPr>
        <w:tc>
          <w:tcPr>
            <w:tcW w:w="1928" w:type="dxa"/>
            <w:tcBorders>
              <w:top w:val="single" w:sz="8" w:space="0" w:color="auto"/>
              <w:left w:val="single" w:sz="12" w:space="0" w:color="auto"/>
              <w:right w:val="single" w:sz="4" w:space="0" w:color="auto"/>
            </w:tcBorders>
          </w:tcPr>
          <w:p w14:paraId="2194CB18" w14:textId="77777777" w:rsidR="00555502" w:rsidRPr="000C7CFA" w:rsidRDefault="00555502" w:rsidP="00704CE9">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lastRenderedPageBreak/>
              <w:t>Greenland Shark (</w:t>
            </w:r>
            <w:r w:rsidRPr="000C7CFA">
              <w:rPr>
                <w:rFonts w:ascii="Verdana" w:eastAsiaTheme="minorHAnsi" w:hAnsi="Verdana"/>
                <w:i/>
                <w:color w:val="000000"/>
                <w:sz w:val="18"/>
                <w:szCs w:val="18"/>
                <w:lang w:val="en-GB"/>
              </w:rPr>
              <w:t>Somniosus microcephalus</w:t>
            </w:r>
            <w:r w:rsidRPr="000C7CFA">
              <w:rPr>
                <w:rFonts w:ascii="Verdana" w:eastAsiaTheme="minorHAnsi" w:hAnsi="Verdana"/>
                <w:color w:val="000000"/>
                <w:sz w:val="18"/>
                <w:szCs w:val="18"/>
                <w:lang w:val="en-GB"/>
              </w:rPr>
              <w:t>)</w:t>
            </w:r>
          </w:p>
        </w:tc>
        <w:tc>
          <w:tcPr>
            <w:tcW w:w="1068" w:type="dxa"/>
            <w:tcBorders>
              <w:top w:val="single" w:sz="8" w:space="0" w:color="auto"/>
              <w:left w:val="single" w:sz="4" w:space="0" w:color="auto"/>
              <w:right w:val="single" w:sz="4" w:space="0" w:color="auto"/>
            </w:tcBorders>
          </w:tcPr>
          <w:p w14:paraId="644028CA"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Liver</w:t>
            </w:r>
          </w:p>
        </w:tc>
        <w:tc>
          <w:tcPr>
            <w:tcW w:w="2391" w:type="dxa"/>
            <w:tcBorders>
              <w:top w:val="single" w:sz="8" w:space="0" w:color="auto"/>
              <w:left w:val="single" w:sz="4" w:space="0" w:color="auto"/>
              <w:right w:val="single" w:sz="4" w:space="0" w:color="auto"/>
            </w:tcBorders>
          </w:tcPr>
          <w:p w14:paraId="0C69BBC1" w14:textId="7AFA3974" w:rsidR="00555502" w:rsidRPr="000C7CFA" w:rsidRDefault="00555502" w:rsidP="005B6DF7">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 xml:space="preserve">Female sharks by-caught in </w:t>
            </w:r>
            <w:r w:rsidR="00A11FA5" w:rsidRPr="000C7CFA">
              <w:rPr>
                <w:rFonts w:ascii="Verdana" w:eastAsiaTheme="minorHAnsi" w:hAnsi="Verdana"/>
                <w:color w:val="000000"/>
                <w:sz w:val="18"/>
                <w:szCs w:val="18"/>
                <w:lang w:val="en-GB"/>
              </w:rPr>
              <w:t>a commercial</w:t>
            </w:r>
            <w:r w:rsidRPr="000C7CFA">
              <w:rPr>
                <w:rFonts w:ascii="Verdana" w:eastAsiaTheme="minorHAnsi" w:hAnsi="Verdana"/>
                <w:color w:val="000000"/>
                <w:sz w:val="18"/>
                <w:szCs w:val="18"/>
                <w:lang w:val="en-GB"/>
              </w:rPr>
              <w:t xml:space="preserve"> fishery in the waters around Iceland, northeast Atlantic, between April 2001 and October 2003 (n=15).</w:t>
            </w:r>
          </w:p>
          <w:p w14:paraId="4F54A3F1" w14:textId="77777777" w:rsidR="00555502" w:rsidRPr="000C7CFA" w:rsidRDefault="00555502" w:rsidP="00704CE9">
            <w:pPr>
              <w:spacing w:after="0"/>
              <w:rPr>
                <w:rFonts w:ascii="Verdana" w:hAnsi="Verdana"/>
                <w:sz w:val="18"/>
                <w:szCs w:val="18"/>
                <w:lang w:val="en-GB" w:eastAsia="ar-SA"/>
              </w:rPr>
            </w:pPr>
          </w:p>
        </w:tc>
        <w:tc>
          <w:tcPr>
            <w:tcW w:w="1843" w:type="dxa"/>
            <w:tcBorders>
              <w:top w:val="single" w:sz="12" w:space="0" w:color="auto"/>
              <w:left w:val="single" w:sz="4" w:space="0" w:color="auto"/>
              <w:right w:val="single" w:sz="4" w:space="0" w:color="auto"/>
            </w:tcBorders>
          </w:tcPr>
          <w:p w14:paraId="7D2243AB" w14:textId="77777777" w:rsidR="00555502" w:rsidRPr="000C7CFA" w:rsidRDefault="00555502" w:rsidP="00704CE9">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Not stated</w:t>
            </w:r>
          </w:p>
        </w:tc>
        <w:tc>
          <w:tcPr>
            <w:tcW w:w="2976" w:type="dxa"/>
            <w:tcBorders>
              <w:top w:val="single" w:sz="8" w:space="0" w:color="auto"/>
              <w:left w:val="single" w:sz="4" w:space="0" w:color="auto"/>
              <w:right w:val="single" w:sz="4" w:space="0" w:color="auto"/>
            </w:tcBorders>
          </w:tcPr>
          <w:p w14:paraId="268ADF46" w14:textId="77777777" w:rsidR="00555502" w:rsidRPr="000C7CFA" w:rsidRDefault="00555502" w:rsidP="00555502">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sz w:val="18"/>
                <w:szCs w:val="18"/>
                <w:lang w:val="en-GB"/>
              </w:rPr>
              <w:t xml:space="preserve">Not stated. </w:t>
            </w:r>
          </w:p>
        </w:tc>
        <w:tc>
          <w:tcPr>
            <w:tcW w:w="2552" w:type="dxa"/>
            <w:tcBorders>
              <w:top w:val="single" w:sz="8" w:space="0" w:color="auto"/>
              <w:left w:val="single" w:sz="4" w:space="0" w:color="auto"/>
              <w:right w:val="single" w:sz="4" w:space="0" w:color="auto"/>
            </w:tcBorders>
          </w:tcPr>
          <w:p w14:paraId="38A4467D" w14:textId="77777777" w:rsidR="00555502" w:rsidRPr="000C7CFA" w:rsidRDefault="00555502" w:rsidP="005B6DF7">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The paper provides quantitative data on three target compounds that were “routinely” detected in the liver samples, but does not comment on the concentrations or detection frequencies of the other substances that were included in the analysis (including Dechlorane Plus).</w:t>
            </w:r>
          </w:p>
          <w:p w14:paraId="1130FCE2" w14:textId="77777777" w:rsidR="00555502" w:rsidRPr="000C7CFA" w:rsidRDefault="00555502" w:rsidP="005B6DF7">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In summarising this study, Vorkamp &amp; Rigét (2014) stated that Dechlorane Plus was “not detected”, but this might be misleading.</w:t>
            </w:r>
          </w:p>
          <w:p w14:paraId="1F622AEB"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p>
        </w:tc>
        <w:tc>
          <w:tcPr>
            <w:tcW w:w="1249" w:type="dxa"/>
            <w:tcBorders>
              <w:top w:val="single" w:sz="8" w:space="0" w:color="auto"/>
              <w:left w:val="single" w:sz="4" w:space="0" w:color="auto"/>
              <w:right w:val="single" w:sz="12" w:space="0" w:color="auto"/>
            </w:tcBorders>
          </w:tcPr>
          <w:p w14:paraId="1415316C" w14:textId="77777777" w:rsidR="00555502" w:rsidRPr="000C7CFA" w:rsidRDefault="00555502" w:rsidP="00A558DA">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 xml:space="preserve">Strid </w:t>
            </w:r>
            <w:r w:rsidRPr="000C7CFA">
              <w:rPr>
                <w:rFonts w:ascii="Verdana" w:eastAsiaTheme="minorHAnsi" w:hAnsi="Verdana"/>
                <w:i/>
                <w:color w:val="000000"/>
                <w:sz w:val="18"/>
                <w:szCs w:val="18"/>
                <w:lang w:val="en-GB"/>
              </w:rPr>
              <w:t>et al</w:t>
            </w:r>
            <w:r w:rsidRPr="000C7CFA">
              <w:rPr>
                <w:rFonts w:ascii="Verdana" w:eastAsiaTheme="minorHAnsi" w:hAnsi="Verdana"/>
                <w:color w:val="000000"/>
                <w:sz w:val="18"/>
                <w:szCs w:val="18"/>
                <w:lang w:val="en-GB"/>
              </w:rPr>
              <w:t>. (</w:t>
            </w:r>
            <w:hyperlink r:id="rId37" w:anchor="b0555" w:history="1">
              <w:r w:rsidRPr="000C7CFA">
                <w:rPr>
                  <w:rFonts w:ascii="Verdana" w:eastAsiaTheme="minorHAnsi" w:hAnsi="Verdana"/>
                  <w:color w:val="000000"/>
                  <w:sz w:val="18"/>
                  <w:szCs w:val="18"/>
                  <w:lang w:val="en-GB"/>
                </w:rPr>
                <w:t>2013</w:t>
              </w:r>
            </w:hyperlink>
            <w:r w:rsidRPr="000C7CFA">
              <w:rPr>
                <w:rFonts w:ascii="Verdana" w:eastAsiaTheme="minorHAnsi" w:hAnsi="Verdana"/>
                <w:color w:val="000000"/>
                <w:sz w:val="18"/>
                <w:szCs w:val="18"/>
                <w:lang w:val="en-GB"/>
              </w:rPr>
              <w:t>)</w:t>
            </w:r>
          </w:p>
        </w:tc>
      </w:tr>
      <w:tr w:rsidR="00555502" w:rsidRPr="000C7CFA" w14:paraId="31AAC035" w14:textId="77777777" w:rsidTr="003F6F51">
        <w:trPr>
          <w:cantSplit/>
          <w:trHeight w:val="253"/>
        </w:trPr>
        <w:tc>
          <w:tcPr>
            <w:tcW w:w="14007" w:type="dxa"/>
            <w:gridSpan w:val="7"/>
            <w:tcBorders>
              <w:top w:val="single" w:sz="8" w:space="0" w:color="auto"/>
              <w:left w:val="single" w:sz="12" w:space="0" w:color="auto"/>
              <w:bottom w:val="single" w:sz="8" w:space="0" w:color="auto"/>
              <w:right w:val="single" w:sz="12" w:space="0" w:color="auto"/>
            </w:tcBorders>
          </w:tcPr>
          <w:p w14:paraId="363F3396" w14:textId="77777777" w:rsidR="00555502" w:rsidRPr="000C7CFA" w:rsidRDefault="00555502" w:rsidP="003F6F51">
            <w:pPr>
              <w:pStyle w:val="Tabletext"/>
              <w:spacing w:before="0" w:after="0"/>
              <w:rPr>
                <w:rFonts w:ascii="Verdana" w:hAnsi="Verdana"/>
                <w:b/>
                <w:sz w:val="18"/>
                <w:szCs w:val="18"/>
                <w:lang w:val="en-GB"/>
              </w:rPr>
            </w:pPr>
            <w:r w:rsidRPr="000C7CFA">
              <w:rPr>
                <w:rFonts w:ascii="Verdana" w:hAnsi="Verdana"/>
                <w:b/>
                <w:sz w:val="18"/>
                <w:szCs w:val="18"/>
                <w:lang w:val="en-GB"/>
              </w:rPr>
              <w:lastRenderedPageBreak/>
              <w:t>BIRDS</w:t>
            </w:r>
          </w:p>
        </w:tc>
      </w:tr>
      <w:tr w:rsidR="00555502" w:rsidRPr="000C7CFA" w14:paraId="0075611C" w14:textId="77777777" w:rsidTr="00D323EC">
        <w:trPr>
          <w:cantSplit/>
          <w:trHeight w:val="387"/>
        </w:trPr>
        <w:tc>
          <w:tcPr>
            <w:tcW w:w="1928" w:type="dxa"/>
            <w:tcBorders>
              <w:top w:val="single" w:sz="8" w:space="0" w:color="auto"/>
              <w:left w:val="single" w:sz="12" w:space="0" w:color="auto"/>
              <w:bottom w:val="single" w:sz="4" w:space="0" w:color="auto"/>
              <w:right w:val="single" w:sz="4" w:space="0" w:color="auto"/>
            </w:tcBorders>
          </w:tcPr>
          <w:p w14:paraId="7E9C8C5D"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Bald Eagle</w:t>
            </w:r>
          </w:p>
          <w:p w14:paraId="56C1C731"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w:t>
            </w:r>
            <w:r w:rsidRPr="000C7CFA">
              <w:rPr>
                <w:rFonts w:ascii="Verdana" w:hAnsi="Verdana"/>
                <w:i/>
                <w:sz w:val="18"/>
                <w:szCs w:val="18"/>
                <w:lang w:val="en-GB"/>
              </w:rPr>
              <w:t>Haliaeetus leucocephalus</w:t>
            </w:r>
            <w:r w:rsidRPr="000C7CFA">
              <w:rPr>
                <w:rFonts w:ascii="Verdana" w:hAnsi="Verdana"/>
                <w:sz w:val="18"/>
                <w:szCs w:val="18"/>
                <w:lang w:val="en-GB"/>
              </w:rPr>
              <w:t>)</w:t>
            </w:r>
          </w:p>
        </w:tc>
        <w:tc>
          <w:tcPr>
            <w:tcW w:w="1068" w:type="dxa"/>
            <w:tcBorders>
              <w:top w:val="single" w:sz="8" w:space="0" w:color="auto"/>
              <w:left w:val="single" w:sz="4" w:space="0" w:color="auto"/>
              <w:bottom w:val="single" w:sz="4" w:space="0" w:color="auto"/>
              <w:right w:val="single" w:sz="4" w:space="0" w:color="auto"/>
            </w:tcBorders>
          </w:tcPr>
          <w:p w14:paraId="630382EF"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Blood serum</w:t>
            </w:r>
          </w:p>
        </w:tc>
        <w:tc>
          <w:tcPr>
            <w:tcW w:w="2391" w:type="dxa"/>
            <w:tcBorders>
              <w:top w:val="single" w:sz="8" w:space="0" w:color="auto"/>
              <w:left w:val="single" w:sz="4" w:space="0" w:color="auto"/>
              <w:bottom w:val="single" w:sz="4" w:space="0" w:color="auto"/>
              <w:right w:val="single" w:sz="4" w:space="0" w:color="auto"/>
            </w:tcBorders>
          </w:tcPr>
          <w:p w14:paraId="18C2E664"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Great Lakes region, North America; nestlings sampled from early May to late June of 2005</w:t>
            </w:r>
          </w:p>
        </w:tc>
        <w:tc>
          <w:tcPr>
            <w:tcW w:w="1843" w:type="dxa"/>
            <w:tcBorders>
              <w:top w:val="single" w:sz="8" w:space="0" w:color="auto"/>
              <w:left w:val="single" w:sz="4" w:space="0" w:color="auto"/>
              <w:bottom w:val="single" w:sz="4" w:space="0" w:color="auto"/>
              <w:right w:val="single" w:sz="4" w:space="0" w:color="auto"/>
            </w:tcBorders>
          </w:tcPr>
          <w:p w14:paraId="080D3C75"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stated</w:t>
            </w:r>
          </w:p>
        </w:tc>
        <w:tc>
          <w:tcPr>
            <w:tcW w:w="2976" w:type="dxa"/>
            <w:tcBorders>
              <w:top w:val="single" w:sz="8" w:space="0" w:color="auto"/>
              <w:left w:val="single" w:sz="4" w:space="0" w:color="auto"/>
              <w:bottom w:val="single" w:sz="4" w:space="0" w:color="auto"/>
              <w:right w:val="single" w:sz="4" w:space="0" w:color="auto"/>
            </w:tcBorders>
          </w:tcPr>
          <w:p w14:paraId="7ED51BD5" w14:textId="77777777" w:rsidR="00555502" w:rsidRPr="000C7CFA" w:rsidRDefault="00555502" w:rsidP="00704CE9">
            <w:pPr>
              <w:spacing w:after="0"/>
              <w:rPr>
                <w:rFonts w:ascii="Verdana" w:eastAsia="Calibri" w:hAnsi="Verdana"/>
                <w:sz w:val="18"/>
                <w:szCs w:val="18"/>
                <w:lang w:val="en-GB"/>
              </w:rPr>
            </w:pPr>
            <w:r w:rsidRPr="000C7CFA">
              <w:rPr>
                <w:rFonts w:ascii="Verdana" w:eastAsia="Calibri" w:hAnsi="Verdana"/>
                <w:sz w:val="18"/>
                <w:szCs w:val="18"/>
                <w:lang w:val="en-GB"/>
              </w:rPr>
              <w:t xml:space="preserve">Detected in 6 samples out of 12. Average (total isomers): 0.19 ± 0.10 </w:t>
            </w:r>
            <w:r w:rsidRPr="000C7CFA">
              <w:rPr>
                <w:rFonts w:ascii="Verdana" w:hAnsi="Verdana"/>
                <w:sz w:val="18"/>
                <w:szCs w:val="18"/>
                <w:lang w:val="en-GB"/>
              </w:rPr>
              <w:t xml:space="preserve">μg/kg </w:t>
            </w:r>
            <w:r w:rsidRPr="000C7CFA">
              <w:rPr>
                <w:rFonts w:ascii="Verdana" w:eastAsia="Calibri" w:hAnsi="Verdana"/>
                <w:sz w:val="18"/>
                <w:szCs w:val="18"/>
                <w:lang w:val="en-GB"/>
              </w:rPr>
              <w:t>ww</w:t>
            </w:r>
          </w:p>
        </w:tc>
        <w:tc>
          <w:tcPr>
            <w:tcW w:w="2552" w:type="dxa"/>
            <w:tcBorders>
              <w:top w:val="single" w:sz="8" w:space="0" w:color="auto"/>
              <w:left w:val="single" w:sz="4" w:space="0" w:color="auto"/>
              <w:bottom w:val="single" w:sz="4" w:space="0" w:color="auto"/>
              <w:right w:val="single" w:sz="4" w:space="0" w:color="auto"/>
            </w:tcBorders>
          </w:tcPr>
          <w:p w14:paraId="5099B795"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 Analysis by GC-MS.</w:t>
            </w:r>
          </w:p>
        </w:tc>
        <w:tc>
          <w:tcPr>
            <w:tcW w:w="1249" w:type="dxa"/>
            <w:tcBorders>
              <w:top w:val="single" w:sz="8" w:space="0" w:color="auto"/>
              <w:left w:val="single" w:sz="4" w:space="0" w:color="auto"/>
              <w:bottom w:val="single" w:sz="4" w:space="0" w:color="auto"/>
              <w:right w:val="single" w:sz="12" w:space="0" w:color="auto"/>
            </w:tcBorders>
          </w:tcPr>
          <w:p w14:paraId="3424BD0D"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Venier </w:t>
            </w:r>
            <w:r w:rsidRPr="000C7CFA">
              <w:rPr>
                <w:rFonts w:ascii="Verdana" w:hAnsi="Verdana"/>
                <w:i/>
                <w:sz w:val="18"/>
                <w:szCs w:val="18"/>
                <w:lang w:val="en-GB"/>
              </w:rPr>
              <w:t>et al</w:t>
            </w:r>
            <w:r w:rsidRPr="000C7CFA">
              <w:rPr>
                <w:rFonts w:ascii="Verdana" w:hAnsi="Verdana"/>
                <w:sz w:val="18"/>
                <w:szCs w:val="18"/>
                <w:lang w:val="en-GB"/>
              </w:rPr>
              <w:t>. (2010)</w:t>
            </w:r>
          </w:p>
        </w:tc>
      </w:tr>
      <w:tr w:rsidR="00555502" w:rsidRPr="000C7CFA" w14:paraId="173C0631" w14:textId="77777777" w:rsidTr="00D323EC">
        <w:trPr>
          <w:cantSplit/>
          <w:trHeight w:val="387"/>
        </w:trPr>
        <w:tc>
          <w:tcPr>
            <w:tcW w:w="1928" w:type="dxa"/>
            <w:tcBorders>
              <w:top w:val="single" w:sz="4" w:space="0" w:color="auto"/>
              <w:bottom w:val="single" w:sz="4" w:space="0" w:color="auto"/>
              <w:right w:val="single" w:sz="4" w:space="0" w:color="auto"/>
            </w:tcBorders>
          </w:tcPr>
          <w:p w14:paraId="321B2A4B"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lastRenderedPageBreak/>
              <w:t>Peregrine Falcon</w:t>
            </w:r>
          </w:p>
          <w:p w14:paraId="57323EC9"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w:t>
            </w:r>
            <w:r w:rsidRPr="000C7CFA">
              <w:rPr>
                <w:rFonts w:ascii="Verdana" w:hAnsi="Verdana"/>
                <w:i/>
                <w:sz w:val="18"/>
                <w:szCs w:val="18"/>
                <w:lang w:val="en-GB"/>
              </w:rPr>
              <w:t>Falco peregrinus</w:t>
            </w:r>
            <w:r w:rsidRPr="000C7CFA">
              <w:rPr>
                <w:rFonts w:ascii="Verdana" w:hAnsi="Verdana"/>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3D9F8B8F"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Eggs</w:t>
            </w:r>
          </w:p>
        </w:tc>
        <w:tc>
          <w:tcPr>
            <w:tcW w:w="2391" w:type="dxa"/>
            <w:tcBorders>
              <w:top w:val="single" w:sz="4" w:space="0" w:color="auto"/>
              <w:left w:val="single" w:sz="4" w:space="0" w:color="auto"/>
              <w:bottom w:val="single" w:sz="4" w:space="0" w:color="auto"/>
              <w:right w:val="single" w:sz="4" w:space="0" w:color="auto"/>
            </w:tcBorders>
          </w:tcPr>
          <w:p w14:paraId="2CB9C9B6"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Great Lakes Basin, Canada (Lake Superior, Lake Ontario and the St. Lawrence River, and near St. John, New Brunswick); between 2007 and 2009 (n=2)</w:t>
            </w:r>
          </w:p>
          <w:p w14:paraId="6E7C2002" w14:textId="77777777" w:rsidR="00555502" w:rsidRPr="000C7CFA" w:rsidRDefault="00555502" w:rsidP="00704CE9">
            <w:pPr>
              <w:pStyle w:val="Tabletext"/>
              <w:spacing w:before="0" w:after="0"/>
              <w:rPr>
                <w:rFonts w:ascii="Verdana" w:hAnsi="Verdana"/>
                <w:sz w:val="18"/>
                <w:szCs w:val="18"/>
                <w:lang w:val="en-GB"/>
              </w:rPr>
            </w:pPr>
          </w:p>
          <w:p w14:paraId="2AE4E536"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Bilbao, Spain; from 2003 to 2006 (n=8)</w:t>
            </w:r>
          </w:p>
          <w:p w14:paraId="2A3A2574" w14:textId="77777777" w:rsidR="00555502" w:rsidRPr="000C7CFA" w:rsidRDefault="00555502" w:rsidP="00704CE9">
            <w:pPr>
              <w:pStyle w:val="Tabletext"/>
              <w:spacing w:before="0" w:after="0"/>
              <w:rPr>
                <w:rFonts w:ascii="Verdana" w:hAnsi="Verdana"/>
                <w:sz w:val="18"/>
                <w:szCs w:val="18"/>
                <w:lang w:val="en-GB"/>
              </w:rPr>
            </w:pPr>
          </w:p>
        </w:tc>
        <w:tc>
          <w:tcPr>
            <w:tcW w:w="1843" w:type="dxa"/>
            <w:tcBorders>
              <w:top w:val="single" w:sz="4" w:space="0" w:color="auto"/>
              <w:left w:val="single" w:sz="4" w:space="0" w:color="auto"/>
              <w:bottom w:val="single" w:sz="4" w:space="0" w:color="auto"/>
              <w:right w:val="single" w:sz="4" w:space="0" w:color="auto"/>
            </w:tcBorders>
          </w:tcPr>
          <w:p w14:paraId="13BBAF01" w14:textId="77777777" w:rsidR="00555502" w:rsidRPr="000C7CFA" w:rsidRDefault="00555502" w:rsidP="00704CE9">
            <w:pPr>
              <w:autoSpaceDE w:val="0"/>
              <w:autoSpaceDN w:val="0"/>
              <w:adjustRightInd w:val="0"/>
              <w:spacing w:after="0"/>
              <w:jc w:val="center"/>
              <w:rPr>
                <w:rFonts w:ascii="Verdana" w:eastAsia="Calibri" w:hAnsi="Verdana"/>
                <w:sz w:val="18"/>
                <w:szCs w:val="18"/>
                <w:lang w:val="en-GB"/>
              </w:rPr>
            </w:pPr>
            <w:r w:rsidRPr="000C7CFA">
              <w:rPr>
                <w:rFonts w:ascii="Verdana" w:eastAsia="Calibri" w:hAnsi="Verdana"/>
                <w:sz w:val="18"/>
                <w:szCs w:val="18"/>
                <w:lang w:val="en-GB"/>
              </w:rPr>
              <w:t>0.012 µg/kg lw</w:t>
            </w:r>
          </w:p>
          <w:p w14:paraId="2235875E" w14:textId="77777777" w:rsidR="00555502" w:rsidRPr="000C7CFA" w:rsidRDefault="00555502" w:rsidP="00704CE9">
            <w:pPr>
              <w:pStyle w:val="Tabletext"/>
              <w:spacing w:before="0" w:after="0"/>
              <w:jc w:val="center"/>
              <w:rPr>
                <w:rFonts w:ascii="Verdana" w:hAnsi="Verdana"/>
                <w:sz w:val="18"/>
                <w:szCs w:val="18"/>
                <w:lang w:val="en-GB"/>
              </w:rPr>
            </w:pPr>
          </w:p>
        </w:tc>
        <w:tc>
          <w:tcPr>
            <w:tcW w:w="2976" w:type="dxa"/>
            <w:tcBorders>
              <w:top w:val="single" w:sz="4" w:space="0" w:color="auto"/>
              <w:left w:val="single" w:sz="4" w:space="0" w:color="auto"/>
              <w:bottom w:val="single" w:sz="4" w:space="0" w:color="auto"/>
              <w:right w:val="single" w:sz="4" w:space="0" w:color="auto"/>
            </w:tcBorders>
          </w:tcPr>
          <w:p w14:paraId="7A96D7FE" w14:textId="762C576D"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Dechlorane Plus was detected in all of the samples (n=10). </w:t>
            </w:r>
            <w:r w:rsidRPr="000C7CFA">
              <w:rPr>
                <w:rFonts w:ascii="Verdana" w:eastAsia="Calibri" w:hAnsi="Verdana"/>
                <w:sz w:val="18"/>
                <w:szCs w:val="18"/>
                <w:lang w:val="en-GB"/>
              </w:rPr>
              <w:t>Geometric means with ranges are:</w:t>
            </w:r>
          </w:p>
          <w:p w14:paraId="07E929FB" w14:textId="77777777" w:rsidR="00555502" w:rsidRPr="000C7CFA" w:rsidRDefault="00555502" w:rsidP="00704CE9">
            <w:pPr>
              <w:autoSpaceDE w:val="0"/>
              <w:autoSpaceDN w:val="0"/>
              <w:adjustRightInd w:val="0"/>
              <w:spacing w:after="0"/>
              <w:rPr>
                <w:rFonts w:ascii="Verdana" w:hAnsi="Verdana" w:cs="AdvOT2e364b11"/>
                <w:sz w:val="18"/>
                <w:szCs w:val="18"/>
                <w:lang w:val="en-GB"/>
              </w:rPr>
            </w:pPr>
          </w:p>
          <w:p w14:paraId="16FC3BA8" w14:textId="77777777" w:rsidR="00555502" w:rsidRPr="000C7CFA" w:rsidRDefault="00555502" w:rsidP="00704CE9">
            <w:pPr>
              <w:pStyle w:val="Tabletext"/>
              <w:spacing w:before="0" w:after="0"/>
              <w:rPr>
                <w:rFonts w:ascii="Verdana" w:eastAsia="Calibri" w:hAnsi="Verdana"/>
                <w:sz w:val="18"/>
                <w:szCs w:val="18"/>
                <w:lang w:val="en-GB"/>
              </w:rPr>
            </w:pPr>
            <w:r w:rsidRPr="000C7CFA">
              <w:rPr>
                <w:rFonts w:ascii="Verdana" w:eastAsia="Calibri" w:hAnsi="Verdana"/>
                <w:sz w:val="18"/>
                <w:szCs w:val="18"/>
                <w:lang w:val="en-GB"/>
              </w:rPr>
              <w:t xml:space="preserve">Canada </w:t>
            </w:r>
          </w:p>
          <w:p w14:paraId="65895BB8" w14:textId="1E22F287" w:rsidR="00555502" w:rsidRPr="000C7CFA" w:rsidRDefault="00555502" w:rsidP="00704CE9">
            <w:pPr>
              <w:pStyle w:val="Tabletext"/>
              <w:spacing w:before="0" w:after="0"/>
              <w:rPr>
                <w:rFonts w:ascii="Verdana" w:hAnsi="Verdana"/>
                <w:color w:val="000000"/>
                <w:sz w:val="18"/>
                <w:szCs w:val="18"/>
                <w:lang w:val="en-GB"/>
              </w:rPr>
            </w:pPr>
            <w:r w:rsidRPr="000C7CFA">
              <w:rPr>
                <w:rFonts w:ascii="Verdana" w:hAnsi="Verdana"/>
                <w:color w:val="000000"/>
                <w:sz w:val="18"/>
                <w:szCs w:val="18"/>
                <w:lang w:val="en-GB"/>
              </w:rPr>
              <w:t>27.7 (6.3 &amp; 122) µg/kg lw</w:t>
            </w:r>
          </w:p>
          <w:p w14:paraId="61908AD1" w14:textId="77777777" w:rsidR="00555502" w:rsidRPr="000C7CFA" w:rsidRDefault="00555502" w:rsidP="00704CE9">
            <w:pPr>
              <w:pStyle w:val="Tabletext"/>
              <w:spacing w:before="0" w:after="0"/>
              <w:rPr>
                <w:rFonts w:ascii="Verdana" w:eastAsia="Calibri" w:hAnsi="Verdana"/>
                <w:sz w:val="18"/>
                <w:szCs w:val="18"/>
                <w:lang w:val="en-GB"/>
              </w:rPr>
            </w:pPr>
          </w:p>
          <w:p w14:paraId="012A6020" w14:textId="77777777" w:rsidR="00555502" w:rsidRPr="000C7CFA" w:rsidRDefault="00555502" w:rsidP="00704CE9">
            <w:pPr>
              <w:pStyle w:val="Tabletext"/>
              <w:spacing w:before="0" w:after="0"/>
              <w:rPr>
                <w:rFonts w:ascii="Verdana" w:eastAsia="Calibri" w:hAnsi="Verdana"/>
                <w:sz w:val="18"/>
                <w:szCs w:val="18"/>
                <w:lang w:val="en-GB"/>
              </w:rPr>
            </w:pPr>
            <w:r w:rsidRPr="000C7CFA">
              <w:rPr>
                <w:rFonts w:ascii="Verdana" w:eastAsia="Calibri" w:hAnsi="Verdana"/>
                <w:sz w:val="18"/>
                <w:szCs w:val="18"/>
                <w:lang w:val="en-GB"/>
              </w:rPr>
              <w:t xml:space="preserve">Spain </w:t>
            </w:r>
          </w:p>
          <w:p w14:paraId="51B66A30" w14:textId="3DBED752" w:rsidR="00555502" w:rsidRPr="000C7CFA" w:rsidRDefault="00555502" w:rsidP="00704CE9">
            <w:pPr>
              <w:pStyle w:val="Tabletext"/>
              <w:spacing w:before="0" w:after="0"/>
              <w:rPr>
                <w:rFonts w:ascii="Verdana" w:eastAsia="Calibri" w:hAnsi="Verdana"/>
                <w:sz w:val="18"/>
                <w:szCs w:val="18"/>
                <w:lang w:val="en-GB"/>
              </w:rPr>
            </w:pPr>
            <w:r w:rsidRPr="000C7CFA">
              <w:rPr>
                <w:rFonts w:ascii="Verdana" w:eastAsia="Calibri" w:hAnsi="Verdana"/>
                <w:sz w:val="18"/>
                <w:szCs w:val="18"/>
                <w:lang w:val="en-GB"/>
              </w:rPr>
              <w:t xml:space="preserve">2.8 (0.4 – 17) </w:t>
            </w:r>
            <w:r w:rsidRPr="000C7CFA">
              <w:rPr>
                <w:rFonts w:ascii="Verdana" w:hAnsi="Verdana"/>
                <w:color w:val="000000"/>
                <w:sz w:val="18"/>
                <w:szCs w:val="18"/>
                <w:lang w:val="en-GB"/>
              </w:rPr>
              <w:t>µg/kg lw</w:t>
            </w:r>
          </w:p>
          <w:p w14:paraId="5E14A6FA" w14:textId="77777777" w:rsidR="00555502" w:rsidRPr="000C7CFA" w:rsidRDefault="00555502" w:rsidP="00704CE9">
            <w:pPr>
              <w:pStyle w:val="Tabletext"/>
              <w:spacing w:before="0" w:after="0"/>
              <w:rPr>
                <w:rFonts w:ascii="Verdana" w:eastAsia="Calibri" w:hAnsi="Verdana"/>
                <w:sz w:val="18"/>
                <w:szCs w:val="18"/>
                <w:lang w:val="en-GB"/>
              </w:rPr>
            </w:pPr>
          </w:p>
          <w:p w14:paraId="5956AD92" w14:textId="653A987F" w:rsidR="00555502" w:rsidRPr="000C7CFA" w:rsidRDefault="00555502" w:rsidP="00B475D5">
            <w:pPr>
              <w:pStyle w:val="Tabletext"/>
              <w:spacing w:before="0" w:after="0"/>
              <w:rPr>
                <w:rFonts w:ascii="Verdana" w:hAnsi="Verdana"/>
                <w:sz w:val="18"/>
                <w:szCs w:val="18"/>
                <w:lang w:val="en-GB"/>
              </w:rPr>
            </w:pPr>
            <w:r w:rsidRPr="000C7CFA">
              <w:rPr>
                <w:rFonts w:ascii="Verdana" w:hAnsi="Verdana"/>
                <w:sz w:val="18"/>
                <w:szCs w:val="18"/>
                <w:lang w:val="en-GB"/>
              </w:rPr>
              <w:t xml:space="preserve">Anti-DP-1Cl and anti-DP-2Cl were detected in both eggs from Canada, at concentrations in the range 1.6 to 2.4 </w:t>
            </w:r>
            <w:r w:rsidRPr="000C7CFA">
              <w:rPr>
                <w:rFonts w:ascii="Verdana" w:hAnsi="Verdana"/>
                <w:color w:val="000000"/>
                <w:sz w:val="18"/>
                <w:szCs w:val="18"/>
                <w:lang w:val="en-GB"/>
              </w:rPr>
              <w:t>µg/kg</w:t>
            </w:r>
            <w:r w:rsidRPr="000C7CFA">
              <w:rPr>
                <w:rFonts w:ascii="Verdana" w:hAnsi="Verdana"/>
                <w:sz w:val="18"/>
                <w:szCs w:val="18"/>
                <w:lang w:val="en-GB"/>
              </w:rPr>
              <w:t xml:space="preserve"> lw. However, in the Spanish samples, anti-DP-1Cl was only detected in six eggs (in the range not quantifiable – 0.28 </w:t>
            </w:r>
            <w:r w:rsidRPr="000C7CFA">
              <w:rPr>
                <w:rFonts w:ascii="Verdana" w:hAnsi="Verdana"/>
                <w:color w:val="000000"/>
                <w:sz w:val="18"/>
                <w:szCs w:val="18"/>
                <w:lang w:val="en-GB"/>
              </w:rPr>
              <w:t>µg/kg</w:t>
            </w:r>
            <w:r w:rsidRPr="000C7CFA">
              <w:rPr>
                <w:rFonts w:ascii="Verdana" w:hAnsi="Verdana"/>
                <w:sz w:val="18"/>
                <w:szCs w:val="18"/>
                <w:lang w:val="en-GB"/>
              </w:rPr>
              <w:t xml:space="preserve"> lw), and anti-DP-2Cl was not detected. 1</w:t>
            </w:r>
            <w:proofErr w:type="gramStart"/>
            <w:r w:rsidRPr="000C7CFA">
              <w:rPr>
                <w:rFonts w:ascii="Verdana" w:hAnsi="Verdana"/>
                <w:sz w:val="18"/>
                <w:szCs w:val="18"/>
                <w:lang w:val="en-GB"/>
              </w:rPr>
              <w:t>,5</w:t>
            </w:r>
            <w:proofErr w:type="gramEnd"/>
            <w:r w:rsidRPr="000C7CFA">
              <w:rPr>
                <w:rFonts w:ascii="Verdana" w:hAnsi="Verdana"/>
                <w:sz w:val="18"/>
                <w:szCs w:val="18"/>
                <w:lang w:val="en-GB"/>
              </w:rPr>
              <w:t xml:space="preserve">-DPMA was detected in 9 eggs with concentrations in the range 3.8 – 218 </w:t>
            </w:r>
            <w:r w:rsidRPr="000C7CFA">
              <w:rPr>
                <w:rFonts w:ascii="Verdana" w:hAnsi="Verdana"/>
                <w:color w:val="000000"/>
                <w:sz w:val="18"/>
                <w:szCs w:val="18"/>
                <w:lang w:val="en-GB"/>
              </w:rPr>
              <w:t xml:space="preserve">µg/kg </w:t>
            </w:r>
            <w:r w:rsidRPr="000C7CFA">
              <w:rPr>
                <w:rFonts w:ascii="Verdana" w:hAnsi="Verdana"/>
                <w:sz w:val="18"/>
                <w:szCs w:val="18"/>
                <w:lang w:val="en-GB"/>
              </w:rPr>
              <w:t xml:space="preserve">lw (Canada) and 18 – 469 </w:t>
            </w:r>
            <w:r w:rsidRPr="000C7CFA">
              <w:rPr>
                <w:rFonts w:ascii="Verdana" w:hAnsi="Verdana"/>
                <w:color w:val="000000"/>
                <w:sz w:val="18"/>
                <w:szCs w:val="18"/>
                <w:lang w:val="en-GB"/>
              </w:rPr>
              <w:t xml:space="preserve">µg/kg </w:t>
            </w:r>
            <w:r w:rsidRPr="000C7CFA">
              <w:rPr>
                <w:rFonts w:ascii="Verdana" w:hAnsi="Verdana"/>
                <w:sz w:val="18"/>
                <w:szCs w:val="18"/>
                <w:lang w:val="en-GB"/>
              </w:rPr>
              <w:t xml:space="preserve">lw (Spain). </w:t>
            </w:r>
          </w:p>
        </w:tc>
        <w:tc>
          <w:tcPr>
            <w:tcW w:w="2552" w:type="dxa"/>
            <w:tcBorders>
              <w:top w:val="single" w:sz="4" w:space="0" w:color="auto"/>
              <w:left w:val="single" w:sz="4" w:space="0" w:color="auto"/>
              <w:bottom w:val="single" w:sz="4" w:space="0" w:color="auto"/>
              <w:right w:val="single" w:sz="4" w:space="0" w:color="auto"/>
            </w:tcBorders>
          </w:tcPr>
          <w:p w14:paraId="6D4D9154"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Analysis was by GC-HRMS.</w:t>
            </w:r>
          </w:p>
          <w:p w14:paraId="53CD34CE" w14:textId="77777777" w:rsidR="00555502" w:rsidRPr="000C7CFA" w:rsidRDefault="00555502" w:rsidP="00704CE9">
            <w:pPr>
              <w:pStyle w:val="Tabletext"/>
              <w:spacing w:before="0" w:after="0"/>
              <w:rPr>
                <w:rFonts w:ascii="Verdana" w:hAnsi="Verdana"/>
                <w:sz w:val="18"/>
                <w:szCs w:val="18"/>
                <w:lang w:val="en-GB"/>
              </w:rPr>
            </w:pPr>
          </w:p>
          <w:p w14:paraId="026FB541"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The Canadian results are thought to reflect local exposure based on proximity to one of the known production sites.</w:t>
            </w:r>
          </w:p>
          <w:p w14:paraId="1289401B" w14:textId="77777777" w:rsidR="00555502" w:rsidRPr="000C7CFA" w:rsidRDefault="00555502" w:rsidP="00704CE9">
            <w:pPr>
              <w:pStyle w:val="Tabletext"/>
              <w:spacing w:before="0" w:after="0"/>
              <w:rPr>
                <w:rFonts w:ascii="Verdana" w:hAnsi="Verdana"/>
                <w:sz w:val="18"/>
                <w:szCs w:val="18"/>
                <w:lang w:val="en-GB"/>
              </w:rPr>
            </w:pPr>
          </w:p>
          <w:p w14:paraId="366CF5D9"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Canadian food chains were determined by prey analysis. Spanish eggs were assumed to reflect an aquatic food chain due to their coastal location.</w:t>
            </w:r>
          </w:p>
          <w:p w14:paraId="0D204C7E" w14:textId="77777777" w:rsidR="00555502" w:rsidRPr="000C7CFA" w:rsidRDefault="00555502" w:rsidP="00704CE9">
            <w:pPr>
              <w:pStyle w:val="Tabletext"/>
              <w:spacing w:before="0" w:after="0"/>
              <w:rPr>
                <w:rFonts w:ascii="Verdana" w:hAnsi="Verdana"/>
                <w:sz w:val="18"/>
                <w:szCs w:val="18"/>
                <w:lang w:val="en-GB"/>
              </w:rPr>
            </w:pPr>
          </w:p>
          <w:p w14:paraId="2B233C44" w14:textId="60E30CBA"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Levels in eggs from terrestrial food chains examined in the same study (see Appendix </w:t>
            </w:r>
            <w:r w:rsidR="00FB3AD7" w:rsidRPr="000C7CFA">
              <w:rPr>
                <w:rFonts w:ascii="Verdana" w:hAnsi="Verdana"/>
                <w:sz w:val="18"/>
                <w:szCs w:val="18"/>
                <w:lang w:val="en-GB"/>
              </w:rPr>
              <w:t>4</w:t>
            </w:r>
            <w:r w:rsidR="008C3195" w:rsidRPr="000C7CFA">
              <w:rPr>
                <w:rFonts w:ascii="Verdana" w:hAnsi="Verdana"/>
                <w:sz w:val="18"/>
                <w:szCs w:val="18"/>
                <w:lang w:val="en-GB"/>
              </w:rPr>
              <w:fldChar w:fldCharType="begin"/>
            </w:r>
            <w:r w:rsidRPr="000C7CFA">
              <w:rPr>
                <w:rFonts w:ascii="Verdana" w:hAnsi="Verdana"/>
                <w:sz w:val="18"/>
                <w:szCs w:val="18"/>
                <w:lang w:val="en-GB"/>
              </w:rPr>
              <w:instrText xml:space="preserve"> REF _Ref427767228 \h </w:instrText>
            </w:r>
            <w:r w:rsidR="008640CB" w:rsidRPr="000C7CFA">
              <w:rPr>
                <w:rFonts w:ascii="Verdana" w:hAnsi="Verdana"/>
                <w:sz w:val="18"/>
                <w:szCs w:val="18"/>
                <w:lang w:val="en-GB"/>
              </w:rPr>
              <w:instrText xml:space="preserve"> \* MERGEFORMAT </w:instrText>
            </w:r>
            <w:r w:rsidR="008C3195" w:rsidRPr="000C7CFA">
              <w:rPr>
                <w:rFonts w:ascii="Verdana" w:hAnsi="Verdana"/>
                <w:sz w:val="18"/>
                <w:szCs w:val="18"/>
                <w:lang w:val="en-GB"/>
              </w:rPr>
            </w:r>
            <w:r w:rsidR="008C3195" w:rsidRPr="000C7CFA">
              <w:rPr>
                <w:rFonts w:ascii="Verdana" w:hAnsi="Verdana"/>
                <w:sz w:val="18"/>
                <w:szCs w:val="18"/>
                <w:lang w:val="en-GB"/>
              </w:rPr>
              <w:fldChar w:fldCharType="separate"/>
            </w:r>
            <w:r w:rsidR="00BA2885" w:rsidRPr="000C7CFA">
              <w:rPr>
                <w:rFonts w:ascii="Verdana" w:hAnsi="Verdana"/>
                <w:b/>
                <w:bCs/>
                <w:sz w:val="18"/>
                <w:szCs w:val="18"/>
              </w:rPr>
              <w:t>Error! Reference source not found.</w:t>
            </w:r>
            <w:r w:rsidR="008C3195" w:rsidRPr="000C7CFA">
              <w:rPr>
                <w:rFonts w:ascii="Verdana" w:hAnsi="Verdana"/>
                <w:sz w:val="18"/>
                <w:szCs w:val="18"/>
                <w:lang w:val="en-GB"/>
              </w:rPr>
              <w:fldChar w:fldCharType="end"/>
            </w:r>
            <w:r w:rsidRPr="000C7CFA">
              <w:rPr>
                <w:rFonts w:ascii="Verdana" w:hAnsi="Verdana"/>
                <w:sz w:val="18"/>
                <w:szCs w:val="18"/>
                <w:lang w:val="en-GB"/>
              </w:rPr>
              <w:t>) were slightly higher in the Canadian sample but lower in the Spanish sample</w:t>
            </w:r>
          </w:p>
          <w:p w14:paraId="01CBC2EA" w14:textId="77777777" w:rsidR="00555502" w:rsidRPr="000C7CFA" w:rsidRDefault="00555502" w:rsidP="00704CE9">
            <w:pPr>
              <w:spacing w:after="0"/>
              <w:rPr>
                <w:rFonts w:ascii="Verdana" w:hAnsi="Verdana"/>
                <w:sz w:val="18"/>
                <w:szCs w:val="18"/>
                <w:lang w:val="en-GB"/>
              </w:rPr>
            </w:pPr>
          </w:p>
        </w:tc>
        <w:tc>
          <w:tcPr>
            <w:tcW w:w="1249" w:type="dxa"/>
            <w:tcBorders>
              <w:top w:val="single" w:sz="4" w:space="0" w:color="auto"/>
              <w:left w:val="single" w:sz="4" w:space="0" w:color="auto"/>
              <w:bottom w:val="single" w:sz="4" w:space="0" w:color="auto"/>
            </w:tcBorders>
          </w:tcPr>
          <w:p w14:paraId="0101460E" w14:textId="13F92345" w:rsidR="00555502" w:rsidRPr="000C7CFA" w:rsidRDefault="00555502" w:rsidP="00704CE9">
            <w:pPr>
              <w:autoSpaceDE w:val="0"/>
              <w:autoSpaceDN w:val="0"/>
              <w:adjustRightInd w:val="0"/>
              <w:spacing w:after="0"/>
              <w:rPr>
                <w:rFonts w:ascii="Verdana" w:hAnsi="Verdana"/>
                <w:sz w:val="18"/>
                <w:szCs w:val="18"/>
                <w:lang w:val="en-GB"/>
              </w:rPr>
            </w:pPr>
            <w:r w:rsidRPr="000C7CFA">
              <w:rPr>
                <w:rFonts w:ascii="Verdana" w:eastAsia="Calibri" w:hAnsi="Verdana"/>
                <w:sz w:val="18"/>
                <w:szCs w:val="18"/>
                <w:lang w:val="en-GB"/>
              </w:rPr>
              <w:t>Guerra</w:t>
            </w:r>
            <w:r w:rsidRPr="000C7CFA">
              <w:rPr>
                <w:rFonts w:ascii="Verdana" w:hAnsi="Verdana"/>
                <w:sz w:val="18"/>
                <w:szCs w:val="18"/>
                <w:lang w:val="en-GB"/>
              </w:rPr>
              <w:t xml:space="preserve"> </w:t>
            </w:r>
            <w:r w:rsidRPr="000C7CFA">
              <w:rPr>
                <w:rFonts w:ascii="Verdana" w:hAnsi="Verdana"/>
                <w:i/>
                <w:sz w:val="18"/>
                <w:szCs w:val="18"/>
                <w:lang w:val="en-GB"/>
              </w:rPr>
              <w:t>et al</w:t>
            </w:r>
            <w:r w:rsidRPr="000C7CFA">
              <w:rPr>
                <w:rFonts w:ascii="Verdana" w:hAnsi="Verdana"/>
                <w:sz w:val="18"/>
                <w:szCs w:val="18"/>
                <w:lang w:val="en-GB"/>
              </w:rPr>
              <w:t>. (2011)</w:t>
            </w:r>
          </w:p>
          <w:p w14:paraId="28E93FA9" w14:textId="77777777" w:rsidR="00555502" w:rsidRPr="000C7CFA" w:rsidRDefault="00555502" w:rsidP="00704CE9">
            <w:pPr>
              <w:pStyle w:val="Tabletext"/>
              <w:spacing w:before="0" w:after="0"/>
              <w:rPr>
                <w:rFonts w:ascii="Verdana" w:hAnsi="Verdana"/>
                <w:sz w:val="18"/>
                <w:szCs w:val="18"/>
                <w:lang w:val="en-GB"/>
              </w:rPr>
            </w:pPr>
          </w:p>
        </w:tc>
      </w:tr>
      <w:tr w:rsidR="00555502" w:rsidRPr="000C7CFA" w14:paraId="46C9F722" w14:textId="77777777" w:rsidTr="00D323EC">
        <w:trPr>
          <w:cantSplit/>
          <w:trHeight w:val="387"/>
        </w:trPr>
        <w:tc>
          <w:tcPr>
            <w:tcW w:w="1928" w:type="dxa"/>
            <w:tcBorders>
              <w:top w:val="single" w:sz="4" w:space="0" w:color="auto"/>
              <w:bottom w:val="single" w:sz="4" w:space="0" w:color="auto"/>
              <w:right w:val="single" w:sz="4" w:space="0" w:color="auto"/>
            </w:tcBorders>
          </w:tcPr>
          <w:p w14:paraId="74C6374A"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lastRenderedPageBreak/>
              <w:t xml:space="preserve">Glaucous Gull </w:t>
            </w:r>
          </w:p>
          <w:p w14:paraId="7343FDE4"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iCs/>
                <w:sz w:val="18"/>
                <w:szCs w:val="18"/>
                <w:lang w:val="en-GB"/>
              </w:rPr>
              <w:t>(</w:t>
            </w:r>
            <w:r w:rsidRPr="000C7CFA">
              <w:rPr>
                <w:rFonts w:ascii="Verdana" w:hAnsi="Verdana"/>
                <w:i/>
                <w:iCs/>
                <w:sz w:val="18"/>
                <w:szCs w:val="18"/>
                <w:lang w:val="en-GB"/>
              </w:rPr>
              <w:t>Larus hyperboreus</w:t>
            </w:r>
            <w:r w:rsidRPr="000C7CFA">
              <w:rPr>
                <w:rFonts w:ascii="Verdana" w:hAnsi="Verdana"/>
                <w:iCs/>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126FFA8F"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Liver</w:t>
            </w:r>
          </w:p>
        </w:tc>
        <w:tc>
          <w:tcPr>
            <w:tcW w:w="2391" w:type="dxa"/>
            <w:tcBorders>
              <w:top w:val="single" w:sz="4" w:space="0" w:color="auto"/>
              <w:left w:val="single" w:sz="4" w:space="0" w:color="auto"/>
              <w:bottom w:val="single" w:sz="4" w:space="0" w:color="auto"/>
              <w:right w:val="single" w:sz="4" w:space="0" w:color="auto"/>
            </w:tcBorders>
          </w:tcPr>
          <w:p w14:paraId="6CEBF49F"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East Greenland (n = 4) (sampling dates not stated)</w:t>
            </w:r>
          </w:p>
        </w:tc>
        <w:tc>
          <w:tcPr>
            <w:tcW w:w="1843" w:type="dxa"/>
            <w:tcBorders>
              <w:top w:val="single" w:sz="4" w:space="0" w:color="auto"/>
              <w:left w:val="single" w:sz="4" w:space="0" w:color="auto"/>
              <w:bottom w:val="single" w:sz="4" w:space="0" w:color="auto"/>
              <w:right w:val="single" w:sz="4" w:space="0" w:color="auto"/>
            </w:tcBorders>
          </w:tcPr>
          <w:p w14:paraId="33146C34"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stated</w:t>
            </w:r>
          </w:p>
        </w:tc>
        <w:tc>
          <w:tcPr>
            <w:tcW w:w="2976" w:type="dxa"/>
            <w:tcBorders>
              <w:top w:val="single" w:sz="4" w:space="0" w:color="auto"/>
              <w:left w:val="single" w:sz="4" w:space="0" w:color="auto"/>
              <w:bottom w:val="single" w:sz="4" w:space="0" w:color="auto"/>
              <w:right w:val="single" w:sz="4" w:space="0" w:color="auto"/>
            </w:tcBorders>
          </w:tcPr>
          <w:p w14:paraId="3187C4DC"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Anti-DP:</w:t>
            </w:r>
          </w:p>
          <w:p w14:paraId="4097E7B7"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Arithmetic mean: 0.11 μg/kg ww</w:t>
            </w:r>
            <w:r w:rsidRPr="000C7CFA">
              <w:rPr>
                <w:rFonts w:ascii="Verdana" w:hAnsi="Verdana"/>
                <w:sz w:val="18"/>
                <w:szCs w:val="18"/>
                <w:lang w:val="en-GB"/>
              </w:rPr>
              <w:br/>
              <w:t>Range: 0.07 – 0.18 μg/kg ww</w:t>
            </w:r>
          </w:p>
          <w:p w14:paraId="1EA12F60" w14:textId="77777777" w:rsidR="00555502" w:rsidRPr="000C7CFA" w:rsidRDefault="00555502" w:rsidP="00704CE9">
            <w:pPr>
              <w:spacing w:after="0"/>
              <w:rPr>
                <w:rFonts w:ascii="Verdana" w:hAnsi="Verdana"/>
                <w:sz w:val="18"/>
                <w:szCs w:val="18"/>
                <w:lang w:val="en-GB"/>
              </w:rPr>
            </w:pPr>
          </w:p>
          <w:p w14:paraId="28A32BD3"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Syn-DP:</w:t>
            </w:r>
          </w:p>
          <w:p w14:paraId="16D50F1A"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Arithmetic mean: 0.02 μg/kg ww</w:t>
            </w:r>
            <w:r w:rsidRPr="000C7CFA">
              <w:rPr>
                <w:rFonts w:ascii="Verdana" w:hAnsi="Verdana"/>
                <w:sz w:val="18"/>
                <w:szCs w:val="18"/>
                <w:lang w:val="en-GB"/>
              </w:rPr>
              <w:br/>
              <w:t xml:space="preserve">Range: 0.01 – 0.04 μg/kg ww </w:t>
            </w:r>
          </w:p>
        </w:tc>
        <w:tc>
          <w:tcPr>
            <w:tcW w:w="2552" w:type="dxa"/>
            <w:tcBorders>
              <w:top w:val="single" w:sz="4" w:space="0" w:color="auto"/>
              <w:left w:val="single" w:sz="4" w:space="0" w:color="auto"/>
              <w:bottom w:val="single" w:sz="4" w:space="0" w:color="auto"/>
              <w:right w:val="single" w:sz="4" w:space="0" w:color="auto"/>
            </w:tcBorders>
          </w:tcPr>
          <w:p w14:paraId="06B11CEF" w14:textId="513C6978"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Samples originated from the specimen bank at Aarhus University, Denmark. Mean lipid content: 5.2</w:t>
            </w:r>
            <w:r w:rsidR="00AF7606" w:rsidRPr="000C7CFA">
              <w:rPr>
                <w:rFonts w:ascii="Verdana" w:hAnsi="Verdana"/>
                <w:sz w:val="18"/>
                <w:szCs w:val="18"/>
                <w:lang w:val="en-GB"/>
              </w:rPr>
              <w:t>8 %</w:t>
            </w:r>
            <w:r w:rsidRPr="000C7CFA">
              <w:rPr>
                <w:rFonts w:ascii="Verdana" w:hAnsi="Verdana"/>
                <w:sz w:val="18"/>
                <w:szCs w:val="18"/>
                <w:lang w:val="en-GB"/>
              </w:rPr>
              <w:t xml:space="preserve"> (range: 3.32 – 6.4</w:t>
            </w:r>
            <w:r w:rsidR="00AF7606" w:rsidRPr="000C7CFA">
              <w:rPr>
                <w:rFonts w:ascii="Verdana" w:hAnsi="Verdana"/>
                <w:sz w:val="18"/>
                <w:szCs w:val="18"/>
                <w:lang w:val="en-GB"/>
              </w:rPr>
              <w:t>2 %</w:t>
            </w:r>
            <w:r w:rsidRPr="000C7CFA">
              <w:rPr>
                <w:rFonts w:ascii="Verdana" w:hAnsi="Verdana"/>
                <w:sz w:val="18"/>
                <w:szCs w:val="18"/>
                <w:lang w:val="en-GB"/>
              </w:rPr>
              <w:t>)</w:t>
            </w:r>
          </w:p>
          <w:p w14:paraId="53AFB10C" w14:textId="77777777" w:rsidR="00555502" w:rsidRPr="000C7CFA" w:rsidRDefault="00555502" w:rsidP="00704CE9">
            <w:pPr>
              <w:spacing w:after="0"/>
              <w:rPr>
                <w:rFonts w:ascii="Verdana" w:hAnsi="Verdana"/>
                <w:sz w:val="18"/>
                <w:szCs w:val="18"/>
                <w:lang w:val="en-GB"/>
              </w:rPr>
            </w:pPr>
          </w:p>
          <w:p w14:paraId="16280A5B"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Both anti- and syn- isomers were detected in all samples.</w:t>
            </w:r>
          </w:p>
        </w:tc>
        <w:tc>
          <w:tcPr>
            <w:tcW w:w="1249" w:type="dxa"/>
            <w:tcBorders>
              <w:top w:val="single" w:sz="4" w:space="0" w:color="auto"/>
              <w:left w:val="single" w:sz="4" w:space="0" w:color="auto"/>
              <w:bottom w:val="single" w:sz="4" w:space="0" w:color="auto"/>
            </w:tcBorders>
          </w:tcPr>
          <w:p w14:paraId="1921F53D"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Vorkamp </w:t>
            </w:r>
            <w:r w:rsidRPr="000C7CFA">
              <w:rPr>
                <w:rFonts w:ascii="Verdana" w:hAnsi="Verdana"/>
                <w:i/>
                <w:sz w:val="18"/>
                <w:szCs w:val="18"/>
                <w:lang w:val="en-GB"/>
              </w:rPr>
              <w:t>et al</w:t>
            </w:r>
            <w:r w:rsidRPr="000C7CFA">
              <w:rPr>
                <w:rFonts w:ascii="Verdana" w:hAnsi="Verdana"/>
                <w:sz w:val="18"/>
                <w:szCs w:val="18"/>
                <w:lang w:val="en-GB"/>
              </w:rPr>
              <w:t>. (2015)</w:t>
            </w:r>
          </w:p>
        </w:tc>
      </w:tr>
      <w:tr w:rsidR="00555502" w:rsidRPr="000C7CFA" w14:paraId="020293E7" w14:textId="77777777" w:rsidTr="00D323EC">
        <w:trPr>
          <w:cantSplit/>
          <w:trHeight w:val="387"/>
        </w:trPr>
        <w:tc>
          <w:tcPr>
            <w:tcW w:w="1928" w:type="dxa"/>
            <w:tcBorders>
              <w:top w:val="single" w:sz="4" w:space="0" w:color="auto"/>
              <w:left w:val="single" w:sz="12" w:space="0" w:color="auto"/>
              <w:bottom w:val="single" w:sz="4" w:space="0" w:color="auto"/>
              <w:right w:val="single" w:sz="4" w:space="0" w:color="auto"/>
            </w:tcBorders>
          </w:tcPr>
          <w:p w14:paraId="4D1AA240" w14:textId="77777777" w:rsidR="00555502" w:rsidRPr="000C7CFA" w:rsidRDefault="00555502" w:rsidP="00704CE9">
            <w:pPr>
              <w:pStyle w:val="Tabletext"/>
              <w:spacing w:before="0" w:after="0"/>
              <w:rPr>
                <w:rFonts w:ascii="Verdana" w:hAnsi="Verdana"/>
                <w:sz w:val="18"/>
                <w:szCs w:val="18"/>
                <w:lang w:val="en-GB" w:eastAsia="en-GB"/>
              </w:rPr>
            </w:pPr>
            <w:r w:rsidRPr="000C7CFA">
              <w:rPr>
                <w:rFonts w:ascii="Verdana" w:hAnsi="Verdana"/>
                <w:sz w:val="18"/>
                <w:szCs w:val="18"/>
                <w:lang w:val="en-GB" w:eastAsia="en-GB"/>
              </w:rPr>
              <w:t xml:space="preserve">Ring-billed Gull </w:t>
            </w:r>
          </w:p>
          <w:p w14:paraId="11CF555B"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eastAsia="en-GB"/>
              </w:rPr>
              <w:t>(</w:t>
            </w:r>
            <w:r w:rsidRPr="000C7CFA">
              <w:rPr>
                <w:rFonts w:ascii="Verdana" w:hAnsi="Verdana"/>
                <w:i/>
                <w:sz w:val="18"/>
                <w:szCs w:val="18"/>
                <w:lang w:val="en-GB" w:eastAsia="en-GB"/>
              </w:rPr>
              <w:t>Larus delawarensis</w:t>
            </w:r>
            <w:r w:rsidRPr="000C7CFA">
              <w:rPr>
                <w:rFonts w:ascii="Verdana" w:hAnsi="Verdana"/>
                <w:sz w:val="18"/>
                <w:szCs w:val="18"/>
                <w:lang w:val="en-GB" w:eastAsia="en-GB"/>
              </w:rPr>
              <w:t>)</w:t>
            </w:r>
          </w:p>
        </w:tc>
        <w:tc>
          <w:tcPr>
            <w:tcW w:w="1068" w:type="dxa"/>
            <w:tcBorders>
              <w:top w:val="single" w:sz="4" w:space="0" w:color="auto"/>
              <w:left w:val="single" w:sz="4" w:space="0" w:color="auto"/>
              <w:bottom w:val="single" w:sz="4" w:space="0" w:color="auto"/>
              <w:right w:val="single" w:sz="4" w:space="0" w:color="auto"/>
            </w:tcBorders>
          </w:tcPr>
          <w:p w14:paraId="5A0A514F"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Liver &amp; blood plasma</w:t>
            </w:r>
          </w:p>
        </w:tc>
        <w:tc>
          <w:tcPr>
            <w:tcW w:w="2391" w:type="dxa"/>
            <w:tcBorders>
              <w:top w:val="single" w:sz="4" w:space="0" w:color="auto"/>
              <w:left w:val="single" w:sz="4" w:space="0" w:color="auto"/>
              <w:bottom w:val="single" w:sz="4" w:space="0" w:color="auto"/>
              <w:right w:val="single" w:sz="4" w:space="0" w:color="auto"/>
            </w:tcBorders>
          </w:tcPr>
          <w:p w14:paraId="58DE27F4"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Deslauriers Island, near Montreal, Canada; April-June 2010</w:t>
            </w:r>
            <w:r w:rsidRPr="000C7CFA">
              <w:rPr>
                <w:rFonts w:ascii="Verdana" w:hAnsi="Verdana"/>
                <w:sz w:val="18"/>
                <w:szCs w:val="18"/>
                <w:lang w:val="en-GB" w:eastAsia="en-GB"/>
              </w:rPr>
              <w:t xml:space="preserve">  </w:t>
            </w:r>
          </w:p>
        </w:tc>
        <w:tc>
          <w:tcPr>
            <w:tcW w:w="1843" w:type="dxa"/>
            <w:tcBorders>
              <w:top w:val="single" w:sz="4" w:space="0" w:color="auto"/>
              <w:left w:val="single" w:sz="4" w:space="0" w:color="auto"/>
              <w:bottom w:val="single" w:sz="4" w:space="0" w:color="auto"/>
              <w:right w:val="single" w:sz="4" w:space="0" w:color="auto"/>
            </w:tcBorders>
          </w:tcPr>
          <w:p w14:paraId="5DAF96D4"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Anti-DP: 0.01</w:t>
            </w:r>
          </w:p>
          <w:p w14:paraId="343A1F07"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Syn-DP: 0.03</w:t>
            </w:r>
          </w:p>
          <w:p w14:paraId="34C52B7B" w14:textId="77777777" w:rsidR="00555502" w:rsidRPr="000C7CFA" w:rsidRDefault="00555502" w:rsidP="00704CE9">
            <w:pPr>
              <w:pStyle w:val="Tabletext"/>
              <w:spacing w:before="0" w:after="0"/>
              <w:rPr>
                <w:rFonts w:ascii="Verdana" w:hAnsi="Verdana"/>
                <w:sz w:val="18"/>
                <w:szCs w:val="18"/>
                <w:lang w:val="en-GB"/>
              </w:rPr>
            </w:pPr>
          </w:p>
        </w:tc>
        <w:tc>
          <w:tcPr>
            <w:tcW w:w="2976" w:type="dxa"/>
            <w:tcBorders>
              <w:top w:val="single" w:sz="4" w:space="0" w:color="auto"/>
              <w:left w:val="single" w:sz="4" w:space="0" w:color="auto"/>
              <w:bottom w:val="single" w:sz="4" w:space="0" w:color="auto"/>
              <w:right w:val="single" w:sz="4" w:space="0" w:color="auto"/>
            </w:tcBorders>
          </w:tcPr>
          <w:p w14:paraId="0B21E2A8" w14:textId="77777777" w:rsidR="00555502" w:rsidRPr="000C7CFA" w:rsidRDefault="00555502" w:rsidP="00704CE9">
            <w:pPr>
              <w:pStyle w:val="NoSpacing"/>
              <w:rPr>
                <w:rFonts w:ascii="Verdana" w:hAnsi="Verdana" w:cs="Times New Roman"/>
                <w:sz w:val="18"/>
                <w:szCs w:val="18"/>
              </w:rPr>
            </w:pPr>
            <w:r w:rsidRPr="000C7CFA">
              <w:rPr>
                <w:rFonts w:ascii="Verdana" w:hAnsi="Verdana" w:cs="Times New Roman"/>
                <w:sz w:val="18"/>
                <w:szCs w:val="18"/>
              </w:rPr>
              <w:t>Liver samples (n=28)</w:t>
            </w:r>
          </w:p>
          <w:p w14:paraId="2E00F9C2" w14:textId="77777777" w:rsidR="00555502" w:rsidRPr="000C7CFA" w:rsidRDefault="00555502" w:rsidP="00704CE9">
            <w:pPr>
              <w:pStyle w:val="NoSpacing"/>
              <w:rPr>
                <w:rFonts w:ascii="Verdana" w:hAnsi="Verdana" w:cs="Times New Roman"/>
                <w:sz w:val="18"/>
                <w:szCs w:val="18"/>
              </w:rPr>
            </w:pPr>
          </w:p>
          <w:p w14:paraId="767A6030" w14:textId="77777777" w:rsidR="00555502" w:rsidRPr="000C7CFA" w:rsidRDefault="00555502" w:rsidP="00704CE9">
            <w:pPr>
              <w:pStyle w:val="NoSpacing"/>
              <w:rPr>
                <w:rFonts w:ascii="Verdana" w:hAnsi="Verdana" w:cs="Times New Roman"/>
                <w:sz w:val="18"/>
                <w:szCs w:val="18"/>
              </w:rPr>
            </w:pPr>
            <w:r w:rsidRPr="000C7CFA">
              <w:rPr>
                <w:rFonts w:ascii="Verdana" w:hAnsi="Verdana" w:cs="Times New Roman"/>
                <w:sz w:val="18"/>
                <w:szCs w:val="18"/>
              </w:rPr>
              <w:t xml:space="preserve">Total isomers: Mean 8.44 </w:t>
            </w:r>
            <w:r w:rsidRPr="000C7CFA">
              <w:rPr>
                <w:rFonts w:ascii="Verdana" w:eastAsia="Calibri" w:hAnsi="Verdana" w:cs="Times New Roman"/>
                <w:sz w:val="18"/>
                <w:szCs w:val="18"/>
              </w:rPr>
              <w:t>μg/kg ww</w:t>
            </w:r>
            <w:r w:rsidRPr="000C7CFA">
              <w:rPr>
                <w:rFonts w:ascii="Verdana" w:hAnsi="Verdana" w:cs="Times New Roman"/>
                <w:sz w:val="18"/>
                <w:szCs w:val="18"/>
              </w:rPr>
              <w:t xml:space="preserve"> [230 </w:t>
            </w:r>
            <w:r w:rsidRPr="000C7CFA">
              <w:rPr>
                <w:rFonts w:ascii="Verdana" w:eastAsia="Calibri" w:hAnsi="Verdana" w:cs="Times New Roman"/>
                <w:sz w:val="18"/>
                <w:szCs w:val="18"/>
              </w:rPr>
              <w:t>μg/kg</w:t>
            </w:r>
            <w:r w:rsidRPr="000C7CFA">
              <w:rPr>
                <w:rFonts w:ascii="Verdana" w:hAnsi="Verdana" w:cs="Times New Roman"/>
                <w:sz w:val="18"/>
                <w:szCs w:val="18"/>
              </w:rPr>
              <w:t xml:space="preserve"> lw]</w:t>
            </w:r>
          </w:p>
          <w:p w14:paraId="4FC91409" w14:textId="77777777" w:rsidR="00555502" w:rsidRPr="000C7CFA" w:rsidRDefault="00555502" w:rsidP="00704CE9">
            <w:pPr>
              <w:pStyle w:val="NoSpacing"/>
              <w:rPr>
                <w:rFonts w:ascii="Verdana" w:hAnsi="Verdana" w:cs="Times New Roman"/>
                <w:sz w:val="18"/>
                <w:szCs w:val="18"/>
              </w:rPr>
            </w:pPr>
          </w:p>
          <w:p w14:paraId="70128E2F" w14:textId="77777777" w:rsidR="00555502" w:rsidRPr="000C7CFA" w:rsidRDefault="00555502" w:rsidP="00704CE9">
            <w:pPr>
              <w:pStyle w:val="NoSpacing"/>
              <w:rPr>
                <w:rFonts w:ascii="Verdana" w:hAnsi="Verdana" w:cs="Times New Roman"/>
                <w:sz w:val="18"/>
                <w:szCs w:val="18"/>
              </w:rPr>
            </w:pPr>
            <w:r w:rsidRPr="000C7CFA">
              <w:rPr>
                <w:rFonts w:ascii="Verdana" w:hAnsi="Verdana" w:cs="Times New Roman"/>
                <w:sz w:val="18"/>
                <w:szCs w:val="18"/>
              </w:rPr>
              <w:t>Anti-DP: Detected in all samples, mean 6.06 (range: 0.70</w:t>
            </w:r>
            <w:r w:rsidRPr="000C7CFA">
              <w:rPr>
                <w:rFonts w:ascii="Verdana" w:eastAsia="AdvOT8608a8d1+22" w:hAnsi="Verdana" w:cs="Times New Roman"/>
                <w:sz w:val="18"/>
                <w:szCs w:val="18"/>
              </w:rPr>
              <w:t>−</w:t>
            </w:r>
            <w:r w:rsidRPr="000C7CFA">
              <w:rPr>
                <w:rFonts w:ascii="Verdana" w:hAnsi="Verdana" w:cs="Times New Roman"/>
                <w:sz w:val="18"/>
                <w:szCs w:val="18"/>
              </w:rPr>
              <w:t xml:space="preserve">38.4 ) </w:t>
            </w:r>
            <w:r w:rsidRPr="000C7CFA">
              <w:rPr>
                <w:rFonts w:ascii="Verdana" w:eastAsia="Calibri" w:hAnsi="Verdana" w:cs="Times New Roman"/>
                <w:sz w:val="18"/>
                <w:szCs w:val="18"/>
              </w:rPr>
              <w:t>μg/kg ww</w:t>
            </w:r>
          </w:p>
          <w:p w14:paraId="12E59704" w14:textId="77777777" w:rsidR="00555502" w:rsidRPr="000C7CFA" w:rsidRDefault="00555502" w:rsidP="00704CE9">
            <w:pPr>
              <w:pStyle w:val="NoSpacing"/>
              <w:rPr>
                <w:rFonts w:ascii="Verdana" w:hAnsi="Verdana" w:cs="Times New Roman"/>
                <w:sz w:val="18"/>
                <w:szCs w:val="18"/>
              </w:rPr>
            </w:pPr>
          </w:p>
          <w:p w14:paraId="0CDF2456" w14:textId="15064DC5" w:rsidR="00555502" w:rsidRPr="000C7CFA" w:rsidRDefault="00555502" w:rsidP="00704CE9">
            <w:pPr>
              <w:pStyle w:val="NoSpacing"/>
              <w:rPr>
                <w:rFonts w:ascii="Verdana" w:hAnsi="Verdana" w:cs="Times New Roman"/>
                <w:sz w:val="18"/>
                <w:szCs w:val="18"/>
              </w:rPr>
            </w:pPr>
            <w:r w:rsidRPr="000C7CFA">
              <w:rPr>
                <w:rFonts w:ascii="Verdana" w:hAnsi="Verdana" w:cs="Times New Roman"/>
                <w:sz w:val="18"/>
                <w:szCs w:val="18"/>
              </w:rPr>
              <w:t>Syn-DP: Detected in 9</w:t>
            </w:r>
            <w:r w:rsidR="00AF7606" w:rsidRPr="000C7CFA">
              <w:rPr>
                <w:rFonts w:ascii="Verdana" w:hAnsi="Verdana" w:cs="Times New Roman"/>
                <w:sz w:val="18"/>
                <w:szCs w:val="18"/>
              </w:rPr>
              <w:t>3 %</w:t>
            </w:r>
            <w:r w:rsidRPr="000C7CFA">
              <w:rPr>
                <w:rFonts w:ascii="Verdana" w:hAnsi="Verdana" w:cs="Times New Roman"/>
                <w:sz w:val="18"/>
                <w:szCs w:val="18"/>
              </w:rPr>
              <w:t xml:space="preserve"> of samples, mean 2.38 (range: not detected–15.2) </w:t>
            </w:r>
            <w:r w:rsidRPr="000C7CFA">
              <w:rPr>
                <w:rFonts w:ascii="Verdana" w:eastAsia="Calibri" w:hAnsi="Verdana" w:cs="Times New Roman"/>
                <w:sz w:val="18"/>
                <w:szCs w:val="18"/>
              </w:rPr>
              <w:t>μg/kg ww</w:t>
            </w:r>
          </w:p>
          <w:p w14:paraId="6781AD57" w14:textId="77777777" w:rsidR="00555502" w:rsidRPr="000C7CFA" w:rsidRDefault="00555502" w:rsidP="00704CE9">
            <w:pPr>
              <w:spacing w:after="0"/>
              <w:rPr>
                <w:rFonts w:ascii="Verdana" w:hAnsi="Verdana"/>
                <w:sz w:val="18"/>
                <w:szCs w:val="18"/>
                <w:lang w:val="en-GB"/>
              </w:rPr>
            </w:pPr>
          </w:p>
          <w:p w14:paraId="74E3C1FC"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Neither isomer detected in blood plasma (n=30)</w:t>
            </w:r>
          </w:p>
        </w:tc>
        <w:tc>
          <w:tcPr>
            <w:tcW w:w="2552" w:type="dxa"/>
            <w:tcBorders>
              <w:top w:val="single" w:sz="4" w:space="0" w:color="auto"/>
              <w:left w:val="single" w:sz="4" w:space="0" w:color="auto"/>
              <w:bottom w:val="single" w:sz="4" w:space="0" w:color="auto"/>
              <w:right w:val="single" w:sz="4" w:space="0" w:color="auto"/>
            </w:tcBorders>
          </w:tcPr>
          <w:p w14:paraId="6095E984"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Analysis by GC-MS.</w:t>
            </w:r>
          </w:p>
          <w:p w14:paraId="722C484A" w14:textId="77777777" w:rsidR="00555502" w:rsidRPr="000C7CFA" w:rsidRDefault="00555502" w:rsidP="00704CE9">
            <w:pPr>
              <w:spacing w:after="0"/>
              <w:rPr>
                <w:rFonts w:ascii="Verdana" w:hAnsi="Verdana"/>
                <w:sz w:val="18"/>
                <w:szCs w:val="18"/>
                <w:lang w:val="en-GB"/>
              </w:rPr>
            </w:pPr>
          </w:p>
          <w:p w14:paraId="27DE28D5" w14:textId="77777777" w:rsidR="00555502" w:rsidRPr="000C7CFA" w:rsidRDefault="00555502" w:rsidP="00704CE9">
            <w:pPr>
              <w:pStyle w:val="NoSpacing"/>
              <w:rPr>
                <w:rFonts w:ascii="Verdana" w:hAnsi="Verdana" w:cs="Times New Roman"/>
                <w:sz w:val="18"/>
                <w:szCs w:val="18"/>
              </w:rPr>
            </w:pPr>
            <w:r w:rsidRPr="000C7CFA">
              <w:rPr>
                <w:rFonts w:ascii="Verdana" w:hAnsi="Verdana" w:cs="Times New Roman"/>
                <w:sz w:val="18"/>
                <w:szCs w:val="18"/>
              </w:rPr>
              <w:t xml:space="preserve">Highly industrialized area. </w:t>
            </w:r>
          </w:p>
          <w:p w14:paraId="10D1473A" w14:textId="77777777" w:rsidR="00555502" w:rsidRPr="000C7CFA" w:rsidRDefault="00555502" w:rsidP="00704CE9">
            <w:pPr>
              <w:pStyle w:val="NoSpacing"/>
              <w:rPr>
                <w:rFonts w:ascii="Verdana" w:hAnsi="Verdana" w:cs="Times New Roman"/>
                <w:sz w:val="18"/>
                <w:szCs w:val="18"/>
              </w:rPr>
            </w:pPr>
          </w:p>
          <w:p w14:paraId="47A6395D" w14:textId="77777777" w:rsidR="00555502" w:rsidRPr="000C7CFA" w:rsidRDefault="00555502" w:rsidP="00704CE9">
            <w:pPr>
              <w:pStyle w:val="NoSpacing"/>
              <w:rPr>
                <w:rFonts w:ascii="Verdana" w:hAnsi="Verdana" w:cs="Times New Roman"/>
                <w:sz w:val="18"/>
                <w:szCs w:val="18"/>
              </w:rPr>
            </w:pPr>
            <w:r w:rsidRPr="000C7CFA">
              <w:rPr>
                <w:rFonts w:ascii="Verdana" w:hAnsi="Verdana" w:cs="Times New Roman"/>
                <w:sz w:val="18"/>
                <w:szCs w:val="18"/>
              </w:rPr>
              <w:t>No stereoselective enrichment detected.</w:t>
            </w:r>
          </w:p>
          <w:p w14:paraId="4EF36E97" w14:textId="77777777" w:rsidR="00555502" w:rsidRPr="000C7CFA" w:rsidRDefault="00555502" w:rsidP="00704CE9">
            <w:pPr>
              <w:spacing w:after="0"/>
              <w:rPr>
                <w:rFonts w:ascii="Verdana" w:hAnsi="Verdana"/>
                <w:sz w:val="18"/>
                <w:szCs w:val="18"/>
                <w:lang w:val="en-GB"/>
              </w:rPr>
            </w:pPr>
          </w:p>
        </w:tc>
        <w:tc>
          <w:tcPr>
            <w:tcW w:w="1249" w:type="dxa"/>
            <w:tcBorders>
              <w:top w:val="single" w:sz="4" w:space="0" w:color="auto"/>
              <w:left w:val="single" w:sz="4" w:space="0" w:color="auto"/>
              <w:bottom w:val="single" w:sz="4" w:space="0" w:color="auto"/>
              <w:right w:val="single" w:sz="12" w:space="0" w:color="auto"/>
            </w:tcBorders>
          </w:tcPr>
          <w:p w14:paraId="6BE66D78" w14:textId="77777777" w:rsidR="00555502" w:rsidRPr="000C7CFA" w:rsidRDefault="00555502" w:rsidP="00704CE9">
            <w:pPr>
              <w:pStyle w:val="NoSpacing"/>
              <w:rPr>
                <w:rFonts w:ascii="Verdana" w:hAnsi="Verdana" w:cs="Times New Roman"/>
                <w:sz w:val="18"/>
                <w:szCs w:val="18"/>
              </w:rPr>
            </w:pPr>
            <w:r w:rsidRPr="000C7CFA">
              <w:rPr>
                <w:rFonts w:ascii="Verdana" w:hAnsi="Verdana" w:cs="Times New Roman"/>
                <w:sz w:val="18"/>
                <w:szCs w:val="18"/>
              </w:rPr>
              <w:t xml:space="preserve">Gentes </w:t>
            </w:r>
            <w:r w:rsidRPr="000C7CFA">
              <w:rPr>
                <w:rFonts w:ascii="Verdana" w:hAnsi="Verdana" w:cs="Times New Roman"/>
                <w:i/>
                <w:sz w:val="18"/>
                <w:szCs w:val="18"/>
              </w:rPr>
              <w:t>et al</w:t>
            </w:r>
            <w:r w:rsidRPr="000C7CFA">
              <w:rPr>
                <w:rFonts w:ascii="Verdana" w:hAnsi="Verdana" w:cs="Times New Roman"/>
                <w:sz w:val="18"/>
                <w:szCs w:val="18"/>
              </w:rPr>
              <w:t>. (2012)</w:t>
            </w:r>
          </w:p>
        </w:tc>
      </w:tr>
      <w:tr w:rsidR="00555502" w:rsidRPr="000C7CFA" w14:paraId="50937821" w14:textId="77777777" w:rsidTr="00D323EC">
        <w:trPr>
          <w:cantSplit/>
          <w:trHeight w:val="387"/>
        </w:trPr>
        <w:tc>
          <w:tcPr>
            <w:tcW w:w="1928" w:type="dxa"/>
            <w:tcBorders>
              <w:top w:val="single" w:sz="4" w:space="0" w:color="auto"/>
              <w:left w:val="single" w:sz="12" w:space="0" w:color="auto"/>
              <w:bottom w:val="single" w:sz="4" w:space="0" w:color="auto"/>
              <w:right w:val="single" w:sz="4" w:space="0" w:color="auto"/>
            </w:tcBorders>
          </w:tcPr>
          <w:p w14:paraId="37F0A969" w14:textId="77777777" w:rsidR="00555502" w:rsidRPr="000C7CFA" w:rsidRDefault="00555502" w:rsidP="00704CE9">
            <w:pPr>
              <w:pStyle w:val="Tabletext"/>
              <w:spacing w:before="0" w:after="0"/>
              <w:rPr>
                <w:rFonts w:ascii="Verdana" w:eastAsia="Calibri" w:hAnsi="Verdana"/>
                <w:sz w:val="18"/>
                <w:szCs w:val="18"/>
                <w:lang w:val="en-GB"/>
              </w:rPr>
            </w:pPr>
            <w:r w:rsidRPr="000C7CFA">
              <w:rPr>
                <w:rFonts w:ascii="Verdana" w:eastAsia="Calibri" w:hAnsi="Verdana"/>
                <w:sz w:val="18"/>
                <w:szCs w:val="18"/>
                <w:lang w:val="en-GB"/>
              </w:rPr>
              <w:t>Herring Gull</w:t>
            </w:r>
          </w:p>
          <w:p w14:paraId="269FE63C" w14:textId="77777777" w:rsidR="00555502" w:rsidRPr="000C7CFA" w:rsidRDefault="00555502" w:rsidP="00704CE9">
            <w:pPr>
              <w:pStyle w:val="Tabletext"/>
              <w:spacing w:before="0" w:after="0"/>
              <w:rPr>
                <w:rFonts w:ascii="Verdana" w:hAnsi="Verdana"/>
                <w:sz w:val="18"/>
                <w:szCs w:val="18"/>
                <w:lang w:val="en-GB"/>
              </w:rPr>
            </w:pPr>
            <w:r w:rsidRPr="000C7CFA">
              <w:rPr>
                <w:rFonts w:ascii="Verdana" w:eastAsia="Calibri" w:hAnsi="Verdana"/>
                <w:sz w:val="18"/>
                <w:szCs w:val="18"/>
                <w:lang w:val="en-GB"/>
              </w:rPr>
              <w:t>(</w:t>
            </w:r>
            <w:r w:rsidRPr="000C7CFA">
              <w:rPr>
                <w:rFonts w:ascii="Verdana" w:eastAsia="Calibri" w:hAnsi="Verdana"/>
                <w:i/>
                <w:sz w:val="18"/>
                <w:szCs w:val="18"/>
                <w:lang w:val="en-GB"/>
              </w:rPr>
              <w:t>Larus argentatus</w:t>
            </w:r>
            <w:r w:rsidRPr="000C7CFA">
              <w:rPr>
                <w:rFonts w:ascii="Verdana" w:eastAsia="Calibri" w:hAnsi="Verdana"/>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5F50420B"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Eggs</w:t>
            </w:r>
          </w:p>
        </w:tc>
        <w:tc>
          <w:tcPr>
            <w:tcW w:w="2391" w:type="dxa"/>
            <w:tcBorders>
              <w:top w:val="single" w:sz="4" w:space="0" w:color="auto"/>
              <w:left w:val="single" w:sz="4" w:space="0" w:color="auto"/>
              <w:bottom w:val="single" w:sz="4" w:space="0" w:color="auto"/>
              <w:right w:val="single" w:sz="4" w:space="0" w:color="auto"/>
            </w:tcBorders>
          </w:tcPr>
          <w:p w14:paraId="25028D52" w14:textId="77777777" w:rsidR="00555502" w:rsidRPr="000C7CFA" w:rsidRDefault="00555502"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 xml:space="preserve">Six colonies in the </w:t>
            </w:r>
            <w:r w:rsidRPr="000C7CFA">
              <w:rPr>
                <w:rFonts w:ascii="Verdana" w:eastAsia="Calibri" w:hAnsi="Verdana"/>
                <w:sz w:val="18"/>
                <w:szCs w:val="18"/>
                <w:lang w:val="en-GB"/>
              </w:rPr>
              <w:t xml:space="preserve">Great Lakes region, North America; </w:t>
            </w:r>
          </w:p>
          <w:p w14:paraId="6DF436C9" w14:textId="77777777" w:rsidR="00555502" w:rsidRPr="000C7CFA" w:rsidRDefault="00555502"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late April to early May 2004 (10-13 eggs per site,</w:t>
            </w:r>
          </w:p>
          <w:p w14:paraId="4CE6BF78"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eastAsia="en-GB"/>
              </w:rPr>
              <w:t>subsequently pooled)</w:t>
            </w:r>
          </w:p>
        </w:tc>
        <w:tc>
          <w:tcPr>
            <w:tcW w:w="1843" w:type="dxa"/>
            <w:tcBorders>
              <w:top w:val="single" w:sz="4" w:space="0" w:color="auto"/>
              <w:left w:val="single" w:sz="4" w:space="0" w:color="auto"/>
              <w:bottom w:val="single" w:sz="4" w:space="0" w:color="auto"/>
              <w:right w:val="single" w:sz="4" w:space="0" w:color="auto"/>
            </w:tcBorders>
          </w:tcPr>
          <w:p w14:paraId="4B4C4193"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Unclear (~</w:t>
            </w:r>
            <w:r w:rsidRPr="000C7CFA">
              <w:rPr>
                <w:rFonts w:ascii="Verdana" w:hAnsi="Verdana"/>
                <w:sz w:val="18"/>
                <w:szCs w:val="18"/>
                <w:lang w:val="en-GB" w:eastAsia="en-GB"/>
              </w:rPr>
              <w:t xml:space="preserve"> 0.01?)</w:t>
            </w:r>
          </w:p>
        </w:tc>
        <w:tc>
          <w:tcPr>
            <w:tcW w:w="2976" w:type="dxa"/>
            <w:tcBorders>
              <w:top w:val="single" w:sz="4" w:space="0" w:color="auto"/>
              <w:left w:val="single" w:sz="4" w:space="0" w:color="auto"/>
              <w:bottom w:val="single" w:sz="4" w:space="0" w:color="auto"/>
              <w:right w:val="single" w:sz="4" w:space="0" w:color="auto"/>
            </w:tcBorders>
          </w:tcPr>
          <w:p w14:paraId="477C7C38" w14:textId="77777777" w:rsidR="00555502" w:rsidRPr="000C7CFA" w:rsidRDefault="00555502"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Total isomers: 1.5 – 4.5 μg/kg</w:t>
            </w:r>
            <w:r w:rsidRPr="000C7CFA">
              <w:rPr>
                <w:rFonts w:ascii="Verdana" w:eastAsia="Calibri" w:hAnsi="Verdana"/>
                <w:sz w:val="18"/>
                <w:szCs w:val="18"/>
                <w:lang w:val="en-GB"/>
              </w:rPr>
              <w:t xml:space="preserve"> ww</w:t>
            </w:r>
          </w:p>
          <w:p w14:paraId="0DB645B1" w14:textId="77777777" w:rsidR="00555502" w:rsidRPr="000C7CFA" w:rsidRDefault="00555502" w:rsidP="00704CE9">
            <w:pPr>
              <w:autoSpaceDE w:val="0"/>
              <w:autoSpaceDN w:val="0"/>
              <w:adjustRightInd w:val="0"/>
              <w:spacing w:after="0"/>
              <w:rPr>
                <w:rFonts w:ascii="Verdana" w:eastAsia="Calibri" w:hAnsi="Verdana"/>
                <w:sz w:val="18"/>
                <w:szCs w:val="18"/>
                <w:lang w:val="en-GB"/>
              </w:rPr>
            </w:pPr>
          </w:p>
        </w:tc>
        <w:tc>
          <w:tcPr>
            <w:tcW w:w="2552" w:type="dxa"/>
            <w:tcBorders>
              <w:top w:val="single" w:sz="4" w:space="0" w:color="auto"/>
              <w:left w:val="single" w:sz="4" w:space="0" w:color="auto"/>
              <w:bottom w:val="single" w:sz="4" w:space="0" w:color="auto"/>
              <w:right w:val="single" w:sz="4" w:space="0" w:color="auto"/>
            </w:tcBorders>
          </w:tcPr>
          <w:p w14:paraId="249C4682" w14:textId="77777777" w:rsidR="00555502" w:rsidRPr="000C7CFA" w:rsidRDefault="00555502" w:rsidP="00704CE9">
            <w:pPr>
              <w:spacing w:after="0"/>
              <w:rPr>
                <w:rFonts w:ascii="Verdana" w:eastAsia="Calibri" w:hAnsi="Verdana"/>
                <w:sz w:val="18"/>
                <w:szCs w:val="18"/>
                <w:lang w:val="en-GB"/>
              </w:rPr>
            </w:pPr>
            <w:r w:rsidRPr="000C7CFA">
              <w:rPr>
                <w:rFonts w:ascii="Verdana" w:eastAsia="Calibri" w:hAnsi="Verdana"/>
                <w:sz w:val="18"/>
                <w:szCs w:val="18"/>
                <w:lang w:val="en-GB"/>
              </w:rPr>
              <w:t>Analysis by GC-MS.</w:t>
            </w:r>
          </w:p>
          <w:p w14:paraId="1A49AD57" w14:textId="77777777" w:rsidR="00555502" w:rsidRPr="000C7CFA" w:rsidRDefault="00555502" w:rsidP="00704CE9">
            <w:pPr>
              <w:autoSpaceDE w:val="0"/>
              <w:autoSpaceDN w:val="0"/>
              <w:adjustRightInd w:val="0"/>
              <w:spacing w:after="0"/>
              <w:rPr>
                <w:rFonts w:ascii="Verdana" w:hAnsi="Verdana"/>
                <w:sz w:val="18"/>
                <w:szCs w:val="18"/>
                <w:lang w:val="en-GB"/>
              </w:rPr>
            </w:pPr>
          </w:p>
          <w:p w14:paraId="178B9A5B" w14:textId="6C7B0A9A" w:rsidR="00555502" w:rsidRPr="000C7CFA" w:rsidRDefault="00555502" w:rsidP="00704CE9">
            <w:pPr>
              <w:autoSpaceDE w:val="0"/>
              <w:autoSpaceDN w:val="0"/>
              <w:adjustRightInd w:val="0"/>
              <w:spacing w:after="0"/>
              <w:rPr>
                <w:rFonts w:ascii="Verdana" w:eastAsia="Calibri" w:hAnsi="Verdana"/>
                <w:sz w:val="18"/>
                <w:szCs w:val="18"/>
                <w:lang w:val="en-GB"/>
              </w:rPr>
            </w:pPr>
            <w:r w:rsidRPr="000C7CFA">
              <w:rPr>
                <w:rFonts w:ascii="Verdana" w:hAnsi="Verdana"/>
                <w:sz w:val="18"/>
                <w:szCs w:val="18"/>
                <w:lang w:val="en-GB"/>
              </w:rPr>
              <w:t xml:space="preserve">Detected at every colony. </w:t>
            </w:r>
            <w:r w:rsidRPr="000C7CFA">
              <w:rPr>
                <w:rFonts w:ascii="Verdana" w:eastAsia="Calibri" w:hAnsi="Verdana"/>
                <w:sz w:val="18"/>
                <w:szCs w:val="18"/>
                <w:lang w:val="en-GB"/>
              </w:rPr>
              <w:t>Highest concentration was found in the Niagara River colony, close to the U.S.</w:t>
            </w:r>
            <w:r w:rsidR="00A11FA5" w:rsidRPr="000C7CFA">
              <w:rPr>
                <w:rFonts w:ascii="Verdana" w:eastAsia="Calibri" w:hAnsi="Verdana"/>
                <w:sz w:val="18"/>
                <w:szCs w:val="18"/>
                <w:lang w:val="en-GB"/>
              </w:rPr>
              <w:t xml:space="preserve"> </w:t>
            </w:r>
            <w:r w:rsidRPr="000C7CFA">
              <w:rPr>
                <w:rFonts w:ascii="Verdana" w:eastAsia="Calibri" w:hAnsi="Verdana"/>
                <w:sz w:val="18"/>
                <w:szCs w:val="18"/>
                <w:lang w:val="en-GB"/>
              </w:rPr>
              <w:t>manufacturing site.</w:t>
            </w:r>
          </w:p>
        </w:tc>
        <w:tc>
          <w:tcPr>
            <w:tcW w:w="1249" w:type="dxa"/>
            <w:tcBorders>
              <w:top w:val="single" w:sz="4" w:space="0" w:color="auto"/>
              <w:left w:val="single" w:sz="4" w:space="0" w:color="auto"/>
              <w:bottom w:val="single" w:sz="4" w:space="0" w:color="auto"/>
              <w:right w:val="single" w:sz="12" w:space="0" w:color="auto"/>
            </w:tcBorders>
          </w:tcPr>
          <w:p w14:paraId="61AD4DED"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Gauthier </w:t>
            </w:r>
            <w:r w:rsidRPr="000C7CFA">
              <w:rPr>
                <w:rFonts w:ascii="Verdana" w:hAnsi="Verdana"/>
                <w:i/>
                <w:sz w:val="18"/>
                <w:szCs w:val="18"/>
                <w:lang w:val="en-GB"/>
              </w:rPr>
              <w:t>et a</w:t>
            </w:r>
            <w:r w:rsidRPr="000C7CFA">
              <w:rPr>
                <w:rFonts w:ascii="Verdana" w:hAnsi="Verdana"/>
                <w:sz w:val="18"/>
                <w:szCs w:val="18"/>
                <w:lang w:val="en-GB"/>
              </w:rPr>
              <w:t>l. (2007)</w:t>
            </w:r>
          </w:p>
        </w:tc>
      </w:tr>
      <w:tr w:rsidR="00555502" w:rsidRPr="000C7CFA" w14:paraId="3999E10E" w14:textId="77777777" w:rsidTr="00D323EC">
        <w:trPr>
          <w:cantSplit/>
          <w:trHeight w:val="2830"/>
        </w:trPr>
        <w:tc>
          <w:tcPr>
            <w:tcW w:w="1928" w:type="dxa"/>
            <w:tcBorders>
              <w:top w:val="single" w:sz="4" w:space="0" w:color="auto"/>
              <w:left w:val="single" w:sz="12" w:space="0" w:color="auto"/>
              <w:right w:val="single" w:sz="4" w:space="0" w:color="auto"/>
            </w:tcBorders>
          </w:tcPr>
          <w:p w14:paraId="44746D91" w14:textId="77777777" w:rsidR="00555502" w:rsidRPr="000C7CFA" w:rsidRDefault="00555502" w:rsidP="00704CE9">
            <w:pPr>
              <w:pStyle w:val="Tabletext"/>
              <w:spacing w:before="0" w:after="0"/>
              <w:rPr>
                <w:rFonts w:ascii="Verdana" w:eastAsia="Calibri" w:hAnsi="Verdana"/>
                <w:sz w:val="18"/>
                <w:szCs w:val="18"/>
                <w:lang w:val="en-GB"/>
              </w:rPr>
            </w:pPr>
            <w:r w:rsidRPr="000C7CFA">
              <w:rPr>
                <w:rFonts w:ascii="Verdana" w:eastAsia="Calibri" w:hAnsi="Verdana"/>
                <w:sz w:val="18"/>
                <w:szCs w:val="18"/>
                <w:lang w:val="en-GB"/>
              </w:rPr>
              <w:lastRenderedPageBreak/>
              <w:t>Herring Gull</w:t>
            </w:r>
          </w:p>
          <w:p w14:paraId="419C3CE0" w14:textId="77777777" w:rsidR="00555502" w:rsidRPr="000C7CFA" w:rsidRDefault="00555502" w:rsidP="00704CE9">
            <w:pPr>
              <w:pStyle w:val="Tabletext"/>
              <w:spacing w:before="0" w:after="0"/>
              <w:rPr>
                <w:rFonts w:ascii="Verdana" w:hAnsi="Verdana"/>
                <w:sz w:val="18"/>
                <w:szCs w:val="18"/>
                <w:lang w:val="en-GB"/>
              </w:rPr>
            </w:pPr>
            <w:r w:rsidRPr="000C7CFA">
              <w:rPr>
                <w:rFonts w:ascii="Verdana" w:eastAsia="Calibri" w:hAnsi="Verdana"/>
                <w:sz w:val="18"/>
                <w:szCs w:val="18"/>
                <w:lang w:val="en-GB"/>
              </w:rPr>
              <w:t>(</w:t>
            </w:r>
            <w:r w:rsidRPr="000C7CFA">
              <w:rPr>
                <w:rFonts w:ascii="Verdana" w:eastAsia="Calibri" w:hAnsi="Verdana"/>
                <w:i/>
                <w:sz w:val="18"/>
                <w:szCs w:val="18"/>
                <w:lang w:val="en-GB"/>
              </w:rPr>
              <w:t>Larus argentatus</w:t>
            </w:r>
            <w:r w:rsidRPr="000C7CFA">
              <w:rPr>
                <w:rFonts w:ascii="Verdana" w:eastAsia="Calibri" w:hAnsi="Verdana"/>
                <w:sz w:val="18"/>
                <w:szCs w:val="18"/>
                <w:lang w:val="en-GB"/>
              </w:rPr>
              <w:t>)</w:t>
            </w:r>
          </w:p>
        </w:tc>
        <w:tc>
          <w:tcPr>
            <w:tcW w:w="1068" w:type="dxa"/>
            <w:tcBorders>
              <w:top w:val="single" w:sz="4" w:space="0" w:color="auto"/>
              <w:left w:val="single" w:sz="4" w:space="0" w:color="auto"/>
              <w:right w:val="single" w:sz="4" w:space="0" w:color="auto"/>
            </w:tcBorders>
          </w:tcPr>
          <w:p w14:paraId="21D8381E"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Eggs</w:t>
            </w:r>
          </w:p>
        </w:tc>
        <w:tc>
          <w:tcPr>
            <w:tcW w:w="2391" w:type="dxa"/>
            <w:tcBorders>
              <w:top w:val="single" w:sz="4" w:space="0" w:color="auto"/>
              <w:left w:val="single" w:sz="4" w:space="0" w:color="auto"/>
              <w:right w:val="single" w:sz="4" w:space="0" w:color="auto"/>
            </w:tcBorders>
          </w:tcPr>
          <w:p w14:paraId="7EED8919" w14:textId="77777777" w:rsidR="00555502" w:rsidRPr="000C7CFA" w:rsidRDefault="00555502"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 xml:space="preserve">Seven colonies in the </w:t>
            </w:r>
            <w:r w:rsidRPr="000C7CFA">
              <w:rPr>
                <w:rFonts w:ascii="Verdana" w:eastAsia="Calibri" w:hAnsi="Verdana"/>
                <w:sz w:val="18"/>
                <w:szCs w:val="18"/>
                <w:lang w:val="en-GB"/>
              </w:rPr>
              <w:t xml:space="preserve">Great Lakes region, North America; </w:t>
            </w:r>
          </w:p>
          <w:p w14:paraId="79B178BE" w14:textId="77777777" w:rsidR="00555502" w:rsidRPr="000C7CFA" w:rsidRDefault="00555502"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 xml:space="preserve">late April to early May in 1982, </w:t>
            </w:r>
            <w:r w:rsidRPr="000C7CFA">
              <w:rPr>
                <w:rFonts w:ascii="Verdana" w:eastAsia="Calibri" w:hAnsi="Verdana"/>
                <w:sz w:val="18"/>
                <w:szCs w:val="18"/>
                <w:lang w:val="en-GB"/>
              </w:rPr>
              <w:t>1987, 1992 &amp; 1995-2006</w:t>
            </w:r>
            <w:r w:rsidRPr="000C7CFA">
              <w:rPr>
                <w:rFonts w:ascii="Verdana" w:hAnsi="Verdana"/>
                <w:sz w:val="18"/>
                <w:szCs w:val="18"/>
                <w:lang w:val="en-GB" w:eastAsia="en-GB"/>
              </w:rPr>
              <w:t xml:space="preserve"> (10-13 eggs per site,</w:t>
            </w:r>
          </w:p>
          <w:p w14:paraId="28720A2F"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eastAsia="en-GB"/>
              </w:rPr>
              <w:t>subsequently pooled)</w:t>
            </w:r>
          </w:p>
        </w:tc>
        <w:tc>
          <w:tcPr>
            <w:tcW w:w="1843" w:type="dxa"/>
            <w:tcBorders>
              <w:top w:val="single" w:sz="4" w:space="0" w:color="auto"/>
              <w:left w:val="single" w:sz="4" w:space="0" w:color="auto"/>
              <w:right w:val="single" w:sz="4" w:space="0" w:color="auto"/>
            </w:tcBorders>
          </w:tcPr>
          <w:p w14:paraId="39FD7BF9" w14:textId="77777777" w:rsidR="00555502" w:rsidRPr="000C7CFA" w:rsidRDefault="00555502" w:rsidP="00704CE9">
            <w:pPr>
              <w:pStyle w:val="Tabletext"/>
              <w:spacing w:before="0" w:after="0"/>
              <w:jc w:val="center"/>
              <w:rPr>
                <w:rFonts w:ascii="Verdana" w:hAnsi="Verdana"/>
                <w:sz w:val="18"/>
                <w:szCs w:val="18"/>
                <w:lang w:val="fr-FR"/>
              </w:rPr>
            </w:pPr>
            <w:r w:rsidRPr="000C7CFA">
              <w:rPr>
                <w:rFonts w:ascii="Verdana" w:hAnsi="Verdana"/>
                <w:sz w:val="18"/>
                <w:szCs w:val="18"/>
                <w:lang w:val="fr-FR"/>
              </w:rPr>
              <w:t>Anti-DP: 0.01 (LoQ)</w:t>
            </w:r>
          </w:p>
          <w:p w14:paraId="4C89E390" w14:textId="77777777" w:rsidR="00555502" w:rsidRPr="000C7CFA" w:rsidRDefault="00555502" w:rsidP="00704CE9">
            <w:pPr>
              <w:autoSpaceDE w:val="0"/>
              <w:autoSpaceDN w:val="0"/>
              <w:adjustRightInd w:val="0"/>
              <w:spacing w:after="0"/>
              <w:jc w:val="center"/>
              <w:rPr>
                <w:rFonts w:ascii="Verdana" w:hAnsi="Verdana"/>
                <w:sz w:val="18"/>
                <w:szCs w:val="18"/>
                <w:lang w:val="fr-FR"/>
              </w:rPr>
            </w:pPr>
            <w:r w:rsidRPr="000C7CFA">
              <w:rPr>
                <w:rFonts w:ascii="Verdana" w:hAnsi="Verdana"/>
                <w:sz w:val="18"/>
                <w:szCs w:val="18"/>
                <w:lang w:val="fr-FR"/>
              </w:rPr>
              <w:t>Syn-DP: 0.02 (LoQ)</w:t>
            </w:r>
          </w:p>
        </w:tc>
        <w:tc>
          <w:tcPr>
            <w:tcW w:w="2976" w:type="dxa"/>
            <w:tcBorders>
              <w:top w:val="single" w:sz="4" w:space="0" w:color="auto"/>
              <w:left w:val="single" w:sz="4" w:space="0" w:color="auto"/>
              <w:right w:val="single" w:sz="4" w:space="0" w:color="auto"/>
            </w:tcBorders>
          </w:tcPr>
          <w:p w14:paraId="60EBD890" w14:textId="77777777" w:rsidR="00555502" w:rsidRPr="000C7CFA" w:rsidRDefault="00555502" w:rsidP="00704CE9">
            <w:pPr>
              <w:spacing w:after="0"/>
              <w:rPr>
                <w:rFonts w:ascii="Verdana" w:eastAsia="Calibri" w:hAnsi="Verdana"/>
                <w:sz w:val="18"/>
                <w:szCs w:val="18"/>
                <w:lang w:val="en-GB"/>
              </w:rPr>
            </w:pPr>
            <w:r w:rsidRPr="000C7CFA">
              <w:rPr>
                <w:rFonts w:ascii="Verdana" w:eastAsia="Calibri" w:hAnsi="Verdana"/>
                <w:sz w:val="18"/>
                <w:szCs w:val="18"/>
                <w:lang w:val="en-GB"/>
              </w:rPr>
              <w:t>Total isomer concentrations were variable but below 15 </w:t>
            </w:r>
            <w:r w:rsidRPr="000C7CFA">
              <w:rPr>
                <w:rFonts w:ascii="Verdana" w:hAnsi="Verdana"/>
                <w:sz w:val="18"/>
                <w:szCs w:val="18"/>
                <w:lang w:val="en-GB"/>
              </w:rPr>
              <w:t>μg/kg</w:t>
            </w:r>
            <w:r w:rsidRPr="000C7CFA">
              <w:rPr>
                <w:rFonts w:ascii="Verdana" w:eastAsia="Calibri" w:hAnsi="Verdana"/>
                <w:sz w:val="18"/>
                <w:szCs w:val="18"/>
                <w:lang w:val="en-GB"/>
              </w:rPr>
              <w:t xml:space="preserve"> ww regardless of the sampling year or colony (with one exception: 18 </w:t>
            </w:r>
            <w:r w:rsidRPr="000C7CFA">
              <w:rPr>
                <w:rFonts w:ascii="Verdana" w:hAnsi="Verdana"/>
                <w:sz w:val="18"/>
                <w:szCs w:val="18"/>
                <w:lang w:val="en-GB"/>
              </w:rPr>
              <w:t>μg/kg</w:t>
            </w:r>
            <w:r w:rsidRPr="000C7CFA">
              <w:rPr>
                <w:rFonts w:ascii="Verdana" w:eastAsia="Calibri" w:hAnsi="Verdana"/>
                <w:sz w:val="18"/>
                <w:szCs w:val="18"/>
                <w:lang w:val="en-GB"/>
              </w:rPr>
              <w:t xml:space="preserve"> ww at one site in 1982).</w:t>
            </w:r>
          </w:p>
          <w:p w14:paraId="52DFF091" w14:textId="77777777" w:rsidR="00555502" w:rsidRPr="000C7CFA" w:rsidRDefault="00555502" w:rsidP="00704CE9">
            <w:pPr>
              <w:spacing w:after="0"/>
              <w:rPr>
                <w:rFonts w:ascii="Verdana" w:eastAsia="Calibri" w:hAnsi="Verdana"/>
                <w:sz w:val="18"/>
                <w:szCs w:val="18"/>
                <w:lang w:val="en-GB"/>
              </w:rPr>
            </w:pPr>
          </w:p>
          <w:p w14:paraId="741CC5DC" w14:textId="77777777" w:rsidR="00555502" w:rsidRPr="000C7CFA" w:rsidRDefault="00555502" w:rsidP="00704CE9">
            <w:pPr>
              <w:spacing w:after="0"/>
              <w:rPr>
                <w:rFonts w:ascii="Verdana" w:eastAsia="Calibri" w:hAnsi="Verdana"/>
                <w:sz w:val="18"/>
                <w:szCs w:val="18"/>
                <w:lang w:val="en-GB"/>
              </w:rPr>
            </w:pPr>
            <w:r w:rsidRPr="000C7CFA">
              <w:rPr>
                <w:rFonts w:ascii="Verdana" w:eastAsia="Calibri" w:hAnsi="Verdana"/>
                <w:sz w:val="18"/>
                <w:szCs w:val="18"/>
                <w:lang w:val="en-GB"/>
              </w:rPr>
              <w:t>Anti-DP: 0.13-4.40 μg/kg ww</w:t>
            </w:r>
          </w:p>
          <w:p w14:paraId="0EDF8B4D" w14:textId="77777777" w:rsidR="00555502" w:rsidRPr="000C7CFA" w:rsidRDefault="00555502" w:rsidP="00704CE9">
            <w:pPr>
              <w:spacing w:after="0"/>
              <w:rPr>
                <w:rFonts w:ascii="Verdana" w:eastAsia="Calibri" w:hAnsi="Verdana"/>
                <w:sz w:val="18"/>
                <w:szCs w:val="18"/>
                <w:lang w:val="en-GB"/>
              </w:rPr>
            </w:pPr>
            <w:r w:rsidRPr="000C7CFA">
              <w:rPr>
                <w:rFonts w:ascii="Verdana" w:eastAsia="Calibri" w:hAnsi="Verdana"/>
                <w:sz w:val="18"/>
                <w:szCs w:val="18"/>
                <w:lang w:val="en-GB"/>
              </w:rPr>
              <w:t>Syn-DP:  0.31-1.40 μg/kg ww</w:t>
            </w:r>
          </w:p>
        </w:tc>
        <w:tc>
          <w:tcPr>
            <w:tcW w:w="2552" w:type="dxa"/>
            <w:tcBorders>
              <w:top w:val="single" w:sz="4" w:space="0" w:color="auto"/>
              <w:left w:val="single" w:sz="4" w:space="0" w:color="auto"/>
              <w:right w:val="single" w:sz="4" w:space="0" w:color="auto"/>
            </w:tcBorders>
          </w:tcPr>
          <w:p w14:paraId="30EFBE8C"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Analysis by GC-MS.</w:t>
            </w:r>
          </w:p>
          <w:p w14:paraId="786DD5D3" w14:textId="77777777" w:rsidR="00555502" w:rsidRPr="000C7CFA" w:rsidRDefault="00555502" w:rsidP="00704CE9">
            <w:pPr>
              <w:autoSpaceDE w:val="0"/>
              <w:autoSpaceDN w:val="0"/>
              <w:adjustRightInd w:val="0"/>
              <w:spacing w:after="0"/>
              <w:rPr>
                <w:rFonts w:ascii="Verdana" w:eastAsia="Calibri" w:hAnsi="Verdana"/>
                <w:sz w:val="18"/>
                <w:szCs w:val="18"/>
                <w:lang w:val="en-GB"/>
              </w:rPr>
            </w:pPr>
          </w:p>
          <w:p w14:paraId="28B0FF1B" w14:textId="77777777" w:rsidR="00555502" w:rsidRPr="000C7CFA" w:rsidRDefault="00555502" w:rsidP="00704CE9">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Highest concentration was detected in the Niagara River colony, close to the manufacturing site.</w:t>
            </w:r>
          </w:p>
          <w:p w14:paraId="2937879A" w14:textId="77777777" w:rsidR="00555502" w:rsidRPr="000C7CFA" w:rsidRDefault="00555502" w:rsidP="00704CE9">
            <w:pPr>
              <w:autoSpaceDE w:val="0"/>
              <w:autoSpaceDN w:val="0"/>
              <w:adjustRightInd w:val="0"/>
              <w:spacing w:after="0"/>
              <w:rPr>
                <w:rFonts w:ascii="Verdana" w:eastAsia="Calibri" w:hAnsi="Verdana"/>
                <w:sz w:val="18"/>
                <w:szCs w:val="18"/>
                <w:lang w:val="en-GB"/>
              </w:rPr>
            </w:pPr>
          </w:p>
          <w:p w14:paraId="5C519ABD" w14:textId="18FA7AE9" w:rsidR="00555502" w:rsidRPr="000C7CFA" w:rsidRDefault="00555502" w:rsidP="00A11FA5">
            <w:pPr>
              <w:autoSpaceDE w:val="0"/>
              <w:autoSpaceDN w:val="0"/>
              <w:adjustRightInd w:val="0"/>
              <w:spacing w:after="0"/>
              <w:rPr>
                <w:rFonts w:ascii="Verdana" w:hAnsi="Verdana"/>
                <w:sz w:val="18"/>
                <w:szCs w:val="18"/>
                <w:lang w:val="en-GB"/>
              </w:rPr>
            </w:pPr>
            <w:r w:rsidRPr="000C7CFA">
              <w:rPr>
                <w:rFonts w:ascii="Verdana" w:eastAsia="Calibri" w:hAnsi="Verdana"/>
                <w:sz w:val="18"/>
                <w:szCs w:val="18"/>
                <w:lang w:val="en-GB"/>
              </w:rPr>
              <w:t>Concentrations were generally</w:t>
            </w:r>
            <w:r w:rsidR="00A11FA5" w:rsidRPr="000C7CFA">
              <w:rPr>
                <w:rFonts w:ascii="Verdana" w:eastAsia="Calibri" w:hAnsi="Verdana"/>
                <w:sz w:val="18"/>
                <w:szCs w:val="18"/>
                <w:lang w:val="en-GB"/>
              </w:rPr>
              <w:t xml:space="preserve"> </w:t>
            </w:r>
            <w:r w:rsidRPr="000C7CFA">
              <w:rPr>
                <w:rFonts w:ascii="Verdana" w:eastAsia="Calibri" w:hAnsi="Verdana"/>
                <w:sz w:val="18"/>
                <w:szCs w:val="18"/>
                <w:lang w:val="en-GB"/>
              </w:rPr>
              <w:t xml:space="preserve">higher </w:t>
            </w:r>
            <w:r w:rsidR="00A11FA5" w:rsidRPr="000C7CFA">
              <w:rPr>
                <w:rFonts w:ascii="Verdana" w:eastAsia="Calibri" w:hAnsi="Verdana"/>
                <w:sz w:val="18"/>
                <w:szCs w:val="18"/>
                <w:lang w:val="en-GB"/>
              </w:rPr>
              <w:t>after</w:t>
            </w:r>
            <w:r w:rsidRPr="000C7CFA">
              <w:rPr>
                <w:rFonts w:ascii="Verdana" w:eastAsia="Calibri" w:hAnsi="Verdana"/>
                <w:sz w:val="18"/>
                <w:szCs w:val="18"/>
                <w:lang w:val="en-GB"/>
              </w:rPr>
              <w:t xml:space="preserve"> the mid-1990s for all sites. No temporal or spatial enrichment of either isomer relative to the commercial mixture</w:t>
            </w:r>
          </w:p>
        </w:tc>
        <w:tc>
          <w:tcPr>
            <w:tcW w:w="1249" w:type="dxa"/>
            <w:tcBorders>
              <w:top w:val="single" w:sz="4" w:space="0" w:color="auto"/>
              <w:left w:val="single" w:sz="4" w:space="0" w:color="auto"/>
              <w:right w:val="single" w:sz="12" w:space="0" w:color="auto"/>
            </w:tcBorders>
          </w:tcPr>
          <w:p w14:paraId="41AA3401" w14:textId="77777777" w:rsidR="00555502" w:rsidRPr="000C7CFA" w:rsidRDefault="00555502" w:rsidP="00704CE9">
            <w:pPr>
              <w:pStyle w:val="Tabletext"/>
              <w:spacing w:before="0" w:after="0"/>
              <w:rPr>
                <w:rFonts w:ascii="Verdana" w:hAnsi="Verdana"/>
                <w:sz w:val="18"/>
                <w:szCs w:val="18"/>
                <w:lang w:val="en-GB"/>
              </w:rPr>
            </w:pPr>
            <w:r w:rsidRPr="000C7CFA">
              <w:rPr>
                <w:rFonts w:ascii="Verdana" w:eastAsia="Calibri" w:hAnsi="Verdana"/>
                <w:sz w:val="18"/>
                <w:szCs w:val="18"/>
                <w:lang w:val="en-GB"/>
              </w:rPr>
              <w:t>Gauthier &amp; Letcher (2009)</w:t>
            </w:r>
          </w:p>
        </w:tc>
      </w:tr>
      <w:tr w:rsidR="003F6F51" w:rsidRPr="000C7CFA" w14:paraId="4833938A" w14:textId="77777777" w:rsidTr="00D323EC">
        <w:trPr>
          <w:cantSplit/>
          <w:trHeight w:val="387"/>
        </w:trPr>
        <w:tc>
          <w:tcPr>
            <w:tcW w:w="1928" w:type="dxa"/>
            <w:tcBorders>
              <w:top w:val="single" w:sz="4" w:space="0" w:color="000000"/>
              <w:bottom w:val="single" w:sz="4" w:space="0" w:color="auto"/>
              <w:right w:val="single" w:sz="4" w:space="0" w:color="auto"/>
            </w:tcBorders>
          </w:tcPr>
          <w:p w14:paraId="5F5BB5FE"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Herring Gull</w:t>
            </w:r>
          </w:p>
          <w:p w14:paraId="5C61BE4B"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w:t>
            </w:r>
            <w:r w:rsidRPr="000C7CFA">
              <w:rPr>
                <w:rFonts w:ascii="Verdana" w:hAnsi="Verdana"/>
                <w:i/>
                <w:sz w:val="18"/>
                <w:szCs w:val="18"/>
                <w:lang w:val="en-GB"/>
              </w:rPr>
              <w:t>Larus argentatus</w:t>
            </w:r>
            <w:r w:rsidRPr="000C7CFA">
              <w:rPr>
                <w:rFonts w:ascii="Verdana" w:hAnsi="Verdana"/>
                <w:sz w:val="18"/>
                <w:szCs w:val="18"/>
                <w:lang w:val="en-GB"/>
              </w:rPr>
              <w:t>)</w:t>
            </w:r>
          </w:p>
        </w:tc>
        <w:tc>
          <w:tcPr>
            <w:tcW w:w="1068" w:type="dxa"/>
            <w:tcBorders>
              <w:top w:val="single" w:sz="4" w:space="0" w:color="000000"/>
              <w:left w:val="single" w:sz="4" w:space="0" w:color="auto"/>
              <w:bottom w:val="single" w:sz="4" w:space="0" w:color="auto"/>
              <w:right w:val="single" w:sz="4" w:space="0" w:color="auto"/>
            </w:tcBorders>
          </w:tcPr>
          <w:p w14:paraId="2CCE281A"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Eggs</w:t>
            </w:r>
          </w:p>
        </w:tc>
        <w:tc>
          <w:tcPr>
            <w:tcW w:w="2391" w:type="dxa"/>
            <w:tcBorders>
              <w:top w:val="single" w:sz="4" w:space="0" w:color="000000"/>
              <w:left w:val="single" w:sz="4" w:space="0" w:color="auto"/>
              <w:bottom w:val="single" w:sz="4" w:space="0" w:color="auto"/>
              <w:right w:val="single" w:sz="4" w:space="0" w:color="auto"/>
            </w:tcBorders>
          </w:tcPr>
          <w:p w14:paraId="7BE533A6"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Twenty colonies across the Laurentian Great Lakes basin, Canada and United States. A total of 100 individual eggs collected in 2012 and 2013 and 15 egg pools collected in 2012.</w:t>
            </w:r>
          </w:p>
        </w:tc>
        <w:tc>
          <w:tcPr>
            <w:tcW w:w="1843" w:type="dxa"/>
            <w:tcBorders>
              <w:top w:val="single" w:sz="4" w:space="0" w:color="000000"/>
              <w:left w:val="single" w:sz="4" w:space="0" w:color="auto"/>
              <w:bottom w:val="single" w:sz="4" w:space="0" w:color="auto"/>
              <w:right w:val="single" w:sz="4" w:space="0" w:color="auto"/>
            </w:tcBorders>
          </w:tcPr>
          <w:p w14:paraId="22FB6F14" w14:textId="77777777" w:rsidR="003F6F51" w:rsidRPr="000C7CFA" w:rsidRDefault="003F6F51" w:rsidP="00FC2B2F">
            <w:pPr>
              <w:pStyle w:val="Tabletext"/>
              <w:spacing w:before="0" w:after="0"/>
              <w:jc w:val="center"/>
              <w:rPr>
                <w:rFonts w:ascii="Verdana" w:hAnsi="Verdana"/>
                <w:sz w:val="18"/>
                <w:szCs w:val="18"/>
                <w:lang w:val="en-GB"/>
              </w:rPr>
            </w:pPr>
            <w:r w:rsidRPr="000C7CFA">
              <w:rPr>
                <w:rFonts w:ascii="Verdana" w:hAnsi="Verdana"/>
                <w:sz w:val="18"/>
                <w:szCs w:val="18"/>
                <w:lang w:val="en-GB"/>
              </w:rPr>
              <w:t>Not given</w:t>
            </w:r>
          </w:p>
        </w:tc>
        <w:tc>
          <w:tcPr>
            <w:tcW w:w="2976" w:type="dxa"/>
            <w:tcBorders>
              <w:top w:val="single" w:sz="4" w:space="0" w:color="000000"/>
              <w:left w:val="single" w:sz="4" w:space="0" w:color="auto"/>
              <w:bottom w:val="single" w:sz="4" w:space="0" w:color="auto"/>
              <w:right w:val="single" w:sz="4" w:space="0" w:color="auto"/>
            </w:tcBorders>
          </w:tcPr>
          <w:p w14:paraId="22E10AD7" w14:textId="77777777" w:rsidR="003F6F51" w:rsidRPr="000C7CFA" w:rsidRDefault="003F6F51" w:rsidP="00FC2B2F">
            <w:pPr>
              <w:spacing w:after="0"/>
              <w:rPr>
                <w:rFonts w:ascii="Verdana" w:hAnsi="Verdana"/>
                <w:sz w:val="18"/>
                <w:szCs w:val="18"/>
                <w:lang w:val="en-GB"/>
              </w:rPr>
            </w:pPr>
            <w:r w:rsidRPr="000C7CFA">
              <w:rPr>
                <w:rFonts w:ascii="Verdana" w:hAnsi="Verdana"/>
                <w:sz w:val="18"/>
                <w:szCs w:val="18"/>
                <w:lang w:val="en-GB"/>
              </w:rPr>
              <w:t>Total DP: &lt;LoD-54.6 μg/kg ww.</w:t>
            </w:r>
          </w:p>
          <w:p w14:paraId="2E6992E7" w14:textId="77777777" w:rsidR="003F6F51" w:rsidRPr="000C7CFA" w:rsidRDefault="003F6F51" w:rsidP="00FC2B2F">
            <w:pPr>
              <w:spacing w:after="0"/>
              <w:rPr>
                <w:rFonts w:ascii="Verdana" w:hAnsi="Verdana"/>
                <w:sz w:val="18"/>
                <w:szCs w:val="18"/>
                <w:lang w:val="en-GB"/>
              </w:rPr>
            </w:pPr>
          </w:p>
          <w:p w14:paraId="2335759F" w14:textId="77777777" w:rsidR="003F6F51" w:rsidRPr="000C7CFA" w:rsidRDefault="003F6F51" w:rsidP="00FC2B2F">
            <w:pPr>
              <w:spacing w:after="0"/>
              <w:rPr>
                <w:rFonts w:ascii="Verdana" w:hAnsi="Verdana"/>
                <w:sz w:val="18"/>
                <w:szCs w:val="18"/>
                <w:lang w:val="en-GB"/>
              </w:rPr>
            </w:pPr>
            <w:r w:rsidRPr="000C7CFA">
              <w:rPr>
                <w:rFonts w:ascii="Verdana" w:hAnsi="Verdana"/>
                <w:sz w:val="18"/>
                <w:szCs w:val="18"/>
                <w:lang w:val="en-GB"/>
              </w:rPr>
              <w:t>The f</w:t>
            </w:r>
            <w:r w:rsidRPr="000C7CFA">
              <w:rPr>
                <w:rFonts w:ascii="Verdana" w:hAnsi="Verdana"/>
                <w:sz w:val="18"/>
                <w:szCs w:val="18"/>
                <w:vertAlign w:val="subscript"/>
                <w:lang w:val="en-GB"/>
              </w:rPr>
              <w:t>anti</w:t>
            </w:r>
            <w:r w:rsidRPr="000C7CFA">
              <w:rPr>
                <w:rFonts w:ascii="Verdana" w:hAnsi="Verdana"/>
                <w:sz w:val="18"/>
                <w:szCs w:val="18"/>
                <w:lang w:val="en-GB"/>
              </w:rPr>
              <w:t xml:space="preserve"> was in the range 0.6-0.72.</w:t>
            </w:r>
          </w:p>
        </w:tc>
        <w:tc>
          <w:tcPr>
            <w:tcW w:w="2552" w:type="dxa"/>
            <w:tcBorders>
              <w:top w:val="single" w:sz="4" w:space="0" w:color="000000"/>
              <w:left w:val="single" w:sz="4" w:space="0" w:color="auto"/>
              <w:bottom w:val="single" w:sz="4" w:space="0" w:color="auto"/>
              <w:right w:val="single" w:sz="4" w:space="0" w:color="auto"/>
            </w:tcBorders>
          </w:tcPr>
          <w:p w14:paraId="54EE1619" w14:textId="50994EAE" w:rsidR="003F6F51" w:rsidRPr="000C7CFA" w:rsidRDefault="003F6F51" w:rsidP="00FC2B2F">
            <w:pPr>
              <w:spacing w:after="0"/>
              <w:rPr>
                <w:rFonts w:ascii="Verdana" w:hAnsi="Verdana"/>
                <w:sz w:val="18"/>
                <w:szCs w:val="18"/>
                <w:lang w:val="en-GB"/>
              </w:rPr>
            </w:pPr>
            <w:r w:rsidRPr="000C7CFA">
              <w:rPr>
                <w:rFonts w:ascii="Verdana" w:hAnsi="Verdana"/>
                <w:sz w:val="18"/>
                <w:szCs w:val="18"/>
                <w:lang w:val="en-GB"/>
              </w:rPr>
              <w:t>Syn- and anti-DP detectable in 8</w:t>
            </w:r>
            <w:r w:rsidR="00AF7606" w:rsidRPr="000C7CFA">
              <w:rPr>
                <w:rFonts w:ascii="Verdana" w:hAnsi="Verdana"/>
                <w:sz w:val="18"/>
                <w:szCs w:val="18"/>
                <w:lang w:val="en-GB"/>
              </w:rPr>
              <w:t>3 %</w:t>
            </w:r>
            <w:r w:rsidRPr="000C7CFA">
              <w:rPr>
                <w:rFonts w:ascii="Verdana" w:hAnsi="Verdana"/>
                <w:sz w:val="18"/>
                <w:szCs w:val="18"/>
                <w:lang w:val="en-GB"/>
              </w:rPr>
              <w:t xml:space="preserve"> and 9</w:t>
            </w:r>
            <w:r w:rsidR="00AF7606" w:rsidRPr="000C7CFA">
              <w:rPr>
                <w:rFonts w:ascii="Verdana" w:hAnsi="Verdana"/>
                <w:sz w:val="18"/>
                <w:szCs w:val="18"/>
                <w:lang w:val="en-GB"/>
              </w:rPr>
              <w:t>3 %</w:t>
            </w:r>
            <w:r w:rsidRPr="000C7CFA">
              <w:rPr>
                <w:rFonts w:ascii="Verdana" w:hAnsi="Verdana"/>
                <w:sz w:val="18"/>
                <w:szCs w:val="18"/>
                <w:lang w:val="en-GB"/>
              </w:rPr>
              <w:t xml:space="preserve"> respectively of the samples. The levels of total DP in the pooled eggs were significantly higher (</w:t>
            </w:r>
            <w:r w:rsidRPr="000C7CFA">
              <w:rPr>
                <w:rFonts w:ascii="Verdana" w:hAnsi="Verdana"/>
                <w:i/>
                <w:sz w:val="18"/>
                <w:szCs w:val="18"/>
                <w:lang w:val="en-GB"/>
              </w:rPr>
              <w:t>p</w:t>
            </w:r>
            <w:r w:rsidRPr="000C7CFA">
              <w:rPr>
                <w:rFonts w:ascii="Verdana" w:hAnsi="Verdana"/>
                <w:sz w:val="18"/>
                <w:szCs w:val="18"/>
                <w:lang w:val="en-GB"/>
              </w:rPr>
              <w:t>&lt;0.05) than measured in pooled samples from the same colonies in 2006 and 2008 (220% higher in 2012 compared with 2006).</w:t>
            </w:r>
          </w:p>
        </w:tc>
        <w:tc>
          <w:tcPr>
            <w:tcW w:w="1249" w:type="dxa"/>
            <w:tcBorders>
              <w:top w:val="single" w:sz="4" w:space="0" w:color="000000"/>
              <w:left w:val="single" w:sz="4" w:space="0" w:color="auto"/>
              <w:bottom w:val="single" w:sz="4" w:space="0" w:color="auto"/>
            </w:tcBorders>
          </w:tcPr>
          <w:p w14:paraId="4CD2A5E8"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 xml:space="preserve">Su </w:t>
            </w:r>
            <w:r w:rsidRPr="000C7CFA">
              <w:rPr>
                <w:rFonts w:ascii="Verdana" w:hAnsi="Verdana"/>
                <w:i/>
                <w:sz w:val="18"/>
                <w:szCs w:val="18"/>
                <w:lang w:val="en-GB"/>
              </w:rPr>
              <w:t>et al.</w:t>
            </w:r>
            <w:r w:rsidRPr="000C7CFA">
              <w:rPr>
                <w:rFonts w:ascii="Verdana" w:hAnsi="Verdana"/>
                <w:sz w:val="18"/>
                <w:szCs w:val="18"/>
                <w:lang w:val="en-GB"/>
              </w:rPr>
              <w:t xml:space="preserve"> (2015)</w:t>
            </w:r>
          </w:p>
        </w:tc>
      </w:tr>
      <w:tr w:rsidR="00555502" w:rsidRPr="000C7CFA" w14:paraId="599A2532" w14:textId="77777777" w:rsidTr="00D323EC">
        <w:trPr>
          <w:cantSplit/>
          <w:trHeight w:val="387"/>
        </w:trPr>
        <w:tc>
          <w:tcPr>
            <w:tcW w:w="1928" w:type="dxa"/>
            <w:tcBorders>
              <w:top w:val="single" w:sz="4" w:space="0" w:color="auto"/>
              <w:bottom w:val="single" w:sz="4" w:space="0" w:color="auto"/>
              <w:right w:val="single" w:sz="4" w:space="0" w:color="auto"/>
            </w:tcBorders>
          </w:tcPr>
          <w:p w14:paraId="7DB0024D"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lastRenderedPageBreak/>
              <w:t xml:space="preserve">Black Guillemot </w:t>
            </w:r>
            <w:r w:rsidRPr="000C7CFA">
              <w:rPr>
                <w:rFonts w:ascii="Verdana" w:hAnsi="Verdana"/>
                <w:iCs/>
                <w:sz w:val="18"/>
                <w:szCs w:val="18"/>
                <w:lang w:val="en-GB"/>
              </w:rPr>
              <w:t>(</w:t>
            </w:r>
            <w:r w:rsidRPr="000C7CFA">
              <w:rPr>
                <w:rFonts w:ascii="Verdana" w:hAnsi="Verdana"/>
                <w:i/>
                <w:iCs/>
                <w:sz w:val="18"/>
                <w:szCs w:val="18"/>
                <w:lang w:val="en-GB"/>
              </w:rPr>
              <w:t>Cepphus grylle</w:t>
            </w:r>
            <w:r w:rsidRPr="000C7CFA">
              <w:rPr>
                <w:rFonts w:ascii="Verdana" w:hAnsi="Verdana"/>
                <w:iCs/>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645536C3"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Eggs</w:t>
            </w:r>
          </w:p>
        </w:tc>
        <w:tc>
          <w:tcPr>
            <w:tcW w:w="2391" w:type="dxa"/>
            <w:tcBorders>
              <w:top w:val="single" w:sz="4" w:space="0" w:color="auto"/>
              <w:left w:val="single" w:sz="4" w:space="0" w:color="auto"/>
              <w:bottom w:val="single" w:sz="4" w:space="0" w:color="auto"/>
              <w:right w:val="single" w:sz="4" w:space="0" w:color="auto"/>
            </w:tcBorders>
          </w:tcPr>
          <w:p w14:paraId="3422BB2B"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East Greenland (n = 4) (sampling dates not stated)</w:t>
            </w:r>
          </w:p>
        </w:tc>
        <w:tc>
          <w:tcPr>
            <w:tcW w:w="1843" w:type="dxa"/>
            <w:tcBorders>
              <w:top w:val="single" w:sz="4" w:space="0" w:color="auto"/>
              <w:left w:val="single" w:sz="4" w:space="0" w:color="auto"/>
              <w:bottom w:val="single" w:sz="4" w:space="0" w:color="auto"/>
              <w:right w:val="single" w:sz="4" w:space="0" w:color="auto"/>
            </w:tcBorders>
          </w:tcPr>
          <w:p w14:paraId="337342C7"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stated</w:t>
            </w:r>
          </w:p>
        </w:tc>
        <w:tc>
          <w:tcPr>
            <w:tcW w:w="2976" w:type="dxa"/>
            <w:tcBorders>
              <w:top w:val="single" w:sz="4" w:space="0" w:color="auto"/>
              <w:left w:val="single" w:sz="4" w:space="0" w:color="auto"/>
              <w:bottom w:val="single" w:sz="4" w:space="0" w:color="auto"/>
              <w:right w:val="single" w:sz="4" w:space="0" w:color="auto"/>
            </w:tcBorders>
          </w:tcPr>
          <w:p w14:paraId="67D5A42F"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Anti-DP:</w:t>
            </w:r>
          </w:p>
          <w:p w14:paraId="0A087B64"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Arithmetic mean: 0.07 μg/kg ww</w:t>
            </w:r>
            <w:r w:rsidRPr="000C7CFA">
              <w:rPr>
                <w:rFonts w:ascii="Verdana" w:hAnsi="Verdana"/>
                <w:sz w:val="18"/>
                <w:szCs w:val="18"/>
                <w:lang w:val="en-GB"/>
              </w:rPr>
              <w:br/>
              <w:t>Range: 0.01 – 0.19 μg/kg ww</w:t>
            </w:r>
          </w:p>
          <w:p w14:paraId="0272566A" w14:textId="77777777" w:rsidR="00555502" w:rsidRPr="000C7CFA" w:rsidRDefault="00555502" w:rsidP="00704CE9">
            <w:pPr>
              <w:spacing w:after="0"/>
              <w:rPr>
                <w:rFonts w:ascii="Verdana" w:hAnsi="Verdana"/>
                <w:sz w:val="18"/>
                <w:szCs w:val="18"/>
                <w:lang w:val="en-GB"/>
              </w:rPr>
            </w:pPr>
          </w:p>
          <w:p w14:paraId="7769E4FD"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Syn-DP:</w:t>
            </w:r>
          </w:p>
          <w:p w14:paraId="3482BEDD"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Arithmetic mean: 0.01 μg/kg ww</w:t>
            </w:r>
            <w:r w:rsidRPr="000C7CFA">
              <w:rPr>
                <w:rFonts w:ascii="Verdana" w:hAnsi="Verdana"/>
                <w:sz w:val="18"/>
                <w:szCs w:val="18"/>
                <w:lang w:val="en-GB"/>
              </w:rPr>
              <w:br/>
              <w:t>Range: 0.01 – 0.03 μg/kg ww</w:t>
            </w:r>
          </w:p>
        </w:tc>
        <w:tc>
          <w:tcPr>
            <w:tcW w:w="2552" w:type="dxa"/>
            <w:tcBorders>
              <w:top w:val="single" w:sz="4" w:space="0" w:color="auto"/>
              <w:left w:val="single" w:sz="4" w:space="0" w:color="auto"/>
              <w:bottom w:val="single" w:sz="4" w:space="0" w:color="auto"/>
              <w:right w:val="single" w:sz="4" w:space="0" w:color="auto"/>
            </w:tcBorders>
          </w:tcPr>
          <w:p w14:paraId="16E105EB" w14:textId="4310186B"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Samples originated from the specimen bank at Aarhus University, Denmark. Mean lipid content: 10.</w:t>
            </w:r>
            <w:r w:rsidR="00AF7606" w:rsidRPr="000C7CFA">
              <w:rPr>
                <w:rFonts w:ascii="Verdana" w:hAnsi="Verdana"/>
                <w:sz w:val="18"/>
                <w:szCs w:val="18"/>
                <w:lang w:val="en-GB"/>
              </w:rPr>
              <w:t>2 %</w:t>
            </w:r>
            <w:r w:rsidRPr="000C7CFA">
              <w:rPr>
                <w:rFonts w:ascii="Verdana" w:hAnsi="Verdana"/>
                <w:sz w:val="18"/>
                <w:szCs w:val="18"/>
                <w:lang w:val="en-GB"/>
              </w:rPr>
              <w:t xml:space="preserve"> (range: 9.66 – 10.</w:t>
            </w:r>
            <w:r w:rsidR="00AF7606" w:rsidRPr="000C7CFA">
              <w:rPr>
                <w:rFonts w:ascii="Verdana" w:hAnsi="Verdana"/>
                <w:sz w:val="18"/>
                <w:szCs w:val="18"/>
                <w:lang w:val="en-GB"/>
              </w:rPr>
              <w:t>7 %</w:t>
            </w:r>
            <w:r w:rsidRPr="000C7CFA">
              <w:rPr>
                <w:rFonts w:ascii="Verdana" w:hAnsi="Verdana"/>
                <w:sz w:val="18"/>
                <w:szCs w:val="18"/>
                <w:lang w:val="en-GB"/>
              </w:rPr>
              <w:t>)</w:t>
            </w:r>
          </w:p>
          <w:p w14:paraId="51ACD5D9" w14:textId="77777777" w:rsidR="00555502" w:rsidRPr="000C7CFA" w:rsidRDefault="00555502" w:rsidP="00704CE9">
            <w:pPr>
              <w:spacing w:after="0"/>
              <w:rPr>
                <w:rFonts w:ascii="Verdana" w:hAnsi="Verdana"/>
                <w:sz w:val="18"/>
                <w:szCs w:val="18"/>
                <w:lang w:val="en-GB"/>
              </w:rPr>
            </w:pPr>
          </w:p>
          <w:p w14:paraId="6E94B8A0"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Both anti- and syn- isomers were detected in all samples.</w:t>
            </w:r>
          </w:p>
        </w:tc>
        <w:tc>
          <w:tcPr>
            <w:tcW w:w="1249" w:type="dxa"/>
            <w:tcBorders>
              <w:top w:val="single" w:sz="4" w:space="0" w:color="auto"/>
              <w:left w:val="single" w:sz="4" w:space="0" w:color="auto"/>
              <w:bottom w:val="single" w:sz="4" w:space="0" w:color="auto"/>
            </w:tcBorders>
          </w:tcPr>
          <w:p w14:paraId="5A7BC750"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Vorkamp </w:t>
            </w:r>
            <w:r w:rsidRPr="000C7CFA">
              <w:rPr>
                <w:rFonts w:ascii="Verdana" w:hAnsi="Verdana"/>
                <w:i/>
                <w:sz w:val="18"/>
                <w:szCs w:val="18"/>
                <w:lang w:val="en-GB"/>
              </w:rPr>
              <w:t>et al</w:t>
            </w:r>
            <w:r w:rsidRPr="000C7CFA">
              <w:rPr>
                <w:rFonts w:ascii="Verdana" w:hAnsi="Verdana"/>
                <w:sz w:val="18"/>
                <w:szCs w:val="18"/>
                <w:lang w:val="en-GB"/>
              </w:rPr>
              <w:t>. (2015)</w:t>
            </w:r>
          </w:p>
        </w:tc>
      </w:tr>
      <w:tr w:rsidR="00555502" w:rsidRPr="000C7CFA" w14:paraId="2F468266" w14:textId="77777777" w:rsidTr="00D323EC">
        <w:trPr>
          <w:cantSplit/>
          <w:trHeight w:val="387"/>
        </w:trPr>
        <w:tc>
          <w:tcPr>
            <w:tcW w:w="1928" w:type="dxa"/>
            <w:tcBorders>
              <w:top w:val="single" w:sz="4" w:space="0" w:color="auto"/>
              <w:left w:val="single" w:sz="12" w:space="0" w:color="auto"/>
              <w:bottom w:val="single" w:sz="4" w:space="0" w:color="auto"/>
              <w:right w:val="single" w:sz="4" w:space="0" w:color="auto"/>
            </w:tcBorders>
          </w:tcPr>
          <w:p w14:paraId="0991E6E7"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Black Guillemot (</w:t>
            </w:r>
            <w:r w:rsidRPr="000C7CFA">
              <w:rPr>
                <w:rFonts w:ascii="Verdana" w:hAnsi="Verdana"/>
                <w:i/>
                <w:sz w:val="18"/>
                <w:szCs w:val="18"/>
                <w:lang w:val="en-GB"/>
              </w:rPr>
              <w:t>Cepphus grylle</w:t>
            </w:r>
            <w:r w:rsidRPr="000C7CFA">
              <w:rPr>
                <w:rFonts w:ascii="Verdana" w:hAnsi="Verdana"/>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3D53E96F"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Eggs</w:t>
            </w:r>
          </w:p>
        </w:tc>
        <w:tc>
          <w:tcPr>
            <w:tcW w:w="2391" w:type="dxa"/>
            <w:tcBorders>
              <w:top w:val="single" w:sz="4" w:space="0" w:color="auto"/>
              <w:left w:val="single" w:sz="4" w:space="0" w:color="auto"/>
              <w:bottom w:val="single" w:sz="4" w:space="0" w:color="auto"/>
              <w:right w:val="single" w:sz="4" w:space="0" w:color="auto"/>
            </w:tcBorders>
          </w:tcPr>
          <w:p w14:paraId="572F2608" w14:textId="1AC74FDC"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Islands </w:t>
            </w:r>
            <w:r w:rsidR="00A11FA5" w:rsidRPr="000C7CFA">
              <w:rPr>
                <w:rFonts w:ascii="Verdana" w:hAnsi="Verdana"/>
                <w:sz w:val="18"/>
                <w:szCs w:val="18"/>
                <w:lang w:val="en-GB"/>
              </w:rPr>
              <w:t>of Skúvoy</w:t>
            </w:r>
            <w:r w:rsidRPr="000C7CFA">
              <w:rPr>
                <w:rFonts w:ascii="Verdana" w:hAnsi="Verdana"/>
                <w:sz w:val="18"/>
                <w:szCs w:val="18"/>
                <w:lang w:val="en-GB"/>
              </w:rPr>
              <w:t xml:space="preserve"> (n=9) and Koltur (n=10), Faroe Islands (sampling date not stated).</w:t>
            </w:r>
          </w:p>
          <w:p w14:paraId="46D2F186" w14:textId="77777777" w:rsidR="00555502" w:rsidRPr="000C7CFA" w:rsidRDefault="00555502" w:rsidP="00704CE9">
            <w:pPr>
              <w:pStyle w:val="Tabletext"/>
              <w:spacing w:before="0" w:after="0"/>
              <w:rPr>
                <w:rFonts w:ascii="Verdana" w:hAnsi="Verdana"/>
                <w:sz w:val="18"/>
                <w:szCs w:val="18"/>
                <w:lang w:val="en-GB"/>
              </w:rPr>
            </w:pPr>
          </w:p>
        </w:tc>
        <w:tc>
          <w:tcPr>
            <w:tcW w:w="1843" w:type="dxa"/>
            <w:tcBorders>
              <w:top w:val="single" w:sz="4" w:space="0" w:color="auto"/>
              <w:left w:val="single" w:sz="4" w:space="0" w:color="auto"/>
              <w:bottom w:val="single" w:sz="4" w:space="0" w:color="auto"/>
              <w:right w:val="single" w:sz="4" w:space="0" w:color="auto"/>
            </w:tcBorders>
          </w:tcPr>
          <w:p w14:paraId="25887BBF"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stated</w:t>
            </w:r>
          </w:p>
        </w:tc>
        <w:tc>
          <w:tcPr>
            <w:tcW w:w="2976" w:type="dxa"/>
            <w:tcBorders>
              <w:top w:val="single" w:sz="4" w:space="0" w:color="auto"/>
              <w:left w:val="single" w:sz="4" w:space="0" w:color="auto"/>
              <w:bottom w:val="single" w:sz="4" w:space="0" w:color="auto"/>
              <w:right w:val="single" w:sz="4" w:space="0" w:color="auto"/>
            </w:tcBorders>
          </w:tcPr>
          <w:p w14:paraId="00000E9B"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One pooled sample from each site.</w:t>
            </w:r>
          </w:p>
          <w:p w14:paraId="1D3CF6F9"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Total isomers: 0.012-0.033 μg/kg ww</w:t>
            </w:r>
          </w:p>
          <w:p w14:paraId="46DB7DCF"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Anti-DP: 0.012-0.024 μg/kg ww </w:t>
            </w:r>
          </w:p>
          <w:p w14:paraId="6D763D2C"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Syn-DP: &lt;0.008-0.0093 μg/kg ww </w:t>
            </w:r>
          </w:p>
        </w:tc>
        <w:tc>
          <w:tcPr>
            <w:tcW w:w="2552" w:type="dxa"/>
            <w:tcBorders>
              <w:top w:val="single" w:sz="4" w:space="0" w:color="auto"/>
              <w:left w:val="single" w:sz="4" w:space="0" w:color="auto"/>
              <w:bottom w:val="single" w:sz="4" w:space="0" w:color="auto"/>
              <w:right w:val="single" w:sz="4" w:space="0" w:color="auto"/>
            </w:tcBorders>
          </w:tcPr>
          <w:p w14:paraId="6C15AC0E"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Analysis by GC-MS. </w:t>
            </w:r>
          </w:p>
          <w:p w14:paraId="167684A8"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Sites are remote from human activity.</w:t>
            </w:r>
          </w:p>
          <w:p w14:paraId="5BCBE657" w14:textId="77777777" w:rsidR="00555502" w:rsidRPr="000C7CFA" w:rsidRDefault="00555502" w:rsidP="00704CE9">
            <w:pPr>
              <w:spacing w:after="0"/>
              <w:rPr>
                <w:rFonts w:ascii="Verdana" w:hAnsi="Verdana"/>
                <w:sz w:val="18"/>
                <w:szCs w:val="18"/>
                <w:lang w:val="en-GB"/>
              </w:rPr>
            </w:pPr>
          </w:p>
        </w:tc>
        <w:tc>
          <w:tcPr>
            <w:tcW w:w="1249" w:type="dxa"/>
            <w:tcBorders>
              <w:top w:val="single" w:sz="4" w:space="0" w:color="auto"/>
              <w:left w:val="single" w:sz="4" w:space="0" w:color="auto"/>
              <w:bottom w:val="single" w:sz="4" w:space="0" w:color="auto"/>
              <w:right w:val="single" w:sz="12" w:space="0" w:color="auto"/>
            </w:tcBorders>
          </w:tcPr>
          <w:p w14:paraId="3850721F"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Schlabach </w:t>
            </w:r>
            <w:r w:rsidRPr="000C7CFA">
              <w:rPr>
                <w:rFonts w:ascii="Verdana" w:hAnsi="Verdana"/>
                <w:i/>
                <w:sz w:val="18"/>
                <w:szCs w:val="18"/>
                <w:lang w:val="en-GB"/>
              </w:rPr>
              <w:t>et al</w:t>
            </w:r>
            <w:r w:rsidRPr="000C7CFA">
              <w:rPr>
                <w:rFonts w:ascii="Verdana" w:hAnsi="Verdana"/>
                <w:sz w:val="18"/>
                <w:szCs w:val="18"/>
                <w:lang w:val="en-GB"/>
              </w:rPr>
              <w:t>. (2011)</w:t>
            </w:r>
          </w:p>
          <w:p w14:paraId="0136D2ED" w14:textId="77777777" w:rsidR="00555502" w:rsidRPr="000C7CFA" w:rsidRDefault="00555502" w:rsidP="00704CE9">
            <w:pPr>
              <w:pStyle w:val="Tabletext"/>
              <w:spacing w:before="0" w:after="0"/>
              <w:rPr>
                <w:rFonts w:ascii="Verdana" w:hAnsi="Verdana"/>
                <w:sz w:val="18"/>
                <w:szCs w:val="18"/>
                <w:lang w:val="en-GB"/>
              </w:rPr>
            </w:pPr>
          </w:p>
        </w:tc>
      </w:tr>
      <w:tr w:rsidR="00555502" w:rsidRPr="000C7CFA" w14:paraId="181FACF5" w14:textId="77777777" w:rsidTr="00D323EC">
        <w:trPr>
          <w:cantSplit/>
          <w:trHeight w:val="387"/>
        </w:trPr>
        <w:tc>
          <w:tcPr>
            <w:tcW w:w="1928" w:type="dxa"/>
            <w:tcBorders>
              <w:top w:val="single" w:sz="4" w:space="0" w:color="auto"/>
              <w:left w:val="single" w:sz="12" w:space="0" w:color="auto"/>
              <w:bottom w:val="single" w:sz="4" w:space="0" w:color="auto"/>
              <w:right w:val="single" w:sz="4" w:space="0" w:color="auto"/>
            </w:tcBorders>
          </w:tcPr>
          <w:p w14:paraId="3F0554A7"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Common Guillemot (</w:t>
            </w:r>
            <w:r w:rsidRPr="000C7CFA">
              <w:rPr>
                <w:rFonts w:ascii="Verdana" w:hAnsi="Verdana"/>
                <w:i/>
                <w:sz w:val="18"/>
                <w:szCs w:val="18"/>
                <w:lang w:val="en-GB"/>
              </w:rPr>
              <w:t>Uria aalge</w:t>
            </w:r>
            <w:r w:rsidRPr="000C7CFA">
              <w:rPr>
                <w:rFonts w:ascii="Verdana" w:hAnsi="Verdana"/>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4A8D6897"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Eggs</w:t>
            </w:r>
          </w:p>
        </w:tc>
        <w:tc>
          <w:tcPr>
            <w:tcW w:w="2391" w:type="dxa"/>
            <w:tcBorders>
              <w:top w:val="single" w:sz="4" w:space="0" w:color="auto"/>
              <w:left w:val="single" w:sz="4" w:space="0" w:color="auto"/>
              <w:bottom w:val="single" w:sz="4" w:space="0" w:color="auto"/>
              <w:right w:val="single" w:sz="4" w:space="0" w:color="auto"/>
            </w:tcBorders>
          </w:tcPr>
          <w:p w14:paraId="2DF249D0"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Stora Karlsö, Sweden, 2009</w:t>
            </w:r>
          </w:p>
          <w:p w14:paraId="43068C0D" w14:textId="77777777" w:rsidR="00555502" w:rsidRPr="000C7CFA" w:rsidRDefault="00555502" w:rsidP="00704CE9">
            <w:pPr>
              <w:pStyle w:val="Tabletext"/>
              <w:spacing w:before="0" w:after="0"/>
              <w:rPr>
                <w:rFonts w:ascii="Verdana" w:hAnsi="Verdana"/>
                <w:sz w:val="18"/>
                <w:szCs w:val="18"/>
                <w:lang w:val="en-GB"/>
              </w:rPr>
            </w:pPr>
          </w:p>
        </w:tc>
        <w:tc>
          <w:tcPr>
            <w:tcW w:w="1843" w:type="dxa"/>
            <w:tcBorders>
              <w:top w:val="single" w:sz="4" w:space="0" w:color="auto"/>
              <w:left w:val="single" w:sz="4" w:space="0" w:color="auto"/>
              <w:bottom w:val="single" w:sz="4" w:space="0" w:color="auto"/>
              <w:right w:val="single" w:sz="4" w:space="0" w:color="auto"/>
            </w:tcBorders>
          </w:tcPr>
          <w:p w14:paraId="6D37A03E"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stated</w:t>
            </w:r>
          </w:p>
        </w:tc>
        <w:tc>
          <w:tcPr>
            <w:tcW w:w="2976" w:type="dxa"/>
            <w:tcBorders>
              <w:top w:val="single" w:sz="4" w:space="0" w:color="auto"/>
              <w:left w:val="single" w:sz="4" w:space="0" w:color="auto"/>
              <w:bottom w:val="single" w:sz="4" w:space="0" w:color="auto"/>
              <w:right w:val="single" w:sz="4" w:space="0" w:color="auto"/>
            </w:tcBorders>
          </w:tcPr>
          <w:p w14:paraId="0A0B5C58"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5 eggs, 2 sub-samples</w:t>
            </w:r>
          </w:p>
          <w:p w14:paraId="70E24C25"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Total isomers: 0.079-0.083 μg/kg ww</w:t>
            </w:r>
          </w:p>
          <w:p w14:paraId="34901FC7"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Anti-DP: 0.055-0.057 μg/kg ww </w:t>
            </w:r>
          </w:p>
          <w:p w14:paraId="181FE458"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Syn-DP: 0.023-0.026 μg/kg ww</w:t>
            </w:r>
          </w:p>
        </w:tc>
        <w:tc>
          <w:tcPr>
            <w:tcW w:w="2552" w:type="dxa"/>
            <w:tcBorders>
              <w:top w:val="single" w:sz="4" w:space="0" w:color="auto"/>
              <w:left w:val="single" w:sz="4" w:space="0" w:color="auto"/>
              <w:bottom w:val="single" w:sz="4" w:space="0" w:color="auto"/>
              <w:right w:val="single" w:sz="4" w:space="0" w:color="auto"/>
            </w:tcBorders>
          </w:tcPr>
          <w:p w14:paraId="1A87CFA6"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Analysis by GC-MS. </w:t>
            </w:r>
          </w:p>
          <w:p w14:paraId="6735D850"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Site is remote from human activity.</w:t>
            </w:r>
          </w:p>
        </w:tc>
        <w:tc>
          <w:tcPr>
            <w:tcW w:w="1249" w:type="dxa"/>
            <w:tcBorders>
              <w:top w:val="single" w:sz="4" w:space="0" w:color="auto"/>
              <w:left w:val="single" w:sz="4" w:space="0" w:color="auto"/>
              <w:bottom w:val="single" w:sz="4" w:space="0" w:color="auto"/>
              <w:right w:val="single" w:sz="12" w:space="0" w:color="auto"/>
            </w:tcBorders>
          </w:tcPr>
          <w:p w14:paraId="17B85A12"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Schlabach</w:t>
            </w:r>
            <w:r w:rsidRPr="000C7CFA">
              <w:rPr>
                <w:rFonts w:ascii="Verdana" w:hAnsi="Verdana"/>
                <w:i/>
                <w:sz w:val="18"/>
                <w:szCs w:val="18"/>
                <w:lang w:val="en-GB"/>
              </w:rPr>
              <w:t xml:space="preserve"> et al</w:t>
            </w:r>
            <w:r w:rsidRPr="000C7CFA">
              <w:rPr>
                <w:rFonts w:ascii="Verdana" w:hAnsi="Verdana"/>
                <w:sz w:val="18"/>
                <w:szCs w:val="18"/>
                <w:lang w:val="en-GB"/>
              </w:rPr>
              <w:t>. (2011)</w:t>
            </w:r>
          </w:p>
          <w:p w14:paraId="16641253" w14:textId="77777777" w:rsidR="00555502" w:rsidRPr="000C7CFA" w:rsidRDefault="00555502" w:rsidP="00704CE9">
            <w:pPr>
              <w:pStyle w:val="Tabletext"/>
              <w:spacing w:before="0" w:after="0"/>
              <w:rPr>
                <w:rFonts w:ascii="Verdana" w:hAnsi="Verdana"/>
                <w:sz w:val="18"/>
                <w:szCs w:val="18"/>
                <w:lang w:val="en-GB"/>
              </w:rPr>
            </w:pPr>
          </w:p>
        </w:tc>
      </w:tr>
      <w:tr w:rsidR="00555502" w:rsidRPr="000C7CFA" w14:paraId="7C7331B2" w14:textId="77777777" w:rsidTr="00D323EC">
        <w:trPr>
          <w:cantSplit/>
          <w:trHeight w:val="588"/>
        </w:trPr>
        <w:tc>
          <w:tcPr>
            <w:tcW w:w="1928" w:type="dxa"/>
            <w:tcBorders>
              <w:top w:val="single" w:sz="4" w:space="0" w:color="auto"/>
              <w:left w:val="single" w:sz="12" w:space="0" w:color="auto"/>
              <w:bottom w:val="single" w:sz="4" w:space="0" w:color="auto"/>
              <w:right w:val="single" w:sz="4" w:space="0" w:color="auto"/>
            </w:tcBorders>
          </w:tcPr>
          <w:p w14:paraId="123AEC54"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lastRenderedPageBreak/>
              <w:t xml:space="preserve">Brown Skua </w:t>
            </w:r>
            <w:r w:rsidRPr="000C7CFA">
              <w:rPr>
                <w:rFonts w:ascii="Verdana" w:eastAsiaTheme="minorHAnsi" w:hAnsi="Verdana"/>
                <w:sz w:val="18"/>
                <w:szCs w:val="18"/>
                <w:lang w:val="en-GB"/>
              </w:rPr>
              <w:t>(</w:t>
            </w:r>
            <w:r w:rsidRPr="000C7CFA">
              <w:rPr>
                <w:rFonts w:ascii="Verdana" w:eastAsiaTheme="minorHAnsi" w:hAnsi="Verdana"/>
                <w:i/>
                <w:sz w:val="18"/>
                <w:szCs w:val="18"/>
                <w:lang w:val="en-GB"/>
              </w:rPr>
              <w:t>Catharacta antarctica</w:t>
            </w:r>
            <w:r w:rsidRPr="000C7CFA">
              <w:rPr>
                <w:rFonts w:ascii="Verdana" w:eastAsiaTheme="minorHAnsi" w:hAnsi="Verdana"/>
                <w:sz w:val="18"/>
                <w:szCs w:val="18"/>
                <w:lang w:val="en-GB"/>
              </w:rPr>
              <w:t>)</w:t>
            </w:r>
          </w:p>
          <w:p w14:paraId="79890444" w14:textId="77777777" w:rsidR="00555502" w:rsidRPr="000C7CFA" w:rsidRDefault="00555502" w:rsidP="00704CE9">
            <w:pPr>
              <w:spacing w:after="0"/>
              <w:rPr>
                <w:rFonts w:ascii="Verdana" w:hAnsi="Verdana"/>
                <w:sz w:val="18"/>
                <w:szCs w:val="18"/>
                <w:lang w:val="en-GB"/>
              </w:rPr>
            </w:pPr>
          </w:p>
          <w:p w14:paraId="187595EC"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Gentoo Penguin (</w:t>
            </w:r>
            <w:r w:rsidRPr="000C7CFA">
              <w:rPr>
                <w:rFonts w:ascii="Verdana" w:eastAsiaTheme="minorHAnsi" w:hAnsi="Verdana"/>
                <w:i/>
                <w:sz w:val="18"/>
                <w:szCs w:val="18"/>
                <w:lang w:val="en-GB"/>
              </w:rPr>
              <w:t>Pygoscelis papua</w:t>
            </w:r>
            <w:r w:rsidRPr="000C7CFA">
              <w:rPr>
                <w:rFonts w:ascii="Verdana" w:hAnsi="Verdana"/>
                <w:sz w:val="18"/>
                <w:szCs w:val="18"/>
                <w:lang w:val="en-GB"/>
              </w:rPr>
              <w:t>)</w:t>
            </w:r>
          </w:p>
          <w:p w14:paraId="720543E4" w14:textId="77777777" w:rsidR="00555502" w:rsidRPr="000C7CFA" w:rsidRDefault="00555502" w:rsidP="00704CE9">
            <w:pPr>
              <w:spacing w:after="0"/>
              <w:rPr>
                <w:rFonts w:ascii="Verdana" w:hAnsi="Verdana"/>
                <w:sz w:val="18"/>
                <w:szCs w:val="18"/>
                <w:lang w:val="en-GB"/>
              </w:rPr>
            </w:pPr>
          </w:p>
          <w:p w14:paraId="4F0A74C4"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Adélie Penguin (</w:t>
            </w:r>
            <w:r w:rsidRPr="000C7CFA">
              <w:rPr>
                <w:rFonts w:ascii="Verdana" w:eastAsiaTheme="minorHAnsi" w:hAnsi="Verdana"/>
                <w:i/>
                <w:sz w:val="18"/>
                <w:szCs w:val="18"/>
                <w:lang w:val="en-GB"/>
              </w:rPr>
              <w:t>Pygoscelis adeliae</w:t>
            </w:r>
            <w:r w:rsidRPr="000C7CFA">
              <w:rPr>
                <w:rFonts w:ascii="Verdana" w:hAnsi="Verdana"/>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5F2E759E"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Carcass</w:t>
            </w:r>
          </w:p>
        </w:tc>
        <w:tc>
          <w:tcPr>
            <w:tcW w:w="2391" w:type="dxa"/>
            <w:tcBorders>
              <w:top w:val="single" w:sz="4" w:space="0" w:color="auto"/>
              <w:left w:val="single" w:sz="4" w:space="0" w:color="auto"/>
              <w:bottom w:val="single" w:sz="4" w:space="0" w:color="auto"/>
              <w:right w:val="single" w:sz="4" w:space="0" w:color="auto"/>
            </w:tcBorders>
          </w:tcPr>
          <w:p w14:paraId="14631641" w14:textId="77777777" w:rsidR="00555502" w:rsidRPr="000C7CFA" w:rsidRDefault="00555502" w:rsidP="00704CE9">
            <w:pPr>
              <w:spacing w:after="0"/>
              <w:rPr>
                <w:rFonts w:ascii="Verdana" w:hAnsi="Verdana"/>
                <w:sz w:val="18"/>
                <w:szCs w:val="18"/>
                <w:lang w:val="en-GB" w:eastAsia="ar-SA"/>
              </w:rPr>
            </w:pPr>
            <w:r w:rsidRPr="000C7CFA">
              <w:rPr>
                <w:rFonts w:ascii="Verdana" w:hAnsi="Verdana"/>
                <w:sz w:val="18"/>
                <w:szCs w:val="18"/>
                <w:lang w:val="en-GB" w:eastAsia="ar-SA"/>
              </w:rPr>
              <w:t>King George Island, Antarctica, 2008 (skua) &amp; 2009 (penguins)</w:t>
            </w:r>
          </w:p>
        </w:tc>
        <w:tc>
          <w:tcPr>
            <w:tcW w:w="1843" w:type="dxa"/>
            <w:tcBorders>
              <w:top w:val="single" w:sz="4" w:space="0" w:color="auto"/>
              <w:left w:val="single" w:sz="4" w:space="0" w:color="auto"/>
              <w:bottom w:val="single" w:sz="4" w:space="0" w:color="auto"/>
              <w:right w:val="single" w:sz="4" w:space="0" w:color="auto"/>
            </w:tcBorders>
          </w:tcPr>
          <w:p w14:paraId="385965A6" w14:textId="77777777" w:rsidR="00555502" w:rsidRPr="000C7CFA" w:rsidRDefault="00555502" w:rsidP="00704CE9">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Not stated</w:t>
            </w:r>
          </w:p>
        </w:tc>
        <w:tc>
          <w:tcPr>
            <w:tcW w:w="2976" w:type="dxa"/>
            <w:tcBorders>
              <w:top w:val="single" w:sz="4" w:space="0" w:color="auto"/>
              <w:left w:val="single" w:sz="4" w:space="0" w:color="auto"/>
              <w:bottom w:val="single" w:sz="4" w:space="0" w:color="auto"/>
              <w:right w:val="single" w:sz="4" w:space="0" w:color="auto"/>
            </w:tcBorders>
          </w:tcPr>
          <w:p w14:paraId="589D6752"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Both isomers detected in all samples (n=6). Mean concentrations of total isomers:</w:t>
            </w:r>
          </w:p>
          <w:p w14:paraId="2991A2B6"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p>
          <w:p w14:paraId="531BE580" w14:textId="77777777" w:rsidR="00555502" w:rsidRPr="000C7CFA" w:rsidRDefault="00555502" w:rsidP="00704CE9">
            <w:pPr>
              <w:autoSpaceDE w:val="0"/>
              <w:autoSpaceDN w:val="0"/>
              <w:adjustRightInd w:val="0"/>
              <w:spacing w:after="0"/>
              <w:rPr>
                <w:rFonts w:ascii="Verdana" w:hAnsi="Verdana"/>
                <w:sz w:val="18"/>
                <w:szCs w:val="18"/>
                <w:lang w:val="en-GB"/>
              </w:rPr>
            </w:pPr>
            <w:r w:rsidRPr="000C7CFA">
              <w:rPr>
                <w:rFonts w:ascii="Verdana" w:eastAsiaTheme="minorHAnsi" w:hAnsi="Verdana"/>
                <w:sz w:val="18"/>
                <w:szCs w:val="18"/>
                <w:lang w:val="en-GB"/>
              </w:rPr>
              <w:t>Brown Skua (n=3): 4.55</w:t>
            </w:r>
            <w:r w:rsidRPr="000C7CFA">
              <w:rPr>
                <w:rFonts w:ascii="Verdana" w:hAnsi="Verdana"/>
                <w:sz w:val="18"/>
                <w:szCs w:val="18"/>
                <w:lang w:val="en-GB"/>
              </w:rPr>
              <w:t xml:space="preserve"> μg/kg lw</w:t>
            </w:r>
          </w:p>
          <w:p w14:paraId="704040FB" w14:textId="77777777" w:rsidR="00555502" w:rsidRPr="000C7CFA" w:rsidRDefault="00555502"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Penguins (n=3): 0.28 μg/kg lw</w:t>
            </w:r>
          </w:p>
          <w:p w14:paraId="6C09C315" w14:textId="77777777" w:rsidR="00555502" w:rsidRPr="000C7CFA" w:rsidRDefault="00555502" w:rsidP="00704CE9">
            <w:pPr>
              <w:autoSpaceDE w:val="0"/>
              <w:autoSpaceDN w:val="0"/>
              <w:adjustRightInd w:val="0"/>
              <w:spacing w:after="0"/>
              <w:rPr>
                <w:rFonts w:ascii="Verdana" w:hAnsi="Verdana"/>
                <w:sz w:val="18"/>
                <w:szCs w:val="18"/>
                <w:lang w:val="en-GB"/>
              </w:rPr>
            </w:pPr>
          </w:p>
          <w:p w14:paraId="4D8DFE08"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r w:rsidRPr="000C7CFA">
              <w:rPr>
                <w:rFonts w:ascii="Verdana" w:hAnsi="Verdana"/>
                <w:sz w:val="18"/>
                <w:szCs w:val="18"/>
                <w:lang w:val="en-GB"/>
              </w:rPr>
              <w:t>11.1 μg/kg lw in one skua sample</w:t>
            </w:r>
          </w:p>
        </w:tc>
        <w:tc>
          <w:tcPr>
            <w:tcW w:w="2552" w:type="dxa"/>
            <w:tcBorders>
              <w:top w:val="single" w:sz="4" w:space="0" w:color="auto"/>
              <w:left w:val="single" w:sz="4" w:space="0" w:color="auto"/>
              <w:bottom w:val="single" w:sz="4" w:space="0" w:color="auto"/>
              <w:right w:val="single" w:sz="4" w:space="0" w:color="auto"/>
            </w:tcBorders>
          </w:tcPr>
          <w:p w14:paraId="5B57470E"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Analysis by GC-MS. </w:t>
            </w:r>
          </w:p>
          <w:p w14:paraId="3E4DCF3C"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r w:rsidRPr="000C7CFA">
              <w:rPr>
                <w:rFonts w:ascii="Verdana" w:hAnsi="Verdana"/>
                <w:sz w:val="18"/>
                <w:szCs w:val="18"/>
                <w:lang w:val="en-GB"/>
              </w:rPr>
              <w:t>Site is remote from human activity, though skuas may feed on research station refuse.</w:t>
            </w:r>
          </w:p>
        </w:tc>
        <w:tc>
          <w:tcPr>
            <w:tcW w:w="1249" w:type="dxa"/>
            <w:tcBorders>
              <w:top w:val="single" w:sz="4" w:space="0" w:color="auto"/>
              <w:left w:val="single" w:sz="4" w:space="0" w:color="auto"/>
              <w:bottom w:val="single" w:sz="4" w:space="0" w:color="auto"/>
              <w:right w:val="single" w:sz="12" w:space="0" w:color="auto"/>
            </w:tcBorders>
          </w:tcPr>
          <w:p w14:paraId="4A1400E5" w14:textId="77777777" w:rsidR="00555502" w:rsidRPr="000C7CFA" w:rsidRDefault="00555502" w:rsidP="00704CE9">
            <w:pPr>
              <w:spacing w:after="0"/>
              <w:rPr>
                <w:rFonts w:ascii="Verdana" w:hAnsi="Verdana"/>
                <w:sz w:val="18"/>
                <w:szCs w:val="18"/>
                <w:lang w:val="en-GB" w:eastAsia="ar-SA"/>
              </w:rPr>
            </w:pPr>
            <w:r w:rsidRPr="000C7CFA">
              <w:rPr>
                <w:rFonts w:ascii="Verdana" w:hAnsi="Verdana"/>
                <w:sz w:val="18"/>
                <w:szCs w:val="18"/>
                <w:lang w:eastAsia="en-GB"/>
              </w:rPr>
              <w:t xml:space="preserve">Kang </w:t>
            </w:r>
            <w:r w:rsidRPr="000C7CFA">
              <w:rPr>
                <w:rFonts w:ascii="Verdana" w:hAnsi="Verdana"/>
                <w:i/>
                <w:sz w:val="18"/>
                <w:szCs w:val="18"/>
                <w:lang w:eastAsia="en-GB"/>
              </w:rPr>
              <w:t>et al</w:t>
            </w:r>
            <w:r w:rsidRPr="000C7CFA">
              <w:rPr>
                <w:rFonts w:ascii="Verdana" w:hAnsi="Verdana"/>
                <w:sz w:val="18"/>
                <w:szCs w:val="18"/>
                <w:lang w:eastAsia="en-GB"/>
              </w:rPr>
              <w:t>. (2013) [ABST]</w:t>
            </w:r>
          </w:p>
        </w:tc>
      </w:tr>
      <w:tr w:rsidR="003F6F51" w:rsidRPr="000C7CFA" w14:paraId="7DBE9A8E" w14:textId="77777777" w:rsidTr="00D323EC">
        <w:trPr>
          <w:cantSplit/>
          <w:trHeight w:val="588"/>
        </w:trPr>
        <w:tc>
          <w:tcPr>
            <w:tcW w:w="1928" w:type="dxa"/>
            <w:tcBorders>
              <w:top w:val="single" w:sz="4" w:space="0" w:color="auto"/>
              <w:left w:val="single" w:sz="12" w:space="0" w:color="auto"/>
              <w:bottom w:val="single" w:sz="4" w:space="0" w:color="auto"/>
              <w:right w:val="single" w:sz="4" w:space="0" w:color="auto"/>
            </w:tcBorders>
          </w:tcPr>
          <w:p w14:paraId="6A467811" w14:textId="15C851C0" w:rsidR="003F6F51" w:rsidRPr="000C7CFA" w:rsidRDefault="003F6F51" w:rsidP="000A1A05">
            <w:pPr>
              <w:spacing w:after="0"/>
              <w:rPr>
                <w:rFonts w:ascii="Verdana" w:hAnsi="Verdana"/>
                <w:sz w:val="18"/>
                <w:szCs w:val="18"/>
                <w:lang w:val="en-GB"/>
              </w:rPr>
            </w:pPr>
            <w:r w:rsidRPr="000C7CFA">
              <w:rPr>
                <w:rFonts w:ascii="Verdana" w:hAnsi="Verdana"/>
                <w:sz w:val="18"/>
                <w:szCs w:val="18"/>
                <w:lang w:val="en-GB"/>
              </w:rPr>
              <w:t>Seabirds including Common Eider (</w:t>
            </w:r>
            <w:r w:rsidRPr="000C7CFA">
              <w:rPr>
                <w:rFonts w:ascii="Verdana" w:hAnsi="Verdana"/>
                <w:i/>
                <w:sz w:val="18"/>
                <w:szCs w:val="18"/>
                <w:lang w:val="en-GB"/>
              </w:rPr>
              <w:t>Somateria mollisima</w:t>
            </w:r>
            <w:r w:rsidRPr="000C7CFA">
              <w:rPr>
                <w:rFonts w:ascii="Verdana" w:hAnsi="Verdana"/>
                <w:sz w:val="18"/>
                <w:szCs w:val="18"/>
                <w:lang w:val="en-GB"/>
              </w:rPr>
              <w:t xml:space="preserve">), </w:t>
            </w:r>
            <w:r w:rsidR="00A11FA5" w:rsidRPr="000C7CFA">
              <w:rPr>
                <w:rFonts w:ascii="Verdana" w:hAnsi="Verdana"/>
                <w:sz w:val="18"/>
                <w:szCs w:val="18"/>
                <w:lang w:val="en-GB"/>
              </w:rPr>
              <w:t>European</w:t>
            </w:r>
            <w:r w:rsidRPr="000C7CFA">
              <w:rPr>
                <w:rFonts w:ascii="Verdana" w:hAnsi="Verdana"/>
                <w:sz w:val="18"/>
                <w:szCs w:val="18"/>
                <w:lang w:val="en-GB"/>
              </w:rPr>
              <w:t xml:space="preserve"> Shag (</w:t>
            </w:r>
            <w:r w:rsidRPr="000C7CFA">
              <w:rPr>
                <w:rFonts w:ascii="Verdana" w:hAnsi="Verdana"/>
                <w:i/>
                <w:sz w:val="18"/>
                <w:szCs w:val="18"/>
                <w:lang w:val="en-GB"/>
              </w:rPr>
              <w:t>Phalacrocorax aristotelis</w:t>
            </w:r>
            <w:r w:rsidRPr="000C7CFA">
              <w:rPr>
                <w:rFonts w:ascii="Verdana" w:hAnsi="Verdana"/>
                <w:sz w:val="18"/>
                <w:szCs w:val="18"/>
                <w:lang w:val="en-GB"/>
              </w:rPr>
              <w:t>) and European Herring Gull (</w:t>
            </w:r>
            <w:r w:rsidRPr="000C7CFA">
              <w:rPr>
                <w:rFonts w:ascii="Verdana" w:hAnsi="Verdana"/>
                <w:i/>
                <w:sz w:val="18"/>
                <w:szCs w:val="18"/>
                <w:lang w:val="en-GB"/>
              </w:rPr>
              <w:t>Larus argentatus</w:t>
            </w:r>
            <w:r w:rsidRPr="000C7CFA">
              <w:rPr>
                <w:rFonts w:ascii="Verdana" w:hAnsi="Verdana"/>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2C790E80"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Eggs</w:t>
            </w:r>
          </w:p>
        </w:tc>
        <w:tc>
          <w:tcPr>
            <w:tcW w:w="2391" w:type="dxa"/>
            <w:tcBorders>
              <w:top w:val="single" w:sz="4" w:space="0" w:color="auto"/>
              <w:left w:val="single" w:sz="4" w:space="0" w:color="auto"/>
              <w:bottom w:val="single" w:sz="4" w:space="0" w:color="auto"/>
              <w:right w:val="single" w:sz="4" w:space="0" w:color="auto"/>
            </w:tcBorders>
          </w:tcPr>
          <w:p w14:paraId="3B2E14AD" w14:textId="77777777" w:rsidR="003F6F51" w:rsidRPr="000C7CFA" w:rsidRDefault="003F6F51" w:rsidP="00FC2B2F">
            <w:pPr>
              <w:spacing w:after="0"/>
              <w:rPr>
                <w:rFonts w:ascii="Verdana" w:hAnsi="Verdana"/>
                <w:sz w:val="18"/>
                <w:szCs w:val="18"/>
                <w:lang w:val="en-GB" w:eastAsia="ar-SA"/>
              </w:rPr>
            </w:pPr>
            <w:r w:rsidRPr="000C7CFA">
              <w:rPr>
                <w:rFonts w:ascii="Verdana" w:hAnsi="Verdana"/>
                <w:sz w:val="18"/>
                <w:szCs w:val="18"/>
                <w:lang w:val="en-GB" w:eastAsia="ar-SA"/>
              </w:rPr>
              <w:t xml:space="preserve">Islands of Røst and Sklinna, Norway (n=18), May 2012-June 2012. </w:t>
            </w:r>
          </w:p>
        </w:tc>
        <w:tc>
          <w:tcPr>
            <w:tcW w:w="1843" w:type="dxa"/>
            <w:tcBorders>
              <w:top w:val="single" w:sz="4" w:space="0" w:color="auto"/>
              <w:left w:val="single" w:sz="4" w:space="0" w:color="auto"/>
              <w:bottom w:val="single" w:sz="4" w:space="0" w:color="auto"/>
              <w:right w:val="single" w:sz="4" w:space="0" w:color="auto"/>
            </w:tcBorders>
          </w:tcPr>
          <w:p w14:paraId="71DBF1F5" w14:textId="77777777" w:rsidR="003F6F51" w:rsidRPr="000C7CFA" w:rsidRDefault="003F6F51" w:rsidP="00FC2B2F">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Not clear</w:t>
            </w:r>
          </w:p>
        </w:tc>
        <w:tc>
          <w:tcPr>
            <w:tcW w:w="2976" w:type="dxa"/>
            <w:tcBorders>
              <w:top w:val="single" w:sz="4" w:space="0" w:color="auto"/>
              <w:left w:val="single" w:sz="4" w:space="0" w:color="auto"/>
              <w:bottom w:val="single" w:sz="4" w:space="0" w:color="auto"/>
              <w:right w:val="single" w:sz="4" w:space="0" w:color="auto"/>
            </w:tcBorders>
          </w:tcPr>
          <w:p w14:paraId="1DDE3E4A" w14:textId="77777777" w:rsidR="003F6F51" w:rsidRPr="000C7CFA" w:rsidRDefault="003F6F51"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&lt;LoD-0.08 μg/kg</w:t>
            </w:r>
          </w:p>
          <w:p w14:paraId="72086124" w14:textId="77777777" w:rsidR="003F6F51" w:rsidRPr="000C7CFA" w:rsidRDefault="003F6F51"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&lt;LoD</w:t>
            </w:r>
          </w:p>
        </w:tc>
        <w:tc>
          <w:tcPr>
            <w:tcW w:w="2552" w:type="dxa"/>
            <w:tcBorders>
              <w:top w:val="single" w:sz="4" w:space="0" w:color="auto"/>
              <w:left w:val="single" w:sz="4" w:space="0" w:color="auto"/>
              <w:bottom w:val="single" w:sz="4" w:space="0" w:color="auto"/>
              <w:right w:val="single" w:sz="4" w:space="0" w:color="auto"/>
            </w:tcBorders>
          </w:tcPr>
          <w:p w14:paraId="46838E20" w14:textId="77777777" w:rsidR="003F6F51" w:rsidRPr="000C7CFA" w:rsidRDefault="003F6F51" w:rsidP="00FC2B2F">
            <w:pPr>
              <w:spacing w:after="0"/>
              <w:rPr>
                <w:rFonts w:ascii="Verdana" w:hAnsi="Verdana"/>
                <w:sz w:val="18"/>
                <w:szCs w:val="18"/>
                <w:lang w:val="en-GB"/>
              </w:rPr>
            </w:pPr>
            <w:r w:rsidRPr="000C7CFA">
              <w:rPr>
                <w:rFonts w:ascii="Verdana" w:hAnsi="Verdana"/>
                <w:sz w:val="18"/>
                <w:szCs w:val="18"/>
                <w:lang w:val="en-GB"/>
              </w:rPr>
              <w:t>Anti-DP detected in 2 samples. Syn-DP not detectable</w:t>
            </w:r>
          </w:p>
        </w:tc>
        <w:tc>
          <w:tcPr>
            <w:tcW w:w="1249" w:type="dxa"/>
            <w:tcBorders>
              <w:top w:val="single" w:sz="4" w:space="0" w:color="auto"/>
              <w:left w:val="single" w:sz="4" w:space="0" w:color="auto"/>
              <w:bottom w:val="single" w:sz="4" w:space="0" w:color="auto"/>
              <w:right w:val="single" w:sz="12" w:space="0" w:color="auto"/>
            </w:tcBorders>
          </w:tcPr>
          <w:p w14:paraId="3FF038C4" w14:textId="77777777" w:rsidR="003F6F51" w:rsidRPr="000C7CFA" w:rsidRDefault="003F6F51" w:rsidP="003F6F51">
            <w:pPr>
              <w:spacing w:after="0"/>
              <w:rPr>
                <w:rFonts w:ascii="Verdana" w:hAnsi="Verdana"/>
                <w:sz w:val="18"/>
                <w:szCs w:val="18"/>
                <w:lang w:val="fr-FR" w:eastAsia="en-GB"/>
              </w:rPr>
            </w:pPr>
            <w:r w:rsidRPr="000C7CFA">
              <w:rPr>
                <w:rFonts w:ascii="Verdana" w:hAnsi="Verdana"/>
                <w:sz w:val="18"/>
                <w:szCs w:val="18"/>
                <w:lang w:val="fr-FR" w:eastAsia="en-GB"/>
              </w:rPr>
              <w:t xml:space="preserve">Huber </w:t>
            </w:r>
            <w:r w:rsidRPr="000C7CFA">
              <w:rPr>
                <w:rFonts w:ascii="Verdana" w:hAnsi="Verdana"/>
                <w:i/>
                <w:sz w:val="18"/>
                <w:szCs w:val="18"/>
                <w:lang w:val="fr-FR" w:eastAsia="en-GB"/>
              </w:rPr>
              <w:t xml:space="preserve">et al. </w:t>
            </w:r>
            <w:r w:rsidRPr="000C7CFA">
              <w:rPr>
                <w:rFonts w:ascii="Verdana" w:hAnsi="Verdana"/>
                <w:sz w:val="18"/>
                <w:szCs w:val="18"/>
                <w:lang w:val="fr-FR" w:eastAsia="en-GB"/>
              </w:rPr>
              <w:t>(2015a&amp;b).</w:t>
            </w:r>
          </w:p>
        </w:tc>
      </w:tr>
      <w:tr w:rsidR="00555502" w:rsidRPr="000C7CFA" w14:paraId="2C3B1DEE" w14:textId="77777777" w:rsidTr="00D323EC">
        <w:trPr>
          <w:cantSplit/>
          <w:trHeight w:val="3666"/>
        </w:trPr>
        <w:tc>
          <w:tcPr>
            <w:tcW w:w="1928" w:type="dxa"/>
            <w:tcBorders>
              <w:top w:val="single" w:sz="4" w:space="0" w:color="auto"/>
              <w:left w:val="single" w:sz="12" w:space="0" w:color="auto"/>
              <w:bottom w:val="single" w:sz="4" w:space="0" w:color="auto"/>
              <w:right w:val="single" w:sz="4" w:space="0" w:color="auto"/>
            </w:tcBorders>
          </w:tcPr>
          <w:p w14:paraId="143C343F"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lastRenderedPageBreak/>
              <w:t>Common K</w:t>
            </w:r>
            <w:r w:rsidRPr="000C7CFA">
              <w:rPr>
                <w:rFonts w:ascii="Verdana" w:hAnsi="Verdana"/>
                <w:sz w:val="18"/>
                <w:szCs w:val="18"/>
                <w:lang w:val="en-GB" w:eastAsia="ar-SA"/>
              </w:rPr>
              <w:t>ingfisher</w:t>
            </w:r>
          </w:p>
          <w:p w14:paraId="64AD15B3"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eastAsia="ar-SA"/>
              </w:rPr>
              <w:t>(</w:t>
            </w:r>
            <w:r w:rsidRPr="000C7CFA">
              <w:rPr>
                <w:rFonts w:ascii="Verdana" w:hAnsi="Verdana"/>
                <w:i/>
                <w:sz w:val="18"/>
                <w:szCs w:val="18"/>
                <w:lang w:val="en-GB" w:eastAsia="ar-SA"/>
              </w:rPr>
              <w:t>Alcedo atthis</w:t>
            </w:r>
            <w:r w:rsidRPr="000C7CFA">
              <w:rPr>
                <w:rFonts w:ascii="Verdana" w:hAnsi="Verdana"/>
                <w:sz w:val="18"/>
                <w:szCs w:val="18"/>
                <w:lang w:val="en-GB"/>
              </w:rPr>
              <w:t>)</w:t>
            </w:r>
          </w:p>
          <w:p w14:paraId="5F26526F" w14:textId="77777777" w:rsidR="00555502" w:rsidRPr="000C7CFA" w:rsidRDefault="00555502" w:rsidP="00704CE9">
            <w:pPr>
              <w:pStyle w:val="Tabletext"/>
              <w:spacing w:before="0" w:after="0"/>
              <w:rPr>
                <w:rFonts w:ascii="Verdana" w:hAnsi="Verdana"/>
                <w:sz w:val="18"/>
                <w:szCs w:val="18"/>
                <w:lang w:val="en-GB"/>
              </w:rPr>
            </w:pPr>
          </w:p>
        </w:tc>
        <w:tc>
          <w:tcPr>
            <w:tcW w:w="1068" w:type="dxa"/>
            <w:tcBorders>
              <w:top w:val="single" w:sz="4" w:space="0" w:color="auto"/>
              <w:left w:val="single" w:sz="4" w:space="0" w:color="auto"/>
              <w:bottom w:val="single" w:sz="4" w:space="0" w:color="auto"/>
              <w:right w:val="single" w:sz="4" w:space="0" w:color="auto"/>
            </w:tcBorders>
          </w:tcPr>
          <w:p w14:paraId="5C35676E"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Pectoral muscle</w:t>
            </w:r>
          </w:p>
        </w:tc>
        <w:tc>
          <w:tcPr>
            <w:tcW w:w="2391" w:type="dxa"/>
            <w:tcBorders>
              <w:top w:val="single" w:sz="4" w:space="0" w:color="auto"/>
              <w:left w:val="single" w:sz="4" w:space="0" w:color="auto"/>
              <w:bottom w:val="single" w:sz="4" w:space="0" w:color="auto"/>
              <w:right w:val="single" w:sz="4" w:space="0" w:color="auto"/>
            </w:tcBorders>
          </w:tcPr>
          <w:p w14:paraId="07CDD183" w14:textId="77777777" w:rsidR="00555502" w:rsidRPr="000C7CFA" w:rsidRDefault="00555502" w:rsidP="00704CE9">
            <w:pPr>
              <w:spacing w:after="0"/>
              <w:rPr>
                <w:rFonts w:ascii="Verdana" w:hAnsi="Verdana"/>
                <w:sz w:val="18"/>
                <w:szCs w:val="18"/>
                <w:lang w:val="en-GB" w:eastAsia="ar-SA"/>
              </w:rPr>
            </w:pPr>
            <w:r w:rsidRPr="000C7CFA">
              <w:rPr>
                <w:rFonts w:ascii="Verdana" w:hAnsi="Verdana"/>
                <w:sz w:val="18"/>
                <w:szCs w:val="18"/>
                <w:lang w:val="en-GB" w:eastAsia="ar-SA"/>
              </w:rPr>
              <w:t xml:space="preserve">E-waste recycling site &amp;  reference site (Dinghu Mountain) in the Pearl River Delta, Guangdong Province, southern China; March-July 2010. </w:t>
            </w:r>
          </w:p>
        </w:tc>
        <w:tc>
          <w:tcPr>
            <w:tcW w:w="1843" w:type="dxa"/>
            <w:tcBorders>
              <w:top w:val="single" w:sz="4" w:space="0" w:color="auto"/>
              <w:left w:val="single" w:sz="4" w:space="0" w:color="auto"/>
              <w:bottom w:val="single" w:sz="4" w:space="0" w:color="auto"/>
              <w:right w:val="single" w:sz="4" w:space="0" w:color="auto"/>
            </w:tcBorders>
          </w:tcPr>
          <w:p w14:paraId="7DEB4D4D" w14:textId="04F2AAAC"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napToGrid/>
                <w:sz w:val="18"/>
                <w:szCs w:val="18"/>
                <w:lang w:val="en-GB" w:eastAsia="ar-SA"/>
              </w:rPr>
              <w:t>Anti-DP: 0.59 (lw)</w:t>
            </w:r>
          </w:p>
          <w:p w14:paraId="47018473" w14:textId="77777777" w:rsidR="00555502" w:rsidRPr="000C7CFA" w:rsidRDefault="00555502" w:rsidP="00704CE9">
            <w:pPr>
              <w:jc w:val="center"/>
              <w:rPr>
                <w:rFonts w:ascii="Verdana" w:hAnsi="Verdana"/>
                <w:sz w:val="18"/>
                <w:szCs w:val="18"/>
                <w:lang w:val="en-GB"/>
              </w:rPr>
            </w:pPr>
            <w:r w:rsidRPr="000C7CFA">
              <w:rPr>
                <w:rFonts w:ascii="Verdana" w:hAnsi="Verdana"/>
                <w:sz w:val="18"/>
                <w:szCs w:val="18"/>
                <w:lang w:val="en-GB" w:eastAsia="ar-SA"/>
              </w:rPr>
              <w:t>Syn-DP: 0.14 (lw)</w:t>
            </w:r>
          </w:p>
        </w:tc>
        <w:tc>
          <w:tcPr>
            <w:tcW w:w="2976" w:type="dxa"/>
            <w:tcBorders>
              <w:top w:val="single" w:sz="4" w:space="0" w:color="auto"/>
              <w:left w:val="single" w:sz="4" w:space="0" w:color="auto"/>
              <w:bottom w:val="single" w:sz="4" w:space="0" w:color="auto"/>
              <w:right w:val="single" w:sz="4" w:space="0" w:color="auto"/>
            </w:tcBorders>
          </w:tcPr>
          <w:p w14:paraId="204304D3" w14:textId="77777777" w:rsidR="00555502" w:rsidRPr="000C7CFA" w:rsidRDefault="00555502" w:rsidP="00704CE9">
            <w:pPr>
              <w:autoSpaceDE w:val="0"/>
              <w:autoSpaceDN w:val="0"/>
              <w:adjustRightInd w:val="0"/>
              <w:spacing w:after="0"/>
              <w:rPr>
                <w:rFonts w:ascii="Verdana" w:eastAsiaTheme="minorHAnsi" w:hAnsi="Verdana"/>
                <w:color w:val="000000"/>
                <w:sz w:val="18"/>
                <w:szCs w:val="18"/>
                <w:lang w:val="de-DE"/>
              </w:rPr>
            </w:pPr>
            <w:r w:rsidRPr="000C7CFA">
              <w:rPr>
                <w:rFonts w:ascii="Verdana" w:eastAsiaTheme="minorHAnsi" w:hAnsi="Verdana"/>
                <w:sz w:val="18"/>
                <w:szCs w:val="18"/>
                <w:lang w:val="de-DE"/>
              </w:rPr>
              <w:t xml:space="preserve">E-waste recycling site </w:t>
            </w:r>
            <w:r w:rsidRPr="000C7CFA">
              <w:rPr>
                <w:rFonts w:ascii="Verdana" w:eastAsiaTheme="minorHAnsi" w:hAnsi="Verdana"/>
                <w:color w:val="000000"/>
                <w:sz w:val="18"/>
                <w:szCs w:val="18"/>
                <w:lang w:val="de-DE"/>
              </w:rPr>
              <w:t>(n = 22)</w:t>
            </w:r>
          </w:p>
          <w:p w14:paraId="461CCC59"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Total isomers: median 58 (range: 29–150) µg/kg lw</w:t>
            </w:r>
          </w:p>
          <w:p w14:paraId="59D846ED"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p>
          <w:p w14:paraId="5925CEB5"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Reference site </w:t>
            </w:r>
            <w:r w:rsidRPr="000C7CFA">
              <w:rPr>
                <w:rFonts w:ascii="Verdana" w:eastAsiaTheme="minorHAnsi" w:hAnsi="Verdana"/>
                <w:color w:val="000000"/>
                <w:sz w:val="18"/>
                <w:szCs w:val="18"/>
                <w:lang w:val="en-GB"/>
              </w:rPr>
              <w:t>(n = 17)</w:t>
            </w:r>
          </w:p>
          <w:p w14:paraId="1A77E314"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Total isomers: median 3.9 (range: 0.98–13) µg/kg lw</w:t>
            </w:r>
          </w:p>
          <w:p w14:paraId="044F2A45"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 </w:t>
            </w:r>
          </w:p>
          <w:p w14:paraId="6C154ECA" w14:textId="10009E3D" w:rsidR="00555502" w:rsidRPr="000C7CFA" w:rsidRDefault="00555502" w:rsidP="00704CE9">
            <w:pPr>
              <w:autoSpaceDE w:val="0"/>
              <w:autoSpaceDN w:val="0"/>
              <w:adjustRightInd w:val="0"/>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 xml:space="preserve">Anti-DP-1Cl was detected in all samples collected from the e-waste recycling site (range: 0.22-13 </w:t>
            </w:r>
            <w:r w:rsidRPr="000C7CFA">
              <w:rPr>
                <w:rFonts w:ascii="Verdana" w:eastAsiaTheme="minorHAnsi" w:hAnsi="Verdana"/>
                <w:sz w:val="18"/>
                <w:szCs w:val="18"/>
                <w:lang w:val="en-GB"/>
              </w:rPr>
              <w:t xml:space="preserve">µg/kg </w:t>
            </w:r>
            <w:r w:rsidRPr="000C7CFA">
              <w:rPr>
                <w:rFonts w:ascii="Verdana" w:eastAsiaTheme="minorHAnsi" w:hAnsi="Verdana"/>
                <w:color w:val="000000"/>
                <w:sz w:val="18"/>
                <w:szCs w:val="18"/>
                <w:lang w:val="en-GB"/>
              </w:rPr>
              <w:t>lw), but only in 1</w:t>
            </w:r>
            <w:r w:rsidR="00AF7606" w:rsidRPr="000C7CFA">
              <w:rPr>
                <w:rFonts w:ascii="Verdana" w:eastAsiaTheme="minorHAnsi" w:hAnsi="Verdana"/>
                <w:color w:val="000000"/>
                <w:sz w:val="18"/>
                <w:szCs w:val="18"/>
                <w:lang w:val="en-GB"/>
              </w:rPr>
              <w:t>7 %</w:t>
            </w:r>
            <w:r w:rsidRPr="000C7CFA">
              <w:rPr>
                <w:rFonts w:ascii="Verdana" w:eastAsiaTheme="minorHAnsi" w:hAnsi="Verdana"/>
                <w:color w:val="000000"/>
                <w:sz w:val="18"/>
                <w:szCs w:val="18"/>
                <w:lang w:val="en-GB"/>
              </w:rPr>
              <w:t xml:space="preserve"> of the birds from the reference site (range: &lt;0.09-0.36 </w:t>
            </w:r>
            <w:r w:rsidRPr="000C7CFA">
              <w:rPr>
                <w:rFonts w:ascii="Verdana" w:eastAsiaTheme="minorHAnsi" w:hAnsi="Verdana"/>
                <w:sz w:val="18"/>
                <w:szCs w:val="18"/>
                <w:lang w:val="en-GB"/>
              </w:rPr>
              <w:t xml:space="preserve">µg/kg </w:t>
            </w:r>
            <w:r w:rsidRPr="000C7CFA">
              <w:rPr>
                <w:rFonts w:ascii="Verdana" w:eastAsiaTheme="minorHAnsi" w:hAnsi="Verdana"/>
                <w:color w:val="000000"/>
                <w:sz w:val="18"/>
                <w:szCs w:val="18"/>
                <w:lang w:val="en-GB"/>
              </w:rPr>
              <w:t xml:space="preserve">lw). Anti-DP-2Cl was not detected in any sample (LoD 0.01 </w:t>
            </w:r>
            <w:r w:rsidRPr="000C7CFA">
              <w:rPr>
                <w:rFonts w:ascii="Verdana" w:eastAsiaTheme="minorHAnsi" w:hAnsi="Verdana"/>
                <w:sz w:val="18"/>
                <w:szCs w:val="18"/>
                <w:lang w:val="en-GB"/>
              </w:rPr>
              <w:t xml:space="preserve">µg/kg </w:t>
            </w:r>
            <w:r w:rsidRPr="000C7CFA">
              <w:rPr>
                <w:rFonts w:ascii="Verdana" w:eastAsiaTheme="minorHAnsi" w:hAnsi="Verdana"/>
                <w:color w:val="000000"/>
                <w:sz w:val="18"/>
                <w:szCs w:val="18"/>
                <w:lang w:val="en-GB"/>
              </w:rPr>
              <w:t>lw).</w:t>
            </w:r>
          </w:p>
        </w:tc>
        <w:tc>
          <w:tcPr>
            <w:tcW w:w="2552" w:type="dxa"/>
            <w:tcBorders>
              <w:top w:val="single" w:sz="4" w:space="0" w:color="auto"/>
              <w:left w:val="single" w:sz="4" w:space="0" w:color="auto"/>
              <w:bottom w:val="single" w:sz="4" w:space="0" w:color="auto"/>
              <w:right w:val="single" w:sz="4" w:space="0" w:color="auto"/>
            </w:tcBorders>
          </w:tcPr>
          <w:p w14:paraId="087C7E4B"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Analysis by GC-MS.</w:t>
            </w:r>
          </w:p>
          <w:p w14:paraId="2B05ADBB" w14:textId="77777777" w:rsidR="00555502" w:rsidRPr="000C7CFA" w:rsidRDefault="00555502" w:rsidP="00704CE9">
            <w:pPr>
              <w:autoSpaceDE w:val="0"/>
              <w:autoSpaceDN w:val="0"/>
              <w:adjustRightInd w:val="0"/>
              <w:spacing w:after="0"/>
              <w:rPr>
                <w:rFonts w:ascii="Verdana" w:eastAsiaTheme="minorHAnsi" w:hAnsi="Verdana"/>
                <w:sz w:val="18"/>
                <w:szCs w:val="18"/>
                <w:lang w:val="en-GB"/>
              </w:rPr>
            </w:pPr>
          </w:p>
          <w:p w14:paraId="13E6B867"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The e-waste site is in a heavily industrialized area. The reference site is in a relatively non-contaminated </w:t>
            </w:r>
            <w:r w:rsidRPr="000C7CFA">
              <w:rPr>
                <w:rFonts w:ascii="Verdana" w:hAnsi="Verdana"/>
                <w:sz w:val="18"/>
                <w:szCs w:val="18"/>
                <w:lang w:val="en-GB" w:eastAsia="ar-SA"/>
              </w:rPr>
              <w:t>agricultural area</w:t>
            </w:r>
            <w:r w:rsidRPr="000C7CFA">
              <w:rPr>
                <w:rFonts w:ascii="Verdana" w:hAnsi="Verdana"/>
                <w:sz w:val="18"/>
                <w:szCs w:val="18"/>
                <w:lang w:val="en-GB"/>
              </w:rPr>
              <w:t>.</w:t>
            </w:r>
          </w:p>
          <w:p w14:paraId="153CF640" w14:textId="77777777" w:rsidR="00555502" w:rsidRPr="000C7CFA" w:rsidRDefault="00555502" w:rsidP="00704CE9">
            <w:pPr>
              <w:spacing w:after="0"/>
              <w:rPr>
                <w:rFonts w:ascii="Verdana" w:hAnsi="Verdana"/>
                <w:sz w:val="18"/>
                <w:szCs w:val="18"/>
                <w:lang w:val="en-GB"/>
              </w:rPr>
            </w:pPr>
          </w:p>
          <w:p w14:paraId="5EBFBCE1" w14:textId="77777777" w:rsidR="00555502" w:rsidRPr="000C7CFA" w:rsidRDefault="00555502" w:rsidP="00704CE9">
            <w:pPr>
              <w:spacing w:after="0"/>
              <w:rPr>
                <w:rFonts w:ascii="Verdana" w:hAnsi="Verdana"/>
                <w:sz w:val="18"/>
                <w:szCs w:val="18"/>
                <w:lang w:val="en-GB"/>
              </w:rPr>
            </w:pPr>
            <w:r w:rsidRPr="000C7CFA">
              <w:rPr>
                <w:rFonts w:ascii="Verdana" w:eastAsiaTheme="minorHAnsi" w:hAnsi="Verdana"/>
                <w:sz w:val="18"/>
                <w:szCs w:val="18"/>
                <w:lang w:val="en-GB"/>
              </w:rPr>
              <w:t>The anti- isomer fractions from the e-waste recycling site were significantly smaller than those from the reference site, and were negatively correlated to logarithm of total isomer concentrations (r</w:t>
            </w:r>
            <w:r w:rsidRPr="000C7CFA">
              <w:rPr>
                <w:rFonts w:ascii="Verdana" w:eastAsiaTheme="minorHAnsi" w:hAnsi="Verdana"/>
                <w:sz w:val="18"/>
                <w:szCs w:val="18"/>
                <w:vertAlign w:val="superscript"/>
                <w:lang w:val="en-GB"/>
              </w:rPr>
              <w:t>2</w:t>
            </w:r>
            <w:r w:rsidRPr="000C7CFA">
              <w:rPr>
                <w:rFonts w:ascii="Verdana" w:eastAsiaTheme="minorHAnsi" w:hAnsi="Verdana"/>
                <w:sz w:val="18"/>
                <w:szCs w:val="18"/>
                <w:lang w:val="en-GB"/>
              </w:rPr>
              <w:t xml:space="preserve"> = 0.41, p &lt; 0.0001).</w:t>
            </w:r>
          </w:p>
        </w:tc>
        <w:tc>
          <w:tcPr>
            <w:tcW w:w="1249" w:type="dxa"/>
            <w:tcBorders>
              <w:top w:val="single" w:sz="4" w:space="0" w:color="auto"/>
              <w:left w:val="single" w:sz="4" w:space="0" w:color="auto"/>
              <w:bottom w:val="single" w:sz="4" w:space="0" w:color="auto"/>
              <w:right w:val="single" w:sz="12" w:space="0" w:color="auto"/>
            </w:tcBorders>
          </w:tcPr>
          <w:p w14:paraId="7CBDF673"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eastAsia="ar-SA"/>
              </w:rPr>
              <w:t>Mo</w:t>
            </w:r>
            <w:r w:rsidRPr="000C7CFA">
              <w:rPr>
                <w:rFonts w:ascii="Verdana" w:hAnsi="Verdana"/>
                <w:sz w:val="18"/>
                <w:szCs w:val="18"/>
                <w:lang w:val="en-GB"/>
              </w:rPr>
              <w:t xml:space="preserve"> </w:t>
            </w:r>
            <w:r w:rsidRPr="000C7CFA">
              <w:rPr>
                <w:rFonts w:ascii="Verdana" w:hAnsi="Verdana"/>
                <w:i/>
                <w:sz w:val="18"/>
                <w:szCs w:val="18"/>
                <w:lang w:val="en-GB"/>
              </w:rPr>
              <w:t>et al</w:t>
            </w:r>
            <w:r w:rsidRPr="000C7CFA">
              <w:rPr>
                <w:rFonts w:ascii="Verdana" w:hAnsi="Verdana"/>
                <w:sz w:val="18"/>
                <w:szCs w:val="18"/>
                <w:lang w:val="en-GB"/>
              </w:rPr>
              <w:t>. (2013)</w:t>
            </w:r>
          </w:p>
          <w:p w14:paraId="1EA49D81" w14:textId="77777777" w:rsidR="00555502" w:rsidRPr="000C7CFA" w:rsidRDefault="00555502" w:rsidP="00704CE9">
            <w:pPr>
              <w:pStyle w:val="Tabletext"/>
              <w:spacing w:before="0" w:after="0"/>
              <w:rPr>
                <w:rFonts w:ascii="Verdana" w:hAnsi="Verdana"/>
                <w:sz w:val="18"/>
                <w:szCs w:val="18"/>
                <w:lang w:val="en-GB"/>
              </w:rPr>
            </w:pPr>
          </w:p>
        </w:tc>
      </w:tr>
      <w:tr w:rsidR="00555502" w:rsidRPr="000C7CFA" w14:paraId="2D20E2D1" w14:textId="77777777" w:rsidTr="007A4672">
        <w:trPr>
          <w:cantSplit/>
          <w:trHeight w:val="209"/>
        </w:trPr>
        <w:tc>
          <w:tcPr>
            <w:tcW w:w="14007" w:type="dxa"/>
            <w:gridSpan w:val="7"/>
            <w:tcBorders>
              <w:top w:val="single" w:sz="4" w:space="0" w:color="auto"/>
              <w:bottom w:val="single" w:sz="8" w:space="0" w:color="auto"/>
            </w:tcBorders>
          </w:tcPr>
          <w:p w14:paraId="72F7F28C" w14:textId="77777777" w:rsidR="00555502" w:rsidRPr="000C7CFA" w:rsidRDefault="00555502" w:rsidP="00704CE9">
            <w:pPr>
              <w:pStyle w:val="Tabletext"/>
              <w:spacing w:before="0" w:after="0"/>
              <w:rPr>
                <w:rFonts w:ascii="Verdana" w:hAnsi="Verdana"/>
                <w:b/>
                <w:sz w:val="18"/>
                <w:szCs w:val="18"/>
                <w:lang w:val="en-GB"/>
              </w:rPr>
            </w:pPr>
            <w:r w:rsidRPr="000C7CFA">
              <w:rPr>
                <w:rFonts w:ascii="Verdana" w:eastAsiaTheme="minorHAnsi" w:hAnsi="Verdana"/>
                <w:b/>
                <w:sz w:val="18"/>
                <w:szCs w:val="18"/>
                <w:lang w:val="en-GB" w:eastAsia="en-US"/>
              </w:rPr>
              <w:lastRenderedPageBreak/>
              <w:t>MAMMALS</w:t>
            </w:r>
          </w:p>
        </w:tc>
      </w:tr>
      <w:tr w:rsidR="00555502" w:rsidRPr="000C7CFA" w14:paraId="7A93FD33" w14:textId="77777777" w:rsidTr="00D323EC">
        <w:trPr>
          <w:cantSplit/>
          <w:trHeight w:val="1582"/>
        </w:trPr>
        <w:tc>
          <w:tcPr>
            <w:tcW w:w="1928" w:type="dxa"/>
            <w:tcBorders>
              <w:top w:val="single" w:sz="8" w:space="0" w:color="auto"/>
              <w:right w:val="single" w:sz="4" w:space="0" w:color="auto"/>
            </w:tcBorders>
          </w:tcPr>
          <w:p w14:paraId="61AA2C70" w14:textId="77777777" w:rsidR="00555502" w:rsidRPr="000C7CFA" w:rsidRDefault="00555502" w:rsidP="00704CE9">
            <w:pPr>
              <w:pStyle w:val="Tabletext"/>
              <w:spacing w:before="0" w:after="0"/>
              <w:rPr>
                <w:rFonts w:ascii="Verdana" w:eastAsiaTheme="minorHAnsi" w:hAnsi="Verdana"/>
                <w:sz w:val="18"/>
                <w:szCs w:val="18"/>
                <w:lang w:val="en-GB" w:eastAsia="en-US"/>
              </w:rPr>
            </w:pPr>
            <w:r w:rsidRPr="000C7CFA">
              <w:rPr>
                <w:rFonts w:ascii="Verdana" w:eastAsiaTheme="minorHAnsi" w:hAnsi="Verdana"/>
                <w:sz w:val="18"/>
                <w:szCs w:val="18"/>
                <w:lang w:val="en-GB" w:eastAsia="en-US"/>
              </w:rPr>
              <w:t xml:space="preserve">Eurasian Otter </w:t>
            </w:r>
          </w:p>
          <w:p w14:paraId="5877AD96" w14:textId="77777777" w:rsidR="00555502" w:rsidRPr="000C7CFA" w:rsidRDefault="00555502" w:rsidP="00704CE9">
            <w:pPr>
              <w:pStyle w:val="Tabletext"/>
              <w:spacing w:before="0" w:after="0"/>
              <w:rPr>
                <w:rFonts w:ascii="Verdana" w:hAnsi="Verdana"/>
                <w:sz w:val="18"/>
                <w:szCs w:val="18"/>
                <w:lang w:val="en-GB"/>
              </w:rPr>
            </w:pPr>
            <w:r w:rsidRPr="000C7CFA">
              <w:rPr>
                <w:rFonts w:ascii="Verdana" w:eastAsiaTheme="minorHAnsi" w:hAnsi="Verdana"/>
                <w:sz w:val="18"/>
                <w:szCs w:val="18"/>
                <w:lang w:val="en-GB" w:eastAsia="en-US"/>
              </w:rPr>
              <w:t>(</w:t>
            </w:r>
            <w:r w:rsidRPr="000C7CFA">
              <w:rPr>
                <w:rFonts w:ascii="Verdana" w:eastAsiaTheme="minorHAnsi" w:hAnsi="Verdana"/>
                <w:i/>
                <w:iCs/>
                <w:sz w:val="18"/>
                <w:szCs w:val="18"/>
                <w:lang w:val="en-GB" w:eastAsia="en-US"/>
              </w:rPr>
              <w:t>Lutra lutra</w:t>
            </w:r>
            <w:r w:rsidRPr="000C7CFA">
              <w:rPr>
                <w:rFonts w:ascii="Verdana" w:eastAsiaTheme="minorHAnsi" w:hAnsi="Verdana"/>
                <w:sz w:val="18"/>
                <w:szCs w:val="18"/>
                <w:lang w:val="en-GB" w:eastAsia="en-US"/>
              </w:rPr>
              <w:t>)</w:t>
            </w:r>
          </w:p>
        </w:tc>
        <w:tc>
          <w:tcPr>
            <w:tcW w:w="1068" w:type="dxa"/>
            <w:tcBorders>
              <w:top w:val="single" w:sz="8" w:space="0" w:color="auto"/>
              <w:left w:val="single" w:sz="4" w:space="0" w:color="auto"/>
              <w:right w:val="single" w:sz="4" w:space="0" w:color="auto"/>
            </w:tcBorders>
          </w:tcPr>
          <w:p w14:paraId="024B38B9"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Liver</w:t>
            </w:r>
          </w:p>
        </w:tc>
        <w:tc>
          <w:tcPr>
            <w:tcW w:w="2391" w:type="dxa"/>
            <w:tcBorders>
              <w:top w:val="single" w:sz="8" w:space="0" w:color="auto"/>
              <w:left w:val="single" w:sz="4" w:space="0" w:color="auto"/>
              <w:right w:val="single" w:sz="4" w:space="0" w:color="auto"/>
            </w:tcBorders>
          </w:tcPr>
          <w:p w14:paraId="1ACBD3E5"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Adult and subadult male and female animals found dead in England and Wales during 2010 (n=30) &amp; 2011 (n=34).</w:t>
            </w:r>
          </w:p>
          <w:p w14:paraId="188CC4FF" w14:textId="77777777" w:rsidR="00555502" w:rsidRPr="000C7CFA" w:rsidRDefault="00555502" w:rsidP="00704CE9">
            <w:pPr>
              <w:pStyle w:val="Tabletext"/>
              <w:spacing w:before="0" w:after="0"/>
              <w:rPr>
                <w:rFonts w:ascii="Verdana" w:hAnsi="Verdana"/>
                <w:sz w:val="18"/>
                <w:szCs w:val="18"/>
                <w:lang w:val="en-GB"/>
              </w:rPr>
            </w:pPr>
          </w:p>
        </w:tc>
        <w:tc>
          <w:tcPr>
            <w:tcW w:w="1843" w:type="dxa"/>
            <w:tcBorders>
              <w:top w:val="single" w:sz="8" w:space="0" w:color="auto"/>
              <w:left w:val="single" w:sz="4" w:space="0" w:color="auto"/>
              <w:right w:val="single" w:sz="4" w:space="0" w:color="auto"/>
            </w:tcBorders>
          </w:tcPr>
          <w:p w14:paraId="6B6E3C15"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Anti-DP: 0.338 (2010) and 0.428 (2011)</w:t>
            </w:r>
          </w:p>
          <w:p w14:paraId="7F03DC79" w14:textId="77777777" w:rsidR="00555502" w:rsidRPr="000C7CFA" w:rsidRDefault="00555502" w:rsidP="00704CE9">
            <w:pPr>
              <w:pStyle w:val="Tabletext"/>
              <w:jc w:val="center"/>
              <w:rPr>
                <w:rFonts w:ascii="Verdana" w:hAnsi="Verdana"/>
                <w:sz w:val="18"/>
                <w:szCs w:val="18"/>
                <w:lang w:val="en-GB"/>
              </w:rPr>
            </w:pPr>
            <w:r w:rsidRPr="000C7CFA">
              <w:rPr>
                <w:rFonts w:ascii="Verdana" w:hAnsi="Verdana"/>
                <w:sz w:val="18"/>
                <w:szCs w:val="18"/>
                <w:lang w:val="en-GB"/>
              </w:rPr>
              <w:t>Syn-DP: 0.338 (2010) and 0.508 (2011)</w:t>
            </w:r>
          </w:p>
        </w:tc>
        <w:tc>
          <w:tcPr>
            <w:tcW w:w="2976" w:type="dxa"/>
            <w:tcBorders>
              <w:top w:val="single" w:sz="8" w:space="0" w:color="auto"/>
              <w:left w:val="single" w:sz="4" w:space="0" w:color="auto"/>
              <w:right w:val="single" w:sz="4" w:space="0" w:color="auto"/>
            </w:tcBorders>
          </w:tcPr>
          <w:p w14:paraId="522E0F0F"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Detected in 3 out of 64 samples</w:t>
            </w:r>
          </w:p>
          <w:p w14:paraId="4C048B17" w14:textId="77777777" w:rsidR="00555502" w:rsidRPr="000C7CFA" w:rsidRDefault="00555502" w:rsidP="00704CE9">
            <w:pPr>
              <w:pStyle w:val="Tabletext"/>
              <w:spacing w:before="0" w:after="0"/>
              <w:rPr>
                <w:rFonts w:ascii="Verdana" w:hAnsi="Verdana"/>
                <w:sz w:val="18"/>
                <w:szCs w:val="18"/>
                <w:lang w:val="en-GB"/>
              </w:rPr>
            </w:pPr>
          </w:p>
          <w:p w14:paraId="6558C69F"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Anti-DP: 0.395, 0.449 &amp; 0.967 μg/kg ww. </w:t>
            </w:r>
          </w:p>
          <w:p w14:paraId="19C8B6BA" w14:textId="77777777" w:rsidR="00555502" w:rsidRPr="000C7CFA" w:rsidRDefault="00555502" w:rsidP="00704CE9">
            <w:pPr>
              <w:pStyle w:val="Tabletext"/>
              <w:spacing w:before="0" w:after="0"/>
              <w:rPr>
                <w:rFonts w:ascii="Verdana" w:hAnsi="Verdana"/>
                <w:sz w:val="18"/>
                <w:szCs w:val="18"/>
                <w:lang w:val="en-GB"/>
              </w:rPr>
            </w:pPr>
          </w:p>
          <w:p w14:paraId="4416C5CD"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Syn-DP: not detected in any sample (n=64)</w:t>
            </w:r>
          </w:p>
        </w:tc>
        <w:tc>
          <w:tcPr>
            <w:tcW w:w="2552" w:type="dxa"/>
            <w:tcBorders>
              <w:top w:val="single" w:sz="8" w:space="0" w:color="auto"/>
              <w:left w:val="single" w:sz="4" w:space="0" w:color="auto"/>
              <w:right w:val="single" w:sz="4" w:space="0" w:color="auto"/>
            </w:tcBorders>
          </w:tcPr>
          <w:p w14:paraId="38AF2735"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Analysed by GC-MS. Lipid concentration not given. </w:t>
            </w:r>
          </w:p>
          <w:p w14:paraId="327FFF03" w14:textId="77777777" w:rsidR="00555502" w:rsidRPr="000C7CFA" w:rsidRDefault="00555502" w:rsidP="00704CE9">
            <w:pPr>
              <w:pStyle w:val="Tabletext"/>
              <w:spacing w:before="0" w:after="0"/>
              <w:rPr>
                <w:rFonts w:ascii="Verdana" w:hAnsi="Verdana"/>
                <w:sz w:val="18"/>
                <w:szCs w:val="18"/>
                <w:lang w:val="en-GB"/>
              </w:rPr>
            </w:pPr>
          </w:p>
          <w:p w14:paraId="7366D8FF"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The animals with positive detects were from widely separated areas.</w:t>
            </w:r>
          </w:p>
          <w:p w14:paraId="4B9FB6B5" w14:textId="77777777" w:rsidR="00555502" w:rsidRPr="000C7CFA" w:rsidRDefault="00555502" w:rsidP="00704CE9">
            <w:pPr>
              <w:pStyle w:val="Tabletext"/>
              <w:spacing w:before="0" w:after="0"/>
              <w:rPr>
                <w:rFonts w:ascii="Verdana" w:hAnsi="Verdana"/>
                <w:sz w:val="18"/>
                <w:szCs w:val="18"/>
                <w:lang w:val="en-GB"/>
              </w:rPr>
            </w:pPr>
          </w:p>
        </w:tc>
        <w:tc>
          <w:tcPr>
            <w:tcW w:w="1249" w:type="dxa"/>
            <w:tcBorders>
              <w:top w:val="single" w:sz="8" w:space="0" w:color="auto"/>
              <w:left w:val="single" w:sz="4" w:space="0" w:color="auto"/>
            </w:tcBorders>
          </w:tcPr>
          <w:p w14:paraId="49311233"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Walker </w:t>
            </w:r>
            <w:r w:rsidRPr="000C7CFA">
              <w:rPr>
                <w:rFonts w:ascii="Verdana" w:hAnsi="Verdana"/>
                <w:i/>
                <w:sz w:val="18"/>
                <w:szCs w:val="18"/>
                <w:lang w:val="en-GB"/>
              </w:rPr>
              <w:t>et al</w:t>
            </w:r>
            <w:r w:rsidRPr="000C7CFA">
              <w:rPr>
                <w:rFonts w:ascii="Verdana" w:hAnsi="Verdana"/>
                <w:sz w:val="18"/>
                <w:szCs w:val="18"/>
                <w:lang w:val="en-GB"/>
              </w:rPr>
              <w:t>. (2013) &amp; CEH (2014)</w:t>
            </w:r>
          </w:p>
        </w:tc>
      </w:tr>
      <w:tr w:rsidR="00555502" w:rsidRPr="000C7CFA" w14:paraId="5753F83B" w14:textId="77777777" w:rsidTr="00D323EC">
        <w:trPr>
          <w:cantSplit/>
          <w:trHeight w:val="387"/>
        </w:trPr>
        <w:tc>
          <w:tcPr>
            <w:tcW w:w="1928" w:type="dxa"/>
            <w:tcBorders>
              <w:top w:val="single" w:sz="4" w:space="0" w:color="auto"/>
              <w:bottom w:val="single" w:sz="4" w:space="0" w:color="auto"/>
              <w:right w:val="single" w:sz="4" w:space="0" w:color="auto"/>
            </w:tcBorders>
          </w:tcPr>
          <w:p w14:paraId="1A658318" w14:textId="77777777" w:rsidR="00555502" w:rsidRPr="000C7CFA" w:rsidRDefault="00555502" w:rsidP="00704CE9">
            <w:pPr>
              <w:pStyle w:val="Tabletext"/>
              <w:spacing w:before="0" w:after="0"/>
              <w:rPr>
                <w:rFonts w:ascii="Verdana" w:hAnsi="Verdana"/>
                <w:sz w:val="18"/>
                <w:szCs w:val="18"/>
                <w:lang w:val="en-GB"/>
              </w:rPr>
            </w:pPr>
            <w:r w:rsidRPr="000C7CFA">
              <w:rPr>
                <w:rFonts w:ascii="Verdana" w:eastAsiaTheme="minorHAnsi" w:hAnsi="Verdana"/>
                <w:sz w:val="18"/>
                <w:szCs w:val="18"/>
                <w:lang w:val="en-GB" w:eastAsia="en-US"/>
              </w:rPr>
              <w:t>Franciscana (</w:t>
            </w:r>
            <w:r w:rsidRPr="000C7CFA">
              <w:rPr>
                <w:rFonts w:ascii="Verdana" w:hAnsi="Verdana"/>
                <w:sz w:val="18"/>
                <w:szCs w:val="18"/>
                <w:lang w:val="en-GB"/>
              </w:rPr>
              <w:t>d</w:t>
            </w:r>
            <w:r w:rsidRPr="000C7CFA">
              <w:rPr>
                <w:rFonts w:ascii="Verdana" w:eastAsiaTheme="minorHAnsi" w:hAnsi="Verdana"/>
                <w:sz w:val="18"/>
                <w:szCs w:val="18"/>
                <w:lang w:val="en-GB" w:eastAsia="en-US"/>
              </w:rPr>
              <w:t>olphin) (</w:t>
            </w:r>
            <w:r w:rsidRPr="000C7CFA">
              <w:rPr>
                <w:rFonts w:ascii="Verdana" w:eastAsiaTheme="minorHAnsi" w:hAnsi="Verdana"/>
                <w:i/>
                <w:sz w:val="18"/>
                <w:szCs w:val="18"/>
                <w:lang w:val="en-GB" w:eastAsia="en-US"/>
              </w:rPr>
              <w:t>Pontoporia</w:t>
            </w:r>
            <w:r w:rsidRPr="000C7CFA">
              <w:rPr>
                <w:rFonts w:ascii="Verdana" w:hAnsi="Verdana"/>
                <w:i/>
                <w:sz w:val="18"/>
                <w:szCs w:val="18"/>
                <w:lang w:val="en-GB"/>
              </w:rPr>
              <w:t xml:space="preserve"> </w:t>
            </w:r>
            <w:r w:rsidRPr="000C7CFA">
              <w:rPr>
                <w:rFonts w:ascii="Verdana" w:eastAsiaTheme="minorHAnsi" w:hAnsi="Verdana"/>
                <w:i/>
                <w:sz w:val="18"/>
                <w:szCs w:val="18"/>
                <w:lang w:val="en-GB" w:eastAsia="en-US"/>
              </w:rPr>
              <w:t>blainvillei</w:t>
            </w:r>
            <w:r w:rsidRPr="000C7CFA">
              <w:rPr>
                <w:rFonts w:ascii="Verdana" w:eastAsiaTheme="minorHAnsi" w:hAnsi="Verdana"/>
                <w:sz w:val="18"/>
                <w:szCs w:val="18"/>
                <w:lang w:val="en-GB" w:eastAsia="en-US"/>
              </w:rPr>
              <w:t>)</w:t>
            </w:r>
          </w:p>
        </w:tc>
        <w:tc>
          <w:tcPr>
            <w:tcW w:w="1068" w:type="dxa"/>
            <w:tcBorders>
              <w:top w:val="single" w:sz="4" w:space="0" w:color="auto"/>
              <w:left w:val="single" w:sz="4" w:space="0" w:color="auto"/>
              <w:bottom w:val="single" w:sz="4" w:space="0" w:color="auto"/>
              <w:right w:val="single" w:sz="4" w:space="0" w:color="auto"/>
            </w:tcBorders>
          </w:tcPr>
          <w:p w14:paraId="4362E30B"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Liver</w:t>
            </w:r>
          </w:p>
        </w:tc>
        <w:tc>
          <w:tcPr>
            <w:tcW w:w="2391" w:type="dxa"/>
            <w:tcBorders>
              <w:top w:val="single" w:sz="4" w:space="0" w:color="auto"/>
              <w:left w:val="single" w:sz="4" w:space="0" w:color="auto"/>
              <w:bottom w:val="single" w:sz="4" w:space="0" w:color="auto"/>
              <w:right w:val="single" w:sz="4" w:space="0" w:color="auto"/>
            </w:tcBorders>
          </w:tcPr>
          <w:p w14:paraId="43AD0718" w14:textId="77777777" w:rsidR="00555502" w:rsidRPr="000C7CFA" w:rsidRDefault="00555502"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Stranded or bycaught animals around south-eastern and southern coast of Brazil between 1994 and</w:t>
            </w:r>
          </w:p>
          <w:p w14:paraId="5FF60559" w14:textId="77777777" w:rsidR="00555502" w:rsidRPr="000C7CFA" w:rsidRDefault="00555502"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2008.</w:t>
            </w:r>
          </w:p>
        </w:tc>
        <w:tc>
          <w:tcPr>
            <w:tcW w:w="1843" w:type="dxa"/>
            <w:tcBorders>
              <w:top w:val="single" w:sz="4" w:space="0" w:color="auto"/>
              <w:left w:val="single" w:sz="4" w:space="0" w:color="auto"/>
              <w:bottom w:val="single" w:sz="4" w:space="0" w:color="auto"/>
              <w:right w:val="single" w:sz="4" w:space="0" w:color="auto"/>
            </w:tcBorders>
          </w:tcPr>
          <w:p w14:paraId="7C381B2B"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stated</w:t>
            </w:r>
          </w:p>
        </w:tc>
        <w:tc>
          <w:tcPr>
            <w:tcW w:w="2976" w:type="dxa"/>
            <w:tcBorders>
              <w:top w:val="single" w:sz="4" w:space="0" w:color="auto"/>
              <w:left w:val="single" w:sz="4" w:space="0" w:color="auto"/>
              <w:bottom w:val="single" w:sz="4" w:space="0" w:color="auto"/>
              <w:right w:val="single" w:sz="4" w:space="0" w:color="auto"/>
            </w:tcBorders>
          </w:tcPr>
          <w:p w14:paraId="0F7739C9"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Detected in 15 out of 20 animals.</w:t>
            </w:r>
          </w:p>
          <w:p w14:paraId="6BF07C8E" w14:textId="77777777" w:rsidR="00555502" w:rsidRPr="000C7CFA" w:rsidRDefault="00555502" w:rsidP="00704CE9">
            <w:pPr>
              <w:pStyle w:val="Tabletext"/>
              <w:spacing w:before="0" w:after="0"/>
              <w:rPr>
                <w:rFonts w:ascii="Verdana" w:hAnsi="Verdana"/>
                <w:sz w:val="18"/>
                <w:szCs w:val="18"/>
                <w:lang w:val="en-GB"/>
              </w:rPr>
            </w:pPr>
          </w:p>
          <w:p w14:paraId="03E737B2"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Total isomers: mean 1.53 (range: not detected - </w:t>
            </w:r>
            <w:r w:rsidRPr="000C7CFA">
              <w:rPr>
                <w:rFonts w:ascii="Verdana" w:hAnsi="Verdana"/>
                <w:sz w:val="18"/>
                <w:szCs w:val="18"/>
                <w:lang w:val="en-GB" w:eastAsia="en-GB"/>
              </w:rPr>
              <w:t>6.26</w:t>
            </w:r>
            <w:r w:rsidRPr="000C7CFA">
              <w:rPr>
                <w:rFonts w:ascii="Verdana" w:hAnsi="Verdana"/>
                <w:sz w:val="18"/>
                <w:szCs w:val="18"/>
                <w:lang w:val="en-GB"/>
              </w:rPr>
              <w:t>) μg/kg lw</w:t>
            </w:r>
          </w:p>
          <w:p w14:paraId="58504E8D" w14:textId="77777777" w:rsidR="00555502" w:rsidRPr="000C7CFA" w:rsidRDefault="00555502" w:rsidP="00704CE9">
            <w:pPr>
              <w:pStyle w:val="Tabletext"/>
              <w:spacing w:before="0" w:after="0"/>
              <w:rPr>
                <w:rFonts w:ascii="Verdana" w:hAnsi="Verdana"/>
                <w:sz w:val="18"/>
                <w:szCs w:val="18"/>
                <w:lang w:val="en-GB"/>
              </w:rPr>
            </w:pPr>
          </w:p>
          <w:p w14:paraId="1BE25B7B"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No correlations were found between substance concentration and lipid content.</w:t>
            </w:r>
          </w:p>
          <w:p w14:paraId="55DC3282" w14:textId="77777777" w:rsidR="00555502" w:rsidRPr="000C7CFA" w:rsidRDefault="00555502" w:rsidP="00704CE9">
            <w:pPr>
              <w:pStyle w:val="Tabletext"/>
              <w:spacing w:before="0" w:after="0"/>
              <w:rPr>
                <w:rFonts w:ascii="Verdana" w:hAnsi="Verdana"/>
                <w:sz w:val="18"/>
                <w:szCs w:val="18"/>
                <w:lang w:val="en-GB"/>
              </w:rPr>
            </w:pPr>
          </w:p>
          <w:p w14:paraId="7B8A813C"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Anti-DP-1Cl and anti-DP-2Cl were not detected in any sample (LoD not stated).</w:t>
            </w:r>
          </w:p>
        </w:tc>
        <w:tc>
          <w:tcPr>
            <w:tcW w:w="2552" w:type="dxa"/>
            <w:tcBorders>
              <w:top w:val="single" w:sz="4" w:space="0" w:color="auto"/>
              <w:left w:val="single" w:sz="4" w:space="0" w:color="auto"/>
              <w:bottom w:val="single" w:sz="4" w:space="0" w:color="auto"/>
              <w:right w:val="single" w:sz="4" w:space="0" w:color="auto"/>
            </w:tcBorders>
          </w:tcPr>
          <w:p w14:paraId="0B8CDD1A"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Analysed by GC-MS.</w:t>
            </w:r>
          </w:p>
          <w:p w14:paraId="360ADD20" w14:textId="77777777" w:rsidR="00555502" w:rsidRPr="000C7CFA" w:rsidRDefault="00555502" w:rsidP="00704CE9">
            <w:pPr>
              <w:pStyle w:val="Tabletext"/>
              <w:spacing w:before="0" w:after="0"/>
              <w:rPr>
                <w:rFonts w:ascii="Verdana" w:hAnsi="Verdana"/>
                <w:sz w:val="18"/>
                <w:szCs w:val="18"/>
                <w:lang w:val="en-GB"/>
              </w:rPr>
            </w:pPr>
          </w:p>
          <w:p w14:paraId="59D1F4AF" w14:textId="77777777" w:rsidR="00555502" w:rsidRPr="000C7CFA" w:rsidRDefault="00555502" w:rsidP="00704CE9">
            <w:pPr>
              <w:autoSpaceDE w:val="0"/>
              <w:autoSpaceDN w:val="0"/>
              <w:adjustRightInd w:val="0"/>
              <w:spacing w:after="0"/>
              <w:rPr>
                <w:rFonts w:ascii="Verdana" w:hAnsi="Verdana"/>
                <w:sz w:val="18"/>
                <w:szCs w:val="18"/>
                <w:lang w:val="en-GB"/>
              </w:rPr>
            </w:pPr>
          </w:p>
        </w:tc>
        <w:tc>
          <w:tcPr>
            <w:tcW w:w="1249" w:type="dxa"/>
            <w:tcBorders>
              <w:top w:val="single" w:sz="4" w:space="0" w:color="auto"/>
              <w:left w:val="single" w:sz="4" w:space="0" w:color="auto"/>
              <w:bottom w:val="single" w:sz="4" w:space="0" w:color="auto"/>
            </w:tcBorders>
          </w:tcPr>
          <w:p w14:paraId="66A4B22B" w14:textId="77777777" w:rsidR="00555502" w:rsidRPr="000C7CFA" w:rsidRDefault="00555502" w:rsidP="00704CE9">
            <w:pPr>
              <w:pStyle w:val="NoSpacing"/>
              <w:spacing w:after="180"/>
              <w:rPr>
                <w:rFonts w:ascii="Verdana" w:hAnsi="Verdana" w:cs="Times New Roman"/>
                <w:sz w:val="18"/>
                <w:szCs w:val="18"/>
              </w:rPr>
            </w:pPr>
            <w:r w:rsidRPr="000C7CFA">
              <w:rPr>
                <w:rFonts w:ascii="Verdana" w:hAnsi="Verdana" w:cs="Times New Roman"/>
                <w:sz w:val="18"/>
                <w:szCs w:val="18"/>
                <w:lang w:val="fr-FR"/>
              </w:rPr>
              <w:t xml:space="preserve">de la Torre </w:t>
            </w:r>
            <w:r w:rsidRPr="000C7CFA">
              <w:rPr>
                <w:rFonts w:ascii="Verdana" w:hAnsi="Verdana" w:cs="Times New Roman"/>
                <w:i/>
                <w:sz w:val="18"/>
                <w:szCs w:val="18"/>
                <w:lang w:val="fr-FR"/>
              </w:rPr>
              <w:t>et al</w:t>
            </w:r>
            <w:r w:rsidRPr="000C7CFA">
              <w:rPr>
                <w:rFonts w:ascii="Verdana" w:hAnsi="Verdana" w:cs="Times New Roman"/>
                <w:sz w:val="18"/>
                <w:szCs w:val="18"/>
                <w:lang w:val="fr-FR"/>
              </w:rPr>
              <w:t xml:space="preserve">. </w:t>
            </w:r>
            <w:r w:rsidRPr="000C7CFA">
              <w:rPr>
                <w:rFonts w:ascii="Verdana" w:hAnsi="Verdana" w:cs="Times New Roman"/>
                <w:sz w:val="18"/>
                <w:szCs w:val="18"/>
              </w:rPr>
              <w:t>(2012)</w:t>
            </w:r>
          </w:p>
        </w:tc>
      </w:tr>
      <w:tr w:rsidR="00555502" w:rsidRPr="000C7CFA" w14:paraId="368FB025" w14:textId="77777777" w:rsidTr="00D323EC">
        <w:trPr>
          <w:cantSplit/>
          <w:trHeight w:val="864"/>
        </w:trPr>
        <w:tc>
          <w:tcPr>
            <w:tcW w:w="1928" w:type="dxa"/>
            <w:tcBorders>
              <w:top w:val="single" w:sz="4" w:space="0" w:color="auto"/>
              <w:right w:val="single" w:sz="4" w:space="0" w:color="auto"/>
            </w:tcBorders>
          </w:tcPr>
          <w:p w14:paraId="4B66DCC1"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Harbour Porpoise</w:t>
            </w:r>
          </w:p>
          <w:p w14:paraId="442FB27A" w14:textId="77777777" w:rsidR="00555502" w:rsidRPr="000C7CFA" w:rsidRDefault="00555502" w:rsidP="00704CE9">
            <w:pPr>
              <w:pStyle w:val="Tabletext"/>
              <w:spacing w:before="0" w:after="0"/>
              <w:rPr>
                <w:rFonts w:ascii="Verdana" w:eastAsiaTheme="minorHAnsi" w:hAnsi="Verdana"/>
                <w:sz w:val="18"/>
                <w:szCs w:val="18"/>
                <w:lang w:val="en-GB" w:eastAsia="en-US"/>
              </w:rPr>
            </w:pPr>
            <w:r w:rsidRPr="000C7CFA">
              <w:rPr>
                <w:rFonts w:ascii="Verdana" w:hAnsi="Verdana"/>
                <w:sz w:val="18"/>
                <w:szCs w:val="18"/>
                <w:lang w:val="en-GB"/>
              </w:rPr>
              <w:t>(</w:t>
            </w:r>
            <w:r w:rsidRPr="000C7CFA">
              <w:rPr>
                <w:rFonts w:ascii="Verdana" w:hAnsi="Verdana"/>
                <w:i/>
                <w:sz w:val="18"/>
                <w:szCs w:val="18"/>
                <w:lang w:val="en-GB"/>
              </w:rPr>
              <w:t>Phocoena phocoena</w:t>
            </w:r>
            <w:r w:rsidRPr="000C7CFA">
              <w:rPr>
                <w:rFonts w:ascii="Verdana" w:hAnsi="Verdana"/>
                <w:sz w:val="18"/>
                <w:szCs w:val="18"/>
                <w:lang w:val="en-GB"/>
              </w:rPr>
              <w:t>)</w:t>
            </w:r>
          </w:p>
        </w:tc>
        <w:tc>
          <w:tcPr>
            <w:tcW w:w="1068" w:type="dxa"/>
            <w:tcBorders>
              <w:top w:val="single" w:sz="4" w:space="0" w:color="auto"/>
              <w:left w:val="single" w:sz="4" w:space="0" w:color="auto"/>
              <w:right w:val="single" w:sz="4" w:space="0" w:color="auto"/>
            </w:tcBorders>
          </w:tcPr>
          <w:p w14:paraId="74DECE67"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Blubber</w:t>
            </w:r>
          </w:p>
        </w:tc>
        <w:tc>
          <w:tcPr>
            <w:tcW w:w="2391" w:type="dxa"/>
            <w:tcBorders>
              <w:top w:val="single" w:sz="4" w:space="0" w:color="auto"/>
              <w:left w:val="single" w:sz="4" w:space="0" w:color="auto"/>
              <w:right w:val="single" w:sz="4" w:space="0" w:color="auto"/>
            </w:tcBorders>
          </w:tcPr>
          <w:p w14:paraId="22A14EB0"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Stranded or bycaught animals around UK coasts during 2008.</w:t>
            </w:r>
          </w:p>
        </w:tc>
        <w:tc>
          <w:tcPr>
            <w:tcW w:w="1843" w:type="dxa"/>
            <w:tcBorders>
              <w:top w:val="single" w:sz="4" w:space="0" w:color="auto"/>
              <w:left w:val="single" w:sz="4" w:space="0" w:color="auto"/>
              <w:right w:val="single" w:sz="4" w:space="0" w:color="auto"/>
            </w:tcBorders>
          </w:tcPr>
          <w:p w14:paraId="215486CA"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Anti-DP: 0.12-0.14</w:t>
            </w:r>
          </w:p>
          <w:p w14:paraId="42C3A67C"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Syn-DP: 0.12-0.15</w:t>
            </w:r>
          </w:p>
        </w:tc>
        <w:tc>
          <w:tcPr>
            <w:tcW w:w="2976" w:type="dxa"/>
            <w:tcBorders>
              <w:top w:val="single" w:sz="4" w:space="0" w:color="auto"/>
              <w:left w:val="single" w:sz="4" w:space="0" w:color="auto"/>
              <w:right w:val="single" w:sz="4" w:space="0" w:color="auto"/>
            </w:tcBorders>
          </w:tcPr>
          <w:p w14:paraId="66D6B83D"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Anti-DP detected up to 0.36 μg/kg ww in 18 out of 21 animals.</w:t>
            </w:r>
          </w:p>
          <w:p w14:paraId="5666EA27"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Syn-DP detected up to 0.17 μg/kg ww in 7 out of 21 animals.</w:t>
            </w:r>
          </w:p>
        </w:tc>
        <w:tc>
          <w:tcPr>
            <w:tcW w:w="2552" w:type="dxa"/>
            <w:tcBorders>
              <w:top w:val="single" w:sz="4" w:space="0" w:color="auto"/>
              <w:left w:val="single" w:sz="4" w:space="0" w:color="auto"/>
              <w:right w:val="single" w:sz="4" w:space="0" w:color="auto"/>
            </w:tcBorders>
          </w:tcPr>
          <w:p w14:paraId="4531CCE2"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Analysed by GC-MS/MS.</w:t>
            </w:r>
          </w:p>
        </w:tc>
        <w:tc>
          <w:tcPr>
            <w:tcW w:w="1249" w:type="dxa"/>
            <w:tcBorders>
              <w:top w:val="single" w:sz="4" w:space="0" w:color="auto"/>
              <w:left w:val="single" w:sz="4" w:space="0" w:color="auto"/>
            </w:tcBorders>
          </w:tcPr>
          <w:p w14:paraId="228DD777"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Law </w:t>
            </w:r>
            <w:r w:rsidRPr="000C7CFA">
              <w:rPr>
                <w:rFonts w:ascii="Verdana" w:hAnsi="Verdana"/>
                <w:i/>
                <w:sz w:val="18"/>
                <w:szCs w:val="18"/>
                <w:lang w:val="en-GB"/>
              </w:rPr>
              <w:t>et al</w:t>
            </w:r>
            <w:r w:rsidRPr="000C7CFA">
              <w:rPr>
                <w:rFonts w:ascii="Verdana" w:hAnsi="Verdana"/>
                <w:sz w:val="18"/>
                <w:szCs w:val="18"/>
                <w:lang w:val="en-GB"/>
              </w:rPr>
              <w:t>. (2013)</w:t>
            </w:r>
          </w:p>
        </w:tc>
      </w:tr>
      <w:tr w:rsidR="00555502" w:rsidRPr="000C7CFA" w14:paraId="48CDA1F3" w14:textId="77777777" w:rsidTr="00D323EC">
        <w:trPr>
          <w:cantSplit/>
          <w:trHeight w:val="387"/>
        </w:trPr>
        <w:tc>
          <w:tcPr>
            <w:tcW w:w="1928" w:type="dxa"/>
            <w:tcBorders>
              <w:bottom w:val="single" w:sz="4" w:space="0" w:color="auto"/>
              <w:right w:val="single" w:sz="4" w:space="0" w:color="auto"/>
            </w:tcBorders>
          </w:tcPr>
          <w:p w14:paraId="416552F5"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lastRenderedPageBreak/>
              <w:t>Short-beaked Common Dolphin (</w:t>
            </w:r>
            <w:r w:rsidRPr="000C7CFA">
              <w:rPr>
                <w:rFonts w:ascii="Verdana" w:hAnsi="Verdana"/>
                <w:i/>
                <w:iCs/>
                <w:sz w:val="18"/>
                <w:szCs w:val="18"/>
                <w:lang w:val="en-GB"/>
              </w:rPr>
              <w:t>Delphinus delphis</w:t>
            </w:r>
            <w:r w:rsidRPr="000C7CFA">
              <w:rPr>
                <w:rFonts w:ascii="Verdana" w:hAnsi="Verdana"/>
                <w:iCs/>
                <w:sz w:val="18"/>
                <w:szCs w:val="18"/>
                <w:lang w:val="en-GB"/>
              </w:rPr>
              <w:t>)</w:t>
            </w:r>
          </w:p>
        </w:tc>
        <w:tc>
          <w:tcPr>
            <w:tcW w:w="1068" w:type="dxa"/>
            <w:tcBorders>
              <w:left w:val="single" w:sz="4" w:space="0" w:color="auto"/>
              <w:bottom w:val="single" w:sz="4" w:space="0" w:color="auto"/>
              <w:right w:val="single" w:sz="4" w:space="0" w:color="auto"/>
            </w:tcBorders>
          </w:tcPr>
          <w:p w14:paraId="672C60D6"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Blubber</w:t>
            </w:r>
          </w:p>
        </w:tc>
        <w:tc>
          <w:tcPr>
            <w:tcW w:w="2391" w:type="dxa"/>
            <w:tcBorders>
              <w:left w:val="single" w:sz="4" w:space="0" w:color="auto"/>
              <w:bottom w:val="single" w:sz="4" w:space="0" w:color="auto"/>
              <w:right w:val="single" w:sz="4" w:space="0" w:color="auto"/>
            </w:tcBorders>
          </w:tcPr>
          <w:p w14:paraId="2C8BD7CC" w14:textId="77777777" w:rsidR="00555502" w:rsidRPr="000C7CFA" w:rsidRDefault="00555502" w:rsidP="00704CE9">
            <w:pPr>
              <w:pStyle w:val="Default"/>
              <w:rPr>
                <w:rFonts w:ascii="Verdana" w:hAnsi="Verdana"/>
                <w:color w:val="auto"/>
                <w:sz w:val="18"/>
                <w:szCs w:val="18"/>
              </w:rPr>
            </w:pPr>
            <w:r w:rsidRPr="000C7CFA">
              <w:rPr>
                <w:rFonts w:ascii="Verdana" w:hAnsi="Verdana"/>
                <w:color w:val="auto"/>
                <w:sz w:val="18"/>
                <w:szCs w:val="18"/>
              </w:rPr>
              <w:t>Samples collected from live animals by biopsy from the Gulf of Cádiz, Spain (n=8) during February 2012</w:t>
            </w:r>
          </w:p>
          <w:p w14:paraId="0BE26FB9" w14:textId="77777777" w:rsidR="00555502" w:rsidRPr="000C7CFA" w:rsidRDefault="00555502" w:rsidP="00704CE9">
            <w:pPr>
              <w:pStyle w:val="Tabletext"/>
              <w:spacing w:before="0" w:after="0"/>
              <w:rPr>
                <w:rFonts w:ascii="Verdana" w:hAnsi="Verdana"/>
                <w:sz w:val="18"/>
                <w:szCs w:val="18"/>
                <w:lang w:val="en-GB"/>
              </w:rPr>
            </w:pPr>
          </w:p>
        </w:tc>
        <w:tc>
          <w:tcPr>
            <w:tcW w:w="1843" w:type="dxa"/>
            <w:tcBorders>
              <w:top w:val="single" w:sz="4" w:space="0" w:color="auto"/>
              <w:left w:val="single" w:sz="4" w:space="0" w:color="auto"/>
              <w:bottom w:val="single" w:sz="4" w:space="0" w:color="auto"/>
              <w:right w:val="single" w:sz="4" w:space="0" w:color="auto"/>
            </w:tcBorders>
          </w:tcPr>
          <w:p w14:paraId="08E4D20B"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stated</w:t>
            </w:r>
          </w:p>
        </w:tc>
        <w:tc>
          <w:tcPr>
            <w:tcW w:w="2976" w:type="dxa"/>
            <w:tcBorders>
              <w:left w:val="single" w:sz="4" w:space="0" w:color="auto"/>
              <w:bottom w:val="single" w:sz="4" w:space="0" w:color="auto"/>
              <w:right w:val="single" w:sz="4" w:space="0" w:color="auto"/>
            </w:tcBorders>
          </w:tcPr>
          <w:p w14:paraId="4D5AAE90" w14:textId="77777777" w:rsidR="00555502" w:rsidRPr="000C7CFA" w:rsidRDefault="00555502" w:rsidP="00704CE9">
            <w:pPr>
              <w:pStyle w:val="Default"/>
              <w:rPr>
                <w:rFonts w:ascii="Verdana" w:hAnsi="Verdana"/>
                <w:bCs/>
                <w:sz w:val="18"/>
                <w:szCs w:val="18"/>
              </w:rPr>
            </w:pPr>
            <w:r w:rsidRPr="000C7CFA">
              <w:rPr>
                <w:rFonts w:ascii="Verdana" w:hAnsi="Verdana"/>
                <w:sz w:val="18"/>
                <w:szCs w:val="18"/>
              </w:rPr>
              <w:t>Total isomers:</w:t>
            </w:r>
            <w:r w:rsidRPr="000C7CFA">
              <w:rPr>
                <w:rFonts w:ascii="Verdana" w:hAnsi="Verdana"/>
                <w:bCs/>
                <w:sz w:val="18"/>
                <w:szCs w:val="18"/>
              </w:rPr>
              <w:t xml:space="preserve"> &lt;LoD-27.1 µg/kg lw</w:t>
            </w:r>
          </w:p>
          <w:p w14:paraId="2AE7977E" w14:textId="77777777" w:rsidR="00555502" w:rsidRPr="000C7CFA" w:rsidRDefault="00555502" w:rsidP="00704CE9">
            <w:pPr>
              <w:spacing w:after="0"/>
              <w:rPr>
                <w:rFonts w:ascii="Verdana" w:hAnsi="Verdana"/>
                <w:sz w:val="18"/>
                <w:szCs w:val="18"/>
                <w:lang w:val="en-GB"/>
              </w:rPr>
            </w:pPr>
          </w:p>
          <w:p w14:paraId="11AB73B3"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Anti-DP: </w:t>
            </w:r>
            <w:r w:rsidRPr="000C7CFA">
              <w:rPr>
                <w:rFonts w:ascii="Verdana" w:hAnsi="Verdana"/>
                <w:bCs/>
                <w:sz w:val="18"/>
                <w:szCs w:val="18"/>
                <w:lang w:val="en-GB"/>
              </w:rPr>
              <w:t>&lt;LoD-12.9 µg/kg lw</w:t>
            </w:r>
          </w:p>
          <w:p w14:paraId="798252F8" w14:textId="77777777" w:rsidR="00555502" w:rsidRPr="000C7CFA" w:rsidRDefault="00555502" w:rsidP="00704CE9">
            <w:pPr>
              <w:spacing w:after="0"/>
              <w:rPr>
                <w:rFonts w:ascii="Verdana" w:hAnsi="Verdana"/>
                <w:sz w:val="18"/>
                <w:szCs w:val="18"/>
                <w:lang w:val="en-GB"/>
              </w:rPr>
            </w:pPr>
          </w:p>
          <w:p w14:paraId="17B5F619"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Syn-DP: </w:t>
            </w:r>
            <w:r w:rsidRPr="000C7CFA">
              <w:rPr>
                <w:rFonts w:ascii="Verdana" w:hAnsi="Verdana"/>
                <w:bCs/>
                <w:sz w:val="18"/>
                <w:szCs w:val="18"/>
                <w:lang w:val="en-GB"/>
              </w:rPr>
              <w:t>&lt;LoD-14.2 µg/kg lw</w:t>
            </w:r>
          </w:p>
          <w:p w14:paraId="3AAED641" w14:textId="77777777" w:rsidR="00555502" w:rsidRPr="000C7CFA" w:rsidRDefault="00555502" w:rsidP="00704CE9">
            <w:pPr>
              <w:spacing w:after="0"/>
              <w:rPr>
                <w:rFonts w:ascii="Verdana" w:hAnsi="Verdana"/>
                <w:sz w:val="18"/>
                <w:szCs w:val="18"/>
                <w:lang w:val="en-GB"/>
              </w:rPr>
            </w:pPr>
          </w:p>
        </w:tc>
        <w:tc>
          <w:tcPr>
            <w:tcW w:w="2552" w:type="dxa"/>
            <w:tcBorders>
              <w:left w:val="single" w:sz="4" w:space="0" w:color="auto"/>
              <w:bottom w:val="single" w:sz="4" w:space="0" w:color="auto"/>
              <w:right w:val="single" w:sz="4" w:space="0" w:color="auto"/>
            </w:tcBorders>
          </w:tcPr>
          <w:p w14:paraId="605E45CA" w14:textId="77777777" w:rsidR="00555502" w:rsidRPr="000C7CFA" w:rsidRDefault="00555502" w:rsidP="00704CE9">
            <w:pPr>
              <w:pStyle w:val="Default"/>
              <w:rPr>
                <w:rFonts w:ascii="Verdana" w:hAnsi="Verdana"/>
                <w:bCs/>
                <w:sz w:val="18"/>
                <w:szCs w:val="18"/>
              </w:rPr>
            </w:pPr>
            <w:r w:rsidRPr="000C7CFA">
              <w:rPr>
                <w:rFonts w:ascii="Verdana" w:hAnsi="Verdana"/>
                <w:color w:val="auto"/>
                <w:sz w:val="18"/>
                <w:szCs w:val="18"/>
              </w:rPr>
              <w:t>Analytical method not stated.</w:t>
            </w:r>
          </w:p>
          <w:p w14:paraId="1BA84FD8" w14:textId="77777777" w:rsidR="00555502" w:rsidRPr="000C7CFA" w:rsidRDefault="00555502" w:rsidP="00704CE9">
            <w:pPr>
              <w:pStyle w:val="Default"/>
              <w:rPr>
                <w:rFonts w:ascii="Verdana" w:hAnsi="Verdana"/>
                <w:sz w:val="18"/>
                <w:szCs w:val="18"/>
              </w:rPr>
            </w:pPr>
          </w:p>
          <w:p w14:paraId="230BD5CE" w14:textId="77777777" w:rsidR="00555502" w:rsidRPr="000C7CFA" w:rsidRDefault="00555502" w:rsidP="00704CE9">
            <w:pPr>
              <w:pStyle w:val="Default"/>
              <w:rPr>
                <w:rFonts w:ascii="Verdana" w:hAnsi="Verdana"/>
                <w:sz w:val="18"/>
                <w:szCs w:val="18"/>
              </w:rPr>
            </w:pPr>
            <w:r w:rsidRPr="000C7CFA">
              <w:rPr>
                <w:rFonts w:ascii="Verdana" w:hAnsi="Verdana"/>
                <w:color w:val="auto"/>
                <w:sz w:val="18"/>
                <w:szCs w:val="18"/>
              </w:rPr>
              <w:t>Based on a comparison of δ</w:t>
            </w:r>
            <w:r w:rsidRPr="000C7CFA">
              <w:rPr>
                <w:rFonts w:ascii="Verdana" w:hAnsi="Verdana"/>
                <w:color w:val="auto"/>
                <w:sz w:val="18"/>
                <w:szCs w:val="18"/>
                <w:vertAlign w:val="superscript"/>
              </w:rPr>
              <w:t>13</w:t>
            </w:r>
            <w:r w:rsidRPr="000C7CFA">
              <w:rPr>
                <w:rFonts w:ascii="Verdana" w:hAnsi="Verdana"/>
                <w:color w:val="auto"/>
                <w:sz w:val="18"/>
                <w:szCs w:val="18"/>
              </w:rPr>
              <w:t>C and δ</w:t>
            </w:r>
            <w:r w:rsidRPr="000C7CFA">
              <w:rPr>
                <w:rFonts w:ascii="Verdana" w:hAnsi="Verdana"/>
                <w:color w:val="auto"/>
                <w:sz w:val="18"/>
                <w:szCs w:val="18"/>
                <w:vertAlign w:val="superscript"/>
              </w:rPr>
              <w:t>15</w:t>
            </w:r>
            <w:r w:rsidRPr="000C7CFA">
              <w:rPr>
                <w:rFonts w:ascii="Verdana" w:hAnsi="Verdana"/>
                <w:color w:val="auto"/>
                <w:sz w:val="18"/>
                <w:szCs w:val="18"/>
              </w:rPr>
              <w:t xml:space="preserve">N ratios, the animals were at a lower trophic position and feeding on a different food source than the samples of </w:t>
            </w:r>
            <w:r w:rsidRPr="000C7CFA">
              <w:rPr>
                <w:rFonts w:ascii="Verdana" w:hAnsi="Verdana"/>
                <w:i/>
                <w:color w:val="auto"/>
                <w:sz w:val="18"/>
                <w:szCs w:val="18"/>
              </w:rPr>
              <w:t>Tursiops truncatus</w:t>
            </w:r>
            <w:r w:rsidRPr="000C7CFA">
              <w:rPr>
                <w:rFonts w:ascii="Verdana" w:hAnsi="Verdana"/>
                <w:color w:val="auto"/>
                <w:sz w:val="18"/>
                <w:szCs w:val="18"/>
              </w:rPr>
              <w:t xml:space="preserve"> collected at the same time.</w:t>
            </w:r>
          </w:p>
        </w:tc>
        <w:tc>
          <w:tcPr>
            <w:tcW w:w="1249" w:type="dxa"/>
            <w:tcBorders>
              <w:left w:val="single" w:sz="4" w:space="0" w:color="auto"/>
              <w:bottom w:val="single" w:sz="4" w:space="0" w:color="auto"/>
            </w:tcBorders>
          </w:tcPr>
          <w:p w14:paraId="18160C7E" w14:textId="77777777" w:rsidR="00555502" w:rsidRPr="000C7CFA" w:rsidRDefault="00555502" w:rsidP="00704CE9">
            <w:pPr>
              <w:pStyle w:val="Default"/>
              <w:rPr>
                <w:rFonts w:ascii="Verdana" w:hAnsi="Verdana"/>
                <w:color w:val="auto"/>
                <w:sz w:val="18"/>
                <w:szCs w:val="18"/>
              </w:rPr>
            </w:pPr>
            <w:r w:rsidRPr="000C7CFA">
              <w:rPr>
                <w:rFonts w:ascii="Verdana" w:hAnsi="Verdana"/>
                <w:color w:val="auto"/>
                <w:sz w:val="18"/>
                <w:szCs w:val="18"/>
              </w:rPr>
              <w:t>Eljarrat (2014) [ABST]</w:t>
            </w:r>
          </w:p>
          <w:p w14:paraId="20E9EA48" w14:textId="77777777" w:rsidR="00555502" w:rsidRPr="000C7CFA" w:rsidRDefault="00555502" w:rsidP="00704CE9">
            <w:pPr>
              <w:pStyle w:val="Tabletext"/>
              <w:spacing w:before="0" w:after="0"/>
              <w:rPr>
                <w:rFonts w:ascii="Verdana" w:hAnsi="Verdana"/>
                <w:sz w:val="18"/>
                <w:szCs w:val="18"/>
                <w:lang w:val="en-GB"/>
              </w:rPr>
            </w:pPr>
          </w:p>
        </w:tc>
      </w:tr>
      <w:tr w:rsidR="003F6F51" w:rsidRPr="000C7CFA" w14:paraId="623A4B1F" w14:textId="77777777" w:rsidTr="00D323EC">
        <w:trPr>
          <w:cantSplit/>
          <w:trHeight w:val="387"/>
        </w:trPr>
        <w:tc>
          <w:tcPr>
            <w:tcW w:w="1928" w:type="dxa"/>
            <w:tcBorders>
              <w:top w:val="single" w:sz="4" w:space="0" w:color="auto"/>
              <w:bottom w:val="single" w:sz="4" w:space="0" w:color="auto"/>
              <w:right w:val="single" w:sz="4" w:space="0" w:color="auto"/>
            </w:tcBorders>
          </w:tcPr>
          <w:p w14:paraId="13CAC04C" w14:textId="77777777" w:rsidR="003F6F51" w:rsidRPr="000C7CFA" w:rsidRDefault="003F6F51" w:rsidP="00FC2B2F">
            <w:pPr>
              <w:pStyle w:val="Tabletext"/>
              <w:keepNext w:val="0"/>
              <w:keepLines w:val="0"/>
              <w:autoSpaceDE w:val="0"/>
              <w:autoSpaceDN w:val="0"/>
              <w:adjustRightInd w:val="0"/>
              <w:spacing w:before="0" w:after="0"/>
              <w:rPr>
                <w:rFonts w:ascii="Verdana" w:hAnsi="Verdana"/>
                <w:sz w:val="18"/>
                <w:szCs w:val="18"/>
              </w:rPr>
            </w:pPr>
            <w:r w:rsidRPr="000C7CFA">
              <w:rPr>
                <w:rFonts w:ascii="Verdana" w:hAnsi="Verdana"/>
                <w:sz w:val="18"/>
                <w:szCs w:val="18"/>
              </w:rPr>
              <w:t>Short-beaked Common Dolphin (</w:t>
            </w:r>
            <w:r w:rsidRPr="000C7CFA">
              <w:rPr>
                <w:rFonts w:ascii="Verdana" w:hAnsi="Verdana"/>
                <w:i/>
                <w:iCs/>
                <w:sz w:val="18"/>
                <w:szCs w:val="18"/>
              </w:rPr>
              <w:t>Delphinus delphis</w:t>
            </w:r>
            <w:r w:rsidRPr="000C7CFA">
              <w:rPr>
                <w:rFonts w:ascii="Verdana" w:hAnsi="Verdana"/>
                <w:iCs/>
                <w:sz w:val="18"/>
                <w:szCs w:val="18"/>
              </w:rPr>
              <w:t>)</w:t>
            </w:r>
            <w:r w:rsidRPr="000C7CFA">
              <w:rPr>
                <w:rFonts w:ascii="Verdana" w:hAnsi="Verdana"/>
                <w:sz w:val="18"/>
                <w:szCs w:val="18"/>
              </w:rPr>
              <w:t xml:space="preserve"> </w:t>
            </w:r>
          </w:p>
          <w:p w14:paraId="643FCEFE" w14:textId="77777777" w:rsidR="003F6F51" w:rsidRPr="000C7CFA" w:rsidRDefault="003F6F51" w:rsidP="00FC2B2F">
            <w:pPr>
              <w:pStyle w:val="Default"/>
              <w:rPr>
                <w:rFonts w:ascii="Verdana" w:hAnsi="Verdana"/>
                <w:color w:val="auto"/>
                <w:sz w:val="18"/>
                <w:szCs w:val="18"/>
              </w:rPr>
            </w:pPr>
          </w:p>
        </w:tc>
        <w:tc>
          <w:tcPr>
            <w:tcW w:w="1068" w:type="dxa"/>
            <w:tcBorders>
              <w:top w:val="single" w:sz="4" w:space="0" w:color="auto"/>
              <w:left w:val="single" w:sz="4" w:space="0" w:color="auto"/>
              <w:bottom w:val="single" w:sz="4" w:space="0" w:color="auto"/>
              <w:right w:val="single" w:sz="4" w:space="0" w:color="auto"/>
            </w:tcBorders>
          </w:tcPr>
          <w:p w14:paraId="7EF4C6A1"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Blubber</w:t>
            </w:r>
          </w:p>
        </w:tc>
        <w:tc>
          <w:tcPr>
            <w:tcW w:w="2391" w:type="dxa"/>
            <w:tcBorders>
              <w:top w:val="single" w:sz="4" w:space="0" w:color="auto"/>
              <w:left w:val="single" w:sz="4" w:space="0" w:color="auto"/>
              <w:bottom w:val="single" w:sz="4" w:space="0" w:color="auto"/>
              <w:right w:val="single" w:sz="4" w:space="0" w:color="auto"/>
            </w:tcBorders>
          </w:tcPr>
          <w:p w14:paraId="0F74FEF5" w14:textId="77777777" w:rsidR="003F6F51" w:rsidRPr="000C7CFA" w:rsidRDefault="003F6F51" w:rsidP="00FC2B2F">
            <w:pPr>
              <w:pStyle w:val="Default"/>
              <w:rPr>
                <w:rFonts w:ascii="Verdana" w:hAnsi="Verdana"/>
                <w:color w:val="auto"/>
                <w:sz w:val="18"/>
                <w:szCs w:val="18"/>
              </w:rPr>
            </w:pPr>
            <w:r w:rsidRPr="000C7CFA">
              <w:rPr>
                <w:rFonts w:ascii="Verdana" w:hAnsi="Verdana"/>
                <w:color w:val="auto"/>
                <w:sz w:val="18"/>
                <w:szCs w:val="18"/>
              </w:rPr>
              <w:t>Samples collected from live animals by biopsy from the Gulf of Cádiz</w:t>
            </w:r>
            <w:r w:rsidRPr="000C7CFA">
              <w:rPr>
                <w:rFonts w:ascii="Verdana" w:hAnsi="Verdana"/>
                <w:sz w:val="18"/>
                <w:szCs w:val="18"/>
              </w:rPr>
              <w:t xml:space="preserve"> (n=15)</w:t>
            </w:r>
            <w:r w:rsidRPr="000C7CFA">
              <w:rPr>
                <w:rFonts w:ascii="Verdana" w:hAnsi="Verdana"/>
                <w:color w:val="auto"/>
                <w:sz w:val="18"/>
                <w:szCs w:val="18"/>
              </w:rPr>
              <w:t xml:space="preserve"> and Strait of Gibraltar, Spain (n=2) during 2012</w:t>
            </w:r>
          </w:p>
        </w:tc>
        <w:tc>
          <w:tcPr>
            <w:tcW w:w="1843" w:type="dxa"/>
            <w:tcBorders>
              <w:top w:val="single" w:sz="4" w:space="0" w:color="auto"/>
              <w:left w:val="single" w:sz="4" w:space="0" w:color="auto"/>
              <w:bottom w:val="single" w:sz="4" w:space="0" w:color="auto"/>
              <w:right w:val="single" w:sz="4" w:space="0" w:color="auto"/>
            </w:tcBorders>
          </w:tcPr>
          <w:p w14:paraId="1665C935"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 xml:space="preserve">0.01 μg/kg lw for anti-DP </w:t>
            </w:r>
          </w:p>
          <w:p w14:paraId="59E4C5AD"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0.02 μg/kg lw for syn-DP</w:t>
            </w:r>
          </w:p>
          <w:p w14:paraId="38806C5E" w14:textId="77777777" w:rsidR="003F6F51" w:rsidRPr="000C7CFA" w:rsidRDefault="003F6F51" w:rsidP="00FC2B2F">
            <w:pPr>
              <w:pStyle w:val="Tabletext"/>
              <w:spacing w:before="0" w:after="0"/>
              <w:jc w:val="center"/>
              <w:rPr>
                <w:rFonts w:ascii="Verdana" w:hAnsi="Verdana"/>
                <w:sz w:val="18"/>
                <w:szCs w:val="18"/>
                <w:lang w:val="en-GB"/>
              </w:rPr>
            </w:pPr>
          </w:p>
        </w:tc>
        <w:tc>
          <w:tcPr>
            <w:tcW w:w="2976" w:type="dxa"/>
            <w:tcBorders>
              <w:top w:val="single" w:sz="4" w:space="0" w:color="auto"/>
              <w:left w:val="single" w:sz="4" w:space="0" w:color="auto"/>
              <w:bottom w:val="single" w:sz="4" w:space="0" w:color="auto"/>
              <w:right w:val="single" w:sz="4" w:space="0" w:color="auto"/>
            </w:tcBorders>
          </w:tcPr>
          <w:p w14:paraId="31CA28EB"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Gulf</w:t>
            </w:r>
          </w:p>
          <w:p w14:paraId="33907FE3"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Anti-DP: mean 1.83 μg/kg lw (range&lt;LoD-12.9 μg/kg lw)</w:t>
            </w:r>
          </w:p>
          <w:p w14:paraId="4986EA00"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mean 2.74 μg/kg lw (range &lt;LoD-14.2 μg/kg lw)</w:t>
            </w:r>
          </w:p>
          <w:p w14:paraId="57CBE73A"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f</w:t>
            </w:r>
            <w:r w:rsidRPr="000C7CFA">
              <w:rPr>
                <w:rFonts w:ascii="Verdana" w:hAnsi="Verdana"/>
                <w:sz w:val="18"/>
                <w:szCs w:val="18"/>
                <w:vertAlign w:val="subscript"/>
              </w:rPr>
              <w:t>anti</w:t>
            </w:r>
            <w:r w:rsidRPr="000C7CFA">
              <w:rPr>
                <w:rFonts w:ascii="Verdana" w:hAnsi="Verdana"/>
                <w:sz w:val="18"/>
                <w:szCs w:val="18"/>
              </w:rPr>
              <w:t>; mean 0.36 (range 0.11-0.54)</w:t>
            </w:r>
          </w:p>
          <w:p w14:paraId="4472851F" w14:textId="77777777" w:rsidR="003F6F51" w:rsidRPr="000C7CFA" w:rsidRDefault="003F6F51" w:rsidP="00FC2B2F">
            <w:pPr>
              <w:autoSpaceDE w:val="0"/>
              <w:autoSpaceDN w:val="0"/>
              <w:adjustRightInd w:val="0"/>
              <w:spacing w:after="0"/>
              <w:rPr>
                <w:rFonts w:ascii="Verdana" w:hAnsi="Verdana"/>
                <w:sz w:val="18"/>
                <w:szCs w:val="18"/>
              </w:rPr>
            </w:pPr>
          </w:p>
          <w:p w14:paraId="7869C30F"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Strait</w:t>
            </w:r>
          </w:p>
          <w:p w14:paraId="0C6D1DA0"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Anti-DP: mean 5.94 μg/kg lw (range 0.37-11.6 μg/kg lw)</w:t>
            </w:r>
          </w:p>
          <w:p w14:paraId="51162A50"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mean 7.60 μg/kg lw (range 0.31-14.9 μg/kg lw)</w:t>
            </w:r>
          </w:p>
          <w:p w14:paraId="5A6218D3"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f</w:t>
            </w:r>
            <w:r w:rsidRPr="000C7CFA">
              <w:rPr>
                <w:rFonts w:ascii="Verdana" w:hAnsi="Verdana"/>
                <w:sz w:val="18"/>
                <w:szCs w:val="18"/>
                <w:vertAlign w:val="subscript"/>
              </w:rPr>
              <w:t>anti</w:t>
            </w:r>
            <w:r w:rsidRPr="000C7CFA">
              <w:rPr>
                <w:rFonts w:ascii="Verdana" w:hAnsi="Verdana"/>
                <w:sz w:val="18"/>
                <w:szCs w:val="18"/>
              </w:rPr>
              <w:t>; mean 0.47 (range 0.44-0.49)</w:t>
            </w:r>
          </w:p>
          <w:p w14:paraId="005F47B9" w14:textId="77777777" w:rsidR="003F6F51" w:rsidRPr="000C7CFA" w:rsidRDefault="003F6F51" w:rsidP="00FC2B2F">
            <w:pPr>
              <w:pStyle w:val="Default"/>
              <w:rPr>
                <w:rFonts w:ascii="Verdana" w:hAnsi="Verdan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624F3B5A"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Analysed by GC-MS/MS.</w:t>
            </w:r>
          </w:p>
          <w:p w14:paraId="14A4DFEA" w14:textId="77777777" w:rsidR="003F6F51" w:rsidRPr="000C7CFA" w:rsidRDefault="003F6F51" w:rsidP="00FC2B2F">
            <w:pPr>
              <w:pStyle w:val="Default"/>
              <w:rPr>
                <w:rFonts w:ascii="Verdana" w:hAnsi="Verdana"/>
                <w:color w:val="auto"/>
                <w:sz w:val="18"/>
                <w:szCs w:val="18"/>
              </w:rPr>
            </w:pPr>
            <w:r w:rsidRPr="000C7CFA">
              <w:rPr>
                <w:rFonts w:ascii="Verdana" w:hAnsi="Verdana"/>
                <w:sz w:val="18"/>
                <w:szCs w:val="18"/>
              </w:rPr>
              <w:t>Based on a comparison of δ</w:t>
            </w:r>
            <w:r w:rsidR="00971666" w:rsidRPr="000C7CFA">
              <w:rPr>
                <w:rFonts w:ascii="Verdana" w:hAnsi="Verdana"/>
                <w:sz w:val="18"/>
                <w:szCs w:val="18"/>
                <w:vertAlign w:val="superscript"/>
              </w:rPr>
              <w:t>15</w:t>
            </w:r>
            <w:r w:rsidRPr="000C7CFA">
              <w:rPr>
                <w:rFonts w:ascii="Verdana" w:hAnsi="Verdana"/>
                <w:sz w:val="18"/>
                <w:szCs w:val="18"/>
              </w:rPr>
              <w:t xml:space="preserve">N ratios, the </w:t>
            </w:r>
            <w:r w:rsidRPr="000C7CFA">
              <w:rPr>
                <w:rFonts w:ascii="Verdana" w:hAnsi="Verdana"/>
                <w:i/>
                <w:sz w:val="18"/>
                <w:szCs w:val="18"/>
              </w:rPr>
              <w:t xml:space="preserve">Tursiops truncatus </w:t>
            </w:r>
            <w:r w:rsidRPr="000C7CFA">
              <w:rPr>
                <w:rFonts w:ascii="Verdana" w:hAnsi="Verdana"/>
                <w:sz w:val="18"/>
                <w:szCs w:val="18"/>
              </w:rPr>
              <w:t xml:space="preserve">were at a higher trophic position than the samples of </w:t>
            </w:r>
            <w:r w:rsidRPr="000C7CFA">
              <w:rPr>
                <w:rFonts w:ascii="Verdana" w:hAnsi="Verdana"/>
                <w:i/>
                <w:sz w:val="18"/>
                <w:szCs w:val="18"/>
              </w:rPr>
              <w:t>Globicephala melas</w:t>
            </w:r>
            <w:r w:rsidRPr="000C7CFA">
              <w:rPr>
                <w:rFonts w:ascii="Verdana" w:hAnsi="Verdana"/>
                <w:sz w:val="18"/>
                <w:szCs w:val="18"/>
              </w:rPr>
              <w:t xml:space="preserve"> and </w:t>
            </w:r>
            <w:r w:rsidRPr="000C7CFA">
              <w:rPr>
                <w:rFonts w:ascii="Verdana" w:hAnsi="Verdana"/>
                <w:i/>
                <w:sz w:val="18"/>
                <w:szCs w:val="18"/>
              </w:rPr>
              <w:t>Delphinus delphis</w:t>
            </w:r>
            <w:r w:rsidRPr="000C7CFA">
              <w:rPr>
                <w:rFonts w:ascii="Verdana" w:hAnsi="Verdana"/>
                <w:sz w:val="18"/>
                <w:szCs w:val="18"/>
              </w:rPr>
              <w:t xml:space="preserve"> collected at the same time.</w:t>
            </w:r>
          </w:p>
        </w:tc>
        <w:tc>
          <w:tcPr>
            <w:tcW w:w="1249" w:type="dxa"/>
            <w:tcBorders>
              <w:top w:val="single" w:sz="4" w:space="0" w:color="auto"/>
              <w:left w:val="single" w:sz="4" w:space="0" w:color="auto"/>
              <w:bottom w:val="single" w:sz="4" w:space="0" w:color="auto"/>
            </w:tcBorders>
          </w:tcPr>
          <w:p w14:paraId="142ECB4F" w14:textId="77777777" w:rsidR="003F6F51" w:rsidRPr="000C7CFA" w:rsidRDefault="003F6F51" w:rsidP="00FC2B2F">
            <w:pPr>
              <w:pStyle w:val="Default"/>
              <w:rPr>
                <w:rFonts w:ascii="Verdana" w:hAnsi="Verdana"/>
                <w:color w:val="auto"/>
                <w:sz w:val="18"/>
                <w:szCs w:val="18"/>
              </w:rPr>
            </w:pPr>
            <w:r w:rsidRPr="000C7CFA">
              <w:rPr>
                <w:rFonts w:ascii="Verdana" w:hAnsi="Verdana"/>
                <w:sz w:val="18"/>
                <w:szCs w:val="18"/>
              </w:rPr>
              <w:t xml:space="preserve">Barón </w:t>
            </w:r>
            <w:r w:rsidRPr="000C7CFA">
              <w:rPr>
                <w:rFonts w:ascii="Verdana" w:hAnsi="Verdana"/>
                <w:i/>
                <w:sz w:val="18"/>
                <w:szCs w:val="18"/>
              </w:rPr>
              <w:t xml:space="preserve">et al. </w:t>
            </w:r>
            <w:r w:rsidRPr="000C7CFA">
              <w:rPr>
                <w:rFonts w:ascii="Verdana" w:hAnsi="Verdana"/>
                <w:sz w:val="18"/>
                <w:szCs w:val="18"/>
              </w:rPr>
              <w:t>(2015a) [May be same study as Eljarrat (2014) above]</w:t>
            </w:r>
          </w:p>
        </w:tc>
      </w:tr>
      <w:tr w:rsidR="00555502" w:rsidRPr="000C7CFA" w14:paraId="3E8C61A9" w14:textId="77777777" w:rsidTr="00D323EC">
        <w:trPr>
          <w:cantSplit/>
          <w:trHeight w:val="387"/>
        </w:trPr>
        <w:tc>
          <w:tcPr>
            <w:tcW w:w="1928" w:type="dxa"/>
            <w:tcBorders>
              <w:top w:val="single" w:sz="4" w:space="0" w:color="auto"/>
              <w:bottom w:val="single" w:sz="4" w:space="0" w:color="auto"/>
              <w:right w:val="single" w:sz="4" w:space="0" w:color="auto"/>
            </w:tcBorders>
          </w:tcPr>
          <w:p w14:paraId="7160D1A8" w14:textId="57CACD74" w:rsidR="00555502" w:rsidRPr="000C7CFA" w:rsidRDefault="00555502" w:rsidP="00704CE9">
            <w:pPr>
              <w:pStyle w:val="Default"/>
              <w:rPr>
                <w:rFonts w:ascii="Verdana" w:hAnsi="Verdana"/>
                <w:color w:val="auto"/>
                <w:sz w:val="18"/>
                <w:szCs w:val="18"/>
              </w:rPr>
            </w:pPr>
            <w:r w:rsidRPr="000C7CFA">
              <w:rPr>
                <w:rFonts w:ascii="Verdana" w:hAnsi="Verdana"/>
                <w:color w:val="auto"/>
                <w:sz w:val="18"/>
                <w:szCs w:val="18"/>
              </w:rPr>
              <w:lastRenderedPageBreak/>
              <w:t xml:space="preserve">Bottlenose Dolphin </w:t>
            </w:r>
          </w:p>
          <w:p w14:paraId="2A57FB5D" w14:textId="1A38CE9C" w:rsidR="00555502" w:rsidRPr="000C7CFA" w:rsidRDefault="00555502" w:rsidP="00704CE9">
            <w:pPr>
              <w:pStyle w:val="Default"/>
              <w:rPr>
                <w:rFonts w:ascii="Verdana" w:hAnsi="Verdana"/>
                <w:color w:val="auto"/>
                <w:sz w:val="18"/>
                <w:szCs w:val="18"/>
              </w:rPr>
            </w:pPr>
            <w:r w:rsidRPr="000C7CFA">
              <w:rPr>
                <w:rFonts w:ascii="Verdana" w:hAnsi="Verdana"/>
                <w:color w:val="auto"/>
                <w:sz w:val="18"/>
                <w:szCs w:val="18"/>
              </w:rPr>
              <w:t>(</w:t>
            </w:r>
            <w:r w:rsidRPr="000C7CFA">
              <w:rPr>
                <w:rFonts w:ascii="Verdana" w:hAnsi="Verdana"/>
                <w:i/>
                <w:iCs/>
                <w:color w:val="auto"/>
                <w:sz w:val="18"/>
                <w:szCs w:val="18"/>
              </w:rPr>
              <w:t>Tursiops truncat</w:t>
            </w:r>
            <w:r w:rsidR="003F6F51" w:rsidRPr="000C7CFA">
              <w:rPr>
                <w:rFonts w:ascii="Verdana" w:hAnsi="Verdana"/>
                <w:i/>
                <w:iCs/>
                <w:color w:val="auto"/>
                <w:sz w:val="18"/>
                <w:szCs w:val="18"/>
              </w:rPr>
              <w:t>u</w:t>
            </w:r>
            <w:r w:rsidRPr="000C7CFA">
              <w:rPr>
                <w:rFonts w:ascii="Verdana" w:hAnsi="Verdana"/>
                <w:i/>
                <w:iCs/>
                <w:color w:val="auto"/>
                <w:sz w:val="18"/>
                <w:szCs w:val="18"/>
              </w:rPr>
              <w:t>s</w:t>
            </w:r>
            <w:r w:rsidRPr="000C7CFA">
              <w:rPr>
                <w:rFonts w:ascii="Verdana" w:hAnsi="Verdana"/>
                <w:iCs/>
                <w:color w:val="auto"/>
                <w:sz w:val="18"/>
                <w:szCs w:val="18"/>
              </w:rPr>
              <w:t>)</w:t>
            </w:r>
            <w:r w:rsidRPr="000C7CFA">
              <w:rPr>
                <w:rFonts w:ascii="Verdana" w:hAnsi="Verdana"/>
                <w:color w:val="auto"/>
                <w:sz w:val="18"/>
                <w:szCs w:val="18"/>
              </w:rPr>
              <w:t xml:space="preserve"> </w:t>
            </w:r>
          </w:p>
          <w:p w14:paraId="0C52F6D4" w14:textId="77777777" w:rsidR="00555502" w:rsidRPr="000C7CFA" w:rsidRDefault="00555502" w:rsidP="00704CE9">
            <w:pPr>
              <w:pStyle w:val="Tabletext"/>
              <w:spacing w:before="0" w:after="0"/>
              <w:rPr>
                <w:rFonts w:ascii="Verdana" w:hAnsi="Verdana"/>
                <w:sz w:val="18"/>
                <w:szCs w:val="18"/>
                <w:lang w:val="en-GB"/>
              </w:rPr>
            </w:pPr>
          </w:p>
        </w:tc>
        <w:tc>
          <w:tcPr>
            <w:tcW w:w="1068" w:type="dxa"/>
            <w:tcBorders>
              <w:top w:val="single" w:sz="4" w:space="0" w:color="auto"/>
              <w:left w:val="single" w:sz="4" w:space="0" w:color="auto"/>
              <w:bottom w:val="single" w:sz="4" w:space="0" w:color="auto"/>
              <w:right w:val="single" w:sz="4" w:space="0" w:color="auto"/>
            </w:tcBorders>
          </w:tcPr>
          <w:p w14:paraId="65D3E6E6"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Blubber</w:t>
            </w:r>
          </w:p>
        </w:tc>
        <w:tc>
          <w:tcPr>
            <w:tcW w:w="2391" w:type="dxa"/>
            <w:tcBorders>
              <w:top w:val="single" w:sz="4" w:space="0" w:color="auto"/>
              <w:left w:val="single" w:sz="4" w:space="0" w:color="auto"/>
              <w:bottom w:val="single" w:sz="4" w:space="0" w:color="auto"/>
              <w:right w:val="single" w:sz="4" w:space="0" w:color="auto"/>
            </w:tcBorders>
          </w:tcPr>
          <w:p w14:paraId="0D4DF520" w14:textId="77777777" w:rsidR="00555502" w:rsidRPr="000C7CFA" w:rsidRDefault="00555502" w:rsidP="00704CE9">
            <w:pPr>
              <w:pStyle w:val="Default"/>
              <w:rPr>
                <w:rFonts w:ascii="Verdana" w:hAnsi="Verdana"/>
                <w:sz w:val="18"/>
                <w:szCs w:val="18"/>
              </w:rPr>
            </w:pPr>
            <w:r w:rsidRPr="000C7CFA">
              <w:rPr>
                <w:rFonts w:ascii="Verdana" w:hAnsi="Verdana"/>
                <w:color w:val="auto"/>
                <w:sz w:val="18"/>
                <w:szCs w:val="18"/>
              </w:rPr>
              <w:t>Samples collected from live animals by biopsy from the Gulf of Cádiz and Strait of Gibraltar, Spain (n=20) during February 2012</w:t>
            </w:r>
          </w:p>
        </w:tc>
        <w:tc>
          <w:tcPr>
            <w:tcW w:w="1843" w:type="dxa"/>
            <w:tcBorders>
              <w:top w:val="single" w:sz="4" w:space="0" w:color="auto"/>
              <w:left w:val="single" w:sz="4" w:space="0" w:color="auto"/>
              <w:bottom w:val="single" w:sz="4" w:space="0" w:color="auto"/>
              <w:right w:val="single" w:sz="4" w:space="0" w:color="auto"/>
            </w:tcBorders>
          </w:tcPr>
          <w:p w14:paraId="02C191DD"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stated</w:t>
            </w:r>
          </w:p>
        </w:tc>
        <w:tc>
          <w:tcPr>
            <w:tcW w:w="2976" w:type="dxa"/>
            <w:tcBorders>
              <w:top w:val="single" w:sz="4" w:space="0" w:color="auto"/>
              <w:left w:val="single" w:sz="4" w:space="0" w:color="auto"/>
              <w:bottom w:val="single" w:sz="4" w:space="0" w:color="auto"/>
              <w:right w:val="single" w:sz="4" w:space="0" w:color="auto"/>
            </w:tcBorders>
          </w:tcPr>
          <w:p w14:paraId="57057877" w14:textId="77777777" w:rsidR="00555502" w:rsidRPr="000C7CFA" w:rsidRDefault="00555502" w:rsidP="00704CE9">
            <w:pPr>
              <w:pStyle w:val="Default"/>
              <w:rPr>
                <w:rFonts w:ascii="Verdana" w:hAnsi="Verdana"/>
                <w:sz w:val="18"/>
                <w:szCs w:val="18"/>
              </w:rPr>
            </w:pPr>
            <w:r w:rsidRPr="000C7CFA">
              <w:rPr>
                <w:rFonts w:ascii="Verdana" w:hAnsi="Verdana"/>
                <w:sz w:val="18"/>
                <w:szCs w:val="18"/>
              </w:rPr>
              <w:t>Gulf</w:t>
            </w:r>
          </w:p>
          <w:p w14:paraId="07EB5B62" w14:textId="77777777" w:rsidR="00555502" w:rsidRPr="000C7CFA" w:rsidRDefault="00555502" w:rsidP="00704CE9">
            <w:pPr>
              <w:pStyle w:val="Default"/>
              <w:rPr>
                <w:rFonts w:ascii="Verdana" w:hAnsi="Verdana"/>
                <w:bCs/>
                <w:sz w:val="18"/>
                <w:szCs w:val="18"/>
              </w:rPr>
            </w:pPr>
            <w:r w:rsidRPr="000C7CFA">
              <w:rPr>
                <w:rFonts w:ascii="Verdana" w:hAnsi="Verdana"/>
                <w:sz w:val="18"/>
                <w:szCs w:val="18"/>
              </w:rPr>
              <w:t>Total isomers:</w:t>
            </w:r>
            <w:r w:rsidRPr="000C7CFA">
              <w:rPr>
                <w:rFonts w:ascii="Verdana" w:hAnsi="Verdana"/>
                <w:bCs/>
                <w:sz w:val="18"/>
                <w:szCs w:val="18"/>
              </w:rPr>
              <w:t xml:space="preserve"> &lt;LoD-21.1 µg/kg lw</w:t>
            </w:r>
          </w:p>
          <w:p w14:paraId="6B1D632A"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Anti-DP: </w:t>
            </w:r>
            <w:r w:rsidRPr="000C7CFA">
              <w:rPr>
                <w:rFonts w:ascii="Verdana" w:hAnsi="Verdana"/>
                <w:bCs/>
                <w:sz w:val="18"/>
                <w:szCs w:val="18"/>
                <w:lang w:val="en-GB"/>
              </w:rPr>
              <w:t>&lt;LoD-9.68 µg/kg lw</w:t>
            </w:r>
          </w:p>
          <w:p w14:paraId="617234AC" w14:textId="77777777" w:rsidR="00555502" w:rsidRPr="000C7CFA" w:rsidRDefault="00555502" w:rsidP="00704CE9">
            <w:pPr>
              <w:spacing w:after="0"/>
              <w:rPr>
                <w:rFonts w:ascii="Verdana" w:hAnsi="Verdana"/>
                <w:bCs/>
                <w:sz w:val="18"/>
                <w:szCs w:val="18"/>
                <w:lang w:val="en-GB"/>
              </w:rPr>
            </w:pPr>
            <w:r w:rsidRPr="000C7CFA">
              <w:rPr>
                <w:rFonts w:ascii="Verdana" w:hAnsi="Verdana"/>
                <w:sz w:val="18"/>
                <w:szCs w:val="18"/>
                <w:lang w:val="en-GB"/>
              </w:rPr>
              <w:t xml:space="preserve">Syn-DP: </w:t>
            </w:r>
            <w:r w:rsidRPr="000C7CFA">
              <w:rPr>
                <w:rFonts w:ascii="Verdana" w:hAnsi="Verdana"/>
                <w:bCs/>
                <w:sz w:val="18"/>
                <w:szCs w:val="18"/>
                <w:lang w:val="en-GB"/>
              </w:rPr>
              <w:t>&lt;LoD-11.4 µg/kg lw</w:t>
            </w:r>
          </w:p>
          <w:p w14:paraId="755B9268" w14:textId="77777777" w:rsidR="00555502" w:rsidRPr="000C7CFA" w:rsidRDefault="00555502" w:rsidP="00704CE9">
            <w:pPr>
              <w:spacing w:after="0"/>
              <w:rPr>
                <w:rFonts w:ascii="Verdana" w:hAnsi="Verdana"/>
                <w:bCs/>
                <w:sz w:val="18"/>
                <w:szCs w:val="18"/>
                <w:lang w:val="en-GB"/>
              </w:rPr>
            </w:pPr>
          </w:p>
          <w:p w14:paraId="550C9D83" w14:textId="77777777" w:rsidR="00555502" w:rsidRPr="000C7CFA" w:rsidRDefault="00555502" w:rsidP="00704CE9">
            <w:pPr>
              <w:spacing w:after="0"/>
              <w:rPr>
                <w:rFonts w:ascii="Verdana" w:hAnsi="Verdana"/>
                <w:sz w:val="18"/>
                <w:szCs w:val="18"/>
                <w:lang w:val="en-GB"/>
              </w:rPr>
            </w:pPr>
            <w:r w:rsidRPr="000C7CFA">
              <w:rPr>
                <w:rFonts w:ascii="Verdana" w:hAnsi="Verdana"/>
                <w:bCs/>
                <w:sz w:val="18"/>
                <w:szCs w:val="18"/>
                <w:lang w:val="en-GB"/>
              </w:rPr>
              <w:t>Strait</w:t>
            </w:r>
          </w:p>
          <w:p w14:paraId="60037CA2" w14:textId="77777777" w:rsidR="00555502" w:rsidRPr="000C7CFA" w:rsidRDefault="00555502" w:rsidP="00704CE9">
            <w:pPr>
              <w:pStyle w:val="Default"/>
              <w:rPr>
                <w:rFonts w:ascii="Verdana" w:hAnsi="Verdana"/>
                <w:bCs/>
                <w:sz w:val="18"/>
                <w:szCs w:val="18"/>
              </w:rPr>
            </w:pPr>
            <w:r w:rsidRPr="000C7CFA">
              <w:rPr>
                <w:rFonts w:ascii="Verdana" w:hAnsi="Verdana"/>
                <w:sz w:val="18"/>
                <w:szCs w:val="18"/>
              </w:rPr>
              <w:t>Total isomers:</w:t>
            </w:r>
            <w:r w:rsidRPr="000C7CFA">
              <w:rPr>
                <w:rFonts w:ascii="Verdana" w:hAnsi="Verdana"/>
                <w:bCs/>
                <w:sz w:val="18"/>
                <w:szCs w:val="18"/>
              </w:rPr>
              <w:t xml:space="preserve"> &lt;LoD-5.0 µg/kg lw</w:t>
            </w:r>
          </w:p>
          <w:p w14:paraId="00D14F16"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Anti-DP: </w:t>
            </w:r>
            <w:r w:rsidRPr="000C7CFA">
              <w:rPr>
                <w:rFonts w:ascii="Verdana" w:hAnsi="Verdana"/>
                <w:bCs/>
                <w:sz w:val="18"/>
                <w:szCs w:val="18"/>
                <w:lang w:val="en-GB"/>
              </w:rPr>
              <w:t>&lt;LoD-5.0 µg/kg lw</w:t>
            </w:r>
          </w:p>
          <w:p w14:paraId="78D3B89C" w14:textId="77777777" w:rsidR="00555502" w:rsidRPr="000C7CFA" w:rsidRDefault="00555502" w:rsidP="00704CE9">
            <w:pPr>
              <w:spacing w:after="0"/>
              <w:rPr>
                <w:rFonts w:ascii="Verdana" w:hAnsi="Verdana"/>
                <w:bCs/>
                <w:sz w:val="18"/>
                <w:szCs w:val="18"/>
                <w:lang w:val="en-GB"/>
              </w:rPr>
            </w:pPr>
            <w:r w:rsidRPr="000C7CFA">
              <w:rPr>
                <w:rFonts w:ascii="Verdana" w:hAnsi="Verdana"/>
                <w:sz w:val="18"/>
                <w:szCs w:val="18"/>
                <w:lang w:val="en-GB"/>
              </w:rPr>
              <w:t xml:space="preserve">Syn-DP: </w:t>
            </w:r>
            <w:r w:rsidRPr="000C7CFA">
              <w:rPr>
                <w:rFonts w:ascii="Verdana" w:hAnsi="Verdana"/>
                <w:bCs/>
                <w:sz w:val="18"/>
                <w:szCs w:val="18"/>
                <w:lang w:val="en-GB"/>
              </w:rPr>
              <w:t>&lt;LoD-5.44 µg/kg lw</w:t>
            </w:r>
          </w:p>
        </w:tc>
        <w:tc>
          <w:tcPr>
            <w:tcW w:w="2552" w:type="dxa"/>
            <w:tcBorders>
              <w:top w:val="single" w:sz="4" w:space="0" w:color="auto"/>
              <w:left w:val="single" w:sz="4" w:space="0" w:color="auto"/>
              <w:bottom w:val="single" w:sz="4" w:space="0" w:color="auto"/>
              <w:right w:val="single" w:sz="4" w:space="0" w:color="auto"/>
            </w:tcBorders>
          </w:tcPr>
          <w:p w14:paraId="6D5E2CA9" w14:textId="77777777" w:rsidR="00555502" w:rsidRPr="000C7CFA" w:rsidRDefault="00555502" w:rsidP="00704CE9">
            <w:pPr>
              <w:pStyle w:val="Default"/>
              <w:rPr>
                <w:rFonts w:ascii="Verdana" w:hAnsi="Verdana"/>
                <w:color w:val="auto"/>
                <w:sz w:val="18"/>
                <w:szCs w:val="18"/>
              </w:rPr>
            </w:pPr>
            <w:r w:rsidRPr="000C7CFA">
              <w:rPr>
                <w:rFonts w:ascii="Verdana" w:hAnsi="Verdana"/>
                <w:color w:val="auto"/>
                <w:sz w:val="18"/>
                <w:szCs w:val="18"/>
              </w:rPr>
              <w:t>Analytical method not stated.</w:t>
            </w:r>
          </w:p>
          <w:p w14:paraId="50E43BAA" w14:textId="77777777" w:rsidR="00555502" w:rsidRPr="000C7CFA" w:rsidRDefault="00555502" w:rsidP="00704CE9">
            <w:pPr>
              <w:pStyle w:val="Default"/>
              <w:rPr>
                <w:rFonts w:ascii="Verdana" w:hAnsi="Verdana"/>
                <w:color w:val="auto"/>
                <w:sz w:val="18"/>
                <w:szCs w:val="18"/>
              </w:rPr>
            </w:pPr>
          </w:p>
          <w:p w14:paraId="5ED1D4BA" w14:textId="105AE6A1" w:rsidR="00555502" w:rsidRPr="000C7CFA" w:rsidRDefault="00555502" w:rsidP="003F6F51">
            <w:pPr>
              <w:pStyle w:val="Default"/>
              <w:rPr>
                <w:rFonts w:ascii="Verdana" w:hAnsi="Verdana"/>
                <w:sz w:val="18"/>
                <w:szCs w:val="18"/>
              </w:rPr>
            </w:pPr>
            <w:r w:rsidRPr="000C7CFA">
              <w:rPr>
                <w:rFonts w:ascii="Verdana" w:hAnsi="Verdana"/>
                <w:color w:val="auto"/>
                <w:sz w:val="18"/>
                <w:szCs w:val="18"/>
              </w:rPr>
              <w:t>Based on a comparison of δ</w:t>
            </w:r>
            <w:r w:rsidRPr="000C7CFA">
              <w:rPr>
                <w:rFonts w:ascii="Verdana" w:hAnsi="Verdana"/>
                <w:color w:val="auto"/>
                <w:sz w:val="18"/>
                <w:szCs w:val="18"/>
                <w:vertAlign w:val="superscript"/>
              </w:rPr>
              <w:t>13</w:t>
            </w:r>
            <w:r w:rsidRPr="000C7CFA">
              <w:rPr>
                <w:rFonts w:ascii="Verdana" w:hAnsi="Verdana"/>
                <w:color w:val="auto"/>
                <w:sz w:val="18"/>
                <w:szCs w:val="18"/>
              </w:rPr>
              <w:t>C and δ</w:t>
            </w:r>
            <w:r w:rsidRPr="000C7CFA">
              <w:rPr>
                <w:rFonts w:ascii="Verdana" w:hAnsi="Verdana"/>
                <w:color w:val="auto"/>
                <w:sz w:val="18"/>
                <w:szCs w:val="18"/>
                <w:vertAlign w:val="superscript"/>
              </w:rPr>
              <w:t>15</w:t>
            </w:r>
            <w:r w:rsidRPr="000C7CFA">
              <w:rPr>
                <w:rFonts w:ascii="Verdana" w:hAnsi="Verdana"/>
                <w:color w:val="auto"/>
                <w:sz w:val="18"/>
                <w:szCs w:val="18"/>
              </w:rPr>
              <w:t xml:space="preserve">N ratios, the animals were at a </w:t>
            </w:r>
            <w:r w:rsidR="003F6F51" w:rsidRPr="000C7CFA">
              <w:rPr>
                <w:rFonts w:ascii="Verdana" w:hAnsi="Verdana"/>
                <w:color w:val="auto"/>
                <w:sz w:val="18"/>
                <w:szCs w:val="18"/>
              </w:rPr>
              <w:t>h</w:t>
            </w:r>
            <w:r w:rsidRPr="000C7CFA">
              <w:rPr>
                <w:rFonts w:ascii="Verdana" w:hAnsi="Verdana"/>
                <w:color w:val="auto"/>
                <w:sz w:val="18"/>
                <w:szCs w:val="18"/>
              </w:rPr>
              <w:t xml:space="preserve">igher trophic position and feeding on a different food source than the samples of </w:t>
            </w:r>
            <w:r w:rsidRPr="000C7CFA">
              <w:rPr>
                <w:rFonts w:ascii="Verdana" w:hAnsi="Verdana"/>
                <w:i/>
                <w:color w:val="auto"/>
                <w:sz w:val="18"/>
                <w:szCs w:val="18"/>
              </w:rPr>
              <w:t xml:space="preserve">Delphinus delphis </w:t>
            </w:r>
            <w:r w:rsidRPr="000C7CFA">
              <w:rPr>
                <w:rFonts w:ascii="Verdana" w:hAnsi="Verdana"/>
                <w:color w:val="auto"/>
                <w:sz w:val="18"/>
                <w:szCs w:val="18"/>
              </w:rPr>
              <w:t>collected at the same time. Animals from the Gulf of Cádiz occupied a slightly higher trophic position from those from the Strait of Gibraltar.</w:t>
            </w:r>
          </w:p>
        </w:tc>
        <w:tc>
          <w:tcPr>
            <w:tcW w:w="1249" w:type="dxa"/>
            <w:tcBorders>
              <w:top w:val="single" w:sz="4" w:space="0" w:color="auto"/>
              <w:left w:val="single" w:sz="4" w:space="0" w:color="auto"/>
              <w:bottom w:val="single" w:sz="4" w:space="0" w:color="auto"/>
            </w:tcBorders>
          </w:tcPr>
          <w:p w14:paraId="32DAD9F5" w14:textId="77777777" w:rsidR="00555502" w:rsidRPr="000C7CFA" w:rsidRDefault="00555502" w:rsidP="00704CE9">
            <w:pPr>
              <w:pStyle w:val="Default"/>
              <w:rPr>
                <w:rFonts w:ascii="Verdana" w:hAnsi="Verdana"/>
                <w:color w:val="auto"/>
                <w:sz w:val="18"/>
                <w:szCs w:val="18"/>
              </w:rPr>
            </w:pPr>
            <w:r w:rsidRPr="000C7CFA">
              <w:rPr>
                <w:rFonts w:ascii="Verdana" w:hAnsi="Verdana"/>
                <w:color w:val="auto"/>
                <w:sz w:val="18"/>
                <w:szCs w:val="18"/>
              </w:rPr>
              <w:t>Eljarrat (2014) [ABST]</w:t>
            </w:r>
          </w:p>
          <w:p w14:paraId="10E8658C" w14:textId="77777777" w:rsidR="00555502" w:rsidRPr="000C7CFA" w:rsidRDefault="00555502" w:rsidP="00704CE9">
            <w:pPr>
              <w:pStyle w:val="Tabletext"/>
              <w:spacing w:before="0" w:after="0"/>
              <w:rPr>
                <w:rFonts w:ascii="Verdana" w:hAnsi="Verdana"/>
                <w:sz w:val="18"/>
                <w:szCs w:val="18"/>
                <w:lang w:val="en-GB"/>
              </w:rPr>
            </w:pPr>
          </w:p>
        </w:tc>
      </w:tr>
      <w:tr w:rsidR="003F6F51" w:rsidRPr="000C7CFA" w14:paraId="1230F724" w14:textId="77777777" w:rsidTr="00D323EC">
        <w:trPr>
          <w:cantSplit/>
          <w:trHeight w:val="387"/>
        </w:trPr>
        <w:tc>
          <w:tcPr>
            <w:tcW w:w="1928" w:type="dxa"/>
            <w:tcBorders>
              <w:top w:val="single" w:sz="4" w:space="0" w:color="auto"/>
              <w:bottom w:val="single" w:sz="4" w:space="0" w:color="auto"/>
              <w:right w:val="single" w:sz="4" w:space="0" w:color="auto"/>
            </w:tcBorders>
          </w:tcPr>
          <w:p w14:paraId="2A8B53E8" w14:textId="77777777" w:rsidR="003F6F51" w:rsidRPr="000C7CFA" w:rsidRDefault="003F6F51" w:rsidP="00FC2B2F">
            <w:pPr>
              <w:pStyle w:val="Tabletext"/>
              <w:keepNext w:val="0"/>
              <w:keepLines w:val="0"/>
              <w:autoSpaceDE w:val="0"/>
              <w:autoSpaceDN w:val="0"/>
              <w:adjustRightInd w:val="0"/>
              <w:spacing w:before="0" w:after="0"/>
              <w:rPr>
                <w:rFonts w:ascii="Verdana" w:hAnsi="Verdana"/>
                <w:sz w:val="18"/>
                <w:szCs w:val="18"/>
              </w:rPr>
            </w:pPr>
            <w:r w:rsidRPr="000C7CFA">
              <w:rPr>
                <w:rFonts w:ascii="Verdana" w:hAnsi="Verdana"/>
                <w:sz w:val="18"/>
                <w:szCs w:val="18"/>
              </w:rPr>
              <w:t>Bottlenose Dolphin (</w:t>
            </w:r>
            <w:r w:rsidRPr="000C7CFA">
              <w:rPr>
                <w:rFonts w:ascii="Verdana" w:hAnsi="Verdana"/>
                <w:i/>
                <w:iCs/>
                <w:sz w:val="18"/>
                <w:szCs w:val="18"/>
              </w:rPr>
              <w:t>Tursiops truncatus</w:t>
            </w:r>
            <w:r w:rsidRPr="000C7CFA">
              <w:rPr>
                <w:rFonts w:ascii="Verdana" w:hAnsi="Verdana"/>
                <w:iCs/>
                <w:sz w:val="18"/>
                <w:szCs w:val="18"/>
              </w:rPr>
              <w:t>)</w:t>
            </w:r>
            <w:r w:rsidRPr="000C7CFA">
              <w:rPr>
                <w:rFonts w:ascii="Verdana" w:hAnsi="Verdana"/>
                <w:sz w:val="18"/>
                <w:szCs w:val="18"/>
              </w:rPr>
              <w:t xml:space="preserve"> </w:t>
            </w:r>
          </w:p>
          <w:p w14:paraId="3E1EB802" w14:textId="77777777" w:rsidR="003F6F51" w:rsidRPr="000C7CFA" w:rsidRDefault="003F6F51" w:rsidP="00FC2B2F">
            <w:pPr>
              <w:pStyle w:val="Default"/>
              <w:rPr>
                <w:rFonts w:ascii="Verdana" w:hAnsi="Verdana"/>
                <w:color w:val="auto"/>
                <w:sz w:val="18"/>
                <w:szCs w:val="18"/>
              </w:rPr>
            </w:pPr>
          </w:p>
        </w:tc>
        <w:tc>
          <w:tcPr>
            <w:tcW w:w="1068" w:type="dxa"/>
            <w:tcBorders>
              <w:top w:val="single" w:sz="4" w:space="0" w:color="auto"/>
              <w:left w:val="single" w:sz="4" w:space="0" w:color="auto"/>
              <w:bottom w:val="single" w:sz="4" w:space="0" w:color="auto"/>
              <w:right w:val="single" w:sz="4" w:space="0" w:color="auto"/>
            </w:tcBorders>
          </w:tcPr>
          <w:p w14:paraId="3B85FE91"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Blubber</w:t>
            </w:r>
          </w:p>
        </w:tc>
        <w:tc>
          <w:tcPr>
            <w:tcW w:w="2391" w:type="dxa"/>
            <w:tcBorders>
              <w:top w:val="single" w:sz="4" w:space="0" w:color="auto"/>
              <w:left w:val="single" w:sz="4" w:space="0" w:color="auto"/>
              <w:bottom w:val="single" w:sz="4" w:space="0" w:color="auto"/>
              <w:right w:val="single" w:sz="4" w:space="0" w:color="auto"/>
            </w:tcBorders>
          </w:tcPr>
          <w:p w14:paraId="1E83D25A"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rPr>
              <w:t>Samples collected from live animals by biopsy from the Gulf of Cádiz (n=20) and Strait of Gibraltar, Spain (n=20) during 2012</w:t>
            </w:r>
          </w:p>
        </w:tc>
        <w:tc>
          <w:tcPr>
            <w:tcW w:w="1843" w:type="dxa"/>
            <w:tcBorders>
              <w:top w:val="single" w:sz="4" w:space="0" w:color="auto"/>
              <w:left w:val="single" w:sz="4" w:space="0" w:color="auto"/>
              <w:bottom w:val="single" w:sz="4" w:space="0" w:color="auto"/>
              <w:right w:val="single" w:sz="4" w:space="0" w:color="auto"/>
            </w:tcBorders>
          </w:tcPr>
          <w:p w14:paraId="422979B9"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 xml:space="preserve">0.01 μg/kg lw for anti-DP </w:t>
            </w:r>
          </w:p>
          <w:p w14:paraId="4C2F7C6F"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0.02 μg/kg lw for syn-DP</w:t>
            </w:r>
          </w:p>
          <w:p w14:paraId="54C57A13" w14:textId="77777777" w:rsidR="003F6F51" w:rsidRPr="000C7CFA" w:rsidRDefault="003F6F51" w:rsidP="00FC2B2F">
            <w:pPr>
              <w:autoSpaceDE w:val="0"/>
              <w:autoSpaceDN w:val="0"/>
              <w:adjustRightInd w:val="0"/>
              <w:spacing w:after="0"/>
              <w:jc w:val="center"/>
              <w:rPr>
                <w:rFonts w:ascii="Verdana" w:hAnsi="Verdana"/>
                <w:sz w:val="18"/>
                <w:szCs w:val="18"/>
              </w:rPr>
            </w:pPr>
          </w:p>
        </w:tc>
        <w:tc>
          <w:tcPr>
            <w:tcW w:w="2976" w:type="dxa"/>
            <w:tcBorders>
              <w:top w:val="single" w:sz="4" w:space="0" w:color="auto"/>
              <w:left w:val="single" w:sz="4" w:space="0" w:color="auto"/>
              <w:bottom w:val="single" w:sz="4" w:space="0" w:color="auto"/>
              <w:right w:val="single" w:sz="4" w:space="0" w:color="auto"/>
            </w:tcBorders>
          </w:tcPr>
          <w:p w14:paraId="36E91D3E"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Gulf</w:t>
            </w:r>
          </w:p>
          <w:p w14:paraId="2813B468"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Anti-DP: mean 2.15 μg/kg lw (range&lt;LoD-10.1 μg/kg lw)</w:t>
            </w:r>
          </w:p>
          <w:p w14:paraId="16FCCE4E"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mean 2.79 μg/kg lw (range &lt;LoD-12.6 μg/kg lw)</w:t>
            </w:r>
          </w:p>
          <w:p w14:paraId="7B83359D"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f</w:t>
            </w:r>
            <w:r w:rsidRPr="000C7CFA">
              <w:rPr>
                <w:rFonts w:ascii="Verdana" w:hAnsi="Verdana"/>
                <w:sz w:val="18"/>
                <w:szCs w:val="18"/>
                <w:vertAlign w:val="subscript"/>
              </w:rPr>
              <w:t>anti</w:t>
            </w:r>
            <w:r w:rsidRPr="000C7CFA">
              <w:rPr>
                <w:rFonts w:ascii="Verdana" w:hAnsi="Verdana"/>
                <w:sz w:val="18"/>
                <w:szCs w:val="18"/>
              </w:rPr>
              <w:t>; mean 0.49 (range 0.16-0.79)</w:t>
            </w:r>
          </w:p>
          <w:p w14:paraId="73ACB979" w14:textId="77777777" w:rsidR="003F6F51" w:rsidRPr="000C7CFA" w:rsidRDefault="003F6F51" w:rsidP="00FC2B2F">
            <w:pPr>
              <w:autoSpaceDE w:val="0"/>
              <w:autoSpaceDN w:val="0"/>
              <w:adjustRightInd w:val="0"/>
              <w:spacing w:after="0"/>
              <w:rPr>
                <w:rFonts w:ascii="Verdana" w:hAnsi="Verdana"/>
                <w:sz w:val="18"/>
                <w:szCs w:val="18"/>
              </w:rPr>
            </w:pPr>
          </w:p>
          <w:p w14:paraId="44545776"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Strait</w:t>
            </w:r>
          </w:p>
          <w:p w14:paraId="72AC111F"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Anti-DP: mean 2.10 μg/kg lw (range&lt;LoD-10.6 μg/kg lw)</w:t>
            </w:r>
          </w:p>
          <w:p w14:paraId="4E19C87F"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mean 2.48 μg/kg lw (range &lt;LoD-8.1 μg/kg lw)</w:t>
            </w:r>
          </w:p>
          <w:p w14:paraId="4E2DA241"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f</w:t>
            </w:r>
            <w:r w:rsidRPr="000C7CFA">
              <w:rPr>
                <w:rFonts w:ascii="Verdana" w:hAnsi="Verdana"/>
                <w:sz w:val="18"/>
                <w:szCs w:val="18"/>
                <w:vertAlign w:val="subscript"/>
              </w:rPr>
              <w:t>anti</w:t>
            </w:r>
            <w:r w:rsidRPr="000C7CFA">
              <w:rPr>
                <w:rFonts w:ascii="Verdana" w:hAnsi="Verdana"/>
                <w:sz w:val="18"/>
                <w:szCs w:val="18"/>
              </w:rPr>
              <w:t>; mean 0.48 (range 0.02-0.87)</w:t>
            </w:r>
          </w:p>
          <w:p w14:paraId="47B66397" w14:textId="77777777" w:rsidR="003F6F51" w:rsidRPr="000C7CFA" w:rsidRDefault="003F6F51" w:rsidP="00FC2B2F">
            <w:pPr>
              <w:autoSpaceDE w:val="0"/>
              <w:autoSpaceDN w:val="0"/>
              <w:adjustRightInd w:val="0"/>
              <w:spacing w:after="0"/>
              <w:rPr>
                <w:rFonts w:ascii="Verdana" w:hAnsi="Verdan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B1778BD"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Analysed by GC-MS/MS.</w:t>
            </w:r>
          </w:p>
          <w:p w14:paraId="0E7FBF2F"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Based on a comparison of δ</w:t>
            </w:r>
            <w:r w:rsidR="00971666" w:rsidRPr="000C7CFA">
              <w:rPr>
                <w:rFonts w:ascii="Verdana" w:hAnsi="Verdana"/>
                <w:sz w:val="18"/>
                <w:szCs w:val="18"/>
                <w:vertAlign w:val="superscript"/>
                <w:lang w:val="en-GB" w:eastAsia="en-GB"/>
              </w:rPr>
              <w:t>15</w:t>
            </w:r>
            <w:r w:rsidRPr="000C7CFA">
              <w:rPr>
                <w:rFonts w:ascii="Verdana" w:hAnsi="Verdana"/>
                <w:sz w:val="18"/>
                <w:szCs w:val="18"/>
                <w:lang w:val="en-GB" w:eastAsia="en-GB"/>
              </w:rPr>
              <w:t>N ratios, the</w:t>
            </w:r>
            <w:r w:rsidR="00971666" w:rsidRPr="000C7CFA">
              <w:rPr>
                <w:rFonts w:ascii="Verdana" w:hAnsi="Verdana"/>
                <w:sz w:val="18"/>
                <w:szCs w:val="18"/>
                <w:lang w:val="en-GB" w:eastAsia="en-GB"/>
              </w:rPr>
              <w:t xml:space="preserve"> samples of</w:t>
            </w:r>
            <w:r w:rsidRPr="000C7CFA">
              <w:rPr>
                <w:rFonts w:ascii="Verdana" w:hAnsi="Verdana"/>
                <w:sz w:val="18"/>
                <w:szCs w:val="18"/>
                <w:lang w:val="en-GB" w:eastAsia="en-GB"/>
              </w:rPr>
              <w:t xml:space="preserve"> </w:t>
            </w:r>
            <w:r w:rsidRPr="000C7CFA">
              <w:rPr>
                <w:rFonts w:ascii="Verdana" w:hAnsi="Verdana"/>
                <w:i/>
                <w:sz w:val="18"/>
                <w:szCs w:val="18"/>
                <w:lang w:val="en-GB" w:eastAsia="en-GB"/>
              </w:rPr>
              <w:t xml:space="preserve">Tursiops truncatus </w:t>
            </w:r>
            <w:r w:rsidRPr="000C7CFA">
              <w:rPr>
                <w:rFonts w:ascii="Verdana" w:hAnsi="Verdana"/>
                <w:sz w:val="18"/>
                <w:szCs w:val="18"/>
                <w:lang w:val="en-GB" w:eastAsia="en-GB"/>
              </w:rPr>
              <w:t xml:space="preserve">were at a higher trophic position than the samples of </w:t>
            </w:r>
            <w:r w:rsidRPr="000C7CFA">
              <w:rPr>
                <w:rFonts w:ascii="Verdana" w:hAnsi="Verdana"/>
                <w:i/>
                <w:sz w:val="18"/>
                <w:szCs w:val="18"/>
                <w:lang w:val="en-GB" w:eastAsia="en-GB"/>
              </w:rPr>
              <w:t>Globicephala melas</w:t>
            </w:r>
            <w:r w:rsidRPr="000C7CFA">
              <w:rPr>
                <w:rFonts w:ascii="Verdana" w:hAnsi="Verdana"/>
                <w:sz w:val="18"/>
                <w:szCs w:val="18"/>
                <w:lang w:val="en-GB" w:eastAsia="en-GB"/>
              </w:rPr>
              <w:t xml:space="preserve"> and </w:t>
            </w:r>
            <w:r w:rsidRPr="000C7CFA">
              <w:rPr>
                <w:rFonts w:ascii="Verdana" w:hAnsi="Verdana"/>
                <w:i/>
                <w:sz w:val="18"/>
                <w:szCs w:val="18"/>
                <w:lang w:val="en-GB" w:eastAsia="en-GB"/>
              </w:rPr>
              <w:t>Delphinus delphis</w:t>
            </w:r>
            <w:r w:rsidRPr="000C7CFA">
              <w:rPr>
                <w:rFonts w:ascii="Verdana" w:hAnsi="Verdana"/>
                <w:sz w:val="18"/>
                <w:szCs w:val="18"/>
                <w:lang w:val="en-GB" w:eastAsia="en-GB"/>
              </w:rPr>
              <w:t xml:space="preserve"> collected at the same time.</w:t>
            </w:r>
          </w:p>
        </w:tc>
        <w:tc>
          <w:tcPr>
            <w:tcW w:w="1249" w:type="dxa"/>
            <w:tcBorders>
              <w:top w:val="single" w:sz="4" w:space="0" w:color="auto"/>
              <w:left w:val="single" w:sz="4" w:space="0" w:color="auto"/>
              <w:bottom w:val="single" w:sz="4" w:space="0" w:color="auto"/>
            </w:tcBorders>
          </w:tcPr>
          <w:p w14:paraId="55D61D5A"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Barón </w:t>
            </w:r>
            <w:r w:rsidRPr="000C7CFA">
              <w:rPr>
                <w:rFonts w:ascii="Verdana" w:hAnsi="Verdana"/>
                <w:i/>
                <w:sz w:val="18"/>
                <w:szCs w:val="18"/>
                <w:lang w:val="en-GB"/>
              </w:rPr>
              <w:t xml:space="preserve">et al. </w:t>
            </w:r>
            <w:r w:rsidRPr="000C7CFA">
              <w:rPr>
                <w:rFonts w:ascii="Verdana" w:hAnsi="Verdana"/>
                <w:sz w:val="18"/>
                <w:szCs w:val="18"/>
                <w:lang w:val="en-GB"/>
              </w:rPr>
              <w:t>(2015a) [May be same study as Eljarrat (2014) above]</w:t>
            </w:r>
          </w:p>
        </w:tc>
      </w:tr>
      <w:tr w:rsidR="003F6F51" w:rsidRPr="000C7CFA" w14:paraId="2CB025F9" w14:textId="77777777" w:rsidTr="00D323EC">
        <w:trPr>
          <w:cantSplit/>
          <w:trHeight w:val="387"/>
        </w:trPr>
        <w:tc>
          <w:tcPr>
            <w:tcW w:w="1928" w:type="dxa"/>
            <w:tcBorders>
              <w:top w:val="single" w:sz="4" w:space="0" w:color="auto"/>
              <w:bottom w:val="single" w:sz="4" w:space="0" w:color="auto"/>
              <w:right w:val="single" w:sz="4" w:space="0" w:color="auto"/>
            </w:tcBorders>
          </w:tcPr>
          <w:p w14:paraId="7B85D3B3" w14:textId="77777777" w:rsidR="003F6F51" w:rsidRPr="000C7CFA" w:rsidRDefault="003F6F51" w:rsidP="00FC2B2F">
            <w:pPr>
              <w:pStyle w:val="Tabletext"/>
              <w:keepNext w:val="0"/>
              <w:keepLines w:val="0"/>
              <w:autoSpaceDE w:val="0"/>
              <w:autoSpaceDN w:val="0"/>
              <w:adjustRightInd w:val="0"/>
              <w:spacing w:before="0" w:after="0"/>
              <w:rPr>
                <w:rFonts w:ascii="Verdana" w:hAnsi="Verdana"/>
                <w:sz w:val="18"/>
                <w:szCs w:val="18"/>
              </w:rPr>
            </w:pPr>
            <w:r w:rsidRPr="000C7CFA">
              <w:rPr>
                <w:rFonts w:ascii="Verdana" w:hAnsi="Verdana"/>
                <w:sz w:val="18"/>
                <w:szCs w:val="18"/>
              </w:rPr>
              <w:lastRenderedPageBreak/>
              <w:t>Long-finned Pilot Whale</w:t>
            </w:r>
          </w:p>
          <w:p w14:paraId="58177FFF" w14:textId="77777777" w:rsidR="003F6F51" w:rsidRPr="000C7CFA" w:rsidRDefault="003F6F51" w:rsidP="00FC2B2F">
            <w:pPr>
              <w:pStyle w:val="Tabletext"/>
              <w:keepNext w:val="0"/>
              <w:keepLines w:val="0"/>
              <w:autoSpaceDE w:val="0"/>
              <w:autoSpaceDN w:val="0"/>
              <w:adjustRightInd w:val="0"/>
              <w:spacing w:before="0" w:after="0"/>
              <w:rPr>
                <w:rFonts w:ascii="Verdana" w:hAnsi="Verdana"/>
                <w:sz w:val="18"/>
                <w:szCs w:val="18"/>
              </w:rPr>
            </w:pPr>
            <w:r w:rsidRPr="000C7CFA">
              <w:rPr>
                <w:rFonts w:ascii="Verdana" w:hAnsi="Verdana"/>
                <w:sz w:val="18"/>
                <w:szCs w:val="18"/>
              </w:rPr>
              <w:t>(</w:t>
            </w:r>
            <w:r w:rsidRPr="000C7CFA">
              <w:rPr>
                <w:rFonts w:ascii="Verdana" w:hAnsi="Verdana"/>
                <w:i/>
                <w:iCs/>
                <w:sz w:val="18"/>
                <w:szCs w:val="18"/>
              </w:rPr>
              <w:t>Globicephala melas</w:t>
            </w:r>
            <w:r w:rsidRPr="000C7CFA">
              <w:rPr>
                <w:rFonts w:ascii="Verdana" w:hAnsi="Verdana"/>
                <w:iCs/>
                <w:sz w:val="18"/>
                <w:szCs w:val="18"/>
              </w:rPr>
              <w:t>)</w:t>
            </w:r>
            <w:r w:rsidRPr="000C7CFA">
              <w:rPr>
                <w:rFonts w:ascii="Verdana" w:hAnsi="Verdana"/>
                <w:sz w:val="18"/>
                <w:szCs w:val="18"/>
              </w:rPr>
              <w:t xml:space="preserve"> </w:t>
            </w:r>
          </w:p>
          <w:p w14:paraId="18965126" w14:textId="77777777" w:rsidR="003F6F51" w:rsidRPr="000C7CFA" w:rsidRDefault="003F6F51" w:rsidP="00FC2B2F">
            <w:pPr>
              <w:pStyle w:val="Default"/>
              <w:rPr>
                <w:rFonts w:ascii="Verdana" w:hAnsi="Verdana"/>
                <w:color w:val="auto"/>
                <w:sz w:val="18"/>
                <w:szCs w:val="18"/>
              </w:rPr>
            </w:pPr>
          </w:p>
        </w:tc>
        <w:tc>
          <w:tcPr>
            <w:tcW w:w="1068" w:type="dxa"/>
            <w:tcBorders>
              <w:top w:val="single" w:sz="4" w:space="0" w:color="auto"/>
              <w:left w:val="single" w:sz="4" w:space="0" w:color="auto"/>
              <w:bottom w:val="single" w:sz="4" w:space="0" w:color="auto"/>
              <w:right w:val="single" w:sz="4" w:space="0" w:color="auto"/>
            </w:tcBorders>
          </w:tcPr>
          <w:p w14:paraId="59B3EDC7"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Blubber</w:t>
            </w:r>
          </w:p>
        </w:tc>
        <w:tc>
          <w:tcPr>
            <w:tcW w:w="2391" w:type="dxa"/>
            <w:tcBorders>
              <w:top w:val="single" w:sz="4" w:space="0" w:color="auto"/>
              <w:left w:val="single" w:sz="4" w:space="0" w:color="auto"/>
              <w:bottom w:val="single" w:sz="4" w:space="0" w:color="auto"/>
              <w:right w:val="single" w:sz="4" w:space="0" w:color="auto"/>
            </w:tcBorders>
          </w:tcPr>
          <w:p w14:paraId="66B5D65D"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rPr>
              <w:t>Samples collected from live animals by biopsy from the Strait of Gibraltar, Spain (n=10) during 2012</w:t>
            </w:r>
          </w:p>
        </w:tc>
        <w:tc>
          <w:tcPr>
            <w:tcW w:w="1843" w:type="dxa"/>
            <w:tcBorders>
              <w:top w:val="single" w:sz="4" w:space="0" w:color="auto"/>
              <w:left w:val="single" w:sz="4" w:space="0" w:color="auto"/>
              <w:bottom w:val="single" w:sz="4" w:space="0" w:color="auto"/>
              <w:right w:val="single" w:sz="4" w:space="0" w:color="auto"/>
            </w:tcBorders>
          </w:tcPr>
          <w:p w14:paraId="68ED9D47"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 xml:space="preserve">0.01 μg/kg lw for anti-DP </w:t>
            </w:r>
          </w:p>
          <w:p w14:paraId="7EB7916B"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0.02 μg/kg lw for syn-DP</w:t>
            </w:r>
          </w:p>
          <w:p w14:paraId="6352B3E6" w14:textId="77777777" w:rsidR="003F6F51" w:rsidRPr="000C7CFA" w:rsidRDefault="003F6F51" w:rsidP="00FC2B2F">
            <w:pPr>
              <w:autoSpaceDE w:val="0"/>
              <w:autoSpaceDN w:val="0"/>
              <w:adjustRightInd w:val="0"/>
              <w:spacing w:after="0"/>
              <w:jc w:val="center"/>
              <w:rPr>
                <w:rFonts w:ascii="Verdana" w:hAnsi="Verdana"/>
                <w:sz w:val="18"/>
                <w:szCs w:val="18"/>
              </w:rPr>
            </w:pPr>
          </w:p>
        </w:tc>
        <w:tc>
          <w:tcPr>
            <w:tcW w:w="2976" w:type="dxa"/>
            <w:tcBorders>
              <w:top w:val="single" w:sz="4" w:space="0" w:color="auto"/>
              <w:left w:val="single" w:sz="4" w:space="0" w:color="auto"/>
              <w:bottom w:val="single" w:sz="4" w:space="0" w:color="auto"/>
              <w:right w:val="single" w:sz="4" w:space="0" w:color="auto"/>
            </w:tcBorders>
          </w:tcPr>
          <w:p w14:paraId="76CC6C79"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Anti-DP: mean 1.18 μg/kg lw (range&lt;LoD-2.93 μg/kg lw)</w:t>
            </w:r>
          </w:p>
          <w:p w14:paraId="1B6A49B5"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mean 1.50 μg/kg lw (range &lt;LoD-4.23 μg/kg lw)</w:t>
            </w:r>
          </w:p>
          <w:p w14:paraId="579A6005"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f</w:t>
            </w:r>
            <w:r w:rsidRPr="000C7CFA">
              <w:rPr>
                <w:rFonts w:ascii="Verdana" w:hAnsi="Verdana"/>
                <w:sz w:val="18"/>
                <w:szCs w:val="18"/>
                <w:vertAlign w:val="subscript"/>
              </w:rPr>
              <w:t>anti</w:t>
            </w:r>
            <w:r w:rsidRPr="000C7CFA">
              <w:rPr>
                <w:rFonts w:ascii="Verdana" w:hAnsi="Verdana"/>
                <w:sz w:val="18"/>
                <w:szCs w:val="18"/>
              </w:rPr>
              <w:t>; mean 0.49 (range 0.33-0.71)</w:t>
            </w:r>
          </w:p>
          <w:p w14:paraId="586293A8" w14:textId="77777777" w:rsidR="003F6F51" w:rsidRPr="000C7CFA" w:rsidRDefault="003F6F51" w:rsidP="00FC2B2F">
            <w:pPr>
              <w:autoSpaceDE w:val="0"/>
              <w:autoSpaceDN w:val="0"/>
              <w:adjustRightInd w:val="0"/>
              <w:spacing w:after="0"/>
              <w:rPr>
                <w:rFonts w:ascii="Verdana" w:hAnsi="Verdan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8C766D3"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Analysed by GC-MS/MS.</w:t>
            </w:r>
          </w:p>
          <w:p w14:paraId="74C0A1D6"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Based on a comparison of δ</w:t>
            </w:r>
            <w:r w:rsidR="00971666" w:rsidRPr="000C7CFA">
              <w:rPr>
                <w:rFonts w:ascii="Verdana" w:hAnsi="Verdana"/>
                <w:sz w:val="18"/>
                <w:szCs w:val="18"/>
                <w:vertAlign w:val="superscript"/>
                <w:lang w:val="en-GB" w:eastAsia="en-GB"/>
              </w:rPr>
              <w:t>15</w:t>
            </w:r>
            <w:r w:rsidRPr="000C7CFA">
              <w:rPr>
                <w:rFonts w:ascii="Verdana" w:hAnsi="Verdana"/>
                <w:sz w:val="18"/>
                <w:szCs w:val="18"/>
                <w:lang w:val="en-GB" w:eastAsia="en-GB"/>
              </w:rPr>
              <w:t>N ratios, the</w:t>
            </w:r>
            <w:r w:rsidR="00971666" w:rsidRPr="000C7CFA">
              <w:rPr>
                <w:rFonts w:ascii="Verdana" w:hAnsi="Verdana"/>
                <w:sz w:val="18"/>
                <w:szCs w:val="18"/>
                <w:lang w:val="en-GB" w:eastAsia="en-GB"/>
              </w:rPr>
              <w:t xml:space="preserve"> samples of</w:t>
            </w:r>
            <w:r w:rsidRPr="000C7CFA">
              <w:rPr>
                <w:rFonts w:ascii="Verdana" w:hAnsi="Verdana"/>
                <w:sz w:val="18"/>
                <w:szCs w:val="18"/>
                <w:lang w:val="en-GB" w:eastAsia="en-GB"/>
              </w:rPr>
              <w:t xml:space="preserve"> </w:t>
            </w:r>
            <w:r w:rsidRPr="000C7CFA">
              <w:rPr>
                <w:rFonts w:ascii="Verdana" w:hAnsi="Verdana"/>
                <w:i/>
                <w:sz w:val="18"/>
                <w:szCs w:val="18"/>
                <w:lang w:val="en-GB" w:eastAsia="en-GB"/>
              </w:rPr>
              <w:t xml:space="preserve">Tursiops truncatus </w:t>
            </w:r>
            <w:r w:rsidRPr="000C7CFA">
              <w:rPr>
                <w:rFonts w:ascii="Verdana" w:hAnsi="Verdana"/>
                <w:sz w:val="18"/>
                <w:szCs w:val="18"/>
                <w:lang w:val="en-GB" w:eastAsia="en-GB"/>
              </w:rPr>
              <w:t xml:space="preserve">were at a higher trophic position than the samples of </w:t>
            </w:r>
            <w:r w:rsidRPr="000C7CFA">
              <w:rPr>
                <w:rFonts w:ascii="Verdana" w:hAnsi="Verdana"/>
                <w:i/>
                <w:sz w:val="18"/>
                <w:szCs w:val="18"/>
                <w:lang w:val="en-GB" w:eastAsia="en-GB"/>
              </w:rPr>
              <w:t>Globicephala melas</w:t>
            </w:r>
            <w:r w:rsidRPr="000C7CFA">
              <w:rPr>
                <w:rFonts w:ascii="Verdana" w:hAnsi="Verdana"/>
                <w:sz w:val="18"/>
                <w:szCs w:val="18"/>
                <w:lang w:val="en-GB" w:eastAsia="en-GB"/>
              </w:rPr>
              <w:t xml:space="preserve"> and </w:t>
            </w:r>
            <w:r w:rsidRPr="000C7CFA">
              <w:rPr>
                <w:rFonts w:ascii="Verdana" w:hAnsi="Verdana"/>
                <w:i/>
                <w:sz w:val="18"/>
                <w:szCs w:val="18"/>
                <w:lang w:val="en-GB" w:eastAsia="en-GB"/>
              </w:rPr>
              <w:t>Delphinus delphis</w:t>
            </w:r>
            <w:r w:rsidRPr="000C7CFA">
              <w:rPr>
                <w:rFonts w:ascii="Verdana" w:hAnsi="Verdana"/>
                <w:sz w:val="18"/>
                <w:szCs w:val="18"/>
                <w:lang w:val="en-GB" w:eastAsia="en-GB"/>
              </w:rPr>
              <w:t xml:space="preserve"> collected at the same time.</w:t>
            </w:r>
          </w:p>
        </w:tc>
        <w:tc>
          <w:tcPr>
            <w:tcW w:w="1249" w:type="dxa"/>
            <w:tcBorders>
              <w:top w:val="single" w:sz="4" w:space="0" w:color="auto"/>
              <w:left w:val="single" w:sz="4" w:space="0" w:color="auto"/>
              <w:bottom w:val="single" w:sz="4" w:space="0" w:color="auto"/>
            </w:tcBorders>
          </w:tcPr>
          <w:p w14:paraId="1D0D923E"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Barón </w:t>
            </w:r>
            <w:r w:rsidRPr="000C7CFA">
              <w:rPr>
                <w:rFonts w:ascii="Verdana" w:hAnsi="Verdana"/>
                <w:i/>
                <w:sz w:val="18"/>
                <w:szCs w:val="18"/>
                <w:lang w:val="en-GB"/>
              </w:rPr>
              <w:t xml:space="preserve">et al. </w:t>
            </w:r>
            <w:r w:rsidRPr="000C7CFA">
              <w:rPr>
                <w:rFonts w:ascii="Verdana" w:hAnsi="Verdana"/>
                <w:sz w:val="18"/>
                <w:szCs w:val="18"/>
                <w:lang w:val="en-GB"/>
              </w:rPr>
              <w:t xml:space="preserve">(2015a) </w:t>
            </w:r>
          </w:p>
        </w:tc>
      </w:tr>
      <w:tr w:rsidR="003F6F51" w:rsidRPr="000C7CFA" w14:paraId="3CB072A9" w14:textId="77777777" w:rsidTr="00D323EC">
        <w:trPr>
          <w:cantSplit/>
          <w:trHeight w:val="387"/>
        </w:trPr>
        <w:tc>
          <w:tcPr>
            <w:tcW w:w="1928" w:type="dxa"/>
            <w:tcBorders>
              <w:top w:val="single" w:sz="4" w:space="0" w:color="auto"/>
              <w:bottom w:val="single" w:sz="4" w:space="0" w:color="auto"/>
              <w:right w:val="single" w:sz="4" w:space="0" w:color="auto"/>
            </w:tcBorders>
          </w:tcPr>
          <w:p w14:paraId="7CAD85F0" w14:textId="77777777" w:rsidR="003F6F51" w:rsidRPr="000C7CFA" w:rsidRDefault="003F6F51" w:rsidP="00FC2B2F">
            <w:pPr>
              <w:pStyle w:val="Default"/>
              <w:rPr>
                <w:rFonts w:ascii="Verdana" w:hAnsi="Verdana"/>
                <w:color w:val="auto"/>
                <w:sz w:val="18"/>
                <w:szCs w:val="18"/>
              </w:rPr>
            </w:pPr>
            <w:r w:rsidRPr="000C7CFA">
              <w:rPr>
                <w:rFonts w:ascii="Verdana" w:hAnsi="Verdana"/>
                <w:color w:val="auto"/>
                <w:sz w:val="18"/>
                <w:szCs w:val="18"/>
              </w:rPr>
              <w:t xml:space="preserve">Common Bottlenose Dolphin </w:t>
            </w:r>
          </w:p>
          <w:p w14:paraId="27F84924" w14:textId="77777777" w:rsidR="003F6F51" w:rsidRPr="000C7CFA" w:rsidRDefault="003F6F51" w:rsidP="00FC2B2F">
            <w:pPr>
              <w:pStyle w:val="Default"/>
              <w:rPr>
                <w:rFonts w:ascii="Verdana" w:hAnsi="Verdana"/>
                <w:sz w:val="18"/>
                <w:szCs w:val="18"/>
              </w:rPr>
            </w:pPr>
            <w:r w:rsidRPr="000C7CFA">
              <w:rPr>
                <w:rFonts w:ascii="Verdana" w:hAnsi="Verdana"/>
                <w:color w:val="auto"/>
                <w:sz w:val="18"/>
                <w:szCs w:val="18"/>
              </w:rPr>
              <w:t>(</w:t>
            </w:r>
            <w:r w:rsidRPr="000C7CFA">
              <w:rPr>
                <w:rFonts w:ascii="Verdana" w:hAnsi="Verdana"/>
                <w:i/>
                <w:iCs/>
                <w:color w:val="auto"/>
                <w:sz w:val="18"/>
                <w:szCs w:val="18"/>
              </w:rPr>
              <w:t>Tursiops truncatus</w:t>
            </w:r>
            <w:r w:rsidRPr="000C7CFA">
              <w:rPr>
                <w:rFonts w:ascii="Verdana" w:hAnsi="Verdana"/>
                <w:iCs/>
                <w:color w:val="auto"/>
                <w:sz w:val="18"/>
                <w:szCs w:val="18"/>
              </w:rPr>
              <w:t>)</w:t>
            </w:r>
            <w:r w:rsidRPr="000C7CFA">
              <w:rPr>
                <w:rFonts w:ascii="Verdana" w:hAnsi="Verdana"/>
                <w:color w:val="auto"/>
                <w:sz w:val="18"/>
                <w:szCs w:val="18"/>
              </w:rPr>
              <w:t xml:space="preserve"> </w:t>
            </w:r>
          </w:p>
        </w:tc>
        <w:tc>
          <w:tcPr>
            <w:tcW w:w="1068" w:type="dxa"/>
            <w:tcBorders>
              <w:top w:val="single" w:sz="4" w:space="0" w:color="auto"/>
              <w:left w:val="single" w:sz="4" w:space="0" w:color="auto"/>
              <w:bottom w:val="single" w:sz="4" w:space="0" w:color="auto"/>
              <w:right w:val="single" w:sz="4" w:space="0" w:color="auto"/>
            </w:tcBorders>
          </w:tcPr>
          <w:p w14:paraId="7B1AB4C7"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Blubber and brain</w:t>
            </w:r>
          </w:p>
        </w:tc>
        <w:tc>
          <w:tcPr>
            <w:tcW w:w="2391" w:type="dxa"/>
            <w:tcBorders>
              <w:top w:val="single" w:sz="4" w:space="0" w:color="auto"/>
              <w:left w:val="single" w:sz="4" w:space="0" w:color="auto"/>
              <w:bottom w:val="single" w:sz="4" w:space="0" w:color="auto"/>
              <w:right w:val="single" w:sz="4" w:space="0" w:color="auto"/>
            </w:tcBorders>
          </w:tcPr>
          <w:p w14:paraId="4A963A2B"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Samples collected from stranded individuals from the Alboran Sea between 2004 and 2011 (n=1)</w:t>
            </w:r>
          </w:p>
        </w:tc>
        <w:tc>
          <w:tcPr>
            <w:tcW w:w="1843" w:type="dxa"/>
            <w:tcBorders>
              <w:top w:val="single" w:sz="4" w:space="0" w:color="auto"/>
              <w:left w:val="single" w:sz="4" w:space="0" w:color="auto"/>
              <w:bottom w:val="single" w:sz="4" w:space="0" w:color="auto"/>
              <w:right w:val="single" w:sz="4" w:space="0" w:color="auto"/>
            </w:tcBorders>
          </w:tcPr>
          <w:p w14:paraId="0042517A"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 xml:space="preserve">0.01 μg/kg lw for anti-DP </w:t>
            </w:r>
          </w:p>
          <w:p w14:paraId="0B3C5E3C"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0.02 μg/kg lw for syn-DP</w:t>
            </w:r>
          </w:p>
          <w:p w14:paraId="25F7DE05" w14:textId="77777777" w:rsidR="003F6F51" w:rsidRPr="000C7CFA" w:rsidRDefault="003F6F51" w:rsidP="00FC2B2F">
            <w:pPr>
              <w:autoSpaceDE w:val="0"/>
              <w:autoSpaceDN w:val="0"/>
              <w:adjustRightInd w:val="0"/>
              <w:spacing w:after="0"/>
              <w:jc w:val="center"/>
              <w:rPr>
                <w:rFonts w:ascii="Verdana" w:hAnsi="Verdana"/>
                <w:sz w:val="18"/>
                <w:szCs w:val="18"/>
              </w:rPr>
            </w:pPr>
          </w:p>
        </w:tc>
        <w:tc>
          <w:tcPr>
            <w:tcW w:w="2976" w:type="dxa"/>
            <w:tcBorders>
              <w:top w:val="single" w:sz="4" w:space="0" w:color="auto"/>
              <w:left w:val="single" w:sz="4" w:space="0" w:color="auto"/>
              <w:bottom w:val="single" w:sz="4" w:space="0" w:color="auto"/>
              <w:right w:val="single" w:sz="4" w:space="0" w:color="auto"/>
            </w:tcBorders>
          </w:tcPr>
          <w:p w14:paraId="310D2CD7"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Blubber</w:t>
            </w:r>
          </w:p>
          <w:p w14:paraId="617E0630"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Anti-DP: &lt;LoD?</w:t>
            </w:r>
          </w:p>
          <w:p w14:paraId="3AC04BF9"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&lt;LoD?</w:t>
            </w:r>
          </w:p>
          <w:p w14:paraId="7E2F5A3B" w14:textId="77777777" w:rsidR="003F6F51" w:rsidRPr="000C7CFA" w:rsidRDefault="003F6F51" w:rsidP="00FC2B2F">
            <w:pPr>
              <w:autoSpaceDE w:val="0"/>
              <w:autoSpaceDN w:val="0"/>
              <w:adjustRightInd w:val="0"/>
              <w:spacing w:after="0"/>
              <w:rPr>
                <w:rFonts w:ascii="Verdana" w:hAnsi="Verdana"/>
                <w:sz w:val="18"/>
                <w:szCs w:val="18"/>
              </w:rPr>
            </w:pPr>
          </w:p>
          <w:p w14:paraId="79A59446"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Brain</w:t>
            </w:r>
          </w:p>
          <w:p w14:paraId="60363199"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Anti-DP: &lt;LoD?</w:t>
            </w:r>
          </w:p>
          <w:p w14:paraId="1A199147"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&lt;LoD?</w:t>
            </w:r>
          </w:p>
        </w:tc>
        <w:tc>
          <w:tcPr>
            <w:tcW w:w="2552" w:type="dxa"/>
            <w:tcBorders>
              <w:top w:val="single" w:sz="4" w:space="0" w:color="auto"/>
              <w:left w:val="single" w:sz="4" w:space="0" w:color="auto"/>
              <w:bottom w:val="single" w:sz="4" w:space="0" w:color="auto"/>
              <w:right w:val="single" w:sz="4" w:space="0" w:color="auto"/>
            </w:tcBorders>
          </w:tcPr>
          <w:p w14:paraId="61E70A56"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Analysed by GC-MS/MS.</w:t>
            </w:r>
          </w:p>
          <w:p w14:paraId="77847243" w14:textId="77777777" w:rsidR="003F6F51" w:rsidRPr="000C7CFA" w:rsidRDefault="003F6F51" w:rsidP="00FC2B2F">
            <w:pPr>
              <w:autoSpaceDE w:val="0"/>
              <w:autoSpaceDN w:val="0"/>
              <w:adjustRightInd w:val="0"/>
              <w:spacing w:after="0"/>
              <w:rPr>
                <w:rFonts w:ascii="Verdana" w:hAnsi="Verdana"/>
                <w:sz w:val="18"/>
                <w:szCs w:val="18"/>
                <w:lang w:val="en-GB" w:eastAsia="en-GB"/>
              </w:rPr>
            </w:pPr>
          </w:p>
          <w:p w14:paraId="2F205932" w14:textId="77777777" w:rsidR="003F6F51" w:rsidRPr="000C7CFA" w:rsidRDefault="003F6F51" w:rsidP="00FC2B2F">
            <w:pPr>
              <w:autoSpaceDE w:val="0"/>
              <w:autoSpaceDN w:val="0"/>
              <w:adjustRightInd w:val="0"/>
              <w:spacing w:after="0"/>
              <w:rPr>
                <w:rFonts w:ascii="Verdana" w:hAnsi="Verdana"/>
                <w:sz w:val="18"/>
                <w:szCs w:val="18"/>
                <w:lang w:val="en-GB" w:eastAsia="en-GB"/>
              </w:rPr>
            </w:pPr>
          </w:p>
        </w:tc>
        <w:tc>
          <w:tcPr>
            <w:tcW w:w="1249" w:type="dxa"/>
            <w:tcBorders>
              <w:top w:val="single" w:sz="4" w:space="0" w:color="auto"/>
              <w:left w:val="single" w:sz="4" w:space="0" w:color="auto"/>
              <w:bottom w:val="single" w:sz="4" w:space="0" w:color="auto"/>
            </w:tcBorders>
          </w:tcPr>
          <w:p w14:paraId="070A9987"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Barón </w:t>
            </w:r>
            <w:r w:rsidRPr="000C7CFA">
              <w:rPr>
                <w:rFonts w:ascii="Verdana" w:hAnsi="Verdana"/>
                <w:i/>
                <w:sz w:val="18"/>
                <w:szCs w:val="18"/>
                <w:lang w:val="en-GB"/>
              </w:rPr>
              <w:t xml:space="preserve">et al. </w:t>
            </w:r>
            <w:r w:rsidRPr="000C7CFA">
              <w:rPr>
                <w:rFonts w:ascii="Verdana" w:hAnsi="Verdana"/>
                <w:sz w:val="18"/>
                <w:szCs w:val="18"/>
                <w:lang w:val="en-GB"/>
              </w:rPr>
              <w:t>(2015b)</w:t>
            </w:r>
          </w:p>
        </w:tc>
      </w:tr>
      <w:tr w:rsidR="003F6F51" w:rsidRPr="000C7CFA" w14:paraId="742FC2FF" w14:textId="77777777" w:rsidTr="00D323EC">
        <w:trPr>
          <w:cantSplit/>
          <w:trHeight w:val="387"/>
        </w:trPr>
        <w:tc>
          <w:tcPr>
            <w:tcW w:w="1928" w:type="dxa"/>
            <w:tcBorders>
              <w:top w:val="single" w:sz="4" w:space="0" w:color="auto"/>
              <w:bottom w:val="single" w:sz="4" w:space="0" w:color="auto"/>
              <w:right w:val="single" w:sz="4" w:space="0" w:color="auto"/>
            </w:tcBorders>
          </w:tcPr>
          <w:p w14:paraId="582B9416"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Common Dolphin (</w:t>
            </w:r>
            <w:r w:rsidRPr="000C7CFA">
              <w:rPr>
                <w:rFonts w:ascii="Verdana" w:hAnsi="Verdana"/>
                <w:i/>
                <w:sz w:val="18"/>
                <w:szCs w:val="18"/>
                <w:lang w:val="en-GB"/>
              </w:rPr>
              <w:t>Delphinus delphis</w:t>
            </w:r>
            <w:r w:rsidRPr="000C7CFA">
              <w:rPr>
                <w:rFonts w:ascii="Verdana" w:hAnsi="Verdana"/>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1ADCEFE7"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Blubber and brain</w:t>
            </w:r>
          </w:p>
        </w:tc>
        <w:tc>
          <w:tcPr>
            <w:tcW w:w="2391" w:type="dxa"/>
            <w:tcBorders>
              <w:top w:val="single" w:sz="4" w:space="0" w:color="auto"/>
              <w:left w:val="single" w:sz="4" w:space="0" w:color="auto"/>
              <w:bottom w:val="single" w:sz="4" w:space="0" w:color="auto"/>
              <w:right w:val="single" w:sz="4" w:space="0" w:color="auto"/>
            </w:tcBorders>
          </w:tcPr>
          <w:p w14:paraId="28EC3794"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eastAsia="en-GB"/>
              </w:rPr>
              <w:t>Samples collected from stranded individuals from the Alboran Sea between 2004 and 2011 (n=10)</w:t>
            </w:r>
          </w:p>
        </w:tc>
        <w:tc>
          <w:tcPr>
            <w:tcW w:w="1843" w:type="dxa"/>
            <w:tcBorders>
              <w:top w:val="single" w:sz="4" w:space="0" w:color="auto"/>
              <w:left w:val="single" w:sz="4" w:space="0" w:color="auto"/>
              <w:bottom w:val="single" w:sz="4" w:space="0" w:color="auto"/>
              <w:right w:val="single" w:sz="4" w:space="0" w:color="auto"/>
            </w:tcBorders>
          </w:tcPr>
          <w:p w14:paraId="091CE742"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 xml:space="preserve">0.01 μg/kg lw for anti-DP </w:t>
            </w:r>
          </w:p>
          <w:p w14:paraId="34E0952F"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0.02 μg/kg lw for syn-DP</w:t>
            </w:r>
          </w:p>
          <w:p w14:paraId="26C80D7C" w14:textId="77777777" w:rsidR="003F6F51" w:rsidRPr="000C7CFA" w:rsidRDefault="003F6F51" w:rsidP="00FC2B2F">
            <w:pPr>
              <w:autoSpaceDE w:val="0"/>
              <w:autoSpaceDN w:val="0"/>
              <w:adjustRightInd w:val="0"/>
              <w:spacing w:after="0"/>
              <w:jc w:val="center"/>
              <w:rPr>
                <w:rFonts w:ascii="Verdana" w:hAnsi="Verdana"/>
                <w:sz w:val="18"/>
                <w:szCs w:val="18"/>
              </w:rPr>
            </w:pPr>
          </w:p>
        </w:tc>
        <w:tc>
          <w:tcPr>
            <w:tcW w:w="2976" w:type="dxa"/>
            <w:tcBorders>
              <w:top w:val="single" w:sz="4" w:space="0" w:color="auto"/>
              <w:left w:val="single" w:sz="4" w:space="0" w:color="auto"/>
              <w:bottom w:val="single" w:sz="4" w:space="0" w:color="auto"/>
              <w:right w:val="single" w:sz="4" w:space="0" w:color="auto"/>
            </w:tcBorders>
          </w:tcPr>
          <w:p w14:paraId="63BA069E"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Blubber</w:t>
            </w:r>
          </w:p>
          <w:p w14:paraId="729CBA8E"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Anti-DP: &lt;LoD-3.82 μg/kg lw</w:t>
            </w:r>
          </w:p>
          <w:p w14:paraId="01ADCDA7"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&lt;LoD-3.68 μg/kg lw</w:t>
            </w:r>
          </w:p>
          <w:p w14:paraId="03B74116" w14:textId="77777777" w:rsidR="003F6F51" w:rsidRPr="000C7CFA" w:rsidRDefault="003F6F51" w:rsidP="00FC2B2F">
            <w:pPr>
              <w:autoSpaceDE w:val="0"/>
              <w:autoSpaceDN w:val="0"/>
              <w:adjustRightInd w:val="0"/>
              <w:spacing w:after="0"/>
              <w:rPr>
                <w:rFonts w:ascii="Verdana" w:hAnsi="Verdana"/>
                <w:sz w:val="18"/>
                <w:szCs w:val="18"/>
              </w:rPr>
            </w:pPr>
          </w:p>
          <w:p w14:paraId="28488C10"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Brain</w:t>
            </w:r>
          </w:p>
          <w:p w14:paraId="02320C96"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 xml:space="preserve">Anti-DP: &lt;LoD-1.44 μg/kg lw </w:t>
            </w:r>
          </w:p>
          <w:p w14:paraId="5519855C"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&lt;LoD-1.55 μg/kg lw</w:t>
            </w:r>
          </w:p>
        </w:tc>
        <w:tc>
          <w:tcPr>
            <w:tcW w:w="2552" w:type="dxa"/>
            <w:tcBorders>
              <w:top w:val="single" w:sz="4" w:space="0" w:color="auto"/>
              <w:left w:val="single" w:sz="4" w:space="0" w:color="auto"/>
              <w:bottom w:val="single" w:sz="4" w:space="0" w:color="auto"/>
              <w:right w:val="single" w:sz="4" w:space="0" w:color="auto"/>
            </w:tcBorders>
          </w:tcPr>
          <w:p w14:paraId="4F1DF8B9"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Analysed by GC-MS/MS.</w:t>
            </w:r>
          </w:p>
          <w:p w14:paraId="4BDB9F48" w14:textId="77777777" w:rsidR="003F6F51" w:rsidRPr="000C7CFA" w:rsidRDefault="003F6F51" w:rsidP="00FC2B2F">
            <w:pPr>
              <w:autoSpaceDE w:val="0"/>
              <w:autoSpaceDN w:val="0"/>
              <w:adjustRightInd w:val="0"/>
              <w:spacing w:after="0"/>
              <w:rPr>
                <w:rFonts w:ascii="Verdana" w:hAnsi="Verdana"/>
                <w:sz w:val="18"/>
                <w:szCs w:val="18"/>
                <w:lang w:val="en-GB" w:eastAsia="en-GB"/>
              </w:rPr>
            </w:pPr>
          </w:p>
          <w:p w14:paraId="437A7156"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Detected in 2 samples</w:t>
            </w:r>
          </w:p>
        </w:tc>
        <w:tc>
          <w:tcPr>
            <w:tcW w:w="1249" w:type="dxa"/>
            <w:tcBorders>
              <w:top w:val="single" w:sz="4" w:space="0" w:color="auto"/>
              <w:left w:val="single" w:sz="4" w:space="0" w:color="auto"/>
              <w:bottom w:val="single" w:sz="4" w:space="0" w:color="auto"/>
            </w:tcBorders>
          </w:tcPr>
          <w:p w14:paraId="4B5AC476"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Barón </w:t>
            </w:r>
            <w:r w:rsidRPr="000C7CFA">
              <w:rPr>
                <w:rFonts w:ascii="Verdana" w:hAnsi="Verdana"/>
                <w:i/>
                <w:sz w:val="18"/>
                <w:szCs w:val="18"/>
                <w:lang w:val="en-GB"/>
              </w:rPr>
              <w:t xml:space="preserve">et al. </w:t>
            </w:r>
            <w:r w:rsidRPr="000C7CFA">
              <w:rPr>
                <w:rFonts w:ascii="Verdana" w:hAnsi="Verdana"/>
                <w:sz w:val="18"/>
                <w:szCs w:val="18"/>
                <w:lang w:val="en-GB"/>
              </w:rPr>
              <w:t>(2015b)</w:t>
            </w:r>
          </w:p>
        </w:tc>
      </w:tr>
      <w:tr w:rsidR="003F6F51" w:rsidRPr="000C7CFA" w14:paraId="08419892" w14:textId="77777777" w:rsidTr="00D323EC">
        <w:trPr>
          <w:cantSplit/>
          <w:trHeight w:val="387"/>
        </w:trPr>
        <w:tc>
          <w:tcPr>
            <w:tcW w:w="1928" w:type="dxa"/>
            <w:tcBorders>
              <w:top w:val="single" w:sz="4" w:space="0" w:color="auto"/>
              <w:bottom w:val="single" w:sz="4" w:space="0" w:color="auto"/>
              <w:right w:val="single" w:sz="4" w:space="0" w:color="auto"/>
            </w:tcBorders>
          </w:tcPr>
          <w:p w14:paraId="6758B28F"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Risso’s Dolphin (</w:t>
            </w:r>
            <w:r w:rsidRPr="000C7CFA">
              <w:rPr>
                <w:rFonts w:ascii="Verdana" w:hAnsi="Verdana"/>
                <w:i/>
                <w:sz w:val="18"/>
                <w:szCs w:val="18"/>
                <w:lang w:val="en-GB"/>
              </w:rPr>
              <w:t>Grampus griseus</w:t>
            </w:r>
            <w:r w:rsidRPr="000C7CFA">
              <w:rPr>
                <w:rFonts w:ascii="Verdana" w:hAnsi="Verdana"/>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50C716F4"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Blubber and brain</w:t>
            </w:r>
          </w:p>
        </w:tc>
        <w:tc>
          <w:tcPr>
            <w:tcW w:w="2391" w:type="dxa"/>
            <w:tcBorders>
              <w:top w:val="single" w:sz="4" w:space="0" w:color="auto"/>
              <w:left w:val="single" w:sz="4" w:space="0" w:color="auto"/>
              <w:bottom w:val="single" w:sz="4" w:space="0" w:color="auto"/>
              <w:right w:val="single" w:sz="4" w:space="0" w:color="auto"/>
            </w:tcBorders>
          </w:tcPr>
          <w:p w14:paraId="00C863EA"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Samples collected from stranded individuals from the Alboran Sea between 2004 and 2011 (n=1)</w:t>
            </w:r>
          </w:p>
        </w:tc>
        <w:tc>
          <w:tcPr>
            <w:tcW w:w="1843" w:type="dxa"/>
            <w:tcBorders>
              <w:top w:val="single" w:sz="4" w:space="0" w:color="auto"/>
              <w:left w:val="single" w:sz="4" w:space="0" w:color="auto"/>
              <w:bottom w:val="single" w:sz="4" w:space="0" w:color="auto"/>
              <w:right w:val="single" w:sz="4" w:space="0" w:color="auto"/>
            </w:tcBorders>
          </w:tcPr>
          <w:p w14:paraId="22ADB03F"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 xml:space="preserve">0.01 μg/kg lw for anti-DP </w:t>
            </w:r>
          </w:p>
          <w:p w14:paraId="7C4F291E"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0.02 μg/kg lw for syn-DP</w:t>
            </w:r>
          </w:p>
          <w:p w14:paraId="03E94D24" w14:textId="77777777" w:rsidR="003F6F51" w:rsidRPr="000C7CFA" w:rsidRDefault="003F6F51" w:rsidP="00FC2B2F">
            <w:pPr>
              <w:autoSpaceDE w:val="0"/>
              <w:autoSpaceDN w:val="0"/>
              <w:adjustRightInd w:val="0"/>
              <w:spacing w:after="0"/>
              <w:jc w:val="center"/>
              <w:rPr>
                <w:rFonts w:ascii="Verdana" w:hAnsi="Verdana"/>
                <w:sz w:val="18"/>
                <w:szCs w:val="18"/>
              </w:rPr>
            </w:pPr>
          </w:p>
        </w:tc>
        <w:tc>
          <w:tcPr>
            <w:tcW w:w="2976" w:type="dxa"/>
            <w:tcBorders>
              <w:top w:val="single" w:sz="4" w:space="0" w:color="auto"/>
              <w:left w:val="single" w:sz="4" w:space="0" w:color="auto"/>
              <w:bottom w:val="single" w:sz="4" w:space="0" w:color="auto"/>
              <w:right w:val="single" w:sz="4" w:space="0" w:color="auto"/>
            </w:tcBorders>
          </w:tcPr>
          <w:p w14:paraId="284102DF"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Blubber</w:t>
            </w:r>
          </w:p>
          <w:p w14:paraId="6117DF9B"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Anti-DP: &lt;LoD</w:t>
            </w:r>
          </w:p>
          <w:p w14:paraId="6BEA18CB"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&lt;LoD</w:t>
            </w:r>
          </w:p>
          <w:p w14:paraId="0EC61BA2" w14:textId="77777777" w:rsidR="003F6F51" w:rsidRPr="000C7CFA" w:rsidRDefault="003F6F51" w:rsidP="00FC2B2F">
            <w:pPr>
              <w:autoSpaceDE w:val="0"/>
              <w:autoSpaceDN w:val="0"/>
              <w:adjustRightInd w:val="0"/>
              <w:spacing w:after="0"/>
              <w:rPr>
                <w:rFonts w:ascii="Verdana" w:hAnsi="Verdana"/>
                <w:sz w:val="18"/>
                <w:szCs w:val="18"/>
              </w:rPr>
            </w:pPr>
          </w:p>
          <w:p w14:paraId="611EE14D"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Brain</w:t>
            </w:r>
          </w:p>
          <w:p w14:paraId="78B643CD"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 xml:space="preserve">Anti-DP: 0.37? μg/kg lw </w:t>
            </w:r>
          </w:p>
          <w:p w14:paraId="035400D8"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0.36? μg/kg lw</w:t>
            </w:r>
          </w:p>
        </w:tc>
        <w:tc>
          <w:tcPr>
            <w:tcW w:w="2552" w:type="dxa"/>
            <w:tcBorders>
              <w:top w:val="single" w:sz="4" w:space="0" w:color="auto"/>
              <w:left w:val="single" w:sz="4" w:space="0" w:color="auto"/>
              <w:bottom w:val="single" w:sz="4" w:space="0" w:color="auto"/>
              <w:right w:val="single" w:sz="4" w:space="0" w:color="auto"/>
            </w:tcBorders>
          </w:tcPr>
          <w:p w14:paraId="48B10B33"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Analysed by GC-MS/MS.</w:t>
            </w:r>
          </w:p>
          <w:p w14:paraId="4B078E3A" w14:textId="77777777" w:rsidR="003F6F51" w:rsidRPr="000C7CFA" w:rsidRDefault="003F6F51" w:rsidP="00FC2B2F">
            <w:pPr>
              <w:autoSpaceDE w:val="0"/>
              <w:autoSpaceDN w:val="0"/>
              <w:adjustRightInd w:val="0"/>
              <w:spacing w:after="0"/>
              <w:rPr>
                <w:rFonts w:ascii="Verdana" w:hAnsi="Verdana"/>
                <w:sz w:val="18"/>
                <w:szCs w:val="18"/>
                <w:lang w:val="en-GB" w:eastAsia="en-GB"/>
              </w:rPr>
            </w:pPr>
          </w:p>
          <w:p w14:paraId="7BE82AB9" w14:textId="77777777" w:rsidR="003F6F51" w:rsidRPr="000C7CFA" w:rsidRDefault="003F6F51" w:rsidP="00FC2B2F">
            <w:pPr>
              <w:autoSpaceDE w:val="0"/>
              <w:autoSpaceDN w:val="0"/>
              <w:adjustRightInd w:val="0"/>
              <w:spacing w:after="0"/>
              <w:rPr>
                <w:rFonts w:ascii="Verdana" w:hAnsi="Verdana"/>
                <w:sz w:val="18"/>
                <w:szCs w:val="18"/>
                <w:lang w:val="en-GB" w:eastAsia="en-GB"/>
              </w:rPr>
            </w:pPr>
          </w:p>
        </w:tc>
        <w:tc>
          <w:tcPr>
            <w:tcW w:w="1249" w:type="dxa"/>
            <w:tcBorders>
              <w:top w:val="single" w:sz="4" w:space="0" w:color="auto"/>
              <w:left w:val="single" w:sz="4" w:space="0" w:color="auto"/>
              <w:bottom w:val="single" w:sz="4" w:space="0" w:color="auto"/>
            </w:tcBorders>
          </w:tcPr>
          <w:p w14:paraId="14BBEB61"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Barón </w:t>
            </w:r>
            <w:r w:rsidRPr="000C7CFA">
              <w:rPr>
                <w:rFonts w:ascii="Verdana" w:hAnsi="Verdana"/>
                <w:i/>
                <w:sz w:val="18"/>
                <w:szCs w:val="18"/>
                <w:lang w:val="en-GB"/>
              </w:rPr>
              <w:t xml:space="preserve">et al. </w:t>
            </w:r>
            <w:r w:rsidRPr="000C7CFA">
              <w:rPr>
                <w:rFonts w:ascii="Verdana" w:hAnsi="Verdana"/>
                <w:sz w:val="18"/>
                <w:szCs w:val="18"/>
                <w:lang w:val="en-GB"/>
              </w:rPr>
              <w:t>(2015b)</w:t>
            </w:r>
          </w:p>
        </w:tc>
      </w:tr>
      <w:tr w:rsidR="003F6F51" w:rsidRPr="000C7CFA" w14:paraId="5F3C4A89" w14:textId="77777777" w:rsidTr="00D323EC">
        <w:trPr>
          <w:cantSplit/>
          <w:trHeight w:val="387"/>
        </w:trPr>
        <w:tc>
          <w:tcPr>
            <w:tcW w:w="1928" w:type="dxa"/>
            <w:tcBorders>
              <w:top w:val="single" w:sz="4" w:space="0" w:color="auto"/>
              <w:bottom w:val="single" w:sz="4" w:space="0" w:color="auto"/>
              <w:right w:val="single" w:sz="4" w:space="0" w:color="auto"/>
            </w:tcBorders>
          </w:tcPr>
          <w:p w14:paraId="5786D295"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lastRenderedPageBreak/>
              <w:t>Striped Dolphin (</w:t>
            </w:r>
            <w:r w:rsidRPr="000C7CFA">
              <w:rPr>
                <w:rFonts w:ascii="Verdana" w:hAnsi="Verdana"/>
                <w:i/>
                <w:sz w:val="18"/>
                <w:szCs w:val="18"/>
                <w:lang w:val="en-GB"/>
              </w:rPr>
              <w:t>Stenella coeruleoalba</w:t>
            </w:r>
            <w:r w:rsidRPr="000C7CFA">
              <w:rPr>
                <w:rFonts w:ascii="Verdana" w:hAnsi="Verdana"/>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6A498B26"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Blubber and brain</w:t>
            </w:r>
          </w:p>
        </w:tc>
        <w:tc>
          <w:tcPr>
            <w:tcW w:w="2391" w:type="dxa"/>
            <w:tcBorders>
              <w:top w:val="single" w:sz="4" w:space="0" w:color="auto"/>
              <w:left w:val="single" w:sz="4" w:space="0" w:color="auto"/>
              <w:bottom w:val="single" w:sz="4" w:space="0" w:color="auto"/>
              <w:right w:val="single" w:sz="4" w:space="0" w:color="auto"/>
            </w:tcBorders>
          </w:tcPr>
          <w:p w14:paraId="226C15A9"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Samples collected from stranded individuals from the Alboran Sea between 2004 and 2011 (n=11)</w:t>
            </w:r>
          </w:p>
        </w:tc>
        <w:tc>
          <w:tcPr>
            <w:tcW w:w="1843" w:type="dxa"/>
            <w:tcBorders>
              <w:top w:val="single" w:sz="4" w:space="0" w:color="auto"/>
              <w:left w:val="single" w:sz="4" w:space="0" w:color="auto"/>
              <w:bottom w:val="single" w:sz="4" w:space="0" w:color="auto"/>
              <w:right w:val="single" w:sz="4" w:space="0" w:color="auto"/>
            </w:tcBorders>
          </w:tcPr>
          <w:p w14:paraId="2787BA9B"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 xml:space="preserve">0.01 μg/kg lw for anti-DP </w:t>
            </w:r>
          </w:p>
          <w:p w14:paraId="1D0E875B"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0.02 μg/kg lw for syn-DP</w:t>
            </w:r>
          </w:p>
          <w:p w14:paraId="516B66A1" w14:textId="77777777" w:rsidR="003F6F51" w:rsidRPr="000C7CFA" w:rsidRDefault="003F6F51" w:rsidP="00FC2B2F">
            <w:pPr>
              <w:autoSpaceDE w:val="0"/>
              <w:autoSpaceDN w:val="0"/>
              <w:adjustRightInd w:val="0"/>
              <w:spacing w:after="0"/>
              <w:jc w:val="center"/>
              <w:rPr>
                <w:rFonts w:ascii="Verdana" w:hAnsi="Verdana"/>
                <w:sz w:val="18"/>
                <w:szCs w:val="18"/>
              </w:rPr>
            </w:pPr>
          </w:p>
        </w:tc>
        <w:tc>
          <w:tcPr>
            <w:tcW w:w="2976" w:type="dxa"/>
            <w:tcBorders>
              <w:top w:val="single" w:sz="4" w:space="0" w:color="auto"/>
              <w:left w:val="single" w:sz="4" w:space="0" w:color="auto"/>
              <w:bottom w:val="single" w:sz="4" w:space="0" w:color="auto"/>
              <w:right w:val="single" w:sz="4" w:space="0" w:color="auto"/>
            </w:tcBorders>
          </w:tcPr>
          <w:p w14:paraId="204D0DA6"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Blubber</w:t>
            </w:r>
          </w:p>
          <w:p w14:paraId="47116701"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Anti-DP: &lt;LoD-10.4</w:t>
            </w:r>
          </w:p>
          <w:p w14:paraId="01A97911"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&lt;LoD-10.0</w:t>
            </w:r>
          </w:p>
          <w:p w14:paraId="5D9643A3" w14:textId="77777777" w:rsidR="003F6F51" w:rsidRPr="000C7CFA" w:rsidRDefault="003F6F51" w:rsidP="00FC2B2F">
            <w:pPr>
              <w:autoSpaceDE w:val="0"/>
              <w:autoSpaceDN w:val="0"/>
              <w:adjustRightInd w:val="0"/>
              <w:spacing w:after="0"/>
              <w:rPr>
                <w:rFonts w:ascii="Verdana" w:hAnsi="Verdana"/>
                <w:sz w:val="18"/>
                <w:szCs w:val="18"/>
              </w:rPr>
            </w:pPr>
          </w:p>
          <w:p w14:paraId="68ADA279"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Brain</w:t>
            </w:r>
          </w:p>
          <w:p w14:paraId="683EF497"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 xml:space="preserve">Anti-DP: &lt;LoD-2.33 μg/kg lw </w:t>
            </w:r>
          </w:p>
          <w:p w14:paraId="523A2FA1"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&lt;LoD-2.62 μg/kg lw</w:t>
            </w:r>
          </w:p>
        </w:tc>
        <w:tc>
          <w:tcPr>
            <w:tcW w:w="2552" w:type="dxa"/>
            <w:tcBorders>
              <w:top w:val="single" w:sz="4" w:space="0" w:color="auto"/>
              <w:left w:val="single" w:sz="4" w:space="0" w:color="auto"/>
              <w:bottom w:val="single" w:sz="4" w:space="0" w:color="auto"/>
              <w:right w:val="single" w:sz="4" w:space="0" w:color="auto"/>
            </w:tcBorders>
          </w:tcPr>
          <w:p w14:paraId="1D42071C"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Analysed by GC-MS/MS.</w:t>
            </w:r>
          </w:p>
          <w:p w14:paraId="09178BED" w14:textId="77777777" w:rsidR="003F6F51" w:rsidRPr="000C7CFA" w:rsidRDefault="003F6F51" w:rsidP="00FC2B2F">
            <w:pPr>
              <w:autoSpaceDE w:val="0"/>
              <w:autoSpaceDN w:val="0"/>
              <w:adjustRightInd w:val="0"/>
              <w:spacing w:after="0"/>
              <w:rPr>
                <w:rFonts w:ascii="Verdana" w:hAnsi="Verdana"/>
                <w:sz w:val="18"/>
                <w:szCs w:val="18"/>
                <w:lang w:val="en-GB" w:eastAsia="en-GB"/>
              </w:rPr>
            </w:pPr>
          </w:p>
          <w:p w14:paraId="675FB2E6"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Detected in 6 blubber and 2 brain samples.</w:t>
            </w:r>
          </w:p>
          <w:p w14:paraId="5D5F1D69" w14:textId="77777777" w:rsidR="003F6F51" w:rsidRPr="000C7CFA" w:rsidRDefault="003F6F51" w:rsidP="00FC2B2F">
            <w:pPr>
              <w:autoSpaceDE w:val="0"/>
              <w:autoSpaceDN w:val="0"/>
              <w:adjustRightInd w:val="0"/>
              <w:spacing w:after="0"/>
              <w:rPr>
                <w:rFonts w:ascii="Verdana" w:hAnsi="Verdana"/>
                <w:sz w:val="18"/>
                <w:szCs w:val="18"/>
                <w:lang w:val="en-GB" w:eastAsia="en-GB"/>
              </w:rPr>
            </w:pPr>
          </w:p>
        </w:tc>
        <w:tc>
          <w:tcPr>
            <w:tcW w:w="1249" w:type="dxa"/>
            <w:tcBorders>
              <w:top w:val="single" w:sz="4" w:space="0" w:color="auto"/>
              <w:left w:val="single" w:sz="4" w:space="0" w:color="auto"/>
              <w:bottom w:val="single" w:sz="4" w:space="0" w:color="auto"/>
            </w:tcBorders>
          </w:tcPr>
          <w:p w14:paraId="24F828A7"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Barón </w:t>
            </w:r>
            <w:r w:rsidRPr="000C7CFA">
              <w:rPr>
                <w:rFonts w:ascii="Verdana" w:hAnsi="Verdana"/>
                <w:i/>
                <w:sz w:val="18"/>
                <w:szCs w:val="18"/>
                <w:lang w:val="en-GB"/>
              </w:rPr>
              <w:t xml:space="preserve">et al. </w:t>
            </w:r>
            <w:r w:rsidRPr="000C7CFA">
              <w:rPr>
                <w:rFonts w:ascii="Verdana" w:hAnsi="Verdana"/>
                <w:sz w:val="18"/>
                <w:szCs w:val="18"/>
                <w:lang w:val="en-GB"/>
              </w:rPr>
              <w:t>(2015b)</w:t>
            </w:r>
          </w:p>
        </w:tc>
      </w:tr>
      <w:tr w:rsidR="003F6F51" w:rsidRPr="000C7CFA" w14:paraId="07BFE57F" w14:textId="77777777" w:rsidTr="00D323EC">
        <w:trPr>
          <w:cantSplit/>
          <w:trHeight w:val="387"/>
        </w:trPr>
        <w:tc>
          <w:tcPr>
            <w:tcW w:w="1928" w:type="dxa"/>
            <w:tcBorders>
              <w:top w:val="single" w:sz="4" w:space="0" w:color="auto"/>
              <w:bottom w:val="single" w:sz="4" w:space="0" w:color="auto"/>
              <w:right w:val="single" w:sz="4" w:space="0" w:color="auto"/>
            </w:tcBorders>
          </w:tcPr>
          <w:p w14:paraId="270448A1"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Long-fined Pilot Whale</w:t>
            </w:r>
          </w:p>
          <w:p w14:paraId="6A6320AD"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w:t>
            </w:r>
            <w:r w:rsidRPr="000C7CFA">
              <w:rPr>
                <w:rFonts w:ascii="Verdana" w:hAnsi="Verdana"/>
                <w:i/>
                <w:sz w:val="18"/>
                <w:szCs w:val="18"/>
                <w:lang w:val="en-GB"/>
              </w:rPr>
              <w:t>Globicephala melas</w:t>
            </w:r>
            <w:r w:rsidRPr="000C7CFA">
              <w:rPr>
                <w:rFonts w:ascii="Verdana" w:hAnsi="Verdana"/>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77E98508" w14:textId="77777777" w:rsidR="003F6F51" w:rsidRPr="000C7CFA" w:rsidRDefault="003F6F51" w:rsidP="00FC2B2F">
            <w:pPr>
              <w:pStyle w:val="Tabletext"/>
              <w:spacing w:before="0" w:after="0"/>
              <w:rPr>
                <w:rFonts w:ascii="Verdana" w:hAnsi="Verdana"/>
                <w:sz w:val="18"/>
                <w:szCs w:val="18"/>
                <w:lang w:val="en-GB"/>
              </w:rPr>
            </w:pPr>
            <w:r w:rsidRPr="000C7CFA">
              <w:rPr>
                <w:rFonts w:ascii="Verdana" w:hAnsi="Verdana"/>
                <w:sz w:val="18"/>
                <w:szCs w:val="18"/>
                <w:lang w:val="en-GB"/>
              </w:rPr>
              <w:t>Blubber and brain</w:t>
            </w:r>
          </w:p>
        </w:tc>
        <w:tc>
          <w:tcPr>
            <w:tcW w:w="2391" w:type="dxa"/>
            <w:tcBorders>
              <w:top w:val="single" w:sz="4" w:space="0" w:color="auto"/>
              <w:left w:val="single" w:sz="4" w:space="0" w:color="auto"/>
              <w:bottom w:val="single" w:sz="4" w:space="0" w:color="auto"/>
              <w:right w:val="single" w:sz="4" w:space="0" w:color="auto"/>
            </w:tcBorders>
          </w:tcPr>
          <w:p w14:paraId="54A16B3B"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eastAsia="en-GB"/>
              </w:rPr>
              <w:t>Samples collected from stranded individuals from the Alboran Sea between 2004 and 2011 (n=3)</w:t>
            </w:r>
          </w:p>
        </w:tc>
        <w:tc>
          <w:tcPr>
            <w:tcW w:w="1843" w:type="dxa"/>
            <w:tcBorders>
              <w:top w:val="single" w:sz="4" w:space="0" w:color="auto"/>
              <w:left w:val="single" w:sz="4" w:space="0" w:color="auto"/>
              <w:bottom w:val="single" w:sz="4" w:space="0" w:color="auto"/>
              <w:right w:val="single" w:sz="4" w:space="0" w:color="auto"/>
            </w:tcBorders>
          </w:tcPr>
          <w:p w14:paraId="4F9BA2DB"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 xml:space="preserve">0.01 μg/kg lw for anti-DP </w:t>
            </w:r>
          </w:p>
          <w:p w14:paraId="20C37F08" w14:textId="77777777" w:rsidR="003F6F51" w:rsidRPr="000C7CFA" w:rsidRDefault="003F6F51"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0.02 μg/kg lw for syn-DP</w:t>
            </w:r>
          </w:p>
          <w:p w14:paraId="06ED16B9" w14:textId="77777777" w:rsidR="003F6F51" w:rsidRPr="000C7CFA" w:rsidRDefault="003F6F51" w:rsidP="00FC2B2F">
            <w:pPr>
              <w:autoSpaceDE w:val="0"/>
              <w:autoSpaceDN w:val="0"/>
              <w:adjustRightInd w:val="0"/>
              <w:spacing w:after="0"/>
              <w:jc w:val="center"/>
              <w:rPr>
                <w:rFonts w:ascii="Verdana" w:hAnsi="Verdana"/>
                <w:sz w:val="18"/>
                <w:szCs w:val="18"/>
              </w:rPr>
            </w:pPr>
          </w:p>
        </w:tc>
        <w:tc>
          <w:tcPr>
            <w:tcW w:w="2976" w:type="dxa"/>
            <w:tcBorders>
              <w:top w:val="single" w:sz="4" w:space="0" w:color="auto"/>
              <w:left w:val="single" w:sz="4" w:space="0" w:color="auto"/>
              <w:bottom w:val="single" w:sz="4" w:space="0" w:color="auto"/>
              <w:right w:val="single" w:sz="4" w:space="0" w:color="auto"/>
            </w:tcBorders>
          </w:tcPr>
          <w:p w14:paraId="508D6F41"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Blubber</w:t>
            </w:r>
          </w:p>
          <w:p w14:paraId="5CF1E55B"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Anti-DP: &lt;LoD-0.33 μg/kg lw</w:t>
            </w:r>
          </w:p>
          <w:p w14:paraId="46F8BE9B"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&lt;LoD-0.31 μg/kg lw</w:t>
            </w:r>
          </w:p>
          <w:p w14:paraId="4FB52563" w14:textId="77777777" w:rsidR="003F6F51" w:rsidRPr="000C7CFA" w:rsidRDefault="003F6F51" w:rsidP="00FC2B2F">
            <w:pPr>
              <w:autoSpaceDE w:val="0"/>
              <w:autoSpaceDN w:val="0"/>
              <w:adjustRightInd w:val="0"/>
              <w:spacing w:after="0"/>
              <w:rPr>
                <w:rFonts w:ascii="Verdana" w:hAnsi="Verdana"/>
                <w:sz w:val="18"/>
                <w:szCs w:val="18"/>
              </w:rPr>
            </w:pPr>
          </w:p>
          <w:p w14:paraId="73682213"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Brain</w:t>
            </w:r>
          </w:p>
          <w:p w14:paraId="7CF02E4E"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 xml:space="preserve">Anti-DP: &lt;LoD </w:t>
            </w:r>
          </w:p>
          <w:p w14:paraId="252D6CD6" w14:textId="77777777" w:rsidR="003F6F51" w:rsidRPr="000C7CFA" w:rsidRDefault="003F6F51" w:rsidP="00FC2B2F">
            <w:pPr>
              <w:autoSpaceDE w:val="0"/>
              <w:autoSpaceDN w:val="0"/>
              <w:adjustRightInd w:val="0"/>
              <w:spacing w:after="0"/>
              <w:rPr>
                <w:rFonts w:ascii="Verdana" w:hAnsi="Verdana"/>
                <w:sz w:val="18"/>
                <w:szCs w:val="18"/>
              </w:rPr>
            </w:pPr>
            <w:r w:rsidRPr="000C7CFA">
              <w:rPr>
                <w:rFonts w:ascii="Verdana" w:hAnsi="Verdana"/>
                <w:sz w:val="18"/>
                <w:szCs w:val="18"/>
              </w:rPr>
              <w:t>Syn-DP: &lt;LoD</w:t>
            </w:r>
          </w:p>
          <w:p w14:paraId="5AB50304" w14:textId="77777777" w:rsidR="003F6F51" w:rsidRPr="000C7CFA" w:rsidRDefault="003F6F51" w:rsidP="00FC2B2F">
            <w:pPr>
              <w:autoSpaceDE w:val="0"/>
              <w:autoSpaceDN w:val="0"/>
              <w:adjustRightInd w:val="0"/>
              <w:spacing w:after="0"/>
              <w:rPr>
                <w:rFonts w:ascii="Verdana" w:hAnsi="Verdan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6D418FE9"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Analysed by GC-MS/MS.</w:t>
            </w:r>
          </w:p>
          <w:p w14:paraId="073AC739" w14:textId="77777777" w:rsidR="003F6F51" w:rsidRPr="000C7CFA" w:rsidRDefault="003F6F51" w:rsidP="00FC2B2F">
            <w:pPr>
              <w:autoSpaceDE w:val="0"/>
              <w:autoSpaceDN w:val="0"/>
              <w:adjustRightInd w:val="0"/>
              <w:spacing w:after="0"/>
              <w:rPr>
                <w:rFonts w:ascii="Verdana" w:hAnsi="Verdana"/>
                <w:sz w:val="18"/>
                <w:szCs w:val="18"/>
                <w:lang w:val="en-GB" w:eastAsia="en-GB"/>
              </w:rPr>
            </w:pPr>
          </w:p>
          <w:p w14:paraId="74F986A2" w14:textId="77777777" w:rsidR="003F6F51" w:rsidRPr="000C7CFA" w:rsidRDefault="003F6F51" w:rsidP="00FC2B2F">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Detected in 2 samples of blubber but not detected in brain.</w:t>
            </w:r>
          </w:p>
        </w:tc>
        <w:tc>
          <w:tcPr>
            <w:tcW w:w="1249" w:type="dxa"/>
            <w:tcBorders>
              <w:top w:val="single" w:sz="4" w:space="0" w:color="auto"/>
              <w:left w:val="single" w:sz="4" w:space="0" w:color="auto"/>
              <w:bottom w:val="single" w:sz="4" w:space="0" w:color="auto"/>
            </w:tcBorders>
          </w:tcPr>
          <w:p w14:paraId="23AEE625" w14:textId="77777777" w:rsidR="003F6F51" w:rsidRPr="000C7CFA" w:rsidRDefault="003F6F51" w:rsidP="00FC2B2F">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Barón </w:t>
            </w:r>
            <w:r w:rsidRPr="000C7CFA">
              <w:rPr>
                <w:rFonts w:ascii="Verdana" w:hAnsi="Verdana"/>
                <w:i/>
                <w:sz w:val="18"/>
                <w:szCs w:val="18"/>
                <w:lang w:val="en-GB"/>
              </w:rPr>
              <w:t xml:space="preserve">et al. </w:t>
            </w:r>
            <w:r w:rsidRPr="000C7CFA">
              <w:rPr>
                <w:rFonts w:ascii="Verdana" w:hAnsi="Verdana"/>
                <w:sz w:val="18"/>
                <w:szCs w:val="18"/>
                <w:lang w:val="en-GB"/>
              </w:rPr>
              <w:t>(2015b)</w:t>
            </w:r>
          </w:p>
        </w:tc>
      </w:tr>
      <w:tr w:rsidR="00555502" w:rsidRPr="000C7CFA" w14:paraId="71F72288" w14:textId="77777777" w:rsidTr="00D323EC">
        <w:trPr>
          <w:cantSplit/>
          <w:trHeight w:val="387"/>
        </w:trPr>
        <w:tc>
          <w:tcPr>
            <w:tcW w:w="1928" w:type="dxa"/>
            <w:tcBorders>
              <w:top w:val="single" w:sz="4" w:space="0" w:color="auto"/>
              <w:bottom w:val="single" w:sz="4" w:space="0" w:color="auto"/>
              <w:right w:val="single" w:sz="4" w:space="0" w:color="auto"/>
            </w:tcBorders>
          </w:tcPr>
          <w:p w14:paraId="67D3FA9F" w14:textId="77777777" w:rsidR="00555502" w:rsidRPr="000C7CFA" w:rsidRDefault="00555502" w:rsidP="00704CE9">
            <w:pPr>
              <w:autoSpaceDE w:val="0"/>
              <w:autoSpaceDN w:val="0"/>
              <w:adjustRightInd w:val="0"/>
              <w:spacing w:after="0"/>
              <w:rPr>
                <w:rFonts w:ascii="Verdana" w:hAnsi="Verdana"/>
                <w:i/>
                <w:sz w:val="18"/>
                <w:szCs w:val="18"/>
                <w:lang w:val="en-GB"/>
              </w:rPr>
            </w:pPr>
            <w:r w:rsidRPr="000C7CFA">
              <w:rPr>
                <w:rFonts w:ascii="Verdana" w:hAnsi="Verdana"/>
                <w:sz w:val="18"/>
                <w:szCs w:val="18"/>
                <w:lang w:val="en-GB"/>
              </w:rPr>
              <w:t>Beluga Whale (</w:t>
            </w:r>
            <w:r w:rsidRPr="000C7CFA">
              <w:rPr>
                <w:rFonts w:ascii="Verdana" w:hAnsi="Verdana"/>
                <w:i/>
                <w:sz w:val="18"/>
                <w:szCs w:val="18"/>
                <w:lang w:val="en-GB"/>
              </w:rPr>
              <w:t>Delphinapterus leucas</w:t>
            </w:r>
            <w:r w:rsidRPr="000C7CFA">
              <w:rPr>
                <w:rFonts w:ascii="Verdana" w:hAnsi="Verdana"/>
                <w:sz w:val="18"/>
                <w:szCs w:val="18"/>
                <w:lang w:val="en-GB"/>
              </w:rPr>
              <w:t xml:space="preserve">) </w:t>
            </w:r>
          </w:p>
        </w:tc>
        <w:tc>
          <w:tcPr>
            <w:tcW w:w="1068" w:type="dxa"/>
            <w:tcBorders>
              <w:top w:val="single" w:sz="4" w:space="0" w:color="auto"/>
              <w:left w:val="single" w:sz="4" w:space="0" w:color="auto"/>
              <w:bottom w:val="single" w:sz="4" w:space="0" w:color="auto"/>
              <w:right w:val="single" w:sz="4" w:space="0" w:color="auto"/>
            </w:tcBorders>
          </w:tcPr>
          <w:p w14:paraId="4A429C86" w14:textId="77777777" w:rsidR="00555502" w:rsidRPr="000C7CFA" w:rsidRDefault="00555502" w:rsidP="00704CE9">
            <w:pPr>
              <w:pStyle w:val="Tabletext"/>
              <w:spacing w:before="0" w:after="0"/>
              <w:rPr>
                <w:rFonts w:ascii="Verdana" w:hAnsi="Verdana"/>
                <w:sz w:val="18"/>
                <w:szCs w:val="18"/>
                <w:lang w:val="en-GB" w:eastAsia="en-GB"/>
              </w:rPr>
            </w:pPr>
            <w:r w:rsidRPr="000C7CFA">
              <w:rPr>
                <w:rFonts w:ascii="Verdana" w:hAnsi="Verdana"/>
                <w:sz w:val="18"/>
                <w:szCs w:val="18"/>
                <w:lang w:val="en-GB"/>
              </w:rPr>
              <w:t>Blubber</w:t>
            </w:r>
          </w:p>
        </w:tc>
        <w:tc>
          <w:tcPr>
            <w:tcW w:w="2391" w:type="dxa"/>
            <w:tcBorders>
              <w:top w:val="single" w:sz="4" w:space="0" w:color="auto"/>
              <w:left w:val="single" w:sz="4" w:space="0" w:color="auto"/>
              <w:bottom w:val="single" w:sz="4" w:space="0" w:color="auto"/>
              <w:right w:val="single" w:sz="4" w:space="0" w:color="auto"/>
            </w:tcBorders>
          </w:tcPr>
          <w:p w14:paraId="787B96B2" w14:textId="77777777" w:rsidR="00555502" w:rsidRPr="000C7CFA" w:rsidRDefault="00555502" w:rsidP="00971666">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Samples collected in 2000 and 2010 at Hendrickson Island, Canadian Arctic (n=</w:t>
            </w:r>
            <w:r w:rsidR="00971666" w:rsidRPr="000C7CFA">
              <w:rPr>
                <w:rFonts w:ascii="Verdana" w:hAnsi="Verdana"/>
                <w:sz w:val="18"/>
                <w:szCs w:val="18"/>
                <w:lang w:val="en-GB"/>
              </w:rPr>
              <w:t>8</w:t>
            </w:r>
            <w:r w:rsidRPr="000C7CFA">
              <w:rPr>
                <w:rFonts w:ascii="Verdana" w:hAnsi="Verdana"/>
                <w:sz w:val="18"/>
                <w:szCs w:val="18"/>
                <w:lang w:val="en-GB"/>
              </w:rPr>
              <w:t>)</w:t>
            </w:r>
          </w:p>
        </w:tc>
        <w:tc>
          <w:tcPr>
            <w:tcW w:w="1843" w:type="dxa"/>
            <w:tcBorders>
              <w:top w:val="single" w:sz="4" w:space="0" w:color="auto"/>
              <w:left w:val="single" w:sz="4" w:space="0" w:color="auto"/>
              <w:bottom w:val="single" w:sz="4" w:space="0" w:color="auto"/>
              <w:right w:val="single" w:sz="4" w:space="0" w:color="auto"/>
            </w:tcBorders>
          </w:tcPr>
          <w:p w14:paraId="38511896" w14:textId="77777777" w:rsidR="00555502" w:rsidRPr="000C7CFA" w:rsidRDefault="00555502" w:rsidP="00704CE9">
            <w:pPr>
              <w:autoSpaceDE w:val="0"/>
              <w:autoSpaceDN w:val="0"/>
              <w:adjustRightInd w:val="0"/>
              <w:spacing w:after="0"/>
              <w:jc w:val="center"/>
              <w:rPr>
                <w:rFonts w:ascii="Verdana" w:hAnsi="Verdana"/>
                <w:sz w:val="18"/>
                <w:szCs w:val="18"/>
              </w:rPr>
            </w:pPr>
            <w:r w:rsidRPr="000C7CFA">
              <w:rPr>
                <w:rFonts w:ascii="Verdana" w:hAnsi="Verdana"/>
                <w:sz w:val="18"/>
                <w:szCs w:val="18"/>
              </w:rPr>
              <w:t>5-15 ng/kg lw</w:t>
            </w:r>
          </w:p>
          <w:p w14:paraId="1A28F7F4" w14:textId="77777777" w:rsidR="00555502" w:rsidRPr="000C7CFA" w:rsidRDefault="00555502" w:rsidP="00704CE9">
            <w:pPr>
              <w:pStyle w:val="Tabletext"/>
              <w:spacing w:before="0" w:after="0"/>
              <w:jc w:val="center"/>
              <w:rPr>
                <w:rFonts w:ascii="Verdana" w:hAnsi="Verdana"/>
                <w:sz w:val="18"/>
                <w:szCs w:val="18"/>
                <w:lang w:val="en-GB"/>
              </w:rPr>
            </w:pPr>
          </w:p>
        </w:tc>
        <w:tc>
          <w:tcPr>
            <w:tcW w:w="2976" w:type="dxa"/>
            <w:tcBorders>
              <w:top w:val="single" w:sz="4" w:space="0" w:color="auto"/>
              <w:left w:val="single" w:sz="4" w:space="0" w:color="auto"/>
              <w:bottom w:val="single" w:sz="4" w:space="0" w:color="auto"/>
              <w:right w:val="single" w:sz="4" w:space="0" w:color="auto"/>
            </w:tcBorders>
          </w:tcPr>
          <w:p w14:paraId="30BD0DBB" w14:textId="77777777" w:rsidR="00555502" w:rsidRPr="000C7CFA" w:rsidRDefault="00555502" w:rsidP="00704CE9">
            <w:pPr>
              <w:autoSpaceDE w:val="0"/>
              <w:autoSpaceDN w:val="0"/>
              <w:adjustRightInd w:val="0"/>
              <w:spacing w:after="0"/>
              <w:rPr>
                <w:rFonts w:ascii="Verdana" w:hAnsi="Verdana"/>
                <w:sz w:val="18"/>
                <w:szCs w:val="18"/>
              </w:rPr>
            </w:pPr>
            <w:r w:rsidRPr="000C7CFA">
              <w:rPr>
                <w:rFonts w:ascii="Verdana" w:hAnsi="Verdana"/>
                <w:sz w:val="18"/>
                <w:szCs w:val="18"/>
              </w:rPr>
              <w:t>Not detected</w:t>
            </w:r>
          </w:p>
        </w:tc>
        <w:tc>
          <w:tcPr>
            <w:tcW w:w="2552" w:type="dxa"/>
            <w:tcBorders>
              <w:top w:val="single" w:sz="4" w:space="0" w:color="auto"/>
              <w:left w:val="single" w:sz="4" w:space="0" w:color="auto"/>
              <w:bottom w:val="single" w:sz="4" w:space="0" w:color="auto"/>
              <w:right w:val="single" w:sz="4" w:space="0" w:color="auto"/>
            </w:tcBorders>
          </w:tcPr>
          <w:p w14:paraId="5FC47A5A" w14:textId="2AAADD08" w:rsidR="00971666" w:rsidRPr="000C7CFA" w:rsidRDefault="00A11FA5" w:rsidP="00971666">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Analys</w:t>
            </w:r>
            <w:r w:rsidR="00971666" w:rsidRPr="000C7CFA">
              <w:rPr>
                <w:rFonts w:ascii="Verdana" w:hAnsi="Verdana"/>
                <w:sz w:val="18"/>
                <w:szCs w:val="18"/>
                <w:lang w:val="en-GB" w:eastAsia="en-GB"/>
              </w:rPr>
              <w:t>ed by GC-HRMS.</w:t>
            </w:r>
          </w:p>
          <w:p w14:paraId="0F96AA1C" w14:textId="77777777" w:rsidR="00555502" w:rsidRPr="000C7CFA" w:rsidRDefault="00555502" w:rsidP="00704CE9">
            <w:pPr>
              <w:autoSpaceDE w:val="0"/>
              <w:autoSpaceDN w:val="0"/>
              <w:adjustRightInd w:val="0"/>
              <w:spacing w:after="0"/>
              <w:rPr>
                <w:rFonts w:ascii="Verdana" w:hAnsi="Verdana"/>
                <w:sz w:val="18"/>
                <w:szCs w:val="18"/>
                <w:lang w:val="en-GB" w:eastAsia="en-GB"/>
              </w:rPr>
            </w:pPr>
          </w:p>
        </w:tc>
        <w:tc>
          <w:tcPr>
            <w:tcW w:w="1249" w:type="dxa"/>
            <w:tcBorders>
              <w:top w:val="single" w:sz="4" w:space="0" w:color="auto"/>
              <w:left w:val="single" w:sz="4" w:space="0" w:color="auto"/>
              <w:bottom w:val="single" w:sz="4" w:space="0" w:color="auto"/>
            </w:tcBorders>
          </w:tcPr>
          <w:p w14:paraId="2208BEBA" w14:textId="77777777" w:rsidR="00555502" w:rsidRPr="000C7CFA" w:rsidRDefault="00555502"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rPr>
              <w:t xml:space="preserve">Shen </w:t>
            </w:r>
            <w:r w:rsidRPr="000C7CFA">
              <w:rPr>
                <w:rFonts w:ascii="Verdana" w:hAnsi="Verdana"/>
                <w:i/>
                <w:sz w:val="18"/>
                <w:szCs w:val="18"/>
                <w:lang w:val="en-GB"/>
              </w:rPr>
              <w:t>et al</w:t>
            </w:r>
            <w:r w:rsidRPr="000C7CFA">
              <w:rPr>
                <w:rFonts w:ascii="Verdana" w:hAnsi="Verdana"/>
                <w:sz w:val="18"/>
                <w:szCs w:val="18"/>
                <w:lang w:val="en-GB"/>
              </w:rPr>
              <w:t>. (2012).</w:t>
            </w:r>
          </w:p>
          <w:p w14:paraId="4489B525" w14:textId="77777777" w:rsidR="00555502" w:rsidRPr="000C7CFA" w:rsidRDefault="00555502" w:rsidP="00704CE9">
            <w:pPr>
              <w:pStyle w:val="Tabletext"/>
              <w:spacing w:before="0" w:after="0"/>
              <w:rPr>
                <w:rFonts w:ascii="Verdana" w:hAnsi="Verdana"/>
                <w:sz w:val="18"/>
                <w:szCs w:val="18"/>
                <w:lang w:val="en-GB"/>
              </w:rPr>
            </w:pPr>
          </w:p>
        </w:tc>
      </w:tr>
      <w:tr w:rsidR="00555502" w:rsidRPr="000C7CFA" w14:paraId="276DF570" w14:textId="77777777" w:rsidTr="00D323EC">
        <w:trPr>
          <w:cantSplit/>
          <w:trHeight w:val="387"/>
        </w:trPr>
        <w:tc>
          <w:tcPr>
            <w:tcW w:w="1928" w:type="dxa"/>
            <w:tcBorders>
              <w:top w:val="single" w:sz="4" w:space="0" w:color="auto"/>
              <w:bottom w:val="single" w:sz="4" w:space="0" w:color="auto"/>
              <w:right w:val="single" w:sz="4" w:space="0" w:color="auto"/>
            </w:tcBorders>
          </w:tcPr>
          <w:p w14:paraId="30F4B04C" w14:textId="77777777" w:rsidR="00555502" w:rsidRPr="000C7CFA" w:rsidRDefault="00555502"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Indo-Pacific Humpback</w:t>
            </w:r>
          </w:p>
          <w:p w14:paraId="361C14DF" w14:textId="77777777" w:rsidR="00555502" w:rsidRPr="000C7CFA" w:rsidRDefault="00555502"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eastAsia="en-GB"/>
              </w:rPr>
              <w:t>Dolphin (</w:t>
            </w:r>
            <w:r w:rsidRPr="000C7CFA">
              <w:rPr>
                <w:rFonts w:ascii="Verdana" w:hAnsi="Verdana"/>
                <w:i/>
                <w:sz w:val="18"/>
                <w:szCs w:val="18"/>
                <w:lang w:val="en-GB" w:eastAsia="en-GB"/>
              </w:rPr>
              <w:t>Sousa chinensis</w:t>
            </w:r>
            <w:r w:rsidRPr="000C7CFA">
              <w:rPr>
                <w:rFonts w:ascii="Verdana" w:hAnsi="Verdana"/>
                <w:sz w:val="18"/>
                <w:szCs w:val="18"/>
                <w:lang w:val="en-GB" w:eastAsia="en-GB"/>
              </w:rPr>
              <w:t xml:space="preserve">) </w:t>
            </w:r>
          </w:p>
        </w:tc>
        <w:tc>
          <w:tcPr>
            <w:tcW w:w="1068" w:type="dxa"/>
            <w:tcBorders>
              <w:top w:val="single" w:sz="4" w:space="0" w:color="auto"/>
              <w:left w:val="single" w:sz="4" w:space="0" w:color="auto"/>
              <w:bottom w:val="single" w:sz="4" w:space="0" w:color="auto"/>
              <w:right w:val="single" w:sz="4" w:space="0" w:color="auto"/>
            </w:tcBorders>
          </w:tcPr>
          <w:p w14:paraId="6E5990DE"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eastAsia="en-GB"/>
              </w:rPr>
              <w:t>Blubber</w:t>
            </w:r>
          </w:p>
        </w:tc>
        <w:tc>
          <w:tcPr>
            <w:tcW w:w="2391" w:type="dxa"/>
            <w:tcBorders>
              <w:top w:val="single" w:sz="4" w:space="0" w:color="auto"/>
              <w:left w:val="single" w:sz="4" w:space="0" w:color="auto"/>
              <w:bottom w:val="single" w:sz="4" w:space="0" w:color="auto"/>
              <w:right w:val="single" w:sz="4" w:space="0" w:color="auto"/>
            </w:tcBorders>
          </w:tcPr>
          <w:p w14:paraId="7D177707" w14:textId="77777777" w:rsidR="00555502" w:rsidRPr="000C7CFA" w:rsidRDefault="00555502"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rPr>
              <w:t xml:space="preserve">Samples </w:t>
            </w:r>
            <w:r w:rsidRPr="000C7CFA">
              <w:rPr>
                <w:rFonts w:ascii="Verdana" w:hAnsi="Verdana"/>
                <w:sz w:val="18"/>
                <w:szCs w:val="18"/>
                <w:lang w:val="en-GB" w:eastAsia="en-GB"/>
              </w:rPr>
              <w:t>collected from stranded animals in</w:t>
            </w:r>
          </w:p>
          <w:p w14:paraId="083E346B" w14:textId="77777777" w:rsidR="00555502" w:rsidRPr="000C7CFA" w:rsidRDefault="00555502"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eastAsia="en-GB"/>
              </w:rPr>
              <w:t xml:space="preserve">Hong Kong, South China Sea between 2003 and 2012 (n=23) </w:t>
            </w:r>
          </w:p>
        </w:tc>
        <w:tc>
          <w:tcPr>
            <w:tcW w:w="1843" w:type="dxa"/>
            <w:tcBorders>
              <w:top w:val="single" w:sz="4" w:space="0" w:color="auto"/>
              <w:left w:val="single" w:sz="4" w:space="0" w:color="auto"/>
              <w:bottom w:val="single" w:sz="4" w:space="0" w:color="auto"/>
              <w:right w:val="single" w:sz="4" w:space="0" w:color="auto"/>
            </w:tcBorders>
          </w:tcPr>
          <w:p w14:paraId="556D9D80"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w:t>
            </w:r>
          </w:p>
        </w:tc>
        <w:tc>
          <w:tcPr>
            <w:tcW w:w="2976" w:type="dxa"/>
            <w:tcBorders>
              <w:top w:val="single" w:sz="4" w:space="0" w:color="auto"/>
              <w:left w:val="single" w:sz="4" w:space="0" w:color="auto"/>
              <w:bottom w:val="single" w:sz="4" w:space="0" w:color="auto"/>
              <w:right w:val="single" w:sz="4" w:space="0" w:color="auto"/>
            </w:tcBorders>
          </w:tcPr>
          <w:p w14:paraId="69400CEB" w14:textId="77777777" w:rsidR="00555502" w:rsidRPr="000C7CFA" w:rsidRDefault="00555502" w:rsidP="00704CE9">
            <w:pPr>
              <w:autoSpaceDE w:val="0"/>
              <w:autoSpaceDN w:val="0"/>
              <w:adjustRightInd w:val="0"/>
              <w:spacing w:after="0"/>
              <w:rPr>
                <w:rFonts w:ascii="Verdana" w:hAnsi="Verdana"/>
                <w:sz w:val="18"/>
                <w:szCs w:val="18"/>
              </w:rPr>
            </w:pPr>
            <w:r w:rsidRPr="000C7CFA">
              <w:rPr>
                <w:rFonts w:ascii="Verdana" w:hAnsi="Verdana"/>
                <w:sz w:val="18"/>
                <w:szCs w:val="18"/>
              </w:rPr>
              <w:t>Detected in all samples</w:t>
            </w:r>
          </w:p>
          <w:p w14:paraId="593C6FE8" w14:textId="77777777" w:rsidR="00555502" w:rsidRPr="000C7CFA" w:rsidRDefault="00555502" w:rsidP="00704CE9">
            <w:pPr>
              <w:autoSpaceDE w:val="0"/>
              <w:autoSpaceDN w:val="0"/>
              <w:adjustRightInd w:val="0"/>
              <w:spacing w:after="0"/>
              <w:rPr>
                <w:rFonts w:ascii="Verdana" w:hAnsi="Verdana"/>
                <w:sz w:val="18"/>
                <w:szCs w:val="18"/>
              </w:rPr>
            </w:pPr>
            <w:r w:rsidRPr="000C7CFA">
              <w:rPr>
                <w:rFonts w:ascii="Verdana" w:hAnsi="Verdana"/>
                <w:sz w:val="18"/>
                <w:szCs w:val="18"/>
              </w:rPr>
              <w:t xml:space="preserve">Total isomers: 1.74-63.7 </w:t>
            </w:r>
            <w:r w:rsidRPr="000C7CFA">
              <w:rPr>
                <w:rFonts w:ascii="Verdana" w:hAnsi="Verdana"/>
                <w:bCs/>
                <w:sz w:val="18"/>
                <w:szCs w:val="18"/>
              </w:rPr>
              <w:t xml:space="preserve">µg/kg </w:t>
            </w:r>
            <w:r w:rsidRPr="000C7CFA">
              <w:rPr>
                <w:rFonts w:ascii="Verdana" w:hAnsi="Verdana"/>
                <w:sz w:val="18"/>
                <w:szCs w:val="18"/>
              </w:rPr>
              <w:t xml:space="preserve">lw </w:t>
            </w:r>
          </w:p>
          <w:p w14:paraId="7E9DFDA1" w14:textId="77777777" w:rsidR="00555502" w:rsidRPr="000C7CFA" w:rsidRDefault="00555502" w:rsidP="00704CE9">
            <w:pPr>
              <w:autoSpaceDE w:val="0"/>
              <w:autoSpaceDN w:val="0"/>
              <w:adjustRightInd w:val="0"/>
              <w:spacing w:after="0"/>
              <w:rPr>
                <w:rFonts w:ascii="Verdana" w:hAnsi="Verdana"/>
                <w:sz w:val="18"/>
                <w:szCs w:val="18"/>
              </w:rPr>
            </w:pPr>
          </w:p>
          <w:p w14:paraId="0E180E57" w14:textId="77777777" w:rsidR="00555502" w:rsidRPr="000C7CFA" w:rsidRDefault="00555502" w:rsidP="00704CE9">
            <w:pPr>
              <w:autoSpaceDE w:val="0"/>
              <w:autoSpaceDN w:val="0"/>
              <w:adjustRightInd w:val="0"/>
              <w:spacing w:after="0"/>
              <w:rPr>
                <w:rFonts w:ascii="Verdana" w:hAnsi="Verdana"/>
                <w:sz w:val="18"/>
                <w:szCs w:val="18"/>
              </w:rPr>
            </w:pPr>
            <w:r w:rsidRPr="000C7CFA">
              <w:rPr>
                <w:rFonts w:ascii="Verdana" w:hAnsi="Verdana"/>
                <w:sz w:val="18"/>
                <w:szCs w:val="18"/>
              </w:rPr>
              <w:t>f</w:t>
            </w:r>
            <w:r w:rsidRPr="000C7CFA">
              <w:rPr>
                <w:rFonts w:ascii="Verdana" w:hAnsi="Verdana"/>
                <w:sz w:val="18"/>
                <w:szCs w:val="18"/>
                <w:vertAlign w:val="subscript"/>
              </w:rPr>
              <w:t>anti</w:t>
            </w:r>
            <w:r w:rsidRPr="000C7CFA">
              <w:rPr>
                <w:rFonts w:ascii="Verdana" w:hAnsi="Verdana"/>
                <w:sz w:val="18"/>
                <w:szCs w:val="18"/>
              </w:rPr>
              <w:t>: 0.6</w:t>
            </w:r>
          </w:p>
          <w:p w14:paraId="4BEAD507" w14:textId="77777777" w:rsidR="00555502" w:rsidRPr="000C7CFA" w:rsidRDefault="00555502" w:rsidP="00704CE9">
            <w:pPr>
              <w:autoSpaceDE w:val="0"/>
              <w:autoSpaceDN w:val="0"/>
              <w:adjustRightInd w:val="0"/>
              <w:spacing w:after="0"/>
              <w:rPr>
                <w:rFonts w:ascii="Verdana" w:hAnsi="Verdana"/>
                <w:sz w:val="18"/>
                <w:szCs w:val="18"/>
                <w:lang w:val="en-GB"/>
              </w:rPr>
            </w:pPr>
          </w:p>
        </w:tc>
        <w:tc>
          <w:tcPr>
            <w:tcW w:w="2552" w:type="dxa"/>
            <w:tcBorders>
              <w:top w:val="single" w:sz="4" w:space="0" w:color="auto"/>
              <w:left w:val="single" w:sz="4" w:space="0" w:color="auto"/>
              <w:bottom w:val="single" w:sz="4" w:space="0" w:color="auto"/>
              <w:right w:val="single" w:sz="4" w:space="0" w:color="auto"/>
            </w:tcBorders>
          </w:tcPr>
          <w:p w14:paraId="0AFB5AF1" w14:textId="77777777" w:rsidR="00555502" w:rsidRPr="000C7CFA" w:rsidRDefault="00555502" w:rsidP="00704CE9">
            <w:pPr>
              <w:autoSpaceDE w:val="0"/>
              <w:autoSpaceDN w:val="0"/>
              <w:adjustRightInd w:val="0"/>
              <w:spacing w:after="0"/>
              <w:rPr>
                <w:rFonts w:ascii="Verdana" w:hAnsi="Verdana"/>
                <w:sz w:val="18"/>
                <w:szCs w:val="18"/>
              </w:rPr>
            </w:pPr>
            <w:r w:rsidRPr="000C7CFA">
              <w:rPr>
                <w:rFonts w:ascii="Verdana" w:hAnsi="Verdana"/>
                <w:sz w:val="18"/>
                <w:szCs w:val="18"/>
                <w:lang w:val="en-GB" w:eastAsia="en-GB"/>
              </w:rPr>
              <w:t>No significant difference between</w:t>
            </w:r>
            <w:r w:rsidRPr="000C7CFA">
              <w:rPr>
                <w:rFonts w:ascii="Verdana" w:hAnsi="Verdana"/>
                <w:sz w:val="18"/>
                <w:szCs w:val="18"/>
              </w:rPr>
              <w:t xml:space="preserve"> genders was found. This species inhabits waters adjacent to the mouth of the Pearl River estuary, and eats mainly fish.</w:t>
            </w:r>
          </w:p>
          <w:p w14:paraId="67DC8A84" w14:textId="77777777" w:rsidR="00555502" w:rsidRPr="000C7CFA" w:rsidRDefault="00555502" w:rsidP="00704CE9">
            <w:pPr>
              <w:autoSpaceDE w:val="0"/>
              <w:autoSpaceDN w:val="0"/>
              <w:adjustRightInd w:val="0"/>
              <w:spacing w:after="0"/>
              <w:rPr>
                <w:rFonts w:ascii="Verdana" w:hAnsi="Verdana"/>
                <w:sz w:val="18"/>
                <w:szCs w:val="18"/>
              </w:rPr>
            </w:pPr>
          </w:p>
        </w:tc>
        <w:tc>
          <w:tcPr>
            <w:tcW w:w="1249" w:type="dxa"/>
            <w:tcBorders>
              <w:top w:val="single" w:sz="4" w:space="0" w:color="auto"/>
              <w:left w:val="single" w:sz="4" w:space="0" w:color="auto"/>
              <w:bottom w:val="single" w:sz="4" w:space="0" w:color="auto"/>
            </w:tcBorders>
          </w:tcPr>
          <w:p w14:paraId="12BAE849"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Zhu </w:t>
            </w:r>
            <w:r w:rsidRPr="000C7CFA">
              <w:rPr>
                <w:rFonts w:ascii="Verdana" w:hAnsi="Verdana"/>
                <w:i/>
                <w:sz w:val="18"/>
                <w:szCs w:val="18"/>
                <w:lang w:val="en-GB"/>
              </w:rPr>
              <w:t>et al</w:t>
            </w:r>
            <w:r w:rsidRPr="000C7CFA">
              <w:rPr>
                <w:rFonts w:ascii="Verdana" w:hAnsi="Verdana"/>
                <w:sz w:val="18"/>
                <w:szCs w:val="18"/>
                <w:lang w:val="en-GB"/>
              </w:rPr>
              <w:t>. (2014)</w:t>
            </w:r>
          </w:p>
        </w:tc>
      </w:tr>
      <w:tr w:rsidR="00555502" w:rsidRPr="000C7CFA" w14:paraId="01923EE2" w14:textId="77777777" w:rsidTr="00D323EC">
        <w:trPr>
          <w:cantSplit/>
          <w:trHeight w:val="387"/>
        </w:trPr>
        <w:tc>
          <w:tcPr>
            <w:tcW w:w="1928" w:type="dxa"/>
            <w:tcBorders>
              <w:top w:val="single" w:sz="4" w:space="0" w:color="auto"/>
              <w:bottom w:val="single" w:sz="4" w:space="0" w:color="auto"/>
              <w:right w:val="single" w:sz="4" w:space="0" w:color="auto"/>
            </w:tcBorders>
          </w:tcPr>
          <w:p w14:paraId="406D9704" w14:textId="77777777" w:rsidR="00555502" w:rsidRPr="000C7CFA" w:rsidRDefault="00555502"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lastRenderedPageBreak/>
              <w:t>Finless Porpoise (</w:t>
            </w:r>
            <w:r w:rsidRPr="000C7CFA">
              <w:rPr>
                <w:rFonts w:ascii="Verdana" w:hAnsi="Verdana"/>
                <w:i/>
                <w:sz w:val="18"/>
                <w:szCs w:val="18"/>
                <w:lang w:val="en-GB" w:eastAsia="en-GB"/>
              </w:rPr>
              <w:t>Neophocaena phocaenoides</w:t>
            </w:r>
            <w:r w:rsidRPr="000C7CFA">
              <w:rPr>
                <w:rFonts w:ascii="Verdana" w:hAnsi="Verdana"/>
                <w:sz w:val="18"/>
                <w:szCs w:val="18"/>
                <w:lang w:val="en-GB" w:eastAsia="en-GB"/>
              </w:rPr>
              <w:t>)</w:t>
            </w:r>
          </w:p>
        </w:tc>
        <w:tc>
          <w:tcPr>
            <w:tcW w:w="1068" w:type="dxa"/>
            <w:tcBorders>
              <w:top w:val="single" w:sz="4" w:space="0" w:color="auto"/>
              <w:left w:val="single" w:sz="4" w:space="0" w:color="auto"/>
              <w:bottom w:val="single" w:sz="4" w:space="0" w:color="auto"/>
              <w:right w:val="single" w:sz="4" w:space="0" w:color="auto"/>
            </w:tcBorders>
          </w:tcPr>
          <w:p w14:paraId="47473950" w14:textId="77777777" w:rsidR="00555502" w:rsidRPr="000C7CFA" w:rsidRDefault="00555502" w:rsidP="00704CE9">
            <w:pPr>
              <w:pStyle w:val="Tabletext"/>
              <w:spacing w:before="0" w:after="0"/>
              <w:rPr>
                <w:rFonts w:ascii="Verdana" w:hAnsi="Verdana"/>
                <w:sz w:val="18"/>
                <w:szCs w:val="18"/>
                <w:lang w:val="en-GB" w:eastAsia="en-GB"/>
              </w:rPr>
            </w:pPr>
            <w:r w:rsidRPr="000C7CFA">
              <w:rPr>
                <w:rFonts w:ascii="Verdana" w:hAnsi="Verdana"/>
                <w:sz w:val="18"/>
                <w:szCs w:val="18"/>
                <w:lang w:val="en-GB" w:eastAsia="en-GB"/>
              </w:rPr>
              <w:t>Blubber</w:t>
            </w:r>
          </w:p>
        </w:tc>
        <w:tc>
          <w:tcPr>
            <w:tcW w:w="2391" w:type="dxa"/>
            <w:tcBorders>
              <w:top w:val="single" w:sz="4" w:space="0" w:color="auto"/>
              <w:left w:val="single" w:sz="4" w:space="0" w:color="auto"/>
              <w:bottom w:val="single" w:sz="4" w:space="0" w:color="auto"/>
              <w:right w:val="single" w:sz="4" w:space="0" w:color="auto"/>
            </w:tcBorders>
          </w:tcPr>
          <w:p w14:paraId="126E8922" w14:textId="77777777" w:rsidR="00555502" w:rsidRPr="000C7CFA" w:rsidRDefault="00555502"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rPr>
              <w:t xml:space="preserve">Samples </w:t>
            </w:r>
            <w:r w:rsidRPr="000C7CFA">
              <w:rPr>
                <w:rFonts w:ascii="Verdana" w:hAnsi="Verdana"/>
                <w:sz w:val="18"/>
                <w:szCs w:val="18"/>
                <w:lang w:val="en-GB" w:eastAsia="en-GB"/>
              </w:rPr>
              <w:t>collected from stranded animals in</w:t>
            </w:r>
          </w:p>
          <w:p w14:paraId="358F9360" w14:textId="77777777" w:rsidR="00555502" w:rsidRPr="000C7CFA" w:rsidRDefault="00555502"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Hong Kong, South China Sea between 2003 and 2012 (n=38)</w:t>
            </w:r>
          </w:p>
        </w:tc>
        <w:tc>
          <w:tcPr>
            <w:tcW w:w="1843" w:type="dxa"/>
            <w:tcBorders>
              <w:top w:val="single" w:sz="4" w:space="0" w:color="auto"/>
              <w:left w:val="single" w:sz="4" w:space="0" w:color="auto"/>
              <w:bottom w:val="single" w:sz="4" w:space="0" w:color="auto"/>
              <w:right w:val="single" w:sz="4" w:space="0" w:color="auto"/>
            </w:tcBorders>
          </w:tcPr>
          <w:p w14:paraId="6015A24A"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w:t>
            </w:r>
          </w:p>
        </w:tc>
        <w:tc>
          <w:tcPr>
            <w:tcW w:w="2976" w:type="dxa"/>
            <w:tcBorders>
              <w:top w:val="single" w:sz="4" w:space="0" w:color="auto"/>
              <w:left w:val="single" w:sz="4" w:space="0" w:color="auto"/>
              <w:bottom w:val="single" w:sz="4" w:space="0" w:color="auto"/>
              <w:right w:val="single" w:sz="4" w:space="0" w:color="auto"/>
            </w:tcBorders>
          </w:tcPr>
          <w:p w14:paraId="38FFD79C" w14:textId="77777777" w:rsidR="00555502" w:rsidRPr="000C7CFA" w:rsidRDefault="00555502" w:rsidP="00704CE9">
            <w:pPr>
              <w:autoSpaceDE w:val="0"/>
              <w:autoSpaceDN w:val="0"/>
              <w:adjustRightInd w:val="0"/>
              <w:spacing w:after="0"/>
              <w:rPr>
                <w:rFonts w:ascii="Verdana" w:hAnsi="Verdana"/>
                <w:sz w:val="18"/>
                <w:szCs w:val="18"/>
              </w:rPr>
            </w:pPr>
            <w:r w:rsidRPr="000C7CFA">
              <w:rPr>
                <w:rFonts w:ascii="Verdana" w:hAnsi="Verdana"/>
                <w:sz w:val="18"/>
                <w:szCs w:val="18"/>
              </w:rPr>
              <w:t>Detected in all samples</w:t>
            </w:r>
          </w:p>
          <w:p w14:paraId="49FF56A2" w14:textId="77777777" w:rsidR="00555502" w:rsidRPr="000C7CFA" w:rsidRDefault="00555502" w:rsidP="00704CE9">
            <w:pPr>
              <w:autoSpaceDE w:val="0"/>
              <w:autoSpaceDN w:val="0"/>
              <w:adjustRightInd w:val="0"/>
              <w:spacing w:after="0"/>
              <w:rPr>
                <w:rFonts w:ascii="Verdana" w:hAnsi="Verdana"/>
                <w:sz w:val="18"/>
                <w:szCs w:val="18"/>
              </w:rPr>
            </w:pPr>
            <w:r w:rsidRPr="000C7CFA">
              <w:rPr>
                <w:rFonts w:ascii="Verdana" w:hAnsi="Verdana"/>
                <w:sz w:val="18"/>
                <w:szCs w:val="18"/>
              </w:rPr>
              <w:t xml:space="preserve">Total isomers: 0.45-5.06 </w:t>
            </w:r>
            <w:r w:rsidRPr="000C7CFA">
              <w:rPr>
                <w:rFonts w:ascii="Verdana" w:hAnsi="Verdana"/>
                <w:bCs/>
                <w:sz w:val="18"/>
                <w:szCs w:val="18"/>
              </w:rPr>
              <w:t xml:space="preserve">µg/kg </w:t>
            </w:r>
            <w:r w:rsidRPr="000C7CFA">
              <w:rPr>
                <w:rFonts w:ascii="Verdana" w:hAnsi="Verdana"/>
                <w:sz w:val="18"/>
                <w:szCs w:val="18"/>
              </w:rPr>
              <w:t>lw</w:t>
            </w:r>
          </w:p>
          <w:p w14:paraId="63AB7252" w14:textId="77777777" w:rsidR="00555502" w:rsidRPr="000C7CFA" w:rsidRDefault="00555502" w:rsidP="00704CE9">
            <w:pPr>
              <w:autoSpaceDE w:val="0"/>
              <w:autoSpaceDN w:val="0"/>
              <w:adjustRightInd w:val="0"/>
              <w:spacing w:after="0"/>
              <w:rPr>
                <w:rFonts w:ascii="Verdana" w:hAnsi="Verdana"/>
                <w:sz w:val="18"/>
                <w:szCs w:val="18"/>
              </w:rPr>
            </w:pPr>
          </w:p>
          <w:p w14:paraId="434D9C17"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rPr>
              <w:t>f</w:t>
            </w:r>
            <w:r w:rsidRPr="000C7CFA">
              <w:rPr>
                <w:rFonts w:ascii="Verdana" w:hAnsi="Verdana"/>
                <w:sz w:val="18"/>
                <w:szCs w:val="18"/>
                <w:vertAlign w:val="subscript"/>
              </w:rPr>
              <w:t>anti</w:t>
            </w:r>
            <w:r w:rsidRPr="000C7CFA">
              <w:rPr>
                <w:rFonts w:ascii="Verdana" w:hAnsi="Verdana"/>
                <w:sz w:val="18"/>
                <w:szCs w:val="18"/>
              </w:rPr>
              <w:t>: 0.5</w:t>
            </w:r>
          </w:p>
        </w:tc>
        <w:tc>
          <w:tcPr>
            <w:tcW w:w="2552" w:type="dxa"/>
            <w:tcBorders>
              <w:top w:val="single" w:sz="4" w:space="0" w:color="auto"/>
              <w:left w:val="single" w:sz="4" w:space="0" w:color="auto"/>
              <w:bottom w:val="single" w:sz="4" w:space="0" w:color="auto"/>
              <w:right w:val="single" w:sz="4" w:space="0" w:color="auto"/>
            </w:tcBorders>
          </w:tcPr>
          <w:p w14:paraId="1369F234"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eastAsia="en-GB"/>
              </w:rPr>
              <w:t>No significant difference between</w:t>
            </w:r>
            <w:r w:rsidRPr="000C7CFA">
              <w:rPr>
                <w:rFonts w:ascii="Verdana" w:hAnsi="Verdana"/>
                <w:sz w:val="18"/>
                <w:szCs w:val="18"/>
              </w:rPr>
              <w:t xml:space="preserve"> genders was found. This species inhabits waters away from river estuaries, and has a high proportion of celaphopods in its diet. </w:t>
            </w:r>
          </w:p>
        </w:tc>
        <w:tc>
          <w:tcPr>
            <w:tcW w:w="1249" w:type="dxa"/>
            <w:tcBorders>
              <w:top w:val="single" w:sz="4" w:space="0" w:color="auto"/>
              <w:left w:val="single" w:sz="4" w:space="0" w:color="auto"/>
              <w:bottom w:val="single" w:sz="4" w:space="0" w:color="auto"/>
            </w:tcBorders>
          </w:tcPr>
          <w:p w14:paraId="627D722E"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Zhu </w:t>
            </w:r>
            <w:r w:rsidRPr="000C7CFA">
              <w:rPr>
                <w:rFonts w:ascii="Verdana" w:hAnsi="Verdana"/>
                <w:i/>
                <w:sz w:val="18"/>
                <w:szCs w:val="18"/>
                <w:lang w:val="en-GB"/>
              </w:rPr>
              <w:t>et al</w:t>
            </w:r>
            <w:r w:rsidRPr="000C7CFA">
              <w:rPr>
                <w:rFonts w:ascii="Verdana" w:hAnsi="Verdana"/>
                <w:sz w:val="18"/>
                <w:szCs w:val="18"/>
                <w:lang w:val="en-GB"/>
              </w:rPr>
              <w:t>. (2014)</w:t>
            </w:r>
          </w:p>
        </w:tc>
      </w:tr>
      <w:tr w:rsidR="00555502" w:rsidRPr="000C7CFA" w14:paraId="5C41C211" w14:textId="77777777" w:rsidTr="00D323EC">
        <w:trPr>
          <w:cantSplit/>
          <w:trHeight w:val="387"/>
        </w:trPr>
        <w:tc>
          <w:tcPr>
            <w:tcW w:w="1928" w:type="dxa"/>
            <w:tcBorders>
              <w:top w:val="single" w:sz="4" w:space="0" w:color="auto"/>
              <w:bottom w:val="single" w:sz="4" w:space="0" w:color="auto"/>
              <w:right w:val="single" w:sz="4" w:space="0" w:color="auto"/>
            </w:tcBorders>
          </w:tcPr>
          <w:p w14:paraId="6283145B"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lastRenderedPageBreak/>
              <w:t xml:space="preserve">Ringed Seal </w:t>
            </w:r>
          </w:p>
          <w:p w14:paraId="59B0C000"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iCs/>
                <w:sz w:val="18"/>
                <w:szCs w:val="18"/>
                <w:lang w:val="en-GB"/>
              </w:rPr>
              <w:t>(</w:t>
            </w:r>
            <w:r w:rsidRPr="000C7CFA">
              <w:rPr>
                <w:rFonts w:ascii="Verdana" w:hAnsi="Verdana"/>
                <w:i/>
                <w:iCs/>
                <w:sz w:val="18"/>
                <w:szCs w:val="18"/>
                <w:lang w:val="en-GB"/>
              </w:rPr>
              <w:t>Phoca hispida</w:t>
            </w:r>
            <w:r w:rsidRPr="000C7CFA">
              <w:rPr>
                <w:rFonts w:ascii="Verdana" w:hAnsi="Verdana"/>
                <w:iCs/>
                <w:sz w:val="18"/>
                <w:szCs w:val="18"/>
                <w:lang w:val="en-GB"/>
              </w:rPr>
              <w:t>)</w:t>
            </w:r>
          </w:p>
        </w:tc>
        <w:tc>
          <w:tcPr>
            <w:tcW w:w="1068" w:type="dxa"/>
            <w:tcBorders>
              <w:top w:val="single" w:sz="4" w:space="0" w:color="auto"/>
              <w:left w:val="single" w:sz="4" w:space="0" w:color="auto"/>
              <w:bottom w:val="single" w:sz="4" w:space="0" w:color="auto"/>
              <w:right w:val="single" w:sz="4" w:space="0" w:color="auto"/>
            </w:tcBorders>
          </w:tcPr>
          <w:p w14:paraId="6CC2963D"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Blubber</w:t>
            </w:r>
          </w:p>
        </w:tc>
        <w:tc>
          <w:tcPr>
            <w:tcW w:w="2391" w:type="dxa"/>
            <w:tcBorders>
              <w:top w:val="single" w:sz="4" w:space="0" w:color="auto"/>
              <w:left w:val="single" w:sz="4" w:space="0" w:color="auto"/>
              <w:bottom w:val="single" w:sz="4" w:space="0" w:color="auto"/>
              <w:right w:val="single" w:sz="4" w:space="0" w:color="auto"/>
            </w:tcBorders>
          </w:tcPr>
          <w:p w14:paraId="000AA4FD"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East (n = 5) and West (n = 4) Greenland (sampling dates not stated)</w:t>
            </w:r>
          </w:p>
        </w:tc>
        <w:tc>
          <w:tcPr>
            <w:tcW w:w="1843" w:type="dxa"/>
            <w:tcBorders>
              <w:top w:val="single" w:sz="4" w:space="0" w:color="auto"/>
              <w:left w:val="single" w:sz="4" w:space="0" w:color="auto"/>
              <w:bottom w:val="single" w:sz="4" w:space="0" w:color="auto"/>
              <w:right w:val="single" w:sz="4" w:space="0" w:color="auto"/>
            </w:tcBorders>
          </w:tcPr>
          <w:p w14:paraId="33683715"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stated (0.01 assumed)</w:t>
            </w:r>
          </w:p>
        </w:tc>
        <w:tc>
          <w:tcPr>
            <w:tcW w:w="2976" w:type="dxa"/>
            <w:tcBorders>
              <w:top w:val="single" w:sz="4" w:space="0" w:color="auto"/>
              <w:left w:val="single" w:sz="4" w:space="0" w:color="auto"/>
              <w:bottom w:val="single" w:sz="4" w:space="0" w:color="auto"/>
              <w:right w:val="single" w:sz="4" w:space="0" w:color="auto"/>
            </w:tcBorders>
          </w:tcPr>
          <w:p w14:paraId="4015EACF"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East Greenland samples: </w:t>
            </w:r>
          </w:p>
          <w:p w14:paraId="23DDE7EF"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Anti-DP:</w:t>
            </w:r>
          </w:p>
          <w:p w14:paraId="13178269"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Arithmetic mean: 0.42 μg/kg ww</w:t>
            </w:r>
            <w:r w:rsidRPr="000C7CFA">
              <w:rPr>
                <w:rFonts w:ascii="Verdana" w:hAnsi="Verdana"/>
                <w:sz w:val="18"/>
                <w:szCs w:val="18"/>
                <w:lang w:val="en-GB"/>
              </w:rPr>
              <w:br/>
              <w:t>Range: 0.04 – 1.84 μg/kg ww</w:t>
            </w:r>
          </w:p>
          <w:p w14:paraId="07F2ADAC" w14:textId="77777777" w:rsidR="00555502" w:rsidRPr="000C7CFA" w:rsidRDefault="00555502" w:rsidP="00704CE9">
            <w:pPr>
              <w:spacing w:after="0"/>
              <w:rPr>
                <w:rFonts w:ascii="Verdana" w:hAnsi="Verdana"/>
                <w:sz w:val="18"/>
                <w:szCs w:val="18"/>
                <w:lang w:val="en-GB"/>
              </w:rPr>
            </w:pPr>
          </w:p>
          <w:p w14:paraId="03FD4374"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Syn-DP:</w:t>
            </w:r>
          </w:p>
          <w:p w14:paraId="261173D0"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Arithmetic mean: 0.10 μg/kg ww</w:t>
            </w:r>
            <w:r w:rsidRPr="000C7CFA">
              <w:rPr>
                <w:rFonts w:ascii="Verdana" w:hAnsi="Verdana"/>
                <w:sz w:val="18"/>
                <w:szCs w:val="18"/>
                <w:lang w:val="en-GB"/>
              </w:rPr>
              <w:br/>
              <w:t>Range: &lt; 0.01 – 0.42 μg/kg ww</w:t>
            </w:r>
          </w:p>
          <w:p w14:paraId="0694AEA9" w14:textId="77777777" w:rsidR="00555502" w:rsidRPr="000C7CFA" w:rsidRDefault="00555502" w:rsidP="00704CE9">
            <w:pPr>
              <w:spacing w:after="0"/>
              <w:rPr>
                <w:rFonts w:ascii="Verdana" w:hAnsi="Verdana"/>
                <w:sz w:val="18"/>
                <w:szCs w:val="18"/>
                <w:lang w:val="en-GB"/>
              </w:rPr>
            </w:pPr>
          </w:p>
          <w:p w14:paraId="10FD306F"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West Greenland samples:</w:t>
            </w:r>
          </w:p>
          <w:p w14:paraId="5C37DE26"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Anti-DP:</w:t>
            </w:r>
          </w:p>
          <w:p w14:paraId="6652511D"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Arithmetic mean: 0.07 μg/kg ww</w:t>
            </w:r>
            <w:r w:rsidRPr="000C7CFA">
              <w:rPr>
                <w:rFonts w:ascii="Verdana" w:hAnsi="Verdana"/>
                <w:sz w:val="18"/>
                <w:szCs w:val="18"/>
                <w:lang w:val="en-GB"/>
              </w:rPr>
              <w:br/>
              <w:t>Range: 0.05 – 0.08 μg/kg ww</w:t>
            </w:r>
          </w:p>
          <w:p w14:paraId="7EFEA24B" w14:textId="77777777" w:rsidR="00555502" w:rsidRPr="000C7CFA" w:rsidRDefault="00555502" w:rsidP="00704CE9">
            <w:pPr>
              <w:spacing w:after="0"/>
              <w:rPr>
                <w:rFonts w:ascii="Verdana" w:hAnsi="Verdana"/>
                <w:sz w:val="18"/>
                <w:szCs w:val="18"/>
                <w:lang w:val="en-GB"/>
              </w:rPr>
            </w:pPr>
          </w:p>
          <w:p w14:paraId="09A51282"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Syn-DP:</w:t>
            </w:r>
          </w:p>
          <w:p w14:paraId="1CC3B110"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Arithmetic mean: 0.02 μg/kg ww</w:t>
            </w:r>
            <w:r w:rsidRPr="000C7CFA">
              <w:rPr>
                <w:rFonts w:ascii="Verdana" w:hAnsi="Verdana"/>
                <w:sz w:val="18"/>
                <w:szCs w:val="18"/>
                <w:lang w:val="en-GB"/>
              </w:rPr>
              <w:br/>
              <w:t>Range: 0.01 – 0.03 μg/kg ww</w:t>
            </w:r>
          </w:p>
          <w:p w14:paraId="1A6C7042"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 </w:t>
            </w:r>
          </w:p>
        </w:tc>
        <w:tc>
          <w:tcPr>
            <w:tcW w:w="2552" w:type="dxa"/>
            <w:tcBorders>
              <w:top w:val="single" w:sz="4" w:space="0" w:color="auto"/>
              <w:left w:val="single" w:sz="4" w:space="0" w:color="auto"/>
              <w:bottom w:val="single" w:sz="4" w:space="0" w:color="auto"/>
              <w:right w:val="single" w:sz="4" w:space="0" w:color="auto"/>
            </w:tcBorders>
          </w:tcPr>
          <w:p w14:paraId="4D1B455B" w14:textId="13400864"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Samples originated from the specimen bank at Aarhus University, Denmark. Mean lipid content: 93.</w:t>
            </w:r>
            <w:r w:rsidR="00AF7606" w:rsidRPr="000C7CFA">
              <w:rPr>
                <w:rFonts w:ascii="Verdana" w:hAnsi="Verdana"/>
                <w:sz w:val="18"/>
                <w:szCs w:val="18"/>
                <w:lang w:val="en-GB"/>
              </w:rPr>
              <w:t>1 %</w:t>
            </w:r>
            <w:r w:rsidRPr="000C7CFA">
              <w:rPr>
                <w:rFonts w:ascii="Verdana" w:hAnsi="Verdana"/>
                <w:sz w:val="18"/>
                <w:szCs w:val="18"/>
                <w:lang w:val="en-GB"/>
              </w:rPr>
              <w:t xml:space="preserve"> (range: 92.2 – 93.</w:t>
            </w:r>
            <w:r w:rsidR="00AF7606" w:rsidRPr="000C7CFA">
              <w:rPr>
                <w:rFonts w:ascii="Verdana" w:hAnsi="Verdana"/>
                <w:sz w:val="18"/>
                <w:szCs w:val="18"/>
                <w:lang w:val="en-GB"/>
              </w:rPr>
              <w:t>9 %</w:t>
            </w:r>
            <w:r w:rsidRPr="000C7CFA">
              <w:rPr>
                <w:rFonts w:ascii="Verdana" w:hAnsi="Verdana"/>
                <w:sz w:val="18"/>
                <w:szCs w:val="18"/>
                <w:lang w:val="en-GB"/>
              </w:rPr>
              <w:t>) [East Greenland], 94.</w:t>
            </w:r>
            <w:r w:rsidR="00AF7606" w:rsidRPr="000C7CFA">
              <w:rPr>
                <w:rFonts w:ascii="Verdana" w:hAnsi="Verdana"/>
                <w:sz w:val="18"/>
                <w:szCs w:val="18"/>
                <w:lang w:val="en-GB"/>
              </w:rPr>
              <w:t>1 %</w:t>
            </w:r>
            <w:r w:rsidRPr="000C7CFA">
              <w:rPr>
                <w:rFonts w:ascii="Verdana" w:hAnsi="Verdana"/>
                <w:sz w:val="18"/>
                <w:szCs w:val="18"/>
                <w:lang w:val="en-GB"/>
              </w:rPr>
              <w:t xml:space="preserve"> (range: 91.9 – 96.</w:t>
            </w:r>
            <w:r w:rsidR="00AF7606" w:rsidRPr="000C7CFA">
              <w:rPr>
                <w:rFonts w:ascii="Verdana" w:hAnsi="Verdana"/>
                <w:sz w:val="18"/>
                <w:szCs w:val="18"/>
                <w:lang w:val="en-GB"/>
              </w:rPr>
              <w:t>2 %</w:t>
            </w:r>
            <w:r w:rsidRPr="000C7CFA">
              <w:rPr>
                <w:rFonts w:ascii="Verdana" w:hAnsi="Verdana"/>
                <w:sz w:val="18"/>
                <w:szCs w:val="18"/>
                <w:lang w:val="en-GB"/>
              </w:rPr>
              <w:t>) [West Greenland]</w:t>
            </w:r>
          </w:p>
          <w:p w14:paraId="2A40826F" w14:textId="77777777" w:rsidR="00555502" w:rsidRPr="000C7CFA" w:rsidRDefault="00555502" w:rsidP="00704CE9">
            <w:pPr>
              <w:spacing w:after="0"/>
              <w:rPr>
                <w:rFonts w:ascii="Verdana" w:hAnsi="Verdana"/>
                <w:sz w:val="18"/>
                <w:szCs w:val="18"/>
                <w:lang w:val="en-GB"/>
              </w:rPr>
            </w:pPr>
          </w:p>
          <w:p w14:paraId="07D8B604"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Both anti- and syn- isomers were detected in eight out of nine samples.</w:t>
            </w:r>
          </w:p>
        </w:tc>
        <w:tc>
          <w:tcPr>
            <w:tcW w:w="1249" w:type="dxa"/>
            <w:tcBorders>
              <w:top w:val="single" w:sz="4" w:space="0" w:color="auto"/>
              <w:left w:val="single" w:sz="4" w:space="0" w:color="auto"/>
              <w:bottom w:val="single" w:sz="4" w:space="0" w:color="auto"/>
            </w:tcBorders>
          </w:tcPr>
          <w:p w14:paraId="1FCB7B31"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Vorkamp </w:t>
            </w:r>
            <w:r w:rsidRPr="000C7CFA">
              <w:rPr>
                <w:rFonts w:ascii="Verdana" w:hAnsi="Verdana"/>
                <w:i/>
                <w:sz w:val="18"/>
                <w:szCs w:val="18"/>
                <w:lang w:val="en-GB"/>
              </w:rPr>
              <w:t>et al</w:t>
            </w:r>
            <w:r w:rsidRPr="000C7CFA">
              <w:rPr>
                <w:rFonts w:ascii="Verdana" w:hAnsi="Verdana"/>
                <w:sz w:val="18"/>
                <w:szCs w:val="18"/>
                <w:lang w:val="en-GB"/>
              </w:rPr>
              <w:t>. (2015)</w:t>
            </w:r>
          </w:p>
        </w:tc>
      </w:tr>
      <w:tr w:rsidR="00555502" w:rsidRPr="000C7CFA" w14:paraId="7EFC59FC" w14:textId="77777777" w:rsidTr="00D323EC">
        <w:trPr>
          <w:cantSplit/>
          <w:trHeight w:val="387"/>
        </w:trPr>
        <w:tc>
          <w:tcPr>
            <w:tcW w:w="1928" w:type="dxa"/>
            <w:tcBorders>
              <w:top w:val="single" w:sz="4" w:space="0" w:color="auto"/>
              <w:left w:val="single" w:sz="12" w:space="0" w:color="auto"/>
              <w:bottom w:val="single" w:sz="12" w:space="0" w:color="auto"/>
              <w:right w:val="single" w:sz="4" w:space="0" w:color="auto"/>
            </w:tcBorders>
          </w:tcPr>
          <w:p w14:paraId="61BEFA03"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 xml:space="preserve">Polar Bear </w:t>
            </w:r>
          </w:p>
          <w:p w14:paraId="768A3E3F" w14:textId="77777777" w:rsidR="00555502" w:rsidRPr="000C7CFA" w:rsidRDefault="00555502" w:rsidP="00704CE9">
            <w:pPr>
              <w:spacing w:after="0"/>
              <w:rPr>
                <w:rFonts w:ascii="Verdana" w:hAnsi="Verdana"/>
                <w:sz w:val="18"/>
                <w:szCs w:val="18"/>
                <w:lang w:val="en-GB"/>
              </w:rPr>
            </w:pPr>
            <w:r w:rsidRPr="000C7CFA">
              <w:rPr>
                <w:rFonts w:ascii="Verdana" w:hAnsi="Verdana"/>
                <w:iCs/>
                <w:sz w:val="18"/>
                <w:szCs w:val="18"/>
                <w:lang w:val="en-GB"/>
              </w:rPr>
              <w:t>(</w:t>
            </w:r>
            <w:r w:rsidRPr="000C7CFA">
              <w:rPr>
                <w:rFonts w:ascii="Verdana" w:hAnsi="Verdana"/>
                <w:i/>
                <w:iCs/>
                <w:sz w:val="18"/>
                <w:szCs w:val="18"/>
                <w:lang w:val="en-GB"/>
              </w:rPr>
              <w:t>Ursus maritimus</w:t>
            </w:r>
            <w:r w:rsidRPr="000C7CFA">
              <w:rPr>
                <w:rFonts w:ascii="Verdana" w:hAnsi="Verdana"/>
                <w:iCs/>
                <w:sz w:val="18"/>
                <w:szCs w:val="18"/>
                <w:lang w:val="en-GB"/>
              </w:rPr>
              <w:t>)</w:t>
            </w:r>
            <w:r w:rsidRPr="000C7CFA">
              <w:rPr>
                <w:rFonts w:ascii="Verdana" w:hAnsi="Verdana"/>
                <w:sz w:val="18"/>
                <w:szCs w:val="18"/>
                <w:lang w:val="en-GB"/>
              </w:rPr>
              <w:t xml:space="preserve"> </w:t>
            </w:r>
          </w:p>
          <w:p w14:paraId="3082EC13" w14:textId="77777777" w:rsidR="00555502" w:rsidRPr="000C7CFA" w:rsidRDefault="00555502" w:rsidP="00704CE9">
            <w:pPr>
              <w:pStyle w:val="Tabletext"/>
              <w:spacing w:before="0" w:after="0"/>
              <w:rPr>
                <w:rFonts w:ascii="Verdana" w:hAnsi="Verdana"/>
                <w:sz w:val="18"/>
                <w:szCs w:val="18"/>
                <w:lang w:val="en-GB"/>
              </w:rPr>
            </w:pPr>
          </w:p>
        </w:tc>
        <w:tc>
          <w:tcPr>
            <w:tcW w:w="1068" w:type="dxa"/>
            <w:tcBorders>
              <w:top w:val="single" w:sz="4" w:space="0" w:color="auto"/>
              <w:left w:val="single" w:sz="4" w:space="0" w:color="auto"/>
              <w:bottom w:val="single" w:sz="12" w:space="0" w:color="auto"/>
              <w:right w:val="single" w:sz="4" w:space="0" w:color="auto"/>
            </w:tcBorders>
          </w:tcPr>
          <w:p w14:paraId="29A7720A"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Adipose</w:t>
            </w:r>
          </w:p>
        </w:tc>
        <w:tc>
          <w:tcPr>
            <w:tcW w:w="2391" w:type="dxa"/>
            <w:tcBorders>
              <w:top w:val="single" w:sz="4" w:space="0" w:color="auto"/>
              <w:left w:val="single" w:sz="4" w:space="0" w:color="auto"/>
              <w:bottom w:val="single" w:sz="12" w:space="0" w:color="auto"/>
              <w:right w:val="single" w:sz="4" w:space="0" w:color="auto"/>
            </w:tcBorders>
          </w:tcPr>
          <w:p w14:paraId="17CEBB02"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East (n = 5) and West Greenland (sampling dates not stated)</w:t>
            </w:r>
          </w:p>
        </w:tc>
        <w:tc>
          <w:tcPr>
            <w:tcW w:w="1843" w:type="dxa"/>
            <w:tcBorders>
              <w:top w:val="single" w:sz="4" w:space="0" w:color="auto"/>
              <w:left w:val="single" w:sz="4" w:space="0" w:color="auto"/>
              <w:bottom w:val="single" w:sz="12" w:space="0" w:color="auto"/>
              <w:right w:val="single" w:sz="4" w:space="0" w:color="auto"/>
            </w:tcBorders>
          </w:tcPr>
          <w:p w14:paraId="70E8F93D" w14:textId="77777777" w:rsidR="00555502" w:rsidRPr="000C7CFA" w:rsidRDefault="00555502"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Not stated</w:t>
            </w:r>
          </w:p>
        </w:tc>
        <w:tc>
          <w:tcPr>
            <w:tcW w:w="2976" w:type="dxa"/>
            <w:tcBorders>
              <w:top w:val="single" w:sz="4" w:space="0" w:color="auto"/>
              <w:left w:val="single" w:sz="4" w:space="0" w:color="auto"/>
              <w:bottom w:val="single" w:sz="12" w:space="0" w:color="auto"/>
              <w:right w:val="single" w:sz="4" w:space="0" w:color="auto"/>
            </w:tcBorders>
          </w:tcPr>
          <w:p w14:paraId="34AE9E3C"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Anti-DP:</w:t>
            </w:r>
          </w:p>
          <w:p w14:paraId="29F92E0D"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Arithmetic mean: 0.06 μg/kg ww</w:t>
            </w:r>
            <w:r w:rsidRPr="000C7CFA">
              <w:rPr>
                <w:rFonts w:ascii="Verdana" w:hAnsi="Verdana"/>
                <w:sz w:val="18"/>
                <w:szCs w:val="18"/>
                <w:lang w:val="en-GB"/>
              </w:rPr>
              <w:br/>
              <w:t>Range: 0.03 – 0.08 μg/kg ww</w:t>
            </w:r>
          </w:p>
          <w:p w14:paraId="576882C9" w14:textId="77777777" w:rsidR="00555502" w:rsidRPr="000C7CFA" w:rsidRDefault="00555502" w:rsidP="00704CE9">
            <w:pPr>
              <w:spacing w:after="0"/>
              <w:rPr>
                <w:rFonts w:ascii="Verdana" w:hAnsi="Verdana"/>
                <w:sz w:val="18"/>
                <w:szCs w:val="18"/>
                <w:lang w:val="en-GB"/>
              </w:rPr>
            </w:pPr>
          </w:p>
          <w:p w14:paraId="5F6E3F98"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Syn-DP:</w:t>
            </w:r>
          </w:p>
          <w:p w14:paraId="238A9D9C"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Arithmetic mean: 0.02 μg/kg ww</w:t>
            </w:r>
            <w:r w:rsidRPr="000C7CFA">
              <w:rPr>
                <w:rFonts w:ascii="Verdana" w:hAnsi="Verdana"/>
                <w:sz w:val="18"/>
                <w:szCs w:val="18"/>
                <w:lang w:val="en-GB"/>
              </w:rPr>
              <w:br/>
              <w:t>Range: 0.01 – 0.03 μg/kg ww</w:t>
            </w:r>
          </w:p>
        </w:tc>
        <w:tc>
          <w:tcPr>
            <w:tcW w:w="2552" w:type="dxa"/>
            <w:tcBorders>
              <w:top w:val="single" w:sz="4" w:space="0" w:color="auto"/>
              <w:left w:val="single" w:sz="4" w:space="0" w:color="auto"/>
              <w:bottom w:val="single" w:sz="12" w:space="0" w:color="auto"/>
              <w:right w:val="single" w:sz="4" w:space="0" w:color="auto"/>
            </w:tcBorders>
          </w:tcPr>
          <w:p w14:paraId="17CD3906" w14:textId="699AF05D"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Samples originated from the specimen bank at Aarhus University, Denmark. Mean lipid content: 86.</w:t>
            </w:r>
            <w:r w:rsidR="00AF7606" w:rsidRPr="000C7CFA">
              <w:rPr>
                <w:rFonts w:ascii="Verdana" w:hAnsi="Verdana"/>
                <w:sz w:val="18"/>
                <w:szCs w:val="18"/>
                <w:lang w:val="en-GB"/>
              </w:rPr>
              <w:t>4 %</w:t>
            </w:r>
            <w:r w:rsidRPr="000C7CFA">
              <w:rPr>
                <w:rFonts w:ascii="Verdana" w:hAnsi="Verdana"/>
                <w:sz w:val="18"/>
                <w:szCs w:val="18"/>
                <w:lang w:val="en-GB"/>
              </w:rPr>
              <w:t xml:space="preserve"> (range: 77.2 – 93.</w:t>
            </w:r>
            <w:r w:rsidR="00AF7606" w:rsidRPr="000C7CFA">
              <w:rPr>
                <w:rFonts w:ascii="Verdana" w:hAnsi="Verdana"/>
                <w:sz w:val="18"/>
                <w:szCs w:val="18"/>
                <w:lang w:val="en-GB"/>
              </w:rPr>
              <w:t>8 %</w:t>
            </w:r>
            <w:r w:rsidRPr="000C7CFA">
              <w:rPr>
                <w:rFonts w:ascii="Verdana" w:hAnsi="Verdana"/>
                <w:sz w:val="18"/>
                <w:szCs w:val="18"/>
                <w:lang w:val="en-GB"/>
              </w:rPr>
              <w:t>)</w:t>
            </w:r>
          </w:p>
          <w:p w14:paraId="37115C5E" w14:textId="77777777" w:rsidR="00555502" w:rsidRPr="000C7CFA" w:rsidRDefault="00555502" w:rsidP="00704CE9">
            <w:pPr>
              <w:spacing w:after="0"/>
              <w:rPr>
                <w:rFonts w:ascii="Verdana" w:hAnsi="Verdana"/>
                <w:sz w:val="18"/>
                <w:szCs w:val="18"/>
                <w:lang w:val="en-GB"/>
              </w:rPr>
            </w:pPr>
          </w:p>
          <w:p w14:paraId="30115D0A" w14:textId="77777777" w:rsidR="00555502" w:rsidRPr="000C7CFA" w:rsidRDefault="00555502" w:rsidP="00704CE9">
            <w:pPr>
              <w:spacing w:after="0"/>
              <w:rPr>
                <w:rFonts w:ascii="Verdana" w:hAnsi="Verdana"/>
                <w:sz w:val="18"/>
                <w:szCs w:val="18"/>
                <w:lang w:val="en-GB"/>
              </w:rPr>
            </w:pPr>
            <w:r w:rsidRPr="000C7CFA">
              <w:rPr>
                <w:rFonts w:ascii="Verdana" w:hAnsi="Verdana"/>
                <w:sz w:val="18"/>
                <w:szCs w:val="18"/>
                <w:lang w:val="en-GB"/>
              </w:rPr>
              <w:t>Both anti- and syn- isomers were detected in all samples.</w:t>
            </w:r>
          </w:p>
        </w:tc>
        <w:tc>
          <w:tcPr>
            <w:tcW w:w="1249" w:type="dxa"/>
            <w:tcBorders>
              <w:top w:val="single" w:sz="4" w:space="0" w:color="auto"/>
              <w:left w:val="single" w:sz="4" w:space="0" w:color="auto"/>
              <w:bottom w:val="single" w:sz="12" w:space="0" w:color="auto"/>
              <w:right w:val="single" w:sz="12" w:space="0" w:color="auto"/>
            </w:tcBorders>
          </w:tcPr>
          <w:p w14:paraId="252B08C6" w14:textId="77777777" w:rsidR="00555502" w:rsidRPr="000C7CFA" w:rsidRDefault="00555502"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Vorkamp </w:t>
            </w:r>
            <w:r w:rsidRPr="000C7CFA">
              <w:rPr>
                <w:rFonts w:ascii="Verdana" w:hAnsi="Verdana"/>
                <w:i/>
                <w:sz w:val="18"/>
                <w:szCs w:val="18"/>
                <w:lang w:val="en-GB"/>
              </w:rPr>
              <w:t>et al</w:t>
            </w:r>
            <w:r w:rsidRPr="000C7CFA">
              <w:rPr>
                <w:rFonts w:ascii="Verdana" w:hAnsi="Verdana"/>
                <w:sz w:val="18"/>
                <w:szCs w:val="18"/>
                <w:lang w:val="en-GB"/>
              </w:rPr>
              <w:t>. (2015)</w:t>
            </w:r>
          </w:p>
        </w:tc>
      </w:tr>
    </w:tbl>
    <w:p w14:paraId="6D6EFA90" w14:textId="1A7CDAAF" w:rsidR="0000000F" w:rsidRPr="000C7CFA" w:rsidRDefault="0000000F" w:rsidP="00D323EC">
      <w:pPr>
        <w:pStyle w:val="Heading1"/>
        <w:numPr>
          <w:ilvl w:val="0"/>
          <w:numId w:val="0"/>
        </w:numPr>
        <w:tabs>
          <w:tab w:val="clear" w:pos="839"/>
          <w:tab w:val="left" w:pos="1701"/>
        </w:tabs>
        <w:rPr>
          <w:rFonts w:ascii="Verdana" w:eastAsia="BatangChe" w:hAnsi="Verdana"/>
          <w:sz w:val="18"/>
          <w:szCs w:val="18"/>
        </w:rPr>
      </w:pPr>
      <w:bookmarkStart w:id="151" w:name="_Toc491862803"/>
      <w:r w:rsidRPr="000C7CFA">
        <w:rPr>
          <w:rFonts w:ascii="Verdana" w:eastAsia="BatangChe" w:hAnsi="Verdana"/>
          <w:sz w:val="18"/>
          <w:szCs w:val="18"/>
        </w:rPr>
        <w:lastRenderedPageBreak/>
        <w:t xml:space="preserve">Appendix </w:t>
      </w:r>
      <w:r w:rsidR="00FB3AD7" w:rsidRPr="000C7CFA">
        <w:rPr>
          <w:rFonts w:ascii="Verdana" w:eastAsia="BatangChe" w:hAnsi="Verdana"/>
          <w:sz w:val="18"/>
          <w:szCs w:val="18"/>
        </w:rPr>
        <w:t>4</w:t>
      </w:r>
      <w:r w:rsidRPr="000C7CFA">
        <w:rPr>
          <w:rFonts w:ascii="Verdana" w:eastAsia="BatangChe" w:hAnsi="Verdana"/>
          <w:sz w:val="18"/>
          <w:szCs w:val="18"/>
        </w:rPr>
        <w:tab/>
        <w:t>Measured concentrations of Dechlorane Plus in biota associated with the terrestrial environment</w:t>
      </w:r>
      <w:bookmarkEnd w:id="151"/>
    </w:p>
    <w:tbl>
      <w:tblPr>
        <w:tblW w:w="1403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913"/>
        <w:gridCol w:w="1083"/>
        <w:gridCol w:w="2350"/>
        <w:gridCol w:w="2110"/>
        <w:gridCol w:w="2672"/>
        <w:gridCol w:w="2532"/>
        <w:gridCol w:w="1374"/>
      </w:tblGrid>
      <w:tr w:rsidR="00C16F04" w:rsidRPr="000C7CFA" w14:paraId="558780A8" w14:textId="77777777" w:rsidTr="000A1A05">
        <w:trPr>
          <w:trHeight w:val="382"/>
          <w:tblHeader/>
        </w:trPr>
        <w:tc>
          <w:tcPr>
            <w:tcW w:w="1913" w:type="dxa"/>
            <w:tcBorders>
              <w:top w:val="single" w:sz="12" w:space="0" w:color="auto"/>
              <w:bottom w:val="single" w:sz="12" w:space="0" w:color="auto"/>
              <w:right w:val="single" w:sz="4" w:space="0" w:color="auto"/>
            </w:tcBorders>
          </w:tcPr>
          <w:p w14:paraId="558F52A8" w14:textId="77777777" w:rsidR="00C16F04" w:rsidRPr="000C7CFA" w:rsidRDefault="00C16F04" w:rsidP="00704CE9">
            <w:pPr>
              <w:rPr>
                <w:rFonts w:ascii="Verdana" w:hAnsi="Verdana"/>
                <w:b/>
                <w:sz w:val="18"/>
                <w:szCs w:val="18"/>
                <w:lang w:val="en-GB"/>
              </w:rPr>
            </w:pPr>
            <w:r w:rsidRPr="000C7CFA">
              <w:rPr>
                <w:rFonts w:ascii="Verdana" w:hAnsi="Verdana"/>
                <w:b/>
                <w:sz w:val="18"/>
                <w:szCs w:val="18"/>
                <w:lang w:val="en-GB"/>
              </w:rPr>
              <w:t>Species</w:t>
            </w:r>
          </w:p>
        </w:tc>
        <w:tc>
          <w:tcPr>
            <w:tcW w:w="1083" w:type="dxa"/>
            <w:tcBorders>
              <w:top w:val="single" w:sz="12" w:space="0" w:color="auto"/>
              <w:left w:val="single" w:sz="4" w:space="0" w:color="auto"/>
              <w:bottom w:val="single" w:sz="12" w:space="0" w:color="auto"/>
              <w:right w:val="single" w:sz="4" w:space="0" w:color="auto"/>
            </w:tcBorders>
          </w:tcPr>
          <w:p w14:paraId="7662EA0B" w14:textId="77777777" w:rsidR="00C16F04" w:rsidRPr="000C7CFA" w:rsidRDefault="00C16F04" w:rsidP="00704CE9">
            <w:pPr>
              <w:rPr>
                <w:rFonts w:ascii="Verdana" w:hAnsi="Verdana"/>
                <w:b/>
                <w:sz w:val="18"/>
                <w:szCs w:val="18"/>
                <w:lang w:val="en-GB"/>
              </w:rPr>
            </w:pPr>
            <w:r w:rsidRPr="000C7CFA">
              <w:rPr>
                <w:rFonts w:ascii="Verdana" w:hAnsi="Verdana"/>
                <w:b/>
                <w:sz w:val="18"/>
                <w:szCs w:val="18"/>
                <w:lang w:val="en-GB"/>
              </w:rPr>
              <w:t>Tissue</w:t>
            </w:r>
          </w:p>
        </w:tc>
        <w:tc>
          <w:tcPr>
            <w:tcW w:w="2350" w:type="dxa"/>
            <w:tcBorders>
              <w:top w:val="single" w:sz="12" w:space="0" w:color="auto"/>
              <w:left w:val="single" w:sz="4" w:space="0" w:color="auto"/>
              <w:bottom w:val="single" w:sz="12" w:space="0" w:color="auto"/>
              <w:right w:val="single" w:sz="4" w:space="0" w:color="auto"/>
            </w:tcBorders>
          </w:tcPr>
          <w:p w14:paraId="4BB9A13B" w14:textId="77777777" w:rsidR="00C16F04" w:rsidRPr="000C7CFA" w:rsidRDefault="00C16F04" w:rsidP="00704CE9">
            <w:pPr>
              <w:rPr>
                <w:rFonts w:ascii="Verdana" w:hAnsi="Verdana"/>
                <w:b/>
                <w:sz w:val="18"/>
                <w:szCs w:val="18"/>
                <w:lang w:val="en-GB"/>
              </w:rPr>
            </w:pPr>
            <w:r w:rsidRPr="000C7CFA">
              <w:rPr>
                <w:rFonts w:ascii="Verdana" w:hAnsi="Verdana"/>
                <w:b/>
                <w:sz w:val="18"/>
                <w:szCs w:val="18"/>
                <w:lang w:val="en-GB"/>
              </w:rPr>
              <w:t>Sample location and date</w:t>
            </w:r>
          </w:p>
        </w:tc>
        <w:tc>
          <w:tcPr>
            <w:tcW w:w="2110" w:type="dxa"/>
            <w:tcBorders>
              <w:top w:val="single" w:sz="12" w:space="0" w:color="auto"/>
              <w:left w:val="single" w:sz="4" w:space="0" w:color="auto"/>
              <w:bottom w:val="single" w:sz="12" w:space="0" w:color="auto"/>
              <w:right w:val="single" w:sz="4" w:space="0" w:color="auto"/>
            </w:tcBorders>
          </w:tcPr>
          <w:p w14:paraId="2B6B2A61" w14:textId="77777777" w:rsidR="00C16F04" w:rsidRPr="000C7CFA" w:rsidRDefault="00C16F04" w:rsidP="00704CE9">
            <w:pPr>
              <w:spacing w:after="0"/>
              <w:jc w:val="center"/>
              <w:rPr>
                <w:rFonts w:ascii="Verdana" w:hAnsi="Verdana"/>
                <w:b/>
                <w:sz w:val="18"/>
                <w:szCs w:val="18"/>
                <w:lang w:val="en-GB"/>
              </w:rPr>
            </w:pPr>
            <w:r w:rsidRPr="000C7CFA">
              <w:rPr>
                <w:rFonts w:ascii="Verdana" w:hAnsi="Verdana"/>
                <w:b/>
                <w:sz w:val="18"/>
                <w:szCs w:val="18"/>
                <w:lang w:val="en-GB"/>
              </w:rPr>
              <w:t>Limit of detection (LoD), μg/kg wet wt.</w:t>
            </w:r>
          </w:p>
        </w:tc>
        <w:tc>
          <w:tcPr>
            <w:tcW w:w="2672" w:type="dxa"/>
            <w:tcBorders>
              <w:top w:val="single" w:sz="12" w:space="0" w:color="auto"/>
              <w:left w:val="single" w:sz="4" w:space="0" w:color="auto"/>
              <w:bottom w:val="single" w:sz="12" w:space="0" w:color="auto"/>
              <w:right w:val="single" w:sz="4" w:space="0" w:color="auto"/>
            </w:tcBorders>
          </w:tcPr>
          <w:p w14:paraId="49458BD4" w14:textId="77777777" w:rsidR="00C16F04" w:rsidRPr="000C7CFA" w:rsidRDefault="00C16F04" w:rsidP="00704CE9">
            <w:pPr>
              <w:rPr>
                <w:rFonts w:ascii="Verdana" w:hAnsi="Verdana"/>
                <w:b/>
                <w:sz w:val="18"/>
                <w:szCs w:val="18"/>
                <w:lang w:val="en-GB"/>
              </w:rPr>
            </w:pPr>
            <w:r w:rsidRPr="000C7CFA">
              <w:rPr>
                <w:rFonts w:ascii="Verdana" w:hAnsi="Verdana"/>
                <w:b/>
                <w:sz w:val="18"/>
                <w:szCs w:val="18"/>
                <w:lang w:val="en-GB"/>
              </w:rPr>
              <w:t>Measured concentration</w:t>
            </w:r>
          </w:p>
        </w:tc>
        <w:tc>
          <w:tcPr>
            <w:tcW w:w="2532" w:type="dxa"/>
            <w:tcBorders>
              <w:top w:val="single" w:sz="12" w:space="0" w:color="auto"/>
              <w:left w:val="single" w:sz="4" w:space="0" w:color="auto"/>
              <w:bottom w:val="single" w:sz="12" w:space="0" w:color="auto"/>
              <w:right w:val="single" w:sz="4" w:space="0" w:color="auto"/>
            </w:tcBorders>
          </w:tcPr>
          <w:p w14:paraId="0C120D86" w14:textId="77777777" w:rsidR="00C16F04" w:rsidRPr="000C7CFA" w:rsidRDefault="00C16F04" w:rsidP="00704CE9">
            <w:pPr>
              <w:rPr>
                <w:rFonts w:ascii="Verdana" w:hAnsi="Verdana"/>
                <w:b/>
                <w:sz w:val="18"/>
                <w:szCs w:val="18"/>
                <w:lang w:val="en-GB"/>
              </w:rPr>
            </w:pPr>
            <w:r w:rsidRPr="000C7CFA">
              <w:rPr>
                <w:rFonts w:ascii="Verdana" w:hAnsi="Verdana"/>
                <w:b/>
                <w:sz w:val="18"/>
                <w:szCs w:val="18"/>
                <w:lang w:val="en-GB"/>
              </w:rPr>
              <w:t>Comment</w:t>
            </w:r>
          </w:p>
        </w:tc>
        <w:tc>
          <w:tcPr>
            <w:tcW w:w="1374" w:type="dxa"/>
            <w:tcBorders>
              <w:top w:val="single" w:sz="12" w:space="0" w:color="auto"/>
              <w:left w:val="single" w:sz="4" w:space="0" w:color="auto"/>
              <w:bottom w:val="single" w:sz="12" w:space="0" w:color="auto"/>
            </w:tcBorders>
          </w:tcPr>
          <w:p w14:paraId="2B9D886D" w14:textId="77777777" w:rsidR="00C16F04" w:rsidRPr="000C7CFA" w:rsidRDefault="00C16F04" w:rsidP="00704CE9">
            <w:pPr>
              <w:rPr>
                <w:rFonts w:ascii="Verdana" w:hAnsi="Verdana"/>
                <w:b/>
                <w:sz w:val="18"/>
                <w:szCs w:val="18"/>
                <w:lang w:val="en-GB"/>
              </w:rPr>
            </w:pPr>
            <w:r w:rsidRPr="000C7CFA">
              <w:rPr>
                <w:rFonts w:ascii="Verdana" w:hAnsi="Verdana"/>
                <w:b/>
                <w:sz w:val="18"/>
                <w:szCs w:val="18"/>
                <w:lang w:val="en-GB"/>
              </w:rPr>
              <w:t>Reference</w:t>
            </w:r>
          </w:p>
        </w:tc>
      </w:tr>
      <w:tr w:rsidR="00C16F04" w:rsidRPr="000C7CFA" w14:paraId="51301BB1" w14:textId="77777777" w:rsidTr="000A1A05">
        <w:trPr>
          <w:trHeight w:val="4807"/>
        </w:trPr>
        <w:tc>
          <w:tcPr>
            <w:tcW w:w="1913" w:type="dxa"/>
            <w:tcBorders>
              <w:bottom w:val="single" w:sz="4" w:space="0" w:color="auto"/>
              <w:right w:val="single" w:sz="4" w:space="0" w:color="auto"/>
            </w:tcBorders>
          </w:tcPr>
          <w:p w14:paraId="4A5F9CAD"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Light-vented Bulbul </w:t>
            </w:r>
          </w:p>
          <w:p w14:paraId="510A650D" w14:textId="77777777" w:rsidR="00C16F04" w:rsidRPr="000C7CFA" w:rsidRDefault="00C16F04" w:rsidP="00704CE9">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w:t>
            </w:r>
            <w:r w:rsidRPr="000C7CFA">
              <w:rPr>
                <w:rFonts w:ascii="Verdana" w:hAnsi="Verdana"/>
                <w:i/>
                <w:sz w:val="18"/>
                <w:szCs w:val="18"/>
                <w:lang w:eastAsia="en-GB"/>
              </w:rPr>
              <w:t>Pycnonotus sinensis</w:t>
            </w:r>
            <w:r w:rsidRPr="000C7CFA">
              <w:rPr>
                <w:rFonts w:ascii="Verdana" w:hAnsi="Verdana"/>
                <w:sz w:val="18"/>
                <w:szCs w:val="18"/>
                <w:lang w:eastAsia="en-GB"/>
              </w:rPr>
              <w:t>), n=16</w:t>
            </w:r>
          </w:p>
          <w:p w14:paraId="16D37326"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p>
          <w:p w14:paraId="48F540F6"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r w:rsidRPr="000C7CFA">
              <w:rPr>
                <w:rFonts w:ascii="Verdana" w:hAnsi="Verdana"/>
                <w:sz w:val="18"/>
                <w:szCs w:val="18"/>
                <w:lang w:eastAsia="en-GB"/>
              </w:rPr>
              <w:t>Yellow-bellied Prinia</w:t>
            </w:r>
          </w:p>
          <w:p w14:paraId="03C9F423"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r w:rsidRPr="000C7CFA">
              <w:rPr>
                <w:rFonts w:ascii="Verdana" w:hAnsi="Verdana"/>
                <w:sz w:val="18"/>
                <w:szCs w:val="18"/>
                <w:lang w:eastAsia="en-GB"/>
              </w:rPr>
              <w:t>(</w:t>
            </w:r>
            <w:r w:rsidRPr="000C7CFA">
              <w:rPr>
                <w:rFonts w:ascii="Verdana" w:hAnsi="Verdana"/>
                <w:i/>
                <w:sz w:val="18"/>
                <w:szCs w:val="18"/>
                <w:lang w:eastAsia="en-GB"/>
              </w:rPr>
              <w:t>Prinia flaviventris</w:t>
            </w:r>
            <w:r w:rsidRPr="000C7CFA">
              <w:rPr>
                <w:rFonts w:ascii="Verdana" w:hAnsi="Verdana"/>
                <w:sz w:val="18"/>
                <w:szCs w:val="18"/>
                <w:lang w:eastAsia="en-GB"/>
              </w:rPr>
              <w:t>), n=9</w:t>
            </w:r>
          </w:p>
          <w:p w14:paraId="75A7A33A"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p>
          <w:p w14:paraId="3B2DD0F8"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val="fi-FI" w:eastAsia="en-GB"/>
              </w:rPr>
            </w:pPr>
            <w:r w:rsidRPr="000C7CFA">
              <w:rPr>
                <w:rFonts w:ascii="Verdana" w:hAnsi="Verdana"/>
                <w:sz w:val="18"/>
                <w:szCs w:val="18"/>
                <w:lang w:val="fi-FI" w:eastAsia="en-GB"/>
              </w:rPr>
              <w:t>Plain Prinia</w:t>
            </w:r>
          </w:p>
          <w:p w14:paraId="67B69F52"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val="fi-FI" w:eastAsia="en-GB"/>
              </w:rPr>
            </w:pPr>
            <w:r w:rsidRPr="000C7CFA">
              <w:rPr>
                <w:rFonts w:ascii="Verdana" w:hAnsi="Verdana"/>
                <w:sz w:val="18"/>
                <w:szCs w:val="18"/>
                <w:lang w:val="fi-FI" w:eastAsia="en-GB"/>
              </w:rPr>
              <w:t>(</w:t>
            </w:r>
            <w:r w:rsidRPr="000C7CFA">
              <w:rPr>
                <w:rFonts w:ascii="Verdana" w:hAnsi="Verdana"/>
                <w:i/>
                <w:sz w:val="18"/>
                <w:szCs w:val="18"/>
                <w:lang w:val="fi-FI" w:eastAsia="en-GB"/>
              </w:rPr>
              <w:t>Prinia inornata</w:t>
            </w:r>
            <w:r w:rsidRPr="000C7CFA">
              <w:rPr>
                <w:rFonts w:ascii="Verdana" w:hAnsi="Verdana"/>
                <w:sz w:val="18"/>
                <w:szCs w:val="18"/>
                <w:lang w:val="fi-FI" w:eastAsia="en-GB"/>
              </w:rPr>
              <w:t>), n=4</w:t>
            </w:r>
          </w:p>
          <w:p w14:paraId="640AF5D6"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val="fi-FI" w:eastAsia="en-GB"/>
              </w:rPr>
            </w:pPr>
          </w:p>
          <w:p w14:paraId="138605E9"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r w:rsidRPr="000C7CFA">
              <w:rPr>
                <w:rFonts w:ascii="Verdana" w:hAnsi="Verdana"/>
                <w:sz w:val="18"/>
                <w:szCs w:val="18"/>
                <w:lang w:eastAsia="en-GB"/>
              </w:rPr>
              <w:t>Dark Green White-eye (</w:t>
            </w:r>
            <w:r w:rsidRPr="000C7CFA">
              <w:rPr>
                <w:rFonts w:ascii="Verdana" w:hAnsi="Verdana"/>
                <w:i/>
                <w:sz w:val="18"/>
                <w:szCs w:val="18"/>
                <w:lang w:eastAsia="en-GB"/>
              </w:rPr>
              <w:t>Zosterops japonicus</w:t>
            </w:r>
            <w:r w:rsidRPr="000C7CFA">
              <w:rPr>
                <w:rFonts w:ascii="Verdana" w:hAnsi="Verdana"/>
                <w:sz w:val="18"/>
                <w:szCs w:val="18"/>
                <w:lang w:eastAsia="en-GB"/>
              </w:rPr>
              <w:t>), n=4</w:t>
            </w:r>
          </w:p>
          <w:p w14:paraId="179D7617"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p>
          <w:p w14:paraId="0EC81DE9" w14:textId="77777777" w:rsidR="00C16F04" w:rsidRPr="000C7CFA" w:rsidRDefault="00C16F04" w:rsidP="00704CE9">
            <w:pPr>
              <w:pStyle w:val="Tabletext"/>
              <w:spacing w:before="0" w:after="0"/>
              <w:rPr>
                <w:rFonts w:ascii="Verdana" w:hAnsi="Verdana"/>
                <w:sz w:val="18"/>
                <w:szCs w:val="18"/>
                <w:lang w:val="en-GB"/>
              </w:rPr>
            </w:pPr>
          </w:p>
        </w:tc>
        <w:tc>
          <w:tcPr>
            <w:tcW w:w="1083" w:type="dxa"/>
            <w:tcBorders>
              <w:left w:val="single" w:sz="4" w:space="0" w:color="auto"/>
              <w:bottom w:val="single" w:sz="4" w:space="0" w:color="auto"/>
              <w:right w:val="single" w:sz="4" w:space="0" w:color="auto"/>
            </w:tcBorders>
          </w:tcPr>
          <w:p w14:paraId="2E30270C"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eastAsia="en-GB"/>
              </w:rPr>
              <w:t>Eggs</w:t>
            </w:r>
          </w:p>
        </w:tc>
        <w:tc>
          <w:tcPr>
            <w:tcW w:w="2350" w:type="dxa"/>
            <w:tcBorders>
              <w:left w:val="single" w:sz="4" w:space="0" w:color="auto"/>
              <w:bottom w:val="single" w:sz="4" w:space="0" w:color="auto"/>
              <w:right w:val="single" w:sz="4" w:space="0" w:color="auto"/>
            </w:tcBorders>
          </w:tcPr>
          <w:p w14:paraId="0856C211" w14:textId="77777777" w:rsidR="00C16F04" w:rsidRPr="000C7CFA" w:rsidRDefault="00C16F04"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eastAsia="en-GB"/>
              </w:rPr>
              <w:t xml:space="preserve">Samples were collected between 2010 and 2012 from an ecological station in the Pearl River Delta, southern China (n=33) </w:t>
            </w:r>
          </w:p>
        </w:tc>
        <w:tc>
          <w:tcPr>
            <w:tcW w:w="2110" w:type="dxa"/>
            <w:tcBorders>
              <w:top w:val="single" w:sz="12" w:space="0" w:color="auto"/>
              <w:left w:val="single" w:sz="4" w:space="0" w:color="auto"/>
              <w:bottom w:val="single" w:sz="4" w:space="0" w:color="auto"/>
              <w:right w:val="single" w:sz="4" w:space="0" w:color="auto"/>
            </w:tcBorders>
          </w:tcPr>
          <w:p w14:paraId="035FBD54" w14:textId="77777777" w:rsidR="00C16F04" w:rsidRPr="000C7CFA" w:rsidRDefault="00C16F04" w:rsidP="00704CE9">
            <w:pPr>
              <w:pStyle w:val="Tabletext"/>
              <w:spacing w:before="0" w:after="0"/>
              <w:jc w:val="center"/>
              <w:rPr>
                <w:rFonts w:ascii="Verdana" w:hAnsi="Verdana"/>
                <w:sz w:val="18"/>
                <w:szCs w:val="18"/>
                <w:lang w:val="en-GB"/>
              </w:rPr>
            </w:pPr>
            <w:r w:rsidRPr="000C7CFA">
              <w:rPr>
                <w:rFonts w:ascii="Verdana" w:hAnsi="Verdana"/>
                <w:sz w:val="18"/>
                <w:szCs w:val="18"/>
                <w:lang w:eastAsia="en-GB"/>
              </w:rPr>
              <w:t>3.26 µg/kg lw</w:t>
            </w:r>
          </w:p>
        </w:tc>
        <w:tc>
          <w:tcPr>
            <w:tcW w:w="2672" w:type="dxa"/>
            <w:tcBorders>
              <w:left w:val="single" w:sz="4" w:space="0" w:color="auto"/>
              <w:bottom w:val="single" w:sz="4" w:space="0" w:color="auto"/>
              <w:right w:val="single" w:sz="4" w:space="0" w:color="auto"/>
            </w:tcBorders>
          </w:tcPr>
          <w:p w14:paraId="0AEEE702" w14:textId="77777777" w:rsidR="00C16F04" w:rsidRPr="000C7CFA" w:rsidRDefault="00C16F04" w:rsidP="00704CE9">
            <w:pPr>
              <w:pStyle w:val="Tabletext"/>
              <w:spacing w:before="0" w:after="0"/>
              <w:ind w:left="176" w:hanging="176"/>
              <w:rPr>
                <w:rFonts w:ascii="Verdana" w:hAnsi="Verdana"/>
                <w:sz w:val="18"/>
                <w:szCs w:val="18"/>
                <w:lang w:eastAsia="en-GB"/>
              </w:rPr>
            </w:pPr>
            <w:r w:rsidRPr="000C7CFA">
              <w:rPr>
                <w:rFonts w:ascii="Verdana" w:hAnsi="Verdana"/>
                <w:sz w:val="18"/>
                <w:szCs w:val="18"/>
                <w:lang w:eastAsia="en-GB"/>
              </w:rPr>
              <w:t>Total isomers (median, range):</w:t>
            </w:r>
          </w:p>
          <w:p w14:paraId="0A20E0A4" w14:textId="77777777" w:rsidR="00C16F04" w:rsidRPr="000C7CFA" w:rsidRDefault="00C16F04" w:rsidP="00704CE9">
            <w:pPr>
              <w:pStyle w:val="Tabletext"/>
              <w:spacing w:before="0" w:after="0"/>
              <w:ind w:left="176" w:hanging="176"/>
              <w:rPr>
                <w:rFonts w:ascii="Verdana" w:hAnsi="Verdana"/>
                <w:sz w:val="18"/>
                <w:szCs w:val="18"/>
                <w:lang w:eastAsia="en-GB"/>
              </w:rPr>
            </w:pPr>
          </w:p>
          <w:p w14:paraId="2A56ADCD" w14:textId="77777777" w:rsidR="00C16F04" w:rsidRPr="000C7CFA" w:rsidRDefault="00C16F04" w:rsidP="00704CE9">
            <w:pPr>
              <w:pStyle w:val="Tabletext"/>
              <w:spacing w:before="0" w:after="0"/>
              <w:ind w:left="176" w:hanging="176"/>
              <w:rPr>
                <w:rFonts w:ascii="Verdana" w:hAnsi="Verdana"/>
                <w:sz w:val="18"/>
                <w:szCs w:val="18"/>
                <w:lang w:eastAsia="en-GB"/>
              </w:rPr>
            </w:pPr>
            <w:r w:rsidRPr="000C7CFA">
              <w:rPr>
                <w:rFonts w:ascii="Verdana" w:hAnsi="Verdana"/>
                <w:sz w:val="18"/>
                <w:szCs w:val="18"/>
                <w:lang w:eastAsia="en-GB"/>
              </w:rPr>
              <w:t>Bulbul: 15 (4.6–30) µg/kg lw</w:t>
            </w:r>
          </w:p>
          <w:p w14:paraId="5A564A1E" w14:textId="77777777" w:rsidR="00C16F04" w:rsidRPr="000C7CFA" w:rsidRDefault="00C16F04" w:rsidP="00704CE9">
            <w:pPr>
              <w:pStyle w:val="Tabletext"/>
              <w:spacing w:before="0" w:after="0"/>
              <w:ind w:left="176" w:hanging="176"/>
              <w:rPr>
                <w:rFonts w:ascii="Verdana" w:hAnsi="Verdana"/>
                <w:sz w:val="18"/>
                <w:szCs w:val="18"/>
                <w:lang w:eastAsia="en-GB"/>
              </w:rPr>
            </w:pPr>
            <w:r w:rsidRPr="000C7CFA">
              <w:rPr>
                <w:rFonts w:ascii="Verdana" w:hAnsi="Verdana"/>
                <w:sz w:val="18"/>
                <w:szCs w:val="18"/>
                <w:lang w:eastAsia="en-GB"/>
              </w:rPr>
              <w:t>Yellow-bellied Prinia: 34 (24–58) µg/kg lw</w:t>
            </w:r>
          </w:p>
          <w:p w14:paraId="3B664707" w14:textId="77777777" w:rsidR="00C16F04" w:rsidRPr="000C7CFA" w:rsidRDefault="00C16F04" w:rsidP="00704CE9">
            <w:pPr>
              <w:pStyle w:val="Tabletext"/>
              <w:spacing w:before="0" w:after="0"/>
              <w:ind w:left="176" w:hanging="176"/>
              <w:rPr>
                <w:rFonts w:ascii="Verdana" w:hAnsi="Verdana"/>
                <w:sz w:val="18"/>
                <w:szCs w:val="18"/>
                <w:lang w:eastAsia="en-GB"/>
              </w:rPr>
            </w:pPr>
            <w:r w:rsidRPr="000C7CFA">
              <w:rPr>
                <w:rFonts w:ascii="Verdana" w:hAnsi="Verdana"/>
                <w:sz w:val="18"/>
                <w:szCs w:val="18"/>
                <w:lang w:eastAsia="en-GB"/>
              </w:rPr>
              <w:t>Plain Prinia: 141 (69–268) µg/kg lw</w:t>
            </w:r>
          </w:p>
          <w:p w14:paraId="5DBFA11F" w14:textId="77777777" w:rsidR="00C16F04" w:rsidRPr="000C7CFA" w:rsidRDefault="00C16F04" w:rsidP="00704CE9">
            <w:pPr>
              <w:pStyle w:val="Tabletext"/>
              <w:spacing w:before="0" w:after="0"/>
              <w:ind w:left="176" w:hanging="176"/>
              <w:rPr>
                <w:rFonts w:ascii="Verdana" w:hAnsi="Verdana"/>
                <w:sz w:val="18"/>
                <w:szCs w:val="18"/>
                <w:lang w:eastAsia="en-GB"/>
              </w:rPr>
            </w:pPr>
            <w:r w:rsidRPr="000C7CFA">
              <w:rPr>
                <w:rFonts w:ascii="Verdana" w:hAnsi="Verdana"/>
                <w:sz w:val="18"/>
                <w:szCs w:val="18"/>
                <w:lang w:eastAsia="en-GB"/>
              </w:rPr>
              <w:t>White-eye: 33 (14–87) µg/kg lw</w:t>
            </w:r>
          </w:p>
          <w:p w14:paraId="1B950A57" w14:textId="77777777" w:rsidR="00C16F04" w:rsidRPr="000C7CFA" w:rsidRDefault="00C16F04" w:rsidP="00704CE9">
            <w:pPr>
              <w:pStyle w:val="Tabletext"/>
              <w:spacing w:before="0" w:after="0"/>
              <w:ind w:left="176" w:hanging="176"/>
              <w:rPr>
                <w:rFonts w:ascii="Verdana" w:hAnsi="Verdana"/>
                <w:sz w:val="18"/>
                <w:szCs w:val="18"/>
                <w:lang w:eastAsia="en-GB"/>
              </w:rPr>
            </w:pPr>
          </w:p>
          <w:p w14:paraId="3FBA6A8C" w14:textId="6B4359A3" w:rsidR="00C16F04" w:rsidRPr="000C7CFA" w:rsidRDefault="00C16F04" w:rsidP="00704CE9">
            <w:pPr>
              <w:pStyle w:val="Tabletext"/>
              <w:spacing w:before="0" w:after="0"/>
              <w:ind w:left="176" w:hanging="176"/>
              <w:rPr>
                <w:rFonts w:ascii="Verdana" w:hAnsi="Verdana"/>
                <w:sz w:val="18"/>
                <w:szCs w:val="18"/>
                <w:lang w:eastAsia="en-GB"/>
              </w:rPr>
            </w:pPr>
            <w:r w:rsidRPr="000C7CFA">
              <w:rPr>
                <w:rFonts w:ascii="Verdana" w:hAnsi="Verdana"/>
                <w:sz w:val="18"/>
                <w:szCs w:val="18"/>
                <w:lang w:eastAsia="en-GB"/>
              </w:rPr>
              <w:t>Anti-DP-1Cl: &lt;0.028 – 0.86 µg/kg lw (detected in 7</w:t>
            </w:r>
            <w:r w:rsidR="00AF7606" w:rsidRPr="000C7CFA">
              <w:rPr>
                <w:rFonts w:ascii="Verdana" w:hAnsi="Verdana"/>
                <w:sz w:val="18"/>
                <w:szCs w:val="18"/>
                <w:lang w:eastAsia="en-GB"/>
              </w:rPr>
              <w:t>3 %</w:t>
            </w:r>
            <w:r w:rsidRPr="000C7CFA">
              <w:rPr>
                <w:rFonts w:ascii="Verdana" w:hAnsi="Verdana"/>
                <w:sz w:val="18"/>
                <w:szCs w:val="18"/>
                <w:lang w:eastAsia="en-GB"/>
              </w:rPr>
              <w:t xml:space="preserve"> of eggs)</w:t>
            </w:r>
          </w:p>
          <w:p w14:paraId="6D964683" w14:textId="77777777" w:rsidR="00C16F04" w:rsidRPr="000C7CFA" w:rsidRDefault="00C16F04" w:rsidP="00704CE9">
            <w:pPr>
              <w:pStyle w:val="Tabletext"/>
              <w:spacing w:before="0" w:after="0"/>
              <w:ind w:left="176" w:hanging="176"/>
              <w:rPr>
                <w:rFonts w:ascii="Verdana" w:hAnsi="Verdana"/>
                <w:sz w:val="18"/>
                <w:szCs w:val="18"/>
                <w:lang w:eastAsia="en-GB"/>
              </w:rPr>
            </w:pPr>
          </w:p>
          <w:p w14:paraId="391BFEA2" w14:textId="77777777" w:rsidR="00C16F04" w:rsidRPr="000C7CFA" w:rsidRDefault="00C16F04" w:rsidP="00704CE9">
            <w:pPr>
              <w:pStyle w:val="Tabletext"/>
              <w:spacing w:before="0" w:after="0"/>
              <w:ind w:left="176" w:hanging="176"/>
              <w:rPr>
                <w:rFonts w:ascii="Verdana" w:hAnsi="Verdana"/>
                <w:sz w:val="18"/>
                <w:szCs w:val="18"/>
                <w:lang w:eastAsia="en-GB"/>
              </w:rPr>
            </w:pPr>
            <w:r w:rsidRPr="000C7CFA">
              <w:rPr>
                <w:rFonts w:ascii="Verdana" w:hAnsi="Verdana"/>
                <w:sz w:val="18"/>
                <w:szCs w:val="18"/>
                <w:lang w:eastAsia="en-GB"/>
              </w:rPr>
              <w:t>Anti-DP-2Cl: &lt;0.035 µg/kg lw</w:t>
            </w:r>
          </w:p>
          <w:p w14:paraId="02046E30" w14:textId="77777777" w:rsidR="00C16F04" w:rsidRPr="000C7CFA" w:rsidRDefault="00C16F04" w:rsidP="00704CE9">
            <w:pPr>
              <w:pStyle w:val="Tabletext"/>
              <w:spacing w:before="0" w:after="0"/>
              <w:ind w:left="176" w:hanging="176"/>
              <w:rPr>
                <w:rFonts w:ascii="Verdana" w:hAnsi="Verdana"/>
                <w:sz w:val="18"/>
                <w:szCs w:val="18"/>
                <w:lang w:val="en-GB"/>
              </w:rPr>
            </w:pPr>
          </w:p>
        </w:tc>
        <w:tc>
          <w:tcPr>
            <w:tcW w:w="2532" w:type="dxa"/>
            <w:tcBorders>
              <w:left w:val="single" w:sz="4" w:space="0" w:color="auto"/>
              <w:bottom w:val="single" w:sz="4" w:space="0" w:color="auto"/>
              <w:right w:val="single" w:sz="4" w:space="0" w:color="auto"/>
            </w:tcBorders>
          </w:tcPr>
          <w:p w14:paraId="7F03D909"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r w:rsidRPr="000C7CFA">
              <w:rPr>
                <w:rFonts w:ascii="Verdana" w:hAnsi="Verdana"/>
                <w:sz w:val="18"/>
                <w:szCs w:val="18"/>
                <w:lang w:eastAsia="en-GB"/>
              </w:rPr>
              <w:t xml:space="preserve">No direct emission source exists at the sampling site. </w:t>
            </w:r>
          </w:p>
          <w:p w14:paraId="51AA37EA"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p>
          <w:p w14:paraId="0A2FF057"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r w:rsidRPr="000C7CFA">
              <w:rPr>
                <w:rFonts w:ascii="Verdana" w:hAnsi="Verdana"/>
                <w:sz w:val="18"/>
                <w:szCs w:val="18"/>
                <w:lang w:eastAsia="en-GB"/>
              </w:rPr>
              <w:t xml:space="preserve">The bulbul eats plant matter, and had significantly lower levels of flame retardants than the insectivores sampled in the same study. </w:t>
            </w:r>
          </w:p>
          <w:p w14:paraId="6C23F565"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p>
          <w:p w14:paraId="3A8A21F2" w14:textId="77777777" w:rsidR="00C16F04" w:rsidRPr="000C7CFA" w:rsidRDefault="00C16F04" w:rsidP="0070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lang w:eastAsia="en-GB"/>
              </w:rPr>
            </w:pPr>
            <w:r w:rsidRPr="000C7CFA">
              <w:rPr>
                <w:rFonts w:ascii="Verdana" w:hAnsi="Verdana"/>
                <w:sz w:val="18"/>
                <w:szCs w:val="18"/>
                <w:lang w:eastAsia="en-GB"/>
              </w:rPr>
              <w:t xml:space="preserve">There was a significant negative relationship between the fraction of anti-DP and DP concentrations, suggesting that DP levels play an important role in determining the isomeric composition. </w:t>
            </w:r>
          </w:p>
          <w:p w14:paraId="60451D4D" w14:textId="77777777" w:rsidR="00C16F04" w:rsidRPr="000C7CFA" w:rsidRDefault="00C16F04" w:rsidP="00704CE9">
            <w:pPr>
              <w:pStyle w:val="Tabletext"/>
              <w:spacing w:before="0" w:after="0"/>
              <w:rPr>
                <w:rFonts w:ascii="Verdana" w:hAnsi="Verdana"/>
                <w:sz w:val="18"/>
                <w:szCs w:val="18"/>
                <w:lang w:val="en-GB"/>
              </w:rPr>
            </w:pPr>
          </w:p>
        </w:tc>
        <w:tc>
          <w:tcPr>
            <w:tcW w:w="1374" w:type="dxa"/>
            <w:tcBorders>
              <w:left w:val="single" w:sz="4" w:space="0" w:color="auto"/>
              <w:bottom w:val="single" w:sz="4" w:space="0" w:color="auto"/>
            </w:tcBorders>
          </w:tcPr>
          <w:p w14:paraId="5681EB63"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Sun </w:t>
            </w:r>
            <w:r w:rsidRPr="000C7CFA">
              <w:rPr>
                <w:rFonts w:ascii="Verdana" w:hAnsi="Verdana"/>
                <w:i/>
                <w:sz w:val="18"/>
                <w:szCs w:val="18"/>
                <w:lang w:val="en-GB"/>
              </w:rPr>
              <w:t>et al</w:t>
            </w:r>
            <w:r w:rsidRPr="000C7CFA">
              <w:rPr>
                <w:rFonts w:ascii="Verdana" w:hAnsi="Verdana"/>
                <w:sz w:val="18"/>
                <w:szCs w:val="18"/>
                <w:lang w:val="en-GB"/>
              </w:rPr>
              <w:t>. (2014)</w:t>
            </w:r>
          </w:p>
        </w:tc>
      </w:tr>
      <w:tr w:rsidR="00C16F04" w:rsidRPr="000C7CFA" w14:paraId="2D470AF3" w14:textId="77777777" w:rsidTr="000A1A05">
        <w:trPr>
          <w:trHeight w:val="4807"/>
        </w:trPr>
        <w:tc>
          <w:tcPr>
            <w:tcW w:w="1913" w:type="dxa"/>
            <w:tcBorders>
              <w:top w:val="single" w:sz="4" w:space="0" w:color="auto"/>
              <w:bottom w:val="single" w:sz="4" w:space="0" w:color="auto"/>
              <w:right w:val="single" w:sz="4" w:space="0" w:color="auto"/>
            </w:tcBorders>
          </w:tcPr>
          <w:p w14:paraId="3DA33044"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lastRenderedPageBreak/>
              <w:t xml:space="preserve">White Stork </w:t>
            </w:r>
          </w:p>
          <w:p w14:paraId="387F67D0"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w:t>
            </w:r>
            <w:r w:rsidRPr="000C7CFA">
              <w:rPr>
                <w:rFonts w:ascii="Verdana" w:hAnsi="Verdana"/>
                <w:i/>
                <w:sz w:val="18"/>
                <w:szCs w:val="18"/>
                <w:lang w:val="en-GB"/>
              </w:rPr>
              <w:t>Ciconia ciconia</w:t>
            </w:r>
            <w:r w:rsidRPr="000C7CFA">
              <w:rPr>
                <w:rFonts w:ascii="Verdana" w:hAnsi="Verdana"/>
                <w:sz w:val="18"/>
                <w:szCs w:val="18"/>
                <w:lang w:val="en-GB"/>
              </w:rPr>
              <w:t>)</w:t>
            </w:r>
          </w:p>
        </w:tc>
        <w:tc>
          <w:tcPr>
            <w:tcW w:w="1083" w:type="dxa"/>
            <w:tcBorders>
              <w:top w:val="single" w:sz="4" w:space="0" w:color="auto"/>
              <w:left w:val="single" w:sz="4" w:space="0" w:color="auto"/>
              <w:bottom w:val="single" w:sz="4" w:space="0" w:color="auto"/>
              <w:right w:val="single" w:sz="4" w:space="0" w:color="auto"/>
            </w:tcBorders>
          </w:tcPr>
          <w:p w14:paraId="0ABE5881"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Eggs</w:t>
            </w:r>
          </w:p>
          <w:p w14:paraId="4355FA58"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(failed)</w:t>
            </w:r>
          </w:p>
        </w:tc>
        <w:tc>
          <w:tcPr>
            <w:tcW w:w="2350" w:type="dxa"/>
            <w:tcBorders>
              <w:top w:val="single" w:sz="4" w:space="0" w:color="auto"/>
              <w:left w:val="single" w:sz="4" w:space="0" w:color="auto"/>
              <w:bottom w:val="single" w:sz="4" w:space="0" w:color="auto"/>
              <w:right w:val="single" w:sz="4" w:space="0" w:color="auto"/>
            </w:tcBorders>
          </w:tcPr>
          <w:p w14:paraId="5471E59F"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One colony near Madrid sampled in the 2005 breeding season (10 eggs, urban/ industrial area) and another in the Doñana National Park sampled in the 1999–2000 breeding seasons (23 eggs, rural area), Spain.</w:t>
            </w:r>
          </w:p>
          <w:p w14:paraId="3082F4EE" w14:textId="77777777" w:rsidR="00C16F04" w:rsidRPr="000C7CFA" w:rsidRDefault="00C16F04" w:rsidP="00704CE9">
            <w:pPr>
              <w:pStyle w:val="Tabletext"/>
              <w:spacing w:before="0" w:after="0"/>
              <w:rPr>
                <w:rFonts w:ascii="Verdana" w:hAnsi="Verdana"/>
                <w:sz w:val="18"/>
                <w:szCs w:val="18"/>
                <w:lang w:val="en-GB"/>
              </w:rPr>
            </w:pPr>
          </w:p>
        </w:tc>
        <w:tc>
          <w:tcPr>
            <w:tcW w:w="2110" w:type="dxa"/>
            <w:tcBorders>
              <w:top w:val="single" w:sz="4" w:space="0" w:color="auto"/>
              <w:left w:val="single" w:sz="4" w:space="0" w:color="auto"/>
              <w:bottom w:val="single" w:sz="4" w:space="0" w:color="auto"/>
              <w:right w:val="single" w:sz="4" w:space="0" w:color="auto"/>
            </w:tcBorders>
          </w:tcPr>
          <w:p w14:paraId="2AFB2514" w14:textId="77777777" w:rsidR="00C16F04" w:rsidRPr="000C7CFA" w:rsidRDefault="00C16F04" w:rsidP="00704CE9">
            <w:pPr>
              <w:pStyle w:val="Tabletext"/>
              <w:spacing w:before="0" w:after="0"/>
              <w:jc w:val="center"/>
              <w:rPr>
                <w:rFonts w:ascii="Verdana" w:hAnsi="Verdana"/>
                <w:sz w:val="18"/>
                <w:szCs w:val="18"/>
                <w:lang w:val="fr-FR"/>
              </w:rPr>
            </w:pPr>
            <w:r w:rsidRPr="000C7CFA">
              <w:rPr>
                <w:rFonts w:ascii="Verdana" w:hAnsi="Verdana"/>
                <w:sz w:val="18"/>
                <w:szCs w:val="18"/>
                <w:lang w:val="fr-FR"/>
              </w:rPr>
              <w:t>Anti-DP: 0.0008</w:t>
            </w:r>
          </w:p>
          <w:p w14:paraId="7FCA4934" w14:textId="77777777" w:rsidR="00C16F04" w:rsidRPr="000C7CFA" w:rsidRDefault="00C16F04" w:rsidP="00704CE9">
            <w:pPr>
              <w:pStyle w:val="Tabletext"/>
              <w:spacing w:before="0" w:after="0"/>
              <w:jc w:val="center"/>
              <w:rPr>
                <w:rFonts w:ascii="Verdana" w:hAnsi="Verdana"/>
                <w:sz w:val="18"/>
                <w:szCs w:val="18"/>
                <w:lang w:val="fr-FR"/>
              </w:rPr>
            </w:pPr>
            <w:r w:rsidRPr="000C7CFA">
              <w:rPr>
                <w:rFonts w:ascii="Verdana" w:hAnsi="Verdana"/>
                <w:sz w:val="18"/>
                <w:szCs w:val="18"/>
                <w:lang w:val="fr-FR"/>
              </w:rPr>
              <w:t>(limit of quantitation, LoQ)</w:t>
            </w:r>
          </w:p>
          <w:p w14:paraId="0E674109" w14:textId="77777777" w:rsidR="00C16F04" w:rsidRPr="000C7CFA" w:rsidRDefault="00C16F04" w:rsidP="00704CE9">
            <w:pPr>
              <w:pStyle w:val="BodyText"/>
              <w:rPr>
                <w:rFonts w:ascii="Verdana" w:hAnsi="Verdana"/>
                <w:sz w:val="18"/>
                <w:szCs w:val="18"/>
                <w:lang w:val="fr-FR" w:eastAsia="da-DK"/>
              </w:rPr>
            </w:pPr>
          </w:p>
          <w:p w14:paraId="2A36B489" w14:textId="77777777" w:rsidR="00C16F04" w:rsidRPr="000C7CFA" w:rsidRDefault="00C16F04" w:rsidP="00704CE9">
            <w:pPr>
              <w:pStyle w:val="Tabletext"/>
              <w:spacing w:before="0" w:after="0"/>
              <w:jc w:val="center"/>
              <w:rPr>
                <w:rFonts w:ascii="Verdana" w:hAnsi="Verdana"/>
                <w:b/>
                <w:caps/>
                <w:sz w:val="18"/>
                <w:szCs w:val="18"/>
              </w:rPr>
            </w:pPr>
            <w:r w:rsidRPr="000C7CFA">
              <w:rPr>
                <w:rFonts w:ascii="Verdana" w:hAnsi="Verdana"/>
                <w:sz w:val="18"/>
                <w:szCs w:val="18"/>
                <w:lang w:val="en-GB"/>
              </w:rPr>
              <w:t>Syn- DP: 0.0005 (LoQ)</w:t>
            </w:r>
          </w:p>
        </w:tc>
        <w:tc>
          <w:tcPr>
            <w:tcW w:w="2672" w:type="dxa"/>
            <w:tcBorders>
              <w:top w:val="single" w:sz="4" w:space="0" w:color="auto"/>
              <w:left w:val="single" w:sz="4" w:space="0" w:color="auto"/>
              <w:bottom w:val="single" w:sz="4" w:space="0" w:color="auto"/>
              <w:right w:val="single" w:sz="4" w:space="0" w:color="auto"/>
            </w:tcBorders>
          </w:tcPr>
          <w:p w14:paraId="0FB8C370"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Dechlorane Plus was found in all eggs (n = 33). </w:t>
            </w:r>
          </w:p>
          <w:p w14:paraId="3E2E6718" w14:textId="77777777" w:rsidR="00C16F04" w:rsidRPr="000C7CFA" w:rsidRDefault="00C16F04" w:rsidP="00704CE9">
            <w:pPr>
              <w:pStyle w:val="Tabletext"/>
              <w:spacing w:before="0" w:after="0"/>
              <w:rPr>
                <w:rFonts w:ascii="Verdana" w:hAnsi="Verdana"/>
                <w:sz w:val="18"/>
                <w:szCs w:val="18"/>
                <w:lang w:val="en-GB"/>
              </w:rPr>
            </w:pPr>
          </w:p>
          <w:p w14:paraId="1535E188" w14:textId="77777777" w:rsidR="00C16F04" w:rsidRPr="000C7CFA" w:rsidRDefault="00C16F04" w:rsidP="00704CE9">
            <w:pPr>
              <w:pStyle w:val="Tabletext"/>
              <w:spacing w:before="0" w:after="0"/>
              <w:rPr>
                <w:rFonts w:ascii="Verdana" w:hAnsi="Verdana"/>
                <w:i/>
                <w:sz w:val="18"/>
                <w:szCs w:val="18"/>
                <w:lang w:val="en-GB"/>
              </w:rPr>
            </w:pPr>
            <w:r w:rsidRPr="000C7CFA">
              <w:rPr>
                <w:rFonts w:ascii="Verdana" w:hAnsi="Verdana"/>
                <w:i/>
                <w:sz w:val="18"/>
                <w:szCs w:val="18"/>
                <w:lang w:val="en-GB"/>
              </w:rPr>
              <w:t>Urban colony</w:t>
            </w:r>
          </w:p>
          <w:p w14:paraId="4F19E1C4"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Total isomers: average 0.44 (range: 0.06–1.40) µg/kg ww</w:t>
            </w:r>
          </w:p>
          <w:p w14:paraId="2EF7015C" w14:textId="77777777" w:rsidR="00C16F04" w:rsidRPr="000C7CFA" w:rsidRDefault="00C16F04" w:rsidP="00704CE9">
            <w:pPr>
              <w:pStyle w:val="Tabletext"/>
              <w:spacing w:before="0" w:after="0"/>
              <w:rPr>
                <w:rFonts w:ascii="Verdana" w:hAnsi="Verdana"/>
                <w:sz w:val="18"/>
                <w:szCs w:val="18"/>
                <w:lang w:val="en-GB"/>
              </w:rPr>
            </w:pPr>
          </w:p>
          <w:p w14:paraId="54FBE224"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Anti- isomer: average 0.27 (range: &lt;LoQ–1.0) µg/kg ww</w:t>
            </w:r>
          </w:p>
          <w:p w14:paraId="5E1F5000" w14:textId="77777777" w:rsidR="00C16F04" w:rsidRPr="000C7CFA" w:rsidRDefault="00C16F04" w:rsidP="00704CE9">
            <w:pPr>
              <w:pStyle w:val="Tabletext"/>
              <w:spacing w:before="0" w:after="0"/>
              <w:rPr>
                <w:rFonts w:ascii="Verdana" w:hAnsi="Verdana"/>
                <w:sz w:val="18"/>
                <w:szCs w:val="18"/>
                <w:lang w:val="en-GB"/>
              </w:rPr>
            </w:pPr>
          </w:p>
          <w:p w14:paraId="724CF06E"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Syn- isomer: average  0.134 (range: &lt;LoQ–0.38) µg/kg ww</w:t>
            </w:r>
          </w:p>
          <w:p w14:paraId="0CB0A366" w14:textId="77777777" w:rsidR="00C16F04" w:rsidRPr="000C7CFA" w:rsidRDefault="00C16F04" w:rsidP="00704CE9">
            <w:pPr>
              <w:pStyle w:val="Tabletext"/>
              <w:spacing w:before="0" w:after="0"/>
              <w:rPr>
                <w:rFonts w:ascii="Verdana" w:hAnsi="Verdana"/>
                <w:sz w:val="18"/>
                <w:szCs w:val="18"/>
                <w:lang w:val="en-GB"/>
              </w:rPr>
            </w:pPr>
          </w:p>
          <w:p w14:paraId="6F794835" w14:textId="77777777" w:rsidR="00C16F04" w:rsidRPr="000C7CFA" w:rsidRDefault="00C16F04" w:rsidP="00704CE9">
            <w:pPr>
              <w:pStyle w:val="Tabletext"/>
              <w:spacing w:before="0" w:after="0"/>
              <w:rPr>
                <w:rFonts w:ascii="Verdana" w:hAnsi="Verdana"/>
                <w:i/>
                <w:sz w:val="18"/>
                <w:szCs w:val="18"/>
                <w:lang w:val="en-GB"/>
              </w:rPr>
            </w:pPr>
            <w:r w:rsidRPr="000C7CFA">
              <w:rPr>
                <w:rFonts w:ascii="Verdana" w:hAnsi="Verdana"/>
                <w:i/>
                <w:sz w:val="18"/>
                <w:szCs w:val="18"/>
                <w:lang w:val="en-GB"/>
              </w:rPr>
              <w:t>Rural colony</w:t>
            </w:r>
          </w:p>
          <w:p w14:paraId="1AD41663"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Total isomers: average 0.10 (range: 0.002–0.47) </w:t>
            </w:r>
            <w:r w:rsidRPr="000C7CFA">
              <w:rPr>
                <w:rFonts w:ascii="Verdana" w:hAnsi="Verdana"/>
                <w:color w:val="000000"/>
                <w:sz w:val="18"/>
                <w:szCs w:val="18"/>
                <w:lang w:val="en-GB"/>
              </w:rPr>
              <w:t xml:space="preserve">µg/kg </w:t>
            </w:r>
            <w:r w:rsidRPr="000C7CFA">
              <w:rPr>
                <w:rFonts w:ascii="Verdana" w:hAnsi="Verdana"/>
                <w:sz w:val="18"/>
                <w:szCs w:val="18"/>
                <w:lang w:val="en-GB"/>
              </w:rPr>
              <w:t>ww</w:t>
            </w:r>
          </w:p>
          <w:p w14:paraId="556B94A1" w14:textId="77777777" w:rsidR="00C16F04" w:rsidRPr="000C7CFA" w:rsidRDefault="00C16F04" w:rsidP="00704CE9">
            <w:pPr>
              <w:pStyle w:val="Tabletext"/>
              <w:spacing w:before="0" w:after="0"/>
              <w:rPr>
                <w:rFonts w:ascii="Verdana" w:hAnsi="Verdana"/>
                <w:sz w:val="18"/>
                <w:szCs w:val="18"/>
                <w:lang w:val="en-GB"/>
              </w:rPr>
            </w:pPr>
          </w:p>
          <w:p w14:paraId="1B31B4F7"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Anti- isomer: average 0.07 (range: 0.0006–0.34) </w:t>
            </w:r>
            <w:r w:rsidRPr="000C7CFA">
              <w:rPr>
                <w:rFonts w:ascii="Verdana" w:hAnsi="Verdana"/>
                <w:color w:val="000000"/>
                <w:sz w:val="18"/>
                <w:szCs w:val="18"/>
                <w:lang w:val="en-GB"/>
              </w:rPr>
              <w:t xml:space="preserve">µg/kg </w:t>
            </w:r>
            <w:r w:rsidRPr="000C7CFA">
              <w:rPr>
                <w:rFonts w:ascii="Verdana" w:hAnsi="Verdana"/>
                <w:sz w:val="18"/>
                <w:szCs w:val="18"/>
                <w:lang w:val="en-GB"/>
              </w:rPr>
              <w:t>ww</w:t>
            </w:r>
          </w:p>
          <w:p w14:paraId="5CF81E5A" w14:textId="77777777" w:rsidR="00C16F04" w:rsidRPr="000C7CFA" w:rsidRDefault="00C16F04" w:rsidP="00704CE9">
            <w:pPr>
              <w:pStyle w:val="Tabletext"/>
              <w:spacing w:before="0" w:after="0"/>
              <w:rPr>
                <w:rFonts w:ascii="Verdana" w:hAnsi="Verdana"/>
                <w:sz w:val="18"/>
                <w:szCs w:val="18"/>
                <w:lang w:val="en-GB"/>
              </w:rPr>
            </w:pPr>
          </w:p>
          <w:p w14:paraId="35B14C7F"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Syn- isomer: average 0.05  (range: 0.002–0.14) </w:t>
            </w:r>
            <w:r w:rsidRPr="000C7CFA">
              <w:rPr>
                <w:rFonts w:ascii="Verdana" w:hAnsi="Verdana"/>
                <w:color w:val="000000"/>
                <w:sz w:val="18"/>
                <w:szCs w:val="18"/>
                <w:lang w:val="en-GB"/>
              </w:rPr>
              <w:t xml:space="preserve">µg/kg </w:t>
            </w:r>
            <w:r w:rsidRPr="000C7CFA">
              <w:rPr>
                <w:rFonts w:ascii="Verdana" w:hAnsi="Verdana"/>
                <w:sz w:val="18"/>
                <w:szCs w:val="18"/>
                <w:lang w:val="en-GB"/>
              </w:rPr>
              <w:t>ww</w:t>
            </w:r>
          </w:p>
        </w:tc>
        <w:tc>
          <w:tcPr>
            <w:tcW w:w="2532" w:type="dxa"/>
            <w:tcBorders>
              <w:top w:val="single" w:sz="4" w:space="0" w:color="auto"/>
              <w:left w:val="single" w:sz="4" w:space="0" w:color="auto"/>
              <w:bottom w:val="single" w:sz="4" w:space="0" w:color="auto"/>
              <w:right w:val="single" w:sz="4" w:space="0" w:color="auto"/>
            </w:tcBorders>
          </w:tcPr>
          <w:p w14:paraId="6DD069E4"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Analysed by GC-MS.  Measured levels in procedural blanks were subtracted from the corresponding batch of samples associated with each blank. Care was taken to minimize exposure to UV light. </w:t>
            </w:r>
          </w:p>
          <w:p w14:paraId="6F7B5426" w14:textId="77777777" w:rsidR="00C16F04" w:rsidRPr="000C7CFA" w:rsidRDefault="00C16F04" w:rsidP="00704CE9">
            <w:pPr>
              <w:pStyle w:val="Tabletext"/>
              <w:spacing w:before="0" w:after="0"/>
              <w:rPr>
                <w:rFonts w:ascii="Verdana" w:hAnsi="Verdana"/>
                <w:sz w:val="18"/>
                <w:szCs w:val="18"/>
                <w:lang w:val="en-GB"/>
              </w:rPr>
            </w:pPr>
          </w:p>
          <w:p w14:paraId="69582D9D" w14:textId="5D3177ED"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Mean lipid content: 7.18 ±0.7</w:t>
            </w:r>
            <w:r w:rsidR="00AF7606" w:rsidRPr="000C7CFA">
              <w:rPr>
                <w:rFonts w:ascii="Verdana" w:hAnsi="Verdana"/>
                <w:sz w:val="18"/>
                <w:szCs w:val="18"/>
                <w:lang w:val="en-GB"/>
              </w:rPr>
              <w:t>3 %</w:t>
            </w:r>
            <w:r w:rsidRPr="000C7CFA">
              <w:rPr>
                <w:rFonts w:ascii="Verdana" w:hAnsi="Verdana"/>
                <w:sz w:val="18"/>
                <w:szCs w:val="18"/>
                <w:lang w:val="en-GB"/>
              </w:rPr>
              <w:t xml:space="preserve"> (Madrid) and 7.32±0.9</w:t>
            </w:r>
            <w:r w:rsidR="00AF7606" w:rsidRPr="000C7CFA">
              <w:rPr>
                <w:rFonts w:ascii="Verdana" w:hAnsi="Verdana"/>
                <w:sz w:val="18"/>
                <w:szCs w:val="18"/>
                <w:lang w:val="en-GB"/>
              </w:rPr>
              <w:t>6 %</w:t>
            </w:r>
            <w:r w:rsidRPr="000C7CFA">
              <w:rPr>
                <w:rFonts w:ascii="Verdana" w:hAnsi="Verdana"/>
                <w:sz w:val="18"/>
                <w:szCs w:val="18"/>
                <w:lang w:val="en-GB"/>
              </w:rPr>
              <w:t xml:space="preserve"> (Doñana).</w:t>
            </w:r>
          </w:p>
          <w:p w14:paraId="76DACAF4" w14:textId="77777777" w:rsidR="00C16F04" w:rsidRPr="000C7CFA" w:rsidRDefault="00C16F04" w:rsidP="00704CE9">
            <w:pPr>
              <w:pStyle w:val="Tabletext"/>
              <w:spacing w:before="0" w:after="0"/>
              <w:rPr>
                <w:rFonts w:ascii="Verdana" w:hAnsi="Verdana"/>
                <w:sz w:val="18"/>
                <w:szCs w:val="18"/>
                <w:lang w:val="en-GB"/>
              </w:rPr>
            </w:pPr>
          </w:p>
          <w:p w14:paraId="42A8FA90"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A possible transformation product (anti-[DP-1Cl]) was found in about 10% of the samples from each colony. 1</w:t>
            </w:r>
            <w:proofErr w:type="gramStart"/>
            <w:r w:rsidRPr="000C7CFA">
              <w:rPr>
                <w:rFonts w:ascii="Verdana" w:hAnsi="Verdana"/>
                <w:sz w:val="18"/>
                <w:szCs w:val="18"/>
                <w:lang w:val="en-GB"/>
              </w:rPr>
              <w:t>,5</w:t>
            </w:r>
            <w:proofErr w:type="gramEnd"/>
            <w:r w:rsidRPr="000C7CFA">
              <w:rPr>
                <w:rFonts w:ascii="Verdana" w:hAnsi="Verdana"/>
                <w:sz w:val="18"/>
                <w:szCs w:val="18"/>
                <w:lang w:val="en-GB"/>
              </w:rPr>
              <w:t>-DPMA and anti-[DP-2Cl] were not detected above their LoQs in any sample (LoQ not provided).</w:t>
            </w:r>
          </w:p>
        </w:tc>
        <w:tc>
          <w:tcPr>
            <w:tcW w:w="1374" w:type="dxa"/>
            <w:tcBorders>
              <w:top w:val="single" w:sz="4" w:space="0" w:color="auto"/>
              <w:left w:val="single" w:sz="4" w:space="0" w:color="auto"/>
              <w:bottom w:val="single" w:sz="4" w:space="0" w:color="auto"/>
            </w:tcBorders>
          </w:tcPr>
          <w:p w14:paraId="67A12CF8" w14:textId="0A4E6B8F"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Muñoz-Arnanz </w:t>
            </w:r>
            <w:r w:rsidRPr="000C7CFA">
              <w:rPr>
                <w:rFonts w:ascii="Verdana" w:hAnsi="Verdana"/>
                <w:i/>
                <w:sz w:val="18"/>
                <w:szCs w:val="18"/>
                <w:lang w:val="en-GB"/>
              </w:rPr>
              <w:t>et al</w:t>
            </w:r>
            <w:r w:rsidRPr="000C7CFA">
              <w:rPr>
                <w:rFonts w:ascii="Verdana" w:hAnsi="Verdana"/>
                <w:sz w:val="18"/>
                <w:szCs w:val="18"/>
                <w:lang w:val="en-GB"/>
              </w:rPr>
              <w:t>. (2010)</w:t>
            </w:r>
          </w:p>
        </w:tc>
      </w:tr>
      <w:tr w:rsidR="00C16F04" w:rsidRPr="000C7CFA" w14:paraId="61260F88" w14:textId="77777777" w:rsidTr="000A1A05">
        <w:trPr>
          <w:trHeight w:val="815"/>
        </w:trPr>
        <w:tc>
          <w:tcPr>
            <w:tcW w:w="1913" w:type="dxa"/>
            <w:tcBorders>
              <w:top w:val="single" w:sz="4" w:space="0" w:color="auto"/>
              <w:bottom w:val="single" w:sz="4" w:space="0" w:color="auto"/>
              <w:right w:val="single" w:sz="4" w:space="0" w:color="auto"/>
            </w:tcBorders>
          </w:tcPr>
          <w:p w14:paraId="197BD27D"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White Stork </w:t>
            </w:r>
          </w:p>
          <w:p w14:paraId="3E46C074"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w:t>
            </w:r>
            <w:r w:rsidRPr="000C7CFA">
              <w:rPr>
                <w:rFonts w:ascii="Verdana" w:hAnsi="Verdana"/>
                <w:i/>
                <w:sz w:val="18"/>
                <w:szCs w:val="18"/>
                <w:lang w:val="en-GB"/>
              </w:rPr>
              <w:t>Ciconia ciconia</w:t>
            </w:r>
            <w:r w:rsidRPr="000C7CFA">
              <w:rPr>
                <w:rFonts w:ascii="Verdana" w:hAnsi="Verdana"/>
                <w:sz w:val="18"/>
                <w:szCs w:val="18"/>
                <w:lang w:val="en-GB"/>
              </w:rPr>
              <w:t>)</w:t>
            </w:r>
          </w:p>
        </w:tc>
        <w:tc>
          <w:tcPr>
            <w:tcW w:w="1083" w:type="dxa"/>
            <w:tcBorders>
              <w:top w:val="single" w:sz="4" w:space="0" w:color="auto"/>
              <w:left w:val="single" w:sz="4" w:space="0" w:color="auto"/>
              <w:bottom w:val="single" w:sz="4" w:space="0" w:color="auto"/>
              <w:right w:val="single" w:sz="4" w:space="0" w:color="auto"/>
            </w:tcBorders>
          </w:tcPr>
          <w:p w14:paraId="3B520113"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Eggs</w:t>
            </w:r>
          </w:p>
        </w:tc>
        <w:tc>
          <w:tcPr>
            <w:tcW w:w="2350" w:type="dxa"/>
            <w:tcBorders>
              <w:top w:val="single" w:sz="4" w:space="0" w:color="auto"/>
              <w:left w:val="single" w:sz="4" w:space="0" w:color="auto"/>
              <w:bottom w:val="single" w:sz="4" w:space="0" w:color="auto"/>
              <w:right w:val="single" w:sz="4" w:space="0" w:color="auto"/>
            </w:tcBorders>
          </w:tcPr>
          <w:p w14:paraId="5400150F"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Spain</w:t>
            </w:r>
          </w:p>
        </w:tc>
        <w:tc>
          <w:tcPr>
            <w:tcW w:w="2110" w:type="dxa"/>
            <w:tcBorders>
              <w:top w:val="single" w:sz="4" w:space="0" w:color="auto"/>
              <w:left w:val="single" w:sz="4" w:space="0" w:color="auto"/>
              <w:bottom w:val="single" w:sz="4" w:space="0" w:color="auto"/>
              <w:right w:val="single" w:sz="4" w:space="0" w:color="auto"/>
            </w:tcBorders>
          </w:tcPr>
          <w:p w14:paraId="2234D484" w14:textId="77777777" w:rsidR="00C16F04" w:rsidRPr="000C7CFA" w:rsidRDefault="00C16F04"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w:t>
            </w:r>
          </w:p>
        </w:tc>
        <w:tc>
          <w:tcPr>
            <w:tcW w:w="2672" w:type="dxa"/>
            <w:tcBorders>
              <w:top w:val="single" w:sz="4" w:space="0" w:color="auto"/>
              <w:left w:val="single" w:sz="4" w:space="0" w:color="auto"/>
              <w:bottom w:val="single" w:sz="4" w:space="0" w:color="auto"/>
              <w:right w:val="single" w:sz="4" w:space="0" w:color="auto"/>
            </w:tcBorders>
          </w:tcPr>
          <w:p w14:paraId="5FC98D4A"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0.31 µg/kg ww in Madrid</w:t>
            </w:r>
          </w:p>
          <w:p w14:paraId="523E38B5" w14:textId="77777777" w:rsidR="00C16F04" w:rsidRPr="000C7CFA" w:rsidRDefault="00C16F04" w:rsidP="00704CE9">
            <w:pPr>
              <w:pStyle w:val="Tabletext"/>
              <w:spacing w:before="0" w:after="0"/>
              <w:rPr>
                <w:rFonts w:ascii="Verdana" w:hAnsi="Verdana"/>
                <w:sz w:val="18"/>
                <w:szCs w:val="18"/>
                <w:lang w:val="en-GB"/>
              </w:rPr>
            </w:pPr>
          </w:p>
          <w:p w14:paraId="38125604"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0.08 µg/kg ww in a national park</w:t>
            </w:r>
          </w:p>
        </w:tc>
        <w:tc>
          <w:tcPr>
            <w:tcW w:w="2532" w:type="dxa"/>
            <w:tcBorders>
              <w:top w:val="single" w:sz="4" w:space="0" w:color="auto"/>
              <w:left w:val="single" w:sz="4" w:space="0" w:color="auto"/>
              <w:bottom w:val="single" w:sz="4" w:space="0" w:color="auto"/>
              <w:right w:val="single" w:sz="4" w:space="0" w:color="auto"/>
            </w:tcBorders>
          </w:tcPr>
          <w:p w14:paraId="327A9E43"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This is presumably an early report of the study mentioned above.</w:t>
            </w:r>
          </w:p>
        </w:tc>
        <w:tc>
          <w:tcPr>
            <w:tcW w:w="1374" w:type="dxa"/>
            <w:tcBorders>
              <w:top w:val="single" w:sz="4" w:space="0" w:color="auto"/>
              <w:left w:val="single" w:sz="4" w:space="0" w:color="auto"/>
              <w:bottom w:val="single" w:sz="4" w:space="0" w:color="auto"/>
            </w:tcBorders>
          </w:tcPr>
          <w:p w14:paraId="25163CC5" w14:textId="7D8101D8" w:rsidR="00C16F04" w:rsidRPr="000C7CFA" w:rsidRDefault="00C16F04" w:rsidP="00704CE9">
            <w:pPr>
              <w:pStyle w:val="Tabletext"/>
              <w:spacing w:before="0" w:after="0"/>
              <w:rPr>
                <w:rFonts w:ascii="Verdana" w:eastAsia="Calibri" w:hAnsi="Verdana"/>
                <w:sz w:val="18"/>
                <w:szCs w:val="18"/>
                <w:lang w:val="fr-FR"/>
              </w:rPr>
            </w:pPr>
            <w:r w:rsidRPr="000C7CFA">
              <w:rPr>
                <w:rFonts w:ascii="Verdana" w:hAnsi="Verdana"/>
                <w:sz w:val="18"/>
                <w:szCs w:val="18"/>
                <w:lang w:val="fr-FR"/>
              </w:rPr>
              <w:t>Muñoz-Arnanz</w:t>
            </w:r>
            <w:r w:rsidRPr="000C7CFA">
              <w:rPr>
                <w:rFonts w:ascii="Verdana" w:eastAsia="Calibri" w:hAnsi="Verdana"/>
                <w:sz w:val="18"/>
                <w:szCs w:val="18"/>
                <w:lang w:val="fr-FR"/>
              </w:rPr>
              <w:t xml:space="preserve"> </w:t>
            </w:r>
            <w:r w:rsidRPr="000C7CFA">
              <w:rPr>
                <w:rFonts w:ascii="Verdana" w:eastAsia="Calibri" w:hAnsi="Verdana"/>
                <w:i/>
                <w:sz w:val="18"/>
                <w:szCs w:val="18"/>
                <w:lang w:val="fr-FR"/>
              </w:rPr>
              <w:t>et al.</w:t>
            </w:r>
            <w:r w:rsidRPr="000C7CFA">
              <w:rPr>
                <w:rFonts w:ascii="Verdana" w:eastAsia="Calibri" w:hAnsi="Verdana"/>
                <w:sz w:val="18"/>
                <w:szCs w:val="18"/>
                <w:lang w:val="fr-FR"/>
              </w:rPr>
              <w:t xml:space="preserve"> (2010) [ABST]</w:t>
            </w:r>
          </w:p>
        </w:tc>
      </w:tr>
      <w:tr w:rsidR="00C16F04" w:rsidRPr="000C7CFA" w14:paraId="1479B1ED" w14:textId="77777777" w:rsidTr="000A1A05">
        <w:trPr>
          <w:trHeight w:val="2114"/>
        </w:trPr>
        <w:tc>
          <w:tcPr>
            <w:tcW w:w="1913" w:type="dxa"/>
            <w:tcBorders>
              <w:bottom w:val="single" w:sz="4" w:space="0" w:color="auto"/>
              <w:right w:val="single" w:sz="4" w:space="0" w:color="auto"/>
            </w:tcBorders>
          </w:tcPr>
          <w:p w14:paraId="0C2EB691"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lastRenderedPageBreak/>
              <w:t>Peregrine Falcon</w:t>
            </w:r>
          </w:p>
          <w:p w14:paraId="771E8A33"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w:t>
            </w:r>
            <w:r w:rsidRPr="000C7CFA">
              <w:rPr>
                <w:rFonts w:ascii="Verdana" w:hAnsi="Verdana"/>
                <w:i/>
                <w:sz w:val="18"/>
                <w:szCs w:val="18"/>
                <w:lang w:val="en-GB"/>
              </w:rPr>
              <w:t>Falco peregrinus</w:t>
            </w:r>
            <w:r w:rsidRPr="000C7CFA">
              <w:rPr>
                <w:rFonts w:ascii="Verdana" w:hAnsi="Verdana"/>
                <w:sz w:val="18"/>
                <w:szCs w:val="18"/>
                <w:lang w:val="en-GB"/>
              </w:rPr>
              <w:t>)</w:t>
            </w:r>
          </w:p>
        </w:tc>
        <w:tc>
          <w:tcPr>
            <w:tcW w:w="1083" w:type="dxa"/>
            <w:tcBorders>
              <w:left w:val="single" w:sz="4" w:space="0" w:color="auto"/>
              <w:bottom w:val="single" w:sz="4" w:space="0" w:color="auto"/>
              <w:right w:val="single" w:sz="4" w:space="0" w:color="auto"/>
            </w:tcBorders>
          </w:tcPr>
          <w:p w14:paraId="69A8C933"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Eggs</w:t>
            </w:r>
          </w:p>
        </w:tc>
        <w:tc>
          <w:tcPr>
            <w:tcW w:w="2350" w:type="dxa"/>
            <w:tcBorders>
              <w:left w:val="single" w:sz="4" w:space="0" w:color="auto"/>
              <w:bottom w:val="single" w:sz="4" w:space="0" w:color="auto"/>
              <w:right w:val="single" w:sz="4" w:space="0" w:color="auto"/>
            </w:tcBorders>
          </w:tcPr>
          <w:p w14:paraId="0B3BA157"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Great Lakes Basin, Canada (Lake Superior, Lake Ontario and the St. Lawrence River); between 2007 and 2009 (n=10)</w:t>
            </w:r>
          </w:p>
          <w:p w14:paraId="09A94B18" w14:textId="77777777" w:rsidR="00C16F04" w:rsidRPr="000C7CFA" w:rsidRDefault="00C16F04" w:rsidP="00704CE9">
            <w:pPr>
              <w:pStyle w:val="Tabletext"/>
              <w:spacing w:before="0" w:after="0"/>
              <w:rPr>
                <w:rFonts w:ascii="Verdana" w:hAnsi="Verdana"/>
                <w:sz w:val="18"/>
                <w:szCs w:val="18"/>
                <w:lang w:val="en-GB"/>
              </w:rPr>
            </w:pPr>
          </w:p>
          <w:p w14:paraId="3EB28BF2"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Guadalajara, Spain; from 2003 to 2006 (n=5)</w:t>
            </w:r>
          </w:p>
          <w:p w14:paraId="62AF8D8A" w14:textId="77777777" w:rsidR="00C16F04" w:rsidRPr="000C7CFA" w:rsidRDefault="00C16F04" w:rsidP="00704CE9">
            <w:pPr>
              <w:pStyle w:val="Tabletext"/>
              <w:spacing w:before="0" w:after="0"/>
              <w:rPr>
                <w:rFonts w:ascii="Verdana" w:hAnsi="Verdana"/>
                <w:sz w:val="18"/>
                <w:szCs w:val="18"/>
                <w:lang w:val="en-GB"/>
              </w:rPr>
            </w:pPr>
          </w:p>
        </w:tc>
        <w:tc>
          <w:tcPr>
            <w:tcW w:w="2110" w:type="dxa"/>
            <w:tcBorders>
              <w:top w:val="single" w:sz="4" w:space="0" w:color="auto"/>
              <w:left w:val="single" w:sz="4" w:space="0" w:color="auto"/>
              <w:bottom w:val="single" w:sz="4" w:space="0" w:color="auto"/>
              <w:right w:val="single" w:sz="4" w:space="0" w:color="auto"/>
            </w:tcBorders>
          </w:tcPr>
          <w:p w14:paraId="03D5E40B"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eastAsia="Calibri" w:hAnsi="Verdana"/>
                <w:sz w:val="18"/>
                <w:szCs w:val="18"/>
                <w:lang w:val="en-GB"/>
              </w:rPr>
              <w:t>0.</w:t>
            </w:r>
            <w:r w:rsidRPr="000C7CFA">
              <w:rPr>
                <w:rFonts w:ascii="Verdana" w:hAnsi="Verdana"/>
                <w:sz w:val="18"/>
                <w:szCs w:val="18"/>
                <w:lang w:val="en-GB"/>
              </w:rPr>
              <w:t>012</w:t>
            </w:r>
            <w:r w:rsidRPr="000C7CFA">
              <w:rPr>
                <w:rFonts w:ascii="Verdana" w:eastAsia="Calibri" w:hAnsi="Verdana"/>
                <w:sz w:val="18"/>
                <w:szCs w:val="18"/>
                <w:lang w:val="en-GB"/>
              </w:rPr>
              <w:t xml:space="preserve"> µg/kg lw</w:t>
            </w:r>
          </w:p>
          <w:p w14:paraId="3F9A259B" w14:textId="77777777" w:rsidR="00C16F04" w:rsidRPr="000C7CFA" w:rsidRDefault="00C16F04" w:rsidP="00704CE9">
            <w:pPr>
              <w:pStyle w:val="Tabletext"/>
              <w:spacing w:before="0" w:after="0"/>
              <w:jc w:val="center"/>
              <w:rPr>
                <w:rFonts w:ascii="Verdana" w:hAnsi="Verdana"/>
                <w:sz w:val="18"/>
                <w:szCs w:val="18"/>
                <w:lang w:val="en-GB"/>
              </w:rPr>
            </w:pPr>
          </w:p>
        </w:tc>
        <w:tc>
          <w:tcPr>
            <w:tcW w:w="2672" w:type="dxa"/>
            <w:tcBorders>
              <w:left w:val="single" w:sz="4" w:space="0" w:color="auto"/>
              <w:bottom w:val="single" w:sz="4" w:space="0" w:color="auto"/>
              <w:right w:val="single" w:sz="4" w:space="0" w:color="auto"/>
            </w:tcBorders>
          </w:tcPr>
          <w:p w14:paraId="17A17A36"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Dechlorane Plus was detected in all of the samples (n=15). </w:t>
            </w:r>
            <w:r w:rsidRPr="000C7CFA">
              <w:rPr>
                <w:rFonts w:ascii="Verdana" w:eastAsia="Calibri" w:hAnsi="Verdana"/>
                <w:sz w:val="18"/>
                <w:szCs w:val="18"/>
                <w:lang w:val="en-GB"/>
              </w:rPr>
              <w:t>Geometric means with ranges are:</w:t>
            </w:r>
          </w:p>
          <w:p w14:paraId="28DA275C" w14:textId="77777777" w:rsidR="00C16F04" w:rsidRPr="000C7CFA" w:rsidRDefault="00C16F04" w:rsidP="00704CE9">
            <w:pPr>
              <w:pStyle w:val="Tabletext"/>
              <w:spacing w:before="0" w:after="0"/>
              <w:rPr>
                <w:rFonts w:ascii="Verdana" w:eastAsia="Calibri" w:hAnsi="Verdana"/>
                <w:sz w:val="18"/>
                <w:szCs w:val="18"/>
                <w:lang w:val="en-GB"/>
              </w:rPr>
            </w:pPr>
          </w:p>
          <w:p w14:paraId="5424C1AC" w14:textId="77777777" w:rsidR="00C16F04" w:rsidRPr="000C7CFA" w:rsidRDefault="00C16F04" w:rsidP="00704CE9">
            <w:pPr>
              <w:pStyle w:val="Tabletext"/>
              <w:spacing w:before="0" w:after="0"/>
              <w:rPr>
                <w:rFonts w:ascii="Verdana" w:eastAsia="Calibri" w:hAnsi="Verdana"/>
                <w:sz w:val="18"/>
                <w:szCs w:val="18"/>
                <w:lang w:val="en-GB"/>
              </w:rPr>
            </w:pPr>
            <w:r w:rsidRPr="000C7CFA">
              <w:rPr>
                <w:rFonts w:ascii="Verdana" w:eastAsia="Calibri" w:hAnsi="Verdana"/>
                <w:sz w:val="18"/>
                <w:szCs w:val="18"/>
                <w:lang w:val="en-GB"/>
              </w:rPr>
              <w:t>Canada</w:t>
            </w:r>
          </w:p>
          <w:p w14:paraId="2126C7BE" w14:textId="77777777" w:rsidR="00C16F04" w:rsidRPr="000C7CFA" w:rsidRDefault="00C16F04" w:rsidP="00704CE9">
            <w:pPr>
              <w:pStyle w:val="Tabletext"/>
              <w:spacing w:before="0" w:after="0"/>
              <w:rPr>
                <w:rFonts w:ascii="Verdana" w:hAnsi="Verdana"/>
                <w:color w:val="000000"/>
                <w:sz w:val="18"/>
                <w:szCs w:val="18"/>
                <w:lang w:val="en-GB"/>
              </w:rPr>
            </w:pPr>
            <w:r w:rsidRPr="000C7CFA">
              <w:rPr>
                <w:rFonts w:ascii="Verdana" w:hAnsi="Verdana"/>
                <w:color w:val="000000"/>
                <w:sz w:val="18"/>
                <w:szCs w:val="18"/>
                <w:lang w:val="en-GB"/>
              </w:rPr>
              <w:t>38.4 (7.5 – 209) µg/kg lw</w:t>
            </w:r>
          </w:p>
          <w:p w14:paraId="67C978D9" w14:textId="77777777" w:rsidR="00C16F04" w:rsidRPr="000C7CFA" w:rsidRDefault="00C16F04" w:rsidP="00704CE9">
            <w:pPr>
              <w:pStyle w:val="Tabletext"/>
              <w:spacing w:before="0" w:after="0"/>
              <w:rPr>
                <w:rFonts w:ascii="Verdana" w:eastAsia="Calibri" w:hAnsi="Verdana"/>
                <w:sz w:val="18"/>
                <w:szCs w:val="18"/>
                <w:lang w:val="en-GB"/>
              </w:rPr>
            </w:pPr>
          </w:p>
          <w:p w14:paraId="372DF8D8" w14:textId="77777777" w:rsidR="00C16F04" w:rsidRPr="000C7CFA" w:rsidRDefault="00C16F04" w:rsidP="00704CE9">
            <w:pPr>
              <w:pStyle w:val="Tabletext"/>
              <w:spacing w:before="0" w:after="0"/>
              <w:rPr>
                <w:rFonts w:ascii="Verdana" w:eastAsia="Calibri" w:hAnsi="Verdana"/>
                <w:sz w:val="18"/>
                <w:szCs w:val="18"/>
                <w:lang w:val="en-GB"/>
              </w:rPr>
            </w:pPr>
            <w:r w:rsidRPr="000C7CFA">
              <w:rPr>
                <w:rFonts w:ascii="Verdana" w:eastAsia="Calibri" w:hAnsi="Verdana"/>
                <w:sz w:val="18"/>
                <w:szCs w:val="18"/>
                <w:lang w:val="en-GB"/>
              </w:rPr>
              <w:t>Spain</w:t>
            </w:r>
          </w:p>
          <w:p w14:paraId="79B05267" w14:textId="5930C4D0" w:rsidR="00C16F04" w:rsidRPr="000C7CFA" w:rsidRDefault="00C16F04" w:rsidP="00704CE9">
            <w:pPr>
              <w:pStyle w:val="Tabletext"/>
              <w:spacing w:before="0" w:after="0"/>
              <w:rPr>
                <w:rFonts w:ascii="Verdana" w:eastAsia="Calibri" w:hAnsi="Verdana"/>
                <w:sz w:val="18"/>
                <w:szCs w:val="18"/>
                <w:lang w:val="en-GB"/>
              </w:rPr>
            </w:pPr>
            <w:r w:rsidRPr="000C7CFA">
              <w:rPr>
                <w:rFonts w:ascii="Verdana" w:eastAsia="Calibri" w:hAnsi="Verdana"/>
                <w:sz w:val="18"/>
                <w:szCs w:val="18"/>
                <w:lang w:val="en-GB"/>
              </w:rPr>
              <w:t>0.</w:t>
            </w:r>
            <w:r w:rsidR="00FE22A6" w:rsidRPr="000C7CFA">
              <w:rPr>
                <w:rFonts w:ascii="Verdana" w:eastAsia="Calibri" w:hAnsi="Verdana"/>
                <w:sz w:val="18"/>
                <w:szCs w:val="18"/>
                <w:lang w:val="en-GB"/>
              </w:rPr>
              <w:t xml:space="preserve">5 </w:t>
            </w:r>
            <w:r w:rsidRPr="000C7CFA">
              <w:rPr>
                <w:rFonts w:ascii="Verdana" w:eastAsia="Calibri" w:hAnsi="Verdana"/>
                <w:sz w:val="18"/>
                <w:szCs w:val="18"/>
                <w:lang w:val="en-GB"/>
              </w:rPr>
              <w:t>(0.</w:t>
            </w:r>
            <w:r w:rsidR="00FE22A6" w:rsidRPr="000C7CFA">
              <w:rPr>
                <w:rFonts w:ascii="Verdana" w:eastAsia="Calibri" w:hAnsi="Verdana"/>
                <w:sz w:val="18"/>
                <w:szCs w:val="18"/>
                <w:lang w:val="en-GB"/>
              </w:rPr>
              <w:t>0</w:t>
            </w:r>
            <w:r w:rsidRPr="000C7CFA">
              <w:rPr>
                <w:rFonts w:ascii="Verdana" w:eastAsia="Calibri" w:hAnsi="Verdana"/>
                <w:sz w:val="18"/>
                <w:szCs w:val="18"/>
                <w:lang w:val="en-GB"/>
              </w:rPr>
              <w:t xml:space="preserve">3 – 3.6) </w:t>
            </w:r>
            <w:r w:rsidRPr="000C7CFA">
              <w:rPr>
                <w:rFonts w:ascii="Verdana" w:hAnsi="Verdana"/>
                <w:color w:val="000000"/>
                <w:sz w:val="18"/>
                <w:szCs w:val="18"/>
                <w:lang w:val="en-GB"/>
              </w:rPr>
              <w:t>µg/kg lw</w:t>
            </w:r>
          </w:p>
          <w:p w14:paraId="7C5634BF" w14:textId="77777777" w:rsidR="00C16F04" w:rsidRPr="000C7CFA" w:rsidRDefault="00C16F04" w:rsidP="00704CE9">
            <w:pPr>
              <w:pStyle w:val="Tabletext"/>
              <w:spacing w:before="0" w:after="0"/>
              <w:rPr>
                <w:rFonts w:ascii="Verdana" w:eastAsia="Calibri" w:hAnsi="Verdana"/>
                <w:sz w:val="18"/>
                <w:szCs w:val="18"/>
                <w:lang w:val="en-GB"/>
              </w:rPr>
            </w:pPr>
          </w:p>
          <w:p w14:paraId="123282FE" w14:textId="1DE1DE91" w:rsidR="00C16F04" w:rsidRPr="000C7CFA" w:rsidRDefault="00C16F04" w:rsidP="00944445">
            <w:pPr>
              <w:pStyle w:val="Tabletext"/>
              <w:spacing w:before="0" w:after="0"/>
              <w:rPr>
                <w:rFonts w:ascii="Verdana" w:hAnsi="Verdana"/>
                <w:sz w:val="18"/>
                <w:szCs w:val="18"/>
                <w:lang w:val="en-GB"/>
              </w:rPr>
            </w:pPr>
            <w:r w:rsidRPr="000C7CFA">
              <w:rPr>
                <w:rFonts w:ascii="Verdana" w:hAnsi="Verdana"/>
                <w:sz w:val="18"/>
                <w:szCs w:val="18"/>
                <w:lang w:val="en-GB"/>
              </w:rPr>
              <w:t xml:space="preserve">Anti-DP-1Cl and anti-DP-2Cl </w:t>
            </w:r>
            <w:r w:rsidR="00FE22A6" w:rsidRPr="000C7CFA">
              <w:rPr>
                <w:rFonts w:ascii="Verdana" w:hAnsi="Verdana"/>
                <w:sz w:val="18"/>
                <w:szCs w:val="18"/>
                <w:lang w:val="en-GB"/>
              </w:rPr>
              <w:t xml:space="preserve">were detected in almost all of the eggs from Canada (n=10 and 9, respectively), with </w:t>
            </w:r>
            <w:r w:rsidRPr="000C7CFA">
              <w:rPr>
                <w:rFonts w:ascii="Verdana" w:hAnsi="Verdana"/>
                <w:sz w:val="18"/>
                <w:szCs w:val="18"/>
                <w:lang w:val="en-GB"/>
              </w:rPr>
              <w:t>concentrations in the range 1.1 to 2.</w:t>
            </w:r>
            <w:r w:rsidR="00FE22A6" w:rsidRPr="000C7CFA">
              <w:rPr>
                <w:rFonts w:ascii="Verdana" w:hAnsi="Verdana"/>
                <w:sz w:val="18"/>
                <w:szCs w:val="18"/>
                <w:lang w:val="en-GB"/>
              </w:rPr>
              <w:t xml:space="preserve">3 </w:t>
            </w:r>
            <w:r w:rsidRPr="000C7CFA">
              <w:rPr>
                <w:rFonts w:ascii="Verdana" w:hAnsi="Verdana"/>
                <w:color w:val="000000"/>
                <w:sz w:val="18"/>
                <w:szCs w:val="18"/>
                <w:lang w:val="en-GB"/>
              </w:rPr>
              <w:t>µg/kg</w:t>
            </w:r>
            <w:r w:rsidR="00FE22A6" w:rsidRPr="000C7CFA">
              <w:rPr>
                <w:rFonts w:ascii="Verdana" w:hAnsi="Verdana"/>
                <w:color w:val="000000"/>
                <w:sz w:val="18"/>
                <w:szCs w:val="18"/>
                <w:lang w:val="en-GB"/>
              </w:rPr>
              <w:t xml:space="preserve"> lw</w:t>
            </w:r>
            <w:r w:rsidRPr="000C7CFA">
              <w:rPr>
                <w:rFonts w:ascii="Verdana" w:hAnsi="Verdana"/>
                <w:sz w:val="18"/>
                <w:szCs w:val="18"/>
                <w:lang w:val="en-GB"/>
              </w:rPr>
              <w:t xml:space="preserve">. However, in the Spanish samples, anti-DP-1Cl was </w:t>
            </w:r>
            <w:r w:rsidR="00FE22A6" w:rsidRPr="000C7CFA">
              <w:rPr>
                <w:rFonts w:ascii="Verdana" w:hAnsi="Verdana"/>
                <w:sz w:val="18"/>
                <w:szCs w:val="18"/>
                <w:lang w:val="en-GB"/>
              </w:rPr>
              <w:t>below the limit of quantification in all five eggs</w:t>
            </w:r>
            <w:r w:rsidRPr="000C7CFA">
              <w:rPr>
                <w:rFonts w:ascii="Verdana" w:hAnsi="Verdana"/>
                <w:sz w:val="18"/>
                <w:szCs w:val="18"/>
                <w:lang w:val="en-GB"/>
              </w:rPr>
              <w:t>, and anti-DP-2Cl was not detected. 1</w:t>
            </w:r>
            <w:proofErr w:type="gramStart"/>
            <w:r w:rsidRPr="000C7CFA">
              <w:rPr>
                <w:rFonts w:ascii="Verdana" w:hAnsi="Verdana"/>
                <w:sz w:val="18"/>
                <w:szCs w:val="18"/>
                <w:lang w:val="en-GB"/>
              </w:rPr>
              <w:t>,5</w:t>
            </w:r>
            <w:proofErr w:type="gramEnd"/>
            <w:r w:rsidRPr="000C7CFA">
              <w:rPr>
                <w:rFonts w:ascii="Verdana" w:hAnsi="Verdana"/>
                <w:sz w:val="18"/>
                <w:szCs w:val="18"/>
                <w:lang w:val="en-GB"/>
              </w:rPr>
              <w:t xml:space="preserve">-DPMA was detected in </w:t>
            </w:r>
            <w:r w:rsidR="00FE22A6" w:rsidRPr="000C7CFA">
              <w:rPr>
                <w:rFonts w:ascii="Verdana" w:hAnsi="Verdana"/>
                <w:sz w:val="18"/>
                <w:szCs w:val="18"/>
                <w:lang w:val="en-GB"/>
              </w:rPr>
              <w:t xml:space="preserve">all </w:t>
            </w:r>
            <w:r w:rsidRPr="000C7CFA">
              <w:rPr>
                <w:rFonts w:ascii="Verdana" w:hAnsi="Verdana"/>
                <w:sz w:val="18"/>
                <w:szCs w:val="18"/>
                <w:lang w:val="en-GB"/>
              </w:rPr>
              <w:t>eggs with conc</w:t>
            </w:r>
            <w:r w:rsidR="008610EB" w:rsidRPr="000C7CFA">
              <w:rPr>
                <w:rFonts w:ascii="Verdana" w:hAnsi="Verdana"/>
                <w:sz w:val="18"/>
                <w:szCs w:val="18"/>
                <w:lang w:val="en-GB"/>
              </w:rPr>
              <w:t>entrations in the range 1.2 – 1 </w:t>
            </w:r>
            <w:r w:rsidRPr="000C7CFA">
              <w:rPr>
                <w:rFonts w:ascii="Verdana" w:hAnsi="Verdana"/>
                <w:sz w:val="18"/>
                <w:szCs w:val="18"/>
                <w:lang w:val="en-GB"/>
              </w:rPr>
              <w:t xml:space="preserve">660 </w:t>
            </w:r>
            <w:r w:rsidRPr="000C7CFA">
              <w:rPr>
                <w:rFonts w:ascii="Verdana" w:hAnsi="Verdana"/>
                <w:color w:val="000000"/>
                <w:sz w:val="18"/>
                <w:szCs w:val="18"/>
                <w:lang w:val="en-GB"/>
              </w:rPr>
              <w:t xml:space="preserve">µg/kg </w:t>
            </w:r>
            <w:r w:rsidRPr="000C7CFA">
              <w:rPr>
                <w:rFonts w:ascii="Verdana" w:hAnsi="Verdana"/>
                <w:sz w:val="18"/>
                <w:szCs w:val="18"/>
                <w:lang w:val="en-GB"/>
              </w:rPr>
              <w:t xml:space="preserve">lw (Canada) and 1.7 – </w:t>
            </w:r>
            <w:r w:rsidR="00FE22A6" w:rsidRPr="000C7CFA">
              <w:rPr>
                <w:rFonts w:ascii="Verdana" w:hAnsi="Verdana"/>
                <w:sz w:val="18"/>
                <w:szCs w:val="18"/>
                <w:lang w:val="en-GB"/>
              </w:rPr>
              <w:t xml:space="preserve">37 </w:t>
            </w:r>
            <w:r w:rsidRPr="000C7CFA">
              <w:rPr>
                <w:rFonts w:ascii="Verdana" w:hAnsi="Verdana"/>
                <w:color w:val="000000"/>
                <w:sz w:val="18"/>
                <w:szCs w:val="18"/>
                <w:lang w:val="en-GB"/>
              </w:rPr>
              <w:t xml:space="preserve">µg/kg </w:t>
            </w:r>
            <w:r w:rsidRPr="000C7CFA">
              <w:rPr>
                <w:rFonts w:ascii="Verdana" w:hAnsi="Verdana"/>
                <w:sz w:val="18"/>
                <w:szCs w:val="18"/>
                <w:lang w:val="en-GB"/>
              </w:rPr>
              <w:t xml:space="preserve">lw (Spain). </w:t>
            </w:r>
          </w:p>
        </w:tc>
        <w:tc>
          <w:tcPr>
            <w:tcW w:w="2532" w:type="dxa"/>
            <w:tcBorders>
              <w:left w:val="single" w:sz="4" w:space="0" w:color="auto"/>
              <w:bottom w:val="single" w:sz="4" w:space="0" w:color="auto"/>
              <w:right w:val="single" w:sz="4" w:space="0" w:color="auto"/>
            </w:tcBorders>
          </w:tcPr>
          <w:p w14:paraId="36D80AA3"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Analysis was by GC-HRMS.</w:t>
            </w:r>
          </w:p>
          <w:p w14:paraId="191CEA2E" w14:textId="77777777" w:rsidR="00C16F04" w:rsidRPr="000C7CFA" w:rsidRDefault="00C16F04" w:rsidP="00704CE9">
            <w:pPr>
              <w:pStyle w:val="Tabletext"/>
              <w:spacing w:before="0" w:after="0"/>
              <w:rPr>
                <w:rFonts w:ascii="Verdana" w:hAnsi="Verdana"/>
                <w:sz w:val="18"/>
                <w:szCs w:val="18"/>
                <w:lang w:val="en-GB"/>
              </w:rPr>
            </w:pPr>
          </w:p>
          <w:p w14:paraId="0550ADD2"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The Canadian results are thought to reflect local exposure based on proximity to one of the known production sites.</w:t>
            </w:r>
          </w:p>
          <w:p w14:paraId="0329133B" w14:textId="77777777" w:rsidR="00C16F04" w:rsidRPr="000C7CFA" w:rsidRDefault="00C16F04" w:rsidP="00704CE9">
            <w:pPr>
              <w:pStyle w:val="Tabletext"/>
              <w:spacing w:before="0" w:after="0"/>
              <w:rPr>
                <w:rFonts w:ascii="Verdana" w:hAnsi="Verdana"/>
                <w:sz w:val="18"/>
                <w:szCs w:val="18"/>
                <w:lang w:val="en-GB"/>
              </w:rPr>
            </w:pPr>
          </w:p>
          <w:p w14:paraId="59D36BEA"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Canadian food chains were determined by prey analysis. </w:t>
            </w:r>
          </w:p>
          <w:p w14:paraId="1EDFD3AB" w14:textId="77777777" w:rsidR="00C16F04" w:rsidRPr="000C7CFA" w:rsidRDefault="00C16F04" w:rsidP="00704CE9">
            <w:pPr>
              <w:pStyle w:val="Tabletext"/>
              <w:spacing w:before="0" w:after="0"/>
              <w:rPr>
                <w:rFonts w:ascii="Verdana" w:hAnsi="Verdana"/>
                <w:sz w:val="18"/>
                <w:szCs w:val="18"/>
                <w:lang w:val="en-GB"/>
              </w:rPr>
            </w:pPr>
          </w:p>
          <w:p w14:paraId="0BC80192" w14:textId="4A107C8D"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The relative concentration of the anti- isomer in the eggs of birds with a known terrestrial diet was significantly higher in the Spanish samples compared to their Canadian counterparts. Levels in eggs from aquatic food chains examined in the same study (see Appendix </w:t>
            </w:r>
            <w:r w:rsidR="00FB3AD7" w:rsidRPr="000C7CFA">
              <w:rPr>
                <w:rFonts w:ascii="Verdana" w:hAnsi="Verdana"/>
                <w:sz w:val="18"/>
                <w:szCs w:val="18"/>
                <w:lang w:val="en-GB"/>
              </w:rPr>
              <w:t>3</w:t>
            </w:r>
            <w:r w:rsidR="008C3195" w:rsidRPr="000C7CFA">
              <w:rPr>
                <w:rFonts w:ascii="Verdana" w:hAnsi="Verdana"/>
                <w:sz w:val="18"/>
                <w:szCs w:val="18"/>
                <w:lang w:val="en-GB"/>
              </w:rPr>
              <w:fldChar w:fldCharType="begin"/>
            </w:r>
            <w:r w:rsidRPr="000C7CFA">
              <w:rPr>
                <w:rFonts w:ascii="Verdana" w:hAnsi="Verdana"/>
                <w:sz w:val="18"/>
                <w:szCs w:val="18"/>
                <w:lang w:val="en-GB"/>
              </w:rPr>
              <w:instrText xml:space="preserve"> REF _Ref427767104 \h </w:instrText>
            </w:r>
            <w:r w:rsidR="008640CB" w:rsidRPr="000C7CFA">
              <w:rPr>
                <w:rFonts w:ascii="Verdana" w:hAnsi="Verdana"/>
                <w:sz w:val="18"/>
                <w:szCs w:val="18"/>
                <w:lang w:val="en-GB"/>
              </w:rPr>
              <w:instrText xml:space="preserve"> \* MERGEFORMAT </w:instrText>
            </w:r>
            <w:r w:rsidR="008C3195" w:rsidRPr="000C7CFA">
              <w:rPr>
                <w:rFonts w:ascii="Verdana" w:hAnsi="Verdana"/>
                <w:sz w:val="18"/>
                <w:szCs w:val="18"/>
                <w:lang w:val="en-GB"/>
              </w:rPr>
            </w:r>
            <w:r w:rsidR="008C3195" w:rsidRPr="000C7CFA">
              <w:rPr>
                <w:rFonts w:ascii="Verdana" w:hAnsi="Verdana"/>
                <w:sz w:val="18"/>
                <w:szCs w:val="18"/>
                <w:lang w:val="en-GB"/>
              </w:rPr>
              <w:fldChar w:fldCharType="separate"/>
            </w:r>
            <w:r w:rsidR="00BA2885" w:rsidRPr="000C7CFA">
              <w:rPr>
                <w:rFonts w:ascii="Verdana" w:eastAsia="BatangChe" w:hAnsi="Verdana"/>
                <w:sz w:val="18"/>
                <w:szCs w:val="18"/>
              </w:rPr>
              <w:t>Appendix 3</w:t>
            </w:r>
            <w:r w:rsidR="00BA2885" w:rsidRPr="000C7CFA">
              <w:rPr>
                <w:rFonts w:ascii="Verdana" w:eastAsia="BatangChe" w:hAnsi="Verdana"/>
                <w:sz w:val="18"/>
                <w:szCs w:val="18"/>
              </w:rPr>
              <w:tab/>
            </w:r>
            <w:r w:rsidR="008C3195" w:rsidRPr="000C7CFA">
              <w:rPr>
                <w:rFonts w:ascii="Verdana" w:hAnsi="Verdana"/>
                <w:sz w:val="18"/>
                <w:szCs w:val="18"/>
                <w:lang w:val="en-GB"/>
              </w:rPr>
              <w:fldChar w:fldCharType="end"/>
            </w:r>
            <w:r w:rsidRPr="000C7CFA">
              <w:rPr>
                <w:rFonts w:ascii="Verdana" w:hAnsi="Verdana"/>
                <w:sz w:val="18"/>
                <w:szCs w:val="18"/>
                <w:lang w:val="en-GB"/>
              </w:rPr>
              <w:t>) were slightly lower in the Canadian sample but higher in the Spanish sample.</w:t>
            </w:r>
          </w:p>
          <w:p w14:paraId="12F0E53B" w14:textId="77777777" w:rsidR="00C16F04" w:rsidRPr="000C7CFA" w:rsidRDefault="00C16F04" w:rsidP="00704CE9">
            <w:pPr>
              <w:pStyle w:val="Tabletext"/>
              <w:spacing w:before="0" w:after="0"/>
              <w:rPr>
                <w:rFonts w:ascii="Verdana" w:hAnsi="Verdana"/>
                <w:sz w:val="18"/>
                <w:szCs w:val="18"/>
                <w:lang w:val="en-GB"/>
              </w:rPr>
            </w:pPr>
          </w:p>
        </w:tc>
        <w:tc>
          <w:tcPr>
            <w:tcW w:w="1374" w:type="dxa"/>
            <w:tcBorders>
              <w:left w:val="single" w:sz="4" w:space="0" w:color="auto"/>
              <w:bottom w:val="single" w:sz="4" w:space="0" w:color="auto"/>
            </w:tcBorders>
          </w:tcPr>
          <w:p w14:paraId="3E96BBD6" w14:textId="2942C9F3" w:rsidR="00C16F04" w:rsidRPr="000C7CFA" w:rsidRDefault="00C16F04" w:rsidP="00704CE9">
            <w:pPr>
              <w:autoSpaceDE w:val="0"/>
              <w:autoSpaceDN w:val="0"/>
              <w:adjustRightInd w:val="0"/>
              <w:spacing w:after="0"/>
              <w:rPr>
                <w:rFonts w:ascii="Verdana" w:hAnsi="Verdana"/>
                <w:sz w:val="18"/>
                <w:szCs w:val="18"/>
                <w:lang w:val="en-GB"/>
              </w:rPr>
            </w:pPr>
            <w:r w:rsidRPr="000C7CFA">
              <w:rPr>
                <w:rFonts w:ascii="Verdana" w:eastAsia="Calibri" w:hAnsi="Verdana"/>
                <w:sz w:val="18"/>
                <w:szCs w:val="18"/>
                <w:lang w:val="en-GB"/>
              </w:rPr>
              <w:t>Guerra</w:t>
            </w:r>
            <w:r w:rsidRPr="000C7CFA">
              <w:rPr>
                <w:rFonts w:ascii="Verdana" w:hAnsi="Verdana"/>
                <w:sz w:val="18"/>
                <w:szCs w:val="18"/>
                <w:lang w:val="en-GB"/>
              </w:rPr>
              <w:t xml:space="preserve"> </w:t>
            </w:r>
            <w:r w:rsidRPr="000C7CFA">
              <w:rPr>
                <w:rFonts w:ascii="Verdana" w:hAnsi="Verdana"/>
                <w:i/>
                <w:sz w:val="18"/>
                <w:szCs w:val="18"/>
                <w:lang w:val="en-GB"/>
              </w:rPr>
              <w:t>et al</w:t>
            </w:r>
            <w:r w:rsidRPr="000C7CFA">
              <w:rPr>
                <w:rFonts w:ascii="Verdana" w:hAnsi="Verdana"/>
                <w:sz w:val="18"/>
                <w:szCs w:val="18"/>
                <w:lang w:val="en-GB"/>
              </w:rPr>
              <w:t>. (2011)</w:t>
            </w:r>
          </w:p>
          <w:p w14:paraId="37B0CB72" w14:textId="77777777" w:rsidR="00C16F04" w:rsidRPr="000C7CFA" w:rsidRDefault="00C16F04" w:rsidP="00704CE9">
            <w:pPr>
              <w:pStyle w:val="Tabletext"/>
              <w:spacing w:before="0" w:after="0"/>
              <w:rPr>
                <w:rFonts w:ascii="Verdana" w:hAnsi="Verdana"/>
                <w:sz w:val="18"/>
                <w:szCs w:val="18"/>
                <w:lang w:val="en-GB"/>
              </w:rPr>
            </w:pPr>
          </w:p>
        </w:tc>
      </w:tr>
      <w:tr w:rsidR="00C16F04" w:rsidRPr="000C7CFA" w14:paraId="0D6A32AA" w14:textId="77777777" w:rsidTr="000A1A05">
        <w:trPr>
          <w:trHeight w:val="382"/>
        </w:trPr>
        <w:tc>
          <w:tcPr>
            <w:tcW w:w="1913" w:type="dxa"/>
            <w:tcBorders>
              <w:top w:val="single" w:sz="4" w:space="0" w:color="auto"/>
              <w:bottom w:val="single" w:sz="4" w:space="0" w:color="auto"/>
              <w:right w:val="single" w:sz="4" w:space="0" w:color="auto"/>
            </w:tcBorders>
          </w:tcPr>
          <w:p w14:paraId="1BAB9EF3" w14:textId="77777777" w:rsidR="00C16F04" w:rsidRPr="000C7CFA" w:rsidRDefault="00C16F04" w:rsidP="00704CE9">
            <w:pPr>
              <w:pStyle w:val="NormalWeb"/>
              <w:spacing w:before="0" w:beforeAutospacing="0" w:after="120" w:afterAutospacing="0"/>
              <w:rPr>
                <w:rFonts w:ascii="Verdana" w:hAnsi="Verdana"/>
                <w:color w:val="222222"/>
                <w:sz w:val="18"/>
                <w:szCs w:val="18"/>
              </w:rPr>
            </w:pPr>
            <w:r w:rsidRPr="000C7CFA">
              <w:rPr>
                <w:rFonts w:ascii="Verdana" w:hAnsi="Verdana"/>
                <w:color w:val="222222"/>
                <w:sz w:val="18"/>
                <w:szCs w:val="18"/>
              </w:rPr>
              <w:lastRenderedPageBreak/>
              <w:t>American Kestrel (</w:t>
            </w:r>
            <w:r w:rsidRPr="000C7CFA">
              <w:rPr>
                <w:rStyle w:val="Emphasis"/>
                <w:rFonts w:ascii="Verdana" w:hAnsi="Verdana"/>
                <w:color w:val="222222"/>
                <w:sz w:val="18"/>
                <w:szCs w:val="18"/>
              </w:rPr>
              <w:t>Falco sparverius</w:t>
            </w:r>
            <w:r w:rsidRPr="000C7CFA">
              <w:rPr>
                <w:rFonts w:ascii="Verdana" w:hAnsi="Verdana"/>
                <w:color w:val="222222"/>
                <w:sz w:val="18"/>
                <w:szCs w:val="18"/>
              </w:rPr>
              <w:t>)</w:t>
            </w:r>
          </w:p>
        </w:tc>
        <w:tc>
          <w:tcPr>
            <w:tcW w:w="1083" w:type="dxa"/>
            <w:tcBorders>
              <w:top w:val="single" w:sz="4" w:space="0" w:color="auto"/>
              <w:left w:val="single" w:sz="4" w:space="0" w:color="auto"/>
              <w:bottom w:val="single" w:sz="4" w:space="0" w:color="auto"/>
              <w:right w:val="single" w:sz="4" w:space="0" w:color="auto"/>
            </w:tcBorders>
          </w:tcPr>
          <w:p w14:paraId="21FD9F8E" w14:textId="77777777" w:rsidR="00C16F04" w:rsidRPr="000C7CFA" w:rsidRDefault="00C16F04" w:rsidP="00704CE9">
            <w:pPr>
              <w:pStyle w:val="Tabletext"/>
              <w:spacing w:before="0" w:after="0"/>
              <w:rPr>
                <w:rFonts w:ascii="Verdana" w:hAnsi="Verdana"/>
                <w:sz w:val="18"/>
                <w:szCs w:val="18"/>
                <w:lang w:val="en-GB" w:eastAsia="en-GB"/>
              </w:rPr>
            </w:pPr>
            <w:r w:rsidRPr="000C7CFA">
              <w:rPr>
                <w:rFonts w:ascii="Verdana" w:hAnsi="Verdana"/>
                <w:sz w:val="18"/>
                <w:szCs w:val="18"/>
                <w:lang w:val="en-GB" w:eastAsia="en-GB"/>
              </w:rPr>
              <w:t>Egg</w:t>
            </w:r>
          </w:p>
        </w:tc>
        <w:tc>
          <w:tcPr>
            <w:tcW w:w="2350" w:type="dxa"/>
            <w:tcBorders>
              <w:top w:val="single" w:sz="4" w:space="0" w:color="auto"/>
              <w:left w:val="single" w:sz="4" w:space="0" w:color="auto"/>
              <w:bottom w:val="single" w:sz="4" w:space="0" w:color="auto"/>
              <w:right w:val="single" w:sz="4" w:space="0" w:color="auto"/>
            </w:tcBorders>
          </w:tcPr>
          <w:p w14:paraId="19DEC4CF" w14:textId="77777777" w:rsidR="00C16F04" w:rsidRPr="000C7CFA" w:rsidRDefault="00C16F04" w:rsidP="00704CE9">
            <w:pPr>
              <w:pStyle w:val="NormalWeb"/>
              <w:spacing w:before="0" w:beforeAutospacing="0" w:after="120" w:afterAutospacing="0"/>
              <w:rPr>
                <w:rFonts w:ascii="Verdana" w:hAnsi="Verdana"/>
                <w:color w:val="222222"/>
                <w:sz w:val="18"/>
                <w:szCs w:val="18"/>
              </w:rPr>
            </w:pPr>
            <w:r w:rsidRPr="000C7CFA">
              <w:rPr>
                <w:rFonts w:ascii="Verdana" w:hAnsi="Verdana"/>
                <w:sz w:val="18"/>
                <w:szCs w:val="18"/>
              </w:rPr>
              <w:t>Samples collected during 2008 from Grimsby, Niagara-on-the-Lake, St. George and Tillsonburg, Ontario, Canada (10 eggs in 3 pools for each location)</w:t>
            </w:r>
          </w:p>
        </w:tc>
        <w:tc>
          <w:tcPr>
            <w:tcW w:w="2110" w:type="dxa"/>
            <w:tcBorders>
              <w:top w:val="single" w:sz="4" w:space="0" w:color="auto"/>
              <w:left w:val="single" w:sz="4" w:space="0" w:color="auto"/>
              <w:bottom w:val="single" w:sz="4" w:space="0" w:color="auto"/>
              <w:right w:val="single" w:sz="4" w:space="0" w:color="auto"/>
            </w:tcBorders>
          </w:tcPr>
          <w:p w14:paraId="1230F1D9" w14:textId="77777777" w:rsidR="00C16F04" w:rsidRPr="000C7CFA" w:rsidRDefault="00C16F04" w:rsidP="00704CE9">
            <w:pPr>
              <w:spacing w:after="0"/>
              <w:jc w:val="center"/>
              <w:rPr>
                <w:rFonts w:ascii="Verdana" w:hAnsi="Verdana"/>
                <w:sz w:val="18"/>
                <w:szCs w:val="18"/>
              </w:rPr>
            </w:pPr>
            <w:r w:rsidRPr="000C7CFA">
              <w:rPr>
                <w:rFonts w:ascii="Verdana" w:hAnsi="Verdana"/>
                <w:sz w:val="18"/>
                <w:szCs w:val="18"/>
              </w:rPr>
              <w:t>Exact value not stated (in the range  0.01-0.78)</w:t>
            </w:r>
          </w:p>
          <w:p w14:paraId="7ABAD198" w14:textId="77777777" w:rsidR="00C16F04" w:rsidRPr="000C7CFA" w:rsidRDefault="00C16F04" w:rsidP="00704CE9">
            <w:pPr>
              <w:pStyle w:val="Tabletext"/>
              <w:spacing w:before="0" w:after="0"/>
              <w:rPr>
                <w:rFonts w:ascii="Verdana" w:eastAsia="Calibri" w:hAnsi="Verdana"/>
                <w:sz w:val="18"/>
                <w:szCs w:val="18"/>
                <w:lang w:val="en-GB"/>
              </w:rPr>
            </w:pPr>
          </w:p>
        </w:tc>
        <w:tc>
          <w:tcPr>
            <w:tcW w:w="2672" w:type="dxa"/>
            <w:tcBorders>
              <w:top w:val="single" w:sz="4" w:space="0" w:color="auto"/>
              <w:left w:val="single" w:sz="4" w:space="0" w:color="auto"/>
              <w:bottom w:val="single" w:sz="4" w:space="0" w:color="auto"/>
              <w:right w:val="single" w:sz="4" w:space="0" w:color="auto"/>
            </w:tcBorders>
          </w:tcPr>
          <w:p w14:paraId="6C07A429" w14:textId="77777777" w:rsidR="00C16F04" w:rsidRPr="000C7CFA" w:rsidRDefault="00C16F04" w:rsidP="00704CE9">
            <w:pPr>
              <w:spacing w:after="0"/>
              <w:rPr>
                <w:rFonts w:ascii="Verdana" w:hAnsi="Verdana"/>
                <w:sz w:val="18"/>
                <w:szCs w:val="18"/>
              </w:rPr>
            </w:pPr>
            <w:r w:rsidRPr="000C7CFA">
              <w:rPr>
                <w:rFonts w:ascii="Verdana" w:hAnsi="Verdana"/>
                <w:sz w:val="18"/>
                <w:szCs w:val="18"/>
              </w:rPr>
              <w:t>Anti-DP: 0.3-2.4</w:t>
            </w:r>
            <w:r w:rsidRPr="000C7CFA">
              <w:rPr>
                <w:rFonts w:ascii="Verdana" w:hAnsi="Verdana"/>
                <w:color w:val="000000"/>
                <w:sz w:val="18"/>
                <w:szCs w:val="18"/>
                <w:lang w:val="en-GB"/>
              </w:rPr>
              <w:t xml:space="preserve"> µg/kg </w:t>
            </w:r>
            <w:r w:rsidRPr="000C7CFA">
              <w:rPr>
                <w:rFonts w:ascii="Verdana" w:hAnsi="Verdana"/>
                <w:sz w:val="18"/>
                <w:szCs w:val="18"/>
                <w:lang w:val="en-GB"/>
              </w:rPr>
              <w:t xml:space="preserve">ww at </w:t>
            </w:r>
            <w:r w:rsidRPr="000C7CFA">
              <w:rPr>
                <w:rFonts w:ascii="Verdana" w:hAnsi="Verdana"/>
                <w:sz w:val="18"/>
                <w:szCs w:val="18"/>
              </w:rPr>
              <w:t>Niagara-on-the-Lake, &lt;LoQ-0.1 </w:t>
            </w:r>
            <w:r w:rsidRPr="000C7CFA">
              <w:rPr>
                <w:rFonts w:ascii="Verdana" w:hAnsi="Verdana"/>
                <w:color w:val="000000"/>
                <w:sz w:val="18"/>
                <w:szCs w:val="18"/>
                <w:lang w:val="en-GB"/>
              </w:rPr>
              <w:t xml:space="preserve">µg/kg </w:t>
            </w:r>
            <w:r w:rsidRPr="000C7CFA">
              <w:rPr>
                <w:rFonts w:ascii="Verdana" w:hAnsi="Verdana"/>
                <w:sz w:val="18"/>
                <w:szCs w:val="18"/>
                <w:lang w:val="en-GB"/>
              </w:rPr>
              <w:t>ww at</w:t>
            </w:r>
            <w:r w:rsidRPr="000C7CFA">
              <w:rPr>
                <w:rFonts w:ascii="Verdana" w:hAnsi="Verdana"/>
                <w:sz w:val="18"/>
                <w:szCs w:val="18"/>
              </w:rPr>
              <w:t xml:space="preserve"> St. George, not detected at Grimsby or Tillsonburg.</w:t>
            </w:r>
          </w:p>
          <w:p w14:paraId="7C31A11E" w14:textId="77777777" w:rsidR="00C16F04" w:rsidRPr="000C7CFA" w:rsidRDefault="00C16F04" w:rsidP="00704CE9">
            <w:pPr>
              <w:spacing w:after="0"/>
              <w:rPr>
                <w:rFonts w:ascii="Verdana" w:hAnsi="Verdana"/>
                <w:sz w:val="18"/>
                <w:szCs w:val="18"/>
              </w:rPr>
            </w:pPr>
          </w:p>
          <w:p w14:paraId="16FEEF37" w14:textId="77777777" w:rsidR="00C16F04" w:rsidRPr="000C7CFA" w:rsidRDefault="00C16F04" w:rsidP="00704CE9">
            <w:pPr>
              <w:spacing w:after="0"/>
              <w:rPr>
                <w:rFonts w:ascii="Verdana" w:hAnsi="Verdana"/>
                <w:sz w:val="18"/>
                <w:szCs w:val="18"/>
              </w:rPr>
            </w:pPr>
            <w:r w:rsidRPr="000C7CFA">
              <w:rPr>
                <w:rFonts w:ascii="Verdana" w:hAnsi="Verdana"/>
                <w:sz w:val="18"/>
                <w:szCs w:val="18"/>
              </w:rPr>
              <w:t>Syn-DP: &lt;LoD at all sites except Niagara-on-the-Lake (where maximum concentration was 0.8</w:t>
            </w:r>
            <w:r w:rsidRPr="000C7CFA">
              <w:rPr>
                <w:rFonts w:ascii="Verdana" w:hAnsi="Verdana"/>
                <w:color w:val="000000"/>
                <w:sz w:val="18"/>
                <w:szCs w:val="18"/>
                <w:lang w:val="en-GB"/>
              </w:rPr>
              <w:t xml:space="preserve"> µg/kg </w:t>
            </w:r>
            <w:r w:rsidRPr="000C7CFA">
              <w:rPr>
                <w:rFonts w:ascii="Verdana" w:hAnsi="Verdana"/>
                <w:sz w:val="18"/>
                <w:szCs w:val="18"/>
                <w:lang w:val="en-GB"/>
              </w:rPr>
              <w:t>ww).</w:t>
            </w:r>
          </w:p>
        </w:tc>
        <w:tc>
          <w:tcPr>
            <w:tcW w:w="2532" w:type="dxa"/>
            <w:tcBorders>
              <w:top w:val="single" w:sz="4" w:space="0" w:color="auto"/>
              <w:left w:val="single" w:sz="4" w:space="0" w:color="auto"/>
              <w:bottom w:val="single" w:sz="4" w:space="0" w:color="auto"/>
              <w:right w:val="single" w:sz="4" w:space="0" w:color="auto"/>
            </w:tcBorders>
          </w:tcPr>
          <w:p w14:paraId="4D2BD970"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color w:val="222222"/>
                <w:sz w:val="18"/>
                <w:szCs w:val="18"/>
              </w:rPr>
              <w:t>Niagara-on-the-Lake is approximately 15 km from the only North American manufacturing site.</w:t>
            </w:r>
          </w:p>
        </w:tc>
        <w:tc>
          <w:tcPr>
            <w:tcW w:w="1374" w:type="dxa"/>
            <w:tcBorders>
              <w:top w:val="single" w:sz="4" w:space="0" w:color="auto"/>
              <w:left w:val="single" w:sz="4" w:space="0" w:color="auto"/>
              <w:bottom w:val="single" w:sz="4" w:space="0" w:color="auto"/>
            </w:tcBorders>
          </w:tcPr>
          <w:p w14:paraId="264169F7" w14:textId="77777777" w:rsidR="00C16F04" w:rsidRPr="000C7CFA" w:rsidRDefault="00C16F04" w:rsidP="00704CE9">
            <w:pPr>
              <w:pStyle w:val="NormalWeb"/>
              <w:spacing w:before="0" w:beforeAutospacing="0" w:after="120" w:afterAutospacing="0"/>
              <w:rPr>
                <w:rFonts w:ascii="Verdana" w:hAnsi="Verdana"/>
                <w:sz w:val="18"/>
                <w:szCs w:val="18"/>
              </w:rPr>
            </w:pPr>
            <w:r w:rsidRPr="000C7CFA">
              <w:rPr>
                <w:rFonts w:ascii="Verdana" w:hAnsi="Verdana"/>
                <w:sz w:val="18"/>
                <w:szCs w:val="18"/>
              </w:rPr>
              <w:t xml:space="preserve">Chen </w:t>
            </w:r>
            <w:r w:rsidRPr="000C7CFA">
              <w:rPr>
                <w:rFonts w:ascii="Verdana" w:hAnsi="Verdana"/>
                <w:i/>
                <w:sz w:val="18"/>
                <w:szCs w:val="18"/>
              </w:rPr>
              <w:t>et al</w:t>
            </w:r>
            <w:r w:rsidRPr="000C7CFA">
              <w:rPr>
                <w:rFonts w:ascii="Verdana" w:hAnsi="Verdana"/>
                <w:sz w:val="18"/>
                <w:szCs w:val="18"/>
              </w:rPr>
              <w:t>. (2012a)</w:t>
            </w:r>
          </w:p>
          <w:p w14:paraId="368AFF20" w14:textId="77777777" w:rsidR="00C16F04" w:rsidRPr="000C7CFA" w:rsidRDefault="00C16F04" w:rsidP="00704CE9">
            <w:pPr>
              <w:autoSpaceDE w:val="0"/>
              <w:autoSpaceDN w:val="0"/>
              <w:adjustRightInd w:val="0"/>
              <w:spacing w:after="0"/>
              <w:rPr>
                <w:rFonts w:ascii="Verdana" w:eastAsiaTheme="minorHAnsi" w:hAnsi="Verdana"/>
                <w:sz w:val="18"/>
                <w:szCs w:val="18"/>
                <w:lang w:val="en-GB"/>
              </w:rPr>
            </w:pPr>
          </w:p>
        </w:tc>
      </w:tr>
      <w:tr w:rsidR="00C16F04" w:rsidRPr="000C7CFA" w14:paraId="7A6D26FA" w14:textId="77777777" w:rsidTr="000A1A05">
        <w:trPr>
          <w:trHeight w:val="382"/>
        </w:trPr>
        <w:tc>
          <w:tcPr>
            <w:tcW w:w="1913" w:type="dxa"/>
            <w:tcBorders>
              <w:top w:val="single" w:sz="4" w:space="0" w:color="auto"/>
              <w:bottom w:val="single" w:sz="4" w:space="0" w:color="auto"/>
              <w:right w:val="single" w:sz="4" w:space="0" w:color="auto"/>
            </w:tcBorders>
          </w:tcPr>
          <w:p w14:paraId="3E265489" w14:textId="77777777" w:rsidR="00C16F04" w:rsidRPr="000C7CFA" w:rsidRDefault="00C16F04"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eastAsia="en-GB"/>
              </w:rPr>
              <w:t>Eurasian Sparrowhawk (</w:t>
            </w:r>
            <w:r w:rsidRPr="000C7CFA">
              <w:rPr>
                <w:rFonts w:ascii="Verdana" w:hAnsi="Verdana"/>
                <w:i/>
                <w:sz w:val="18"/>
                <w:szCs w:val="18"/>
                <w:lang w:val="en-GB" w:eastAsia="en-GB"/>
              </w:rPr>
              <w:t>Accipiter nisus</w:t>
            </w:r>
            <w:r w:rsidRPr="000C7CFA">
              <w:rPr>
                <w:rFonts w:ascii="Verdana" w:hAnsi="Verdana"/>
                <w:sz w:val="18"/>
                <w:szCs w:val="18"/>
                <w:lang w:val="en-GB" w:eastAsia="en-GB"/>
              </w:rPr>
              <w:t>)</w:t>
            </w:r>
          </w:p>
        </w:tc>
        <w:tc>
          <w:tcPr>
            <w:tcW w:w="1083" w:type="dxa"/>
            <w:tcBorders>
              <w:top w:val="single" w:sz="4" w:space="0" w:color="auto"/>
              <w:left w:val="single" w:sz="4" w:space="0" w:color="auto"/>
              <w:bottom w:val="single" w:sz="4" w:space="0" w:color="auto"/>
              <w:right w:val="single" w:sz="4" w:space="0" w:color="auto"/>
            </w:tcBorders>
          </w:tcPr>
          <w:p w14:paraId="5F85EF1F"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eastAsia="en-GB"/>
              </w:rPr>
              <w:t>Pectoral muscle and liver</w:t>
            </w:r>
          </w:p>
        </w:tc>
        <w:tc>
          <w:tcPr>
            <w:tcW w:w="2350" w:type="dxa"/>
            <w:tcBorders>
              <w:top w:val="single" w:sz="4" w:space="0" w:color="auto"/>
              <w:left w:val="single" w:sz="4" w:space="0" w:color="auto"/>
              <w:bottom w:val="single" w:sz="4" w:space="0" w:color="auto"/>
              <w:right w:val="single" w:sz="4" w:space="0" w:color="auto"/>
            </w:tcBorders>
          </w:tcPr>
          <w:p w14:paraId="303372EC"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Beijing, China; </w:t>
            </w:r>
            <w:r w:rsidRPr="000C7CFA">
              <w:rPr>
                <w:rFonts w:ascii="Verdana" w:hAnsi="Verdana"/>
                <w:sz w:val="18"/>
                <w:szCs w:val="18"/>
                <w:lang w:val="en-GB" w:eastAsia="en-GB"/>
              </w:rPr>
              <w:t>March 2004 to January 2006</w:t>
            </w:r>
          </w:p>
        </w:tc>
        <w:tc>
          <w:tcPr>
            <w:tcW w:w="2110" w:type="dxa"/>
            <w:tcBorders>
              <w:top w:val="single" w:sz="4" w:space="0" w:color="auto"/>
              <w:left w:val="single" w:sz="4" w:space="0" w:color="auto"/>
              <w:bottom w:val="single" w:sz="4" w:space="0" w:color="auto"/>
              <w:right w:val="single" w:sz="4" w:space="0" w:color="auto"/>
            </w:tcBorders>
          </w:tcPr>
          <w:p w14:paraId="40CC8879"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eastAsia="Calibri" w:hAnsi="Verdana"/>
                <w:sz w:val="18"/>
                <w:szCs w:val="18"/>
                <w:lang w:val="en-GB"/>
              </w:rPr>
              <w:t xml:space="preserve">Anti-DP: 0.07-0.7 </w:t>
            </w:r>
            <w:r w:rsidRPr="000C7CFA">
              <w:rPr>
                <w:rFonts w:ascii="Verdana" w:hAnsi="Verdana"/>
                <w:color w:val="000000"/>
                <w:sz w:val="18"/>
                <w:szCs w:val="18"/>
              </w:rPr>
              <w:t xml:space="preserve">µg/kg </w:t>
            </w:r>
            <w:r w:rsidRPr="000C7CFA">
              <w:rPr>
                <w:rFonts w:ascii="Verdana" w:eastAsia="Calibri" w:hAnsi="Verdana"/>
                <w:sz w:val="18"/>
                <w:szCs w:val="18"/>
                <w:lang w:val="en-GB"/>
              </w:rPr>
              <w:t xml:space="preserve">lw </w:t>
            </w:r>
          </w:p>
          <w:p w14:paraId="019C6167"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eastAsia="Calibri" w:hAnsi="Verdana"/>
                <w:sz w:val="18"/>
                <w:szCs w:val="18"/>
                <w:lang w:val="en-GB"/>
              </w:rPr>
              <w:t xml:space="preserve">Syn-DP: 0.1-1 </w:t>
            </w:r>
            <w:r w:rsidRPr="000C7CFA">
              <w:rPr>
                <w:rFonts w:ascii="Verdana" w:hAnsi="Verdana"/>
                <w:color w:val="000000"/>
                <w:sz w:val="18"/>
                <w:szCs w:val="18"/>
              </w:rPr>
              <w:t xml:space="preserve">µg/kg </w:t>
            </w:r>
            <w:r w:rsidRPr="000C7CFA">
              <w:rPr>
                <w:rFonts w:ascii="Verdana" w:eastAsia="Calibri" w:hAnsi="Verdana"/>
                <w:sz w:val="18"/>
                <w:szCs w:val="18"/>
                <w:lang w:val="en-GB"/>
              </w:rPr>
              <w:t xml:space="preserve">lw </w:t>
            </w:r>
          </w:p>
          <w:p w14:paraId="67515EEB" w14:textId="024A3BB5" w:rsidR="00C16F04" w:rsidRPr="000C7CFA" w:rsidRDefault="00C16F04" w:rsidP="00704CE9">
            <w:pPr>
              <w:pStyle w:val="Tabletext"/>
              <w:spacing w:before="0" w:after="0"/>
              <w:jc w:val="center"/>
              <w:rPr>
                <w:rFonts w:ascii="Verdana" w:hAnsi="Verdana"/>
                <w:sz w:val="18"/>
                <w:szCs w:val="18"/>
                <w:lang w:val="en-GB"/>
              </w:rPr>
            </w:pPr>
          </w:p>
        </w:tc>
        <w:tc>
          <w:tcPr>
            <w:tcW w:w="2672" w:type="dxa"/>
            <w:tcBorders>
              <w:top w:val="single" w:sz="4" w:space="0" w:color="auto"/>
              <w:left w:val="single" w:sz="4" w:space="0" w:color="auto"/>
              <w:bottom w:val="single" w:sz="4" w:space="0" w:color="auto"/>
              <w:right w:val="single" w:sz="4" w:space="0" w:color="auto"/>
            </w:tcBorders>
          </w:tcPr>
          <w:p w14:paraId="37B3478C"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Both isomers detected in all individuals (n=11).</w:t>
            </w:r>
          </w:p>
          <w:p w14:paraId="73CC938F" w14:textId="77777777" w:rsidR="00C16F04" w:rsidRPr="000C7CFA" w:rsidRDefault="00C16F04" w:rsidP="00704CE9">
            <w:pPr>
              <w:pStyle w:val="NoSpacing"/>
              <w:rPr>
                <w:rFonts w:ascii="Verdana" w:hAnsi="Verdana" w:cs="Times New Roman"/>
                <w:color w:val="000000"/>
                <w:sz w:val="18"/>
                <w:szCs w:val="18"/>
              </w:rPr>
            </w:pPr>
          </w:p>
          <w:p w14:paraId="0A45BCA7"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Muscle</w:t>
            </w:r>
          </w:p>
          <w:p w14:paraId="30631521" w14:textId="6FDD6308"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w:t>
            </w:r>
            <w:r w:rsidR="008610EB" w:rsidRPr="000C7CFA">
              <w:rPr>
                <w:rFonts w:ascii="Verdana" w:hAnsi="Verdana" w:cs="Times New Roman"/>
                <w:color w:val="000000"/>
                <w:sz w:val="18"/>
                <w:szCs w:val="18"/>
              </w:rPr>
              <w:t>somers: median 105 (range: 26–1 </w:t>
            </w:r>
            <w:r w:rsidRPr="000C7CFA">
              <w:rPr>
                <w:rFonts w:ascii="Verdana" w:hAnsi="Verdana" w:cs="Times New Roman"/>
                <w:color w:val="000000"/>
                <w:sz w:val="18"/>
                <w:szCs w:val="18"/>
              </w:rPr>
              <w:t>320) µg/kg lw</w:t>
            </w:r>
          </w:p>
          <w:p w14:paraId="642E713F" w14:textId="77777777" w:rsidR="00C16F04" w:rsidRPr="000C7CFA" w:rsidRDefault="00C16F04" w:rsidP="00704CE9">
            <w:pPr>
              <w:pStyle w:val="NoSpacing"/>
              <w:rPr>
                <w:rFonts w:ascii="Verdana" w:hAnsi="Verdana" w:cs="Times New Roman"/>
                <w:color w:val="000000"/>
                <w:sz w:val="18"/>
                <w:szCs w:val="18"/>
              </w:rPr>
            </w:pPr>
          </w:p>
          <w:p w14:paraId="64BB6B0E"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Liver</w:t>
            </w:r>
          </w:p>
          <w:p w14:paraId="0506EAE1" w14:textId="2B73AB6D"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isomers: median 203 (range:</w:t>
            </w:r>
            <w:r w:rsidR="008610EB" w:rsidRPr="000C7CFA">
              <w:rPr>
                <w:rFonts w:ascii="Verdana" w:hAnsi="Verdana" w:cs="Times New Roman"/>
                <w:color w:val="000000"/>
                <w:sz w:val="18"/>
                <w:szCs w:val="18"/>
              </w:rPr>
              <w:t xml:space="preserve"> 16–2 </w:t>
            </w:r>
            <w:r w:rsidRPr="000C7CFA">
              <w:rPr>
                <w:rFonts w:ascii="Verdana" w:hAnsi="Verdana" w:cs="Times New Roman"/>
                <w:color w:val="000000"/>
                <w:sz w:val="18"/>
                <w:szCs w:val="18"/>
              </w:rPr>
              <w:t>400) µg/kg lw</w:t>
            </w:r>
          </w:p>
          <w:p w14:paraId="756D77B3" w14:textId="77777777" w:rsidR="00C16F04" w:rsidRPr="000C7CFA" w:rsidRDefault="00C16F04" w:rsidP="00704CE9">
            <w:pPr>
              <w:pStyle w:val="NoSpacing"/>
              <w:rPr>
                <w:rFonts w:ascii="Verdana" w:hAnsi="Verdana" w:cs="Times New Roman"/>
                <w:color w:val="000000"/>
                <w:sz w:val="18"/>
                <w:szCs w:val="18"/>
              </w:rPr>
            </w:pPr>
          </w:p>
          <w:p w14:paraId="0396168D" w14:textId="77777777" w:rsidR="00C16F04" w:rsidRPr="000C7CFA" w:rsidRDefault="00C16F04" w:rsidP="00704CE9">
            <w:pPr>
              <w:spacing w:after="0"/>
              <w:rPr>
                <w:rFonts w:ascii="Verdana" w:hAnsi="Verdana"/>
                <w:sz w:val="18"/>
                <w:szCs w:val="18"/>
                <w:lang w:val="en-GB"/>
              </w:rPr>
            </w:pPr>
            <w:r w:rsidRPr="000C7CFA">
              <w:rPr>
                <w:rFonts w:ascii="Verdana" w:hAnsi="Verdana"/>
                <w:sz w:val="18"/>
                <w:szCs w:val="18"/>
                <w:lang w:val="en-GB"/>
              </w:rPr>
              <w:t xml:space="preserve">DP-1Cl </w:t>
            </w:r>
            <w:r w:rsidRPr="000C7CFA">
              <w:rPr>
                <w:rFonts w:ascii="Verdana" w:hAnsi="Verdana"/>
                <w:color w:val="000000"/>
                <w:sz w:val="18"/>
                <w:szCs w:val="18"/>
                <w:lang w:val="en-GB"/>
              </w:rPr>
              <w:t xml:space="preserve">concentrations were &lt;1.2–83 µg/kg lw in muscle and &lt;1–78 µg/kg lw in liver. </w:t>
            </w:r>
            <w:r w:rsidRPr="000C7CFA">
              <w:rPr>
                <w:rFonts w:ascii="Verdana" w:hAnsi="Verdana"/>
                <w:sz w:val="18"/>
                <w:szCs w:val="18"/>
                <w:lang w:val="en-GB"/>
              </w:rPr>
              <w:t xml:space="preserve">DP-2Cl </w:t>
            </w:r>
            <w:r w:rsidRPr="000C7CFA">
              <w:rPr>
                <w:rFonts w:ascii="Verdana" w:hAnsi="Verdana"/>
                <w:color w:val="000000"/>
                <w:sz w:val="18"/>
                <w:szCs w:val="18"/>
                <w:lang w:val="en-GB"/>
              </w:rPr>
              <w:t>was not detectable in any tissue (LoD not stated).</w:t>
            </w:r>
          </w:p>
        </w:tc>
        <w:tc>
          <w:tcPr>
            <w:tcW w:w="2532" w:type="dxa"/>
            <w:tcBorders>
              <w:top w:val="single" w:sz="4" w:space="0" w:color="auto"/>
              <w:left w:val="single" w:sz="4" w:space="0" w:color="auto"/>
              <w:bottom w:val="single" w:sz="4" w:space="0" w:color="auto"/>
              <w:right w:val="single" w:sz="4" w:space="0" w:color="auto"/>
            </w:tcBorders>
          </w:tcPr>
          <w:p w14:paraId="2FEBD0E7"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Analysis was by GC-MS.</w:t>
            </w:r>
          </w:p>
          <w:p w14:paraId="04B9F1CF" w14:textId="77777777" w:rsidR="00C16F04" w:rsidRPr="000C7CFA" w:rsidRDefault="00C16F04" w:rsidP="00704CE9">
            <w:pPr>
              <w:pStyle w:val="Tabletext"/>
              <w:spacing w:before="0" w:after="0"/>
              <w:rPr>
                <w:rFonts w:ascii="Verdana" w:hAnsi="Verdana"/>
                <w:sz w:val="18"/>
                <w:szCs w:val="18"/>
                <w:lang w:val="en-GB"/>
              </w:rPr>
            </w:pPr>
          </w:p>
          <w:p w14:paraId="6C7E350A"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eastAsia="en-GB"/>
              </w:rPr>
              <w:t>Significant positive correlations between the anti- isomer</w:t>
            </w:r>
            <w:proofErr w:type="gramStart"/>
            <w:r w:rsidRPr="000C7CFA">
              <w:rPr>
                <w:rFonts w:ascii="Verdana" w:hAnsi="Verdana"/>
                <w:sz w:val="18"/>
                <w:szCs w:val="18"/>
                <w:lang w:val="en-GB" w:eastAsia="en-GB"/>
              </w:rPr>
              <w:t>:total</w:t>
            </w:r>
            <w:proofErr w:type="gramEnd"/>
            <w:r w:rsidRPr="000C7CFA">
              <w:rPr>
                <w:rFonts w:ascii="Verdana" w:hAnsi="Verdana"/>
                <w:sz w:val="18"/>
                <w:szCs w:val="18"/>
                <w:lang w:val="en-GB" w:eastAsia="en-GB"/>
              </w:rPr>
              <w:t xml:space="preserve"> isomer concentration ratio and the total isomer concentration suggest that burdens could be substantially driven by the accumulation of the anti- isomer.</w:t>
            </w:r>
          </w:p>
        </w:tc>
        <w:tc>
          <w:tcPr>
            <w:tcW w:w="1374" w:type="dxa"/>
            <w:tcBorders>
              <w:top w:val="single" w:sz="4" w:space="0" w:color="auto"/>
              <w:left w:val="single" w:sz="4" w:space="0" w:color="auto"/>
              <w:bottom w:val="single" w:sz="4" w:space="0" w:color="auto"/>
            </w:tcBorders>
          </w:tcPr>
          <w:p w14:paraId="40C5AC3B" w14:textId="77777777" w:rsidR="00C16F04" w:rsidRPr="000C7CFA" w:rsidRDefault="00C16F04"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Chen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(2013b)</w:t>
            </w:r>
          </w:p>
        </w:tc>
      </w:tr>
      <w:tr w:rsidR="00C16F04" w:rsidRPr="000C7CFA" w14:paraId="6A74E706" w14:textId="77777777" w:rsidTr="000A1A05">
        <w:trPr>
          <w:trHeight w:val="1628"/>
        </w:trPr>
        <w:tc>
          <w:tcPr>
            <w:tcW w:w="1913" w:type="dxa"/>
            <w:tcBorders>
              <w:top w:val="single" w:sz="4" w:space="0" w:color="auto"/>
              <w:bottom w:val="single" w:sz="4" w:space="0" w:color="auto"/>
              <w:right w:val="single" w:sz="4" w:space="0" w:color="auto"/>
            </w:tcBorders>
          </w:tcPr>
          <w:p w14:paraId="487D32F7" w14:textId="77777777" w:rsidR="00C16F04" w:rsidRPr="000C7CFA" w:rsidRDefault="00C16F04"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eastAsia="en-GB"/>
              </w:rPr>
              <w:lastRenderedPageBreak/>
              <w:t>Japanese Sparrowhawk (</w:t>
            </w:r>
            <w:r w:rsidRPr="000C7CFA">
              <w:rPr>
                <w:rFonts w:ascii="Verdana" w:hAnsi="Verdana"/>
                <w:i/>
                <w:sz w:val="18"/>
                <w:szCs w:val="18"/>
                <w:lang w:val="en-GB" w:eastAsia="en-GB"/>
              </w:rPr>
              <w:t>Accipiter gularis</w:t>
            </w:r>
            <w:r w:rsidRPr="000C7CFA">
              <w:rPr>
                <w:rFonts w:ascii="Verdana" w:hAnsi="Verdana"/>
                <w:sz w:val="18"/>
                <w:szCs w:val="18"/>
                <w:lang w:val="en-GB" w:eastAsia="en-GB"/>
              </w:rPr>
              <w:t>)</w:t>
            </w:r>
          </w:p>
        </w:tc>
        <w:tc>
          <w:tcPr>
            <w:tcW w:w="1083" w:type="dxa"/>
            <w:tcBorders>
              <w:top w:val="single" w:sz="4" w:space="0" w:color="auto"/>
              <w:left w:val="single" w:sz="4" w:space="0" w:color="auto"/>
              <w:bottom w:val="single" w:sz="4" w:space="0" w:color="auto"/>
              <w:right w:val="single" w:sz="4" w:space="0" w:color="auto"/>
            </w:tcBorders>
          </w:tcPr>
          <w:p w14:paraId="0619082C"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eastAsia="en-GB"/>
              </w:rPr>
              <w:t>Pectoral muscle and liver</w:t>
            </w:r>
          </w:p>
        </w:tc>
        <w:tc>
          <w:tcPr>
            <w:tcW w:w="2350" w:type="dxa"/>
            <w:tcBorders>
              <w:top w:val="single" w:sz="4" w:space="0" w:color="auto"/>
              <w:left w:val="single" w:sz="4" w:space="0" w:color="auto"/>
              <w:bottom w:val="single" w:sz="4" w:space="0" w:color="auto"/>
              <w:right w:val="single" w:sz="4" w:space="0" w:color="auto"/>
            </w:tcBorders>
          </w:tcPr>
          <w:p w14:paraId="095B3CAE"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Beijing, China; </w:t>
            </w:r>
            <w:r w:rsidRPr="000C7CFA">
              <w:rPr>
                <w:rFonts w:ascii="Verdana" w:hAnsi="Verdana"/>
                <w:sz w:val="18"/>
                <w:szCs w:val="18"/>
                <w:lang w:val="en-GB" w:eastAsia="en-GB"/>
              </w:rPr>
              <w:t>March 2004 to January 2006</w:t>
            </w:r>
          </w:p>
        </w:tc>
        <w:tc>
          <w:tcPr>
            <w:tcW w:w="2110" w:type="dxa"/>
            <w:tcBorders>
              <w:top w:val="single" w:sz="4" w:space="0" w:color="auto"/>
              <w:left w:val="single" w:sz="4" w:space="0" w:color="auto"/>
              <w:bottom w:val="single" w:sz="4" w:space="0" w:color="auto"/>
              <w:right w:val="single" w:sz="4" w:space="0" w:color="auto"/>
            </w:tcBorders>
          </w:tcPr>
          <w:p w14:paraId="0C3397A3"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eastAsia="Calibri" w:hAnsi="Verdana"/>
                <w:sz w:val="18"/>
                <w:szCs w:val="18"/>
                <w:lang w:val="en-GB"/>
              </w:rPr>
              <w:t xml:space="preserve">Anti-DP: 0.07-0.7 </w:t>
            </w:r>
            <w:r w:rsidRPr="000C7CFA">
              <w:rPr>
                <w:rFonts w:ascii="Verdana" w:hAnsi="Verdana"/>
                <w:color w:val="000000"/>
                <w:sz w:val="18"/>
                <w:szCs w:val="18"/>
              </w:rPr>
              <w:t xml:space="preserve">µg/kg </w:t>
            </w:r>
            <w:r w:rsidRPr="000C7CFA">
              <w:rPr>
                <w:rFonts w:ascii="Verdana" w:eastAsia="Calibri" w:hAnsi="Verdana"/>
                <w:sz w:val="18"/>
                <w:szCs w:val="18"/>
                <w:lang w:val="en-GB"/>
              </w:rPr>
              <w:t xml:space="preserve">lw </w:t>
            </w:r>
          </w:p>
          <w:p w14:paraId="324CF313"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eastAsia="Calibri" w:hAnsi="Verdana"/>
                <w:sz w:val="18"/>
                <w:szCs w:val="18"/>
                <w:lang w:val="en-GB"/>
              </w:rPr>
              <w:t xml:space="preserve">Syn-DP: 0.1-1 </w:t>
            </w:r>
            <w:r w:rsidRPr="000C7CFA">
              <w:rPr>
                <w:rFonts w:ascii="Verdana" w:hAnsi="Verdana"/>
                <w:color w:val="000000"/>
                <w:sz w:val="18"/>
                <w:szCs w:val="18"/>
              </w:rPr>
              <w:t xml:space="preserve">µg/kg </w:t>
            </w:r>
            <w:r w:rsidRPr="000C7CFA">
              <w:rPr>
                <w:rFonts w:ascii="Verdana" w:eastAsia="Calibri" w:hAnsi="Verdana"/>
                <w:sz w:val="18"/>
                <w:szCs w:val="18"/>
                <w:lang w:val="en-GB"/>
              </w:rPr>
              <w:t xml:space="preserve">lw </w:t>
            </w:r>
          </w:p>
          <w:p w14:paraId="4D15F5D8" w14:textId="74E14CB7" w:rsidR="00C16F04" w:rsidRPr="000C7CFA" w:rsidRDefault="00C16F04" w:rsidP="00704CE9">
            <w:pPr>
              <w:pStyle w:val="Tabletext"/>
              <w:spacing w:before="0" w:after="0"/>
              <w:jc w:val="center"/>
              <w:rPr>
                <w:rFonts w:ascii="Verdana" w:hAnsi="Verdana"/>
                <w:sz w:val="18"/>
                <w:szCs w:val="18"/>
                <w:lang w:val="en-GB"/>
              </w:rPr>
            </w:pPr>
          </w:p>
        </w:tc>
        <w:tc>
          <w:tcPr>
            <w:tcW w:w="2672" w:type="dxa"/>
            <w:tcBorders>
              <w:top w:val="single" w:sz="4" w:space="0" w:color="auto"/>
              <w:left w:val="single" w:sz="4" w:space="0" w:color="auto"/>
              <w:bottom w:val="single" w:sz="4" w:space="0" w:color="auto"/>
              <w:right w:val="single" w:sz="4" w:space="0" w:color="auto"/>
            </w:tcBorders>
          </w:tcPr>
          <w:p w14:paraId="5E85466B"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Both isomers detected in all individuals (n=6).</w:t>
            </w:r>
          </w:p>
          <w:p w14:paraId="39EB66BD" w14:textId="77777777" w:rsidR="00C16F04" w:rsidRPr="000C7CFA" w:rsidRDefault="00C16F04" w:rsidP="00704CE9">
            <w:pPr>
              <w:pStyle w:val="NoSpacing"/>
              <w:rPr>
                <w:rFonts w:ascii="Verdana" w:hAnsi="Verdana" w:cs="Times New Roman"/>
                <w:color w:val="000000"/>
                <w:sz w:val="18"/>
                <w:szCs w:val="18"/>
              </w:rPr>
            </w:pPr>
          </w:p>
          <w:p w14:paraId="16D141C5"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Muscle</w:t>
            </w:r>
          </w:p>
          <w:p w14:paraId="74D4E5A0"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isomers: median 85 (range: 40–990) µg/kg lw</w:t>
            </w:r>
          </w:p>
          <w:p w14:paraId="267A1AC5" w14:textId="77777777" w:rsidR="00C16F04" w:rsidRPr="000C7CFA" w:rsidRDefault="00C16F04" w:rsidP="00704CE9">
            <w:pPr>
              <w:pStyle w:val="NoSpacing"/>
              <w:rPr>
                <w:rFonts w:ascii="Verdana" w:hAnsi="Verdana" w:cs="Times New Roman"/>
                <w:color w:val="000000"/>
                <w:sz w:val="18"/>
                <w:szCs w:val="18"/>
              </w:rPr>
            </w:pPr>
          </w:p>
          <w:p w14:paraId="3561C3EB"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Liver</w:t>
            </w:r>
          </w:p>
          <w:p w14:paraId="02A5EBBC"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isomers: median 160 (range: 40–430) µg/kg lw</w:t>
            </w:r>
          </w:p>
          <w:p w14:paraId="32514B36" w14:textId="77777777" w:rsidR="00C16F04" w:rsidRPr="000C7CFA" w:rsidRDefault="00C16F04" w:rsidP="00704CE9">
            <w:pPr>
              <w:pStyle w:val="NoSpacing"/>
              <w:rPr>
                <w:rFonts w:ascii="Verdana" w:hAnsi="Verdana" w:cs="Times New Roman"/>
                <w:color w:val="000000"/>
                <w:sz w:val="18"/>
                <w:szCs w:val="18"/>
              </w:rPr>
            </w:pPr>
          </w:p>
          <w:p w14:paraId="73BF2E22" w14:textId="77777777" w:rsidR="00C16F04" w:rsidRPr="000C7CFA" w:rsidRDefault="00C16F04" w:rsidP="00704CE9">
            <w:pPr>
              <w:spacing w:after="0"/>
              <w:rPr>
                <w:rFonts w:ascii="Verdana" w:hAnsi="Verdana"/>
                <w:sz w:val="18"/>
                <w:szCs w:val="18"/>
                <w:lang w:val="en-GB"/>
              </w:rPr>
            </w:pPr>
            <w:r w:rsidRPr="000C7CFA">
              <w:rPr>
                <w:rFonts w:ascii="Verdana" w:hAnsi="Verdana"/>
                <w:sz w:val="18"/>
                <w:szCs w:val="18"/>
                <w:lang w:val="en-GB"/>
              </w:rPr>
              <w:t xml:space="preserve">DP-1Cl </w:t>
            </w:r>
            <w:r w:rsidRPr="000C7CFA">
              <w:rPr>
                <w:rFonts w:ascii="Verdana" w:hAnsi="Verdana"/>
                <w:color w:val="000000"/>
                <w:sz w:val="18"/>
                <w:szCs w:val="18"/>
                <w:lang w:val="en-GB"/>
              </w:rPr>
              <w:t xml:space="preserve">concentrations were 3–103 µg/kg lw in muscle and &lt;1.2–770 µg/kg lw in liver. </w:t>
            </w:r>
            <w:r w:rsidRPr="000C7CFA">
              <w:rPr>
                <w:rFonts w:ascii="Verdana" w:hAnsi="Verdana"/>
                <w:sz w:val="18"/>
                <w:szCs w:val="18"/>
                <w:lang w:val="en-GB"/>
              </w:rPr>
              <w:t xml:space="preserve">DP-2Cl </w:t>
            </w:r>
            <w:r w:rsidRPr="000C7CFA">
              <w:rPr>
                <w:rFonts w:ascii="Verdana" w:hAnsi="Verdana"/>
                <w:color w:val="000000"/>
                <w:sz w:val="18"/>
                <w:szCs w:val="18"/>
                <w:lang w:val="en-GB"/>
              </w:rPr>
              <w:t>was not detectable in any tissue (LoD not stated).</w:t>
            </w:r>
          </w:p>
        </w:tc>
        <w:tc>
          <w:tcPr>
            <w:tcW w:w="2532" w:type="dxa"/>
            <w:tcBorders>
              <w:top w:val="single" w:sz="4" w:space="0" w:color="auto"/>
              <w:left w:val="single" w:sz="4" w:space="0" w:color="auto"/>
              <w:bottom w:val="single" w:sz="4" w:space="0" w:color="auto"/>
              <w:right w:val="single" w:sz="4" w:space="0" w:color="auto"/>
            </w:tcBorders>
          </w:tcPr>
          <w:p w14:paraId="0859C531"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Analysis was by GC-MS.</w:t>
            </w:r>
          </w:p>
          <w:p w14:paraId="76EE9F92" w14:textId="77777777" w:rsidR="00C16F04" w:rsidRPr="000C7CFA" w:rsidRDefault="00C16F04" w:rsidP="00704CE9">
            <w:pPr>
              <w:pStyle w:val="Tabletext"/>
              <w:spacing w:before="0" w:after="0"/>
              <w:rPr>
                <w:rFonts w:ascii="Verdana" w:hAnsi="Verdana"/>
                <w:sz w:val="18"/>
                <w:szCs w:val="18"/>
                <w:lang w:val="en-GB"/>
              </w:rPr>
            </w:pPr>
          </w:p>
          <w:p w14:paraId="3B6C9BC6" w14:textId="77777777" w:rsidR="00C16F04" w:rsidRPr="000C7CFA" w:rsidRDefault="00C16F04" w:rsidP="00704CE9">
            <w:pPr>
              <w:pStyle w:val="Tabletext"/>
              <w:spacing w:before="0" w:after="0"/>
              <w:rPr>
                <w:rFonts w:ascii="Verdana" w:hAnsi="Verdana"/>
                <w:sz w:val="18"/>
                <w:szCs w:val="18"/>
                <w:lang w:val="en-GB"/>
              </w:rPr>
            </w:pPr>
          </w:p>
          <w:p w14:paraId="50A0DEF5" w14:textId="77777777" w:rsidR="00C16F04" w:rsidRPr="000C7CFA" w:rsidRDefault="00C16F04" w:rsidP="00704CE9">
            <w:pPr>
              <w:pStyle w:val="Tabletext"/>
              <w:spacing w:before="0" w:after="0"/>
              <w:rPr>
                <w:rFonts w:ascii="Verdana" w:hAnsi="Verdana"/>
                <w:sz w:val="18"/>
                <w:szCs w:val="18"/>
                <w:lang w:val="en-GB"/>
              </w:rPr>
            </w:pPr>
          </w:p>
        </w:tc>
        <w:tc>
          <w:tcPr>
            <w:tcW w:w="1374" w:type="dxa"/>
            <w:tcBorders>
              <w:top w:val="single" w:sz="4" w:space="0" w:color="auto"/>
              <w:left w:val="single" w:sz="4" w:space="0" w:color="auto"/>
              <w:bottom w:val="single" w:sz="4" w:space="0" w:color="auto"/>
            </w:tcBorders>
          </w:tcPr>
          <w:p w14:paraId="469649A6" w14:textId="77777777" w:rsidR="00C16F04" w:rsidRPr="000C7CFA" w:rsidRDefault="00C16F04"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Chen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(2013b)</w:t>
            </w:r>
          </w:p>
          <w:p w14:paraId="0E944DAF" w14:textId="77777777" w:rsidR="00C16F04" w:rsidRPr="000C7CFA" w:rsidRDefault="00C16F04" w:rsidP="00704CE9">
            <w:pPr>
              <w:autoSpaceDE w:val="0"/>
              <w:autoSpaceDN w:val="0"/>
              <w:adjustRightInd w:val="0"/>
              <w:spacing w:after="0"/>
              <w:rPr>
                <w:rFonts w:ascii="Verdana" w:eastAsia="Calibri" w:hAnsi="Verdana"/>
                <w:sz w:val="18"/>
                <w:szCs w:val="18"/>
                <w:lang w:val="en-GB"/>
              </w:rPr>
            </w:pPr>
          </w:p>
        </w:tc>
      </w:tr>
      <w:tr w:rsidR="00C16F04" w:rsidRPr="000C7CFA" w14:paraId="6DE1992E" w14:textId="77777777" w:rsidTr="000A1A05">
        <w:trPr>
          <w:cantSplit/>
          <w:trHeight w:val="1673"/>
        </w:trPr>
        <w:tc>
          <w:tcPr>
            <w:tcW w:w="1913" w:type="dxa"/>
            <w:tcBorders>
              <w:bottom w:val="single" w:sz="4" w:space="0" w:color="auto"/>
              <w:right w:val="single" w:sz="4" w:space="0" w:color="auto"/>
            </w:tcBorders>
          </w:tcPr>
          <w:p w14:paraId="21CFB0B7" w14:textId="77777777" w:rsidR="00C16F04" w:rsidRPr="000C7CFA" w:rsidRDefault="00C16F04"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lastRenderedPageBreak/>
              <w:t>Common Kestrel (</w:t>
            </w:r>
            <w:r w:rsidRPr="000C7CFA">
              <w:rPr>
                <w:rFonts w:ascii="Verdana" w:hAnsi="Verdana"/>
                <w:i/>
                <w:sz w:val="18"/>
                <w:szCs w:val="18"/>
                <w:lang w:val="en-GB" w:eastAsia="en-GB"/>
              </w:rPr>
              <w:t>Falco tinnunculus</w:t>
            </w:r>
            <w:r w:rsidRPr="000C7CFA">
              <w:rPr>
                <w:rFonts w:ascii="Verdana" w:hAnsi="Verdana"/>
                <w:sz w:val="18"/>
                <w:szCs w:val="18"/>
                <w:lang w:val="en-GB" w:eastAsia="en-GB"/>
              </w:rPr>
              <w:t>)</w:t>
            </w:r>
          </w:p>
        </w:tc>
        <w:tc>
          <w:tcPr>
            <w:tcW w:w="1083" w:type="dxa"/>
            <w:tcBorders>
              <w:left w:val="single" w:sz="4" w:space="0" w:color="auto"/>
              <w:bottom w:val="single" w:sz="4" w:space="0" w:color="auto"/>
              <w:right w:val="single" w:sz="4" w:space="0" w:color="auto"/>
            </w:tcBorders>
          </w:tcPr>
          <w:p w14:paraId="37BB26A9"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eastAsia="en-GB"/>
              </w:rPr>
              <w:t>Pectoral muscle and liver</w:t>
            </w:r>
          </w:p>
        </w:tc>
        <w:tc>
          <w:tcPr>
            <w:tcW w:w="2350" w:type="dxa"/>
            <w:tcBorders>
              <w:left w:val="single" w:sz="4" w:space="0" w:color="auto"/>
              <w:bottom w:val="single" w:sz="4" w:space="0" w:color="auto"/>
              <w:right w:val="single" w:sz="4" w:space="0" w:color="auto"/>
            </w:tcBorders>
          </w:tcPr>
          <w:p w14:paraId="21C6F47E"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Beijing, China; </w:t>
            </w:r>
            <w:r w:rsidRPr="000C7CFA">
              <w:rPr>
                <w:rFonts w:ascii="Verdana" w:hAnsi="Verdana"/>
                <w:sz w:val="18"/>
                <w:szCs w:val="18"/>
                <w:lang w:val="en-GB" w:eastAsia="en-GB"/>
              </w:rPr>
              <w:t>March 2004 to January 2006</w:t>
            </w:r>
          </w:p>
        </w:tc>
        <w:tc>
          <w:tcPr>
            <w:tcW w:w="2110" w:type="dxa"/>
            <w:tcBorders>
              <w:top w:val="single" w:sz="4" w:space="0" w:color="auto"/>
              <w:left w:val="single" w:sz="4" w:space="0" w:color="auto"/>
              <w:bottom w:val="single" w:sz="4" w:space="0" w:color="auto"/>
              <w:right w:val="single" w:sz="4" w:space="0" w:color="auto"/>
            </w:tcBorders>
          </w:tcPr>
          <w:p w14:paraId="689E4A1B"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eastAsia="Calibri" w:hAnsi="Verdana"/>
                <w:sz w:val="18"/>
                <w:szCs w:val="18"/>
                <w:lang w:val="en-GB"/>
              </w:rPr>
              <w:t xml:space="preserve">Anti-DP: 0.07-0.7 </w:t>
            </w:r>
            <w:r w:rsidRPr="000C7CFA">
              <w:rPr>
                <w:rFonts w:ascii="Verdana" w:hAnsi="Verdana"/>
                <w:color w:val="000000"/>
                <w:sz w:val="18"/>
                <w:szCs w:val="18"/>
              </w:rPr>
              <w:t xml:space="preserve">µg/kg </w:t>
            </w:r>
            <w:r w:rsidRPr="000C7CFA">
              <w:rPr>
                <w:rFonts w:ascii="Verdana" w:eastAsia="Calibri" w:hAnsi="Verdana"/>
                <w:sz w:val="18"/>
                <w:szCs w:val="18"/>
                <w:lang w:val="en-GB"/>
              </w:rPr>
              <w:t xml:space="preserve">lw </w:t>
            </w:r>
          </w:p>
          <w:p w14:paraId="1B8DE0D3"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eastAsia="Calibri" w:hAnsi="Verdana"/>
                <w:sz w:val="18"/>
                <w:szCs w:val="18"/>
                <w:lang w:val="en-GB"/>
              </w:rPr>
              <w:t xml:space="preserve">Syn-DP: 0.1-1 </w:t>
            </w:r>
            <w:r w:rsidRPr="000C7CFA">
              <w:rPr>
                <w:rFonts w:ascii="Verdana" w:hAnsi="Verdana"/>
                <w:color w:val="000000"/>
                <w:sz w:val="18"/>
                <w:szCs w:val="18"/>
              </w:rPr>
              <w:t xml:space="preserve">µg/kg </w:t>
            </w:r>
            <w:r w:rsidRPr="000C7CFA">
              <w:rPr>
                <w:rFonts w:ascii="Verdana" w:eastAsia="Calibri" w:hAnsi="Verdana"/>
                <w:sz w:val="18"/>
                <w:szCs w:val="18"/>
                <w:lang w:val="en-GB"/>
              </w:rPr>
              <w:t xml:space="preserve">lw </w:t>
            </w:r>
          </w:p>
          <w:p w14:paraId="2CF6D186" w14:textId="02491102" w:rsidR="00C16F04" w:rsidRPr="000C7CFA" w:rsidRDefault="00C16F04" w:rsidP="00704CE9">
            <w:pPr>
              <w:pStyle w:val="Tabletext"/>
              <w:spacing w:before="0" w:after="0"/>
              <w:jc w:val="center"/>
              <w:rPr>
                <w:rFonts w:ascii="Verdana" w:hAnsi="Verdana"/>
                <w:sz w:val="18"/>
                <w:szCs w:val="18"/>
                <w:lang w:val="en-GB"/>
              </w:rPr>
            </w:pPr>
          </w:p>
        </w:tc>
        <w:tc>
          <w:tcPr>
            <w:tcW w:w="2672" w:type="dxa"/>
            <w:tcBorders>
              <w:left w:val="single" w:sz="4" w:space="0" w:color="auto"/>
              <w:bottom w:val="single" w:sz="4" w:space="0" w:color="auto"/>
              <w:right w:val="single" w:sz="4" w:space="0" w:color="auto"/>
            </w:tcBorders>
          </w:tcPr>
          <w:p w14:paraId="13D0D77A"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Both isomers detected in all individuals (n=6).</w:t>
            </w:r>
          </w:p>
          <w:p w14:paraId="4DE715F9" w14:textId="77777777" w:rsidR="00C16F04" w:rsidRPr="000C7CFA" w:rsidRDefault="00C16F04" w:rsidP="00704CE9">
            <w:pPr>
              <w:pStyle w:val="NoSpacing"/>
              <w:rPr>
                <w:rFonts w:ascii="Verdana" w:hAnsi="Verdana" w:cs="Times New Roman"/>
                <w:color w:val="000000"/>
                <w:sz w:val="18"/>
                <w:szCs w:val="18"/>
              </w:rPr>
            </w:pPr>
          </w:p>
          <w:p w14:paraId="3542C334"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Muscle</w:t>
            </w:r>
          </w:p>
          <w:p w14:paraId="5D47823F" w14:textId="1BE59E01"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isomers: median 810 (range: 30 – 2</w:t>
            </w:r>
            <w:r w:rsidR="002D4EB9" w:rsidRPr="000C7CFA">
              <w:rPr>
                <w:rFonts w:ascii="Verdana" w:hAnsi="Verdana" w:cs="Times New Roman"/>
                <w:color w:val="000000"/>
                <w:sz w:val="18"/>
                <w:szCs w:val="18"/>
              </w:rPr>
              <w:t> </w:t>
            </w:r>
            <w:r w:rsidRPr="000C7CFA">
              <w:rPr>
                <w:rFonts w:ascii="Verdana" w:hAnsi="Verdana" w:cs="Times New Roman"/>
                <w:color w:val="000000"/>
                <w:sz w:val="18"/>
                <w:szCs w:val="18"/>
              </w:rPr>
              <w:t>130) µg/kg lw</w:t>
            </w:r>
          </w:p>
          <w:p w14:paraId="1B5C9B5B" w14:textId="77777777" w:rsidR="00C16F04" w:rsidRPr="000C7CFA" w:rsidRDefault="00C16F04" w:rsidP="00704CE9">
            <w:pPr>
              <w:pStyle w:val="NoSpacing"/>
              <w:rPr>
                <w:rFonts w:ascii="Verdana" w:hAnsi="Verdana" w:cs="Times New Roman"/>
                <w:color w:val="000000"/>
                <w:sz w:val="18"/>
                <w:szCs w:val="18"/>
              </w:rPr>
            </w:pPr>
          </w:p>
          <w:p w14:paraId="4AC0BE2F"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Liver</w:t>
            </w:r>
          </w:p>
          <w:p w14:paraId="5F4CFFE4" w14:textId="29416725"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isomers: median 550 (range: 25 – 3</w:t>
            </w:r>
            <w:r w:rsidR="002D4EB9" w:rsidRPr="000C7CFA">
              <w:rPr>
                <w:rFonts w:ascii="Verdana" w:hAnsi="Verdana" w:cs="Times New Roman"/>
                <w:color w:val="000000"/>
                <w:sz w:val="18"/>
                <w:szCs w:val="18"/>
              </w:rPr>
              <w:t> </w:t>
            </w:r>
            <w:r w:rsidRPr="000C7CFA">
              <w:rPr>
                <w:rFonts w:ascii="Verdana" w:hAnsi="Verdana" w:cs="Times New Roman"/>
                <w:color w:val="000000"/>
                <w:sz w:val="18"/>
                <w:szCs w:val="18"/>
              </w:rPr>
              <w:t>820) µg/kg lw</w:t>
            </w:r>
          </w:p>
          <w:p w14:paraId="2801C078" w14:textId="77777777" w:rsidR="00C16F04" w:rsidRPr="000C7CFA" w:rsidRDefault="00C16F04" w:rsidP="00704CE9">
            <w:pPr>
              <w:pStyle w:val="NoSpacing"/>
              <w:rPr>
                <w:rFonts w:ascii="Verdana" w:hAnsi="Verdana" w:cs="Times New Roman"/>
                <w:color w:val="000000"/>
                <w:sz w:val="18"/>
                <w:szCs w:val="18"/>
              </w:rPr>
            </w:pPr>
          </w:p>
          <w:p w14:paraId="40F50133" w14:textId="77777777" w:rsidR="00C16F04" w:rsidRPr="000C7CFA" w:rsidRDefault="00C16F04" w:rsidP="00704CE9">
            <w:pPr>
              <w:pStyle w:val="NoSpacing"/>
              <w:keepNext/>
              <w:spacing w:before="120" w:after="180"/>
              <w:ind w:left="57"/>
              <w:rPr>
                <w:rFonts w:ascii="Verdana" w:hAnsi="Verdana" w:cs="Times New Roman"/>
                <w:color w:val="000000"/>
                <w:sz w:val="18"/>
                <w:szCs w:val="18"/>
              </w:rPr>
            </w:pPr>
            <w:r w:rsidRPr="000C7CFA">
              <w:rPr>
                <w:rFonts w:ascii="Verdana" w:hAnsi="Verdana" w:cs="Times New Roman"/>
                <w:sz w:val="18"/>
                <w:szCs w:val="18"/>
              </w:rPr>
              <w:t xml:space="preserve">DP-1Cl </w:t>
            </w:r>
            <w:r w:rsidRPr="000C7CFA">
              <w:rPr>
                <w:rFonts w:ascii="Verdana" w:hAnsi="Verdana" w:cs="Times New Roman"/>
                <w:color w:val="000000"/>
                <w:sz w:val="18"/>
                <w:szCs w:val="18"/>
              </w:rPr>
              <w:t xml:space="preserve">concentrations were 1.2–210 µg/kg lw in muscle and 1–160 µg/kg lw in liver. </w:t>
            </w:r>
            <w:r w:rsidRPr="000C7CFA">
              <w:rPr>
                <w:rFonts w:ascii="Verdana" w:hAnsi="Verdana" w:cs="Times New Roman"/>
                <w:sz w:val="18"/>
                <w:szCs w:val="18"/>
              </w:rPr>
              <w:t xml:space="preserve">DP-2Cl </w:t>
            </w:r>
            <w:r w:rsidRPr="000C7CFA">
              <w:rPr>
                <w:rFonts w:ascii="Verdana" w:hAnsi="Verdana" w:cs="Times New Roman"/>
                <w:color w:val="000000"/>
                <w:sz w:val="18"/>
                <w:szCs w:val="18"/>
              </w:rPr>
              <w:t>was not detectable in any tissue (LoD not stated).</w:t>
            </w:r>
          </w:p>
          <w:p w14:paraId="123BE230" w14:textId="77777777" w:rsidR="000A1A05" w:rsidRPr="000C7CFA" w:rsidRDefault="000A1A05" w:rsidP="00704CE9">
            <w:pPr>
              <w:pStyle w:val="NoSpacing"/>
              <w:keepNext/>
              <w:spacing w:before="120" w:after="180"/>
              <w:ind w:left="57"/>
              <w:rPr>
                <w:rFonts w:ascii="Verdana" w:eastAsia="Calibri" w:hAnsi="Verdana" w:cs="Times New Roman"/>
                <w:sz w:val="18"/>
                <w:szCs w:val="18"/>
              </w:rPr>
            </w:pPr>
          </w:p>
          <w:p w14:paraId="1E610B0E" w14:textId="77777777" w:rsidR="000A1A05" w:rsidRPr="000C7CFA" w:rsidRDefault="000A1A05" w:rsidP="00704CE9">
            <w:pPr>
              <w:pStyle w:val="NoSpacing"/>
              <w:keepNext/>
              <w:spacing w:before="120" w:after="180"/>
              <w:ind w:left="57"/>
              <w:rPr>
                <w:rFonts w:ascii="Verdana" w:eastAsia="Calibri" w:hAnsi="Verdana" w:cs="Times New Roman"/>
                <w:sz w:val="18"/>
                <w:szCs w:val="18"/>
              </w:rPr>
            </w:pPr>
          </w:p>
          <w:p w14:paraId="664191FC" w14:textId="77777777" w:rsidR="000A1A05" w:rsidRPr="000C7CFA" w:rsidRDefault="000A1A05" w:rsidP="000A1A05">
            <w:pPr>
              <w:pStyle w:val="NoSpacing"/>
              <w:keepNext/>
              <w:spacing w:before="120" w:after="180"/>
              <w:rPr>
                <w:rFonts w:ascii="Verdana" w:eastAsia="Calibri" w:hAnsi="Verdana" w:cs="Times New Roman"/>
                <w:sz w:val="18"/>
                <w:szCs w:val="18"/>
              </w:rPr>
            </w:pPr>
          </w:p>
        </w:tc>
        <w:tc>
          <w:tcPr>
            <w:tcW w:w="2532" w:type="dxa"/>
            <w:tcBorders>
              <w:left w:val="single" w:sz="4" w:space="0" w:color="auto"/>
              <w:bottom w:val="single" w:sz="4" w:space="0" w:color="auto"/>
              <w:right w:val="single" w:sz="4" w:space="0" w:color="auto"/>
            </w:tcBorders>
          </w:tcPr>
          <w:p w14:paraId="7C8A5AF1"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Analysis was by GC-MS.</w:t>
            </w:r>
          </w:p>
          <w:p w14:paraId="62CFCD0E" w14:textId="77777777" w:rsidR="00C16F04" w:rsidRPr="000C7CFA" w:rsidRDefault="00C16F04" w:rsidP="00704CE9">
            <w:pPr>
              <w:pStyle w:val="Tabletext"/>
              <w:spacing w:before="0" w:after="0"/>
              <w:rPr>
                <w:rFonts w:ascii="Verdana" w:hAnsi="Verdana"/>
                <w:sz w:val="18"/>
                <w:szCs w:val="18"/>
                <w:lang w:val="en-GB"/>
              </w:rPr>
            </w:pPr>
          </w:p>
          <w:p w14:paraId="58FA7584" w14:textId="77777777" w:rsidR="00C16F04" w:rsidRPr="000C7CFA" w:rsidRDefault="00C16F04" w:rsidP="00704CE9">
            <w:pPr>
              <w:pStyle w:val="Tabletext"/>
              <w:spacing w:before="0" w:after="0"/>
              <w:rPr>
                <w:rFonts w:ascii="Verdana" w:hAnsi="Verdana"/>
                <w:sz w:val="18"/>
                <w:szCs w:val="18"/>
                <w:lang w:val="en-GB"/>
              </w:rPr>
            </w:pPr>
          </w:p>
        </w:tc>
        <w:tc>
          <w:tcPr>
            <w:tcW w:w="1374" w:type="dxa"/>
            <w:tcBorders>
              <w:left w:val="single" w:sz="4" w:space="0" w:color="auto"/>
              <w:bottom w:val="single" w:sz="4" w:space="0" w:color="auto"/>
            </w:tcBorders>
          </w:tcPr>
          <w:p w14:paraId="1B7B2438" w14:textId="77777777" w:rsidR="00C16F04" w:rsidRPr="000C7CFA" w:rsidRDefault="00C16F04" w:rsidP="00704CE9">
            <w:pPr>
              <w:pStyle w:val="Tabletext"/>
              <w:spacing w:before="0" w:after="0"/>
              <w:rPr>
                <w:rFonts w:ascii="Verdana" w:eastAsiaTheme="minorHAnsi" w:hAnsi="Verdana"/>
                <w:sz w:val="18"/>
                <w:szCs w:val="18"/>
                <w:lang w:val="en-GB"/>
              </w:rPr>
            </w:pPr>
            <w:r w:rsidRPr="000C7CFA">
              <w:rPr>
                <w:rFonts w:ascii="Verdana" w:hAnsi="Verdana"/>
                <w:sz w:val="18"/>
                <w:szCs w:val="18"/>
                <w:lang w:val="en-GB"/>
              </w:rPr>
              <w:t>Chen</w:t>
            </w:r>
            <w:r w:rsidRPr="000C7CFA">
              <w:rPr>
                <w:rFonts w:ascii="Verdana" w:eastAsiaTheme="minorHAnsi" w:hAnsi="Verdana"/>
                <w:sz w:val="18"/>
                <w:szCs w:val="18"/>
                <w:lang w:val="en-GB"/>
              </w:rPr>
              <w:t xml:space="preserve">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(2013b)</w:t>
            </w:r>
          </w:p>
          <w:p w14:paraId="5E2934F6" w14:textId="77777777" w:rsidR="00C16F04" w:rsidRPr="000C7CFA" w:rsidRDefault="00C16F04" w:rsidP="00704CE9">
            <w:pPr>
              <w:autoSpaceDE w:val="0"/>
              <w:autoSpaceDN w:val="0"/>
              <w:adjustRightInd w:val="0"/>
              <w:spacing w:after="0"/>
              <w:rPr>
                <w:rFonts w:ascii="Verdana" w:eastAsia="Calibri" w:hAnsi="Verdana"/>
                <w:sz w:val="18"/>
                <w:szCs w:val="18"/>
                <w:lang w:val="en-GB"/>
              </w:rPr>
            </w:pPr>
          </w:p>
        </w:tc>
      </w:tr>
      <w:tr w:rsidR="00C16F04" w:rsidRPr="000C7CFA" w14:paraId="2EE6F04C" w14:textId="77777777" w:rsidTr="000A1A05">
        <w:trPr>
          <w:trHeight w:val="2195"/>
        </w:trPr>
        <w:tc>
          <w:tcPr>
            <w:tcW w:w="1913" w:type="dxa"/>
            <w:tcBorders>
              <w:top w:val="single" w:sz="8" w:space="0" w:color="auto"/>
              <w:left w:val="single" w:sz="12" w:space="0" w:color="auto"/>
              <w:bottom w:val="single" w:sz="4" w:space="0" w:color="auto"/>
              <w:right w:val="single" w:sz="4" w:space="0" w:color="auto"/>
            </w:tcBorders>
          </w:tcPr>
          <w:p w14:paraId="02BE756C" w14:textId="77777777" w:rsidR="00C16F04" w:rsidRPr="000C7CFA" w:rsidRDefault="00C16F04"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lastRenderedPageBreak/>
              <w:t>(Oriental) Scops Owl (</w:t>
            </w:r>
            <w:r w:rsidRPr="000C7CFA">
              <w:rPr>
                <w:rFonts w:ascii="Verdana" w:hAnsi="Verdana"/>
                <w:i/>
                <w:sz w:val="18"/>
                <w:szCs w:val="18"/>
                <w:lang w:val="en-GB" w:eastAsia="en-GB"/>
              </w:rPr>
              <w:t>Otus sunia</w:t>
            </w:r>
            <w:r w:rsidRPr="000C7CFA">
              <w:rPr>
                <w:rFonts w:ascii="Verdana" w:hAnsi="Verdana"/>
                <w:sz w:val="18"/>
                <w:szCs w:val="18"/>
                <w:lang w:val="en-GB" w:eastAsia="en-GB"/>
              </w:rPr>
              <w:t>, n=6)</w:t>
            </w:r>
          </w:p>
        </w:tc>
        <w:tc>
          <w:tcPr>
            <w:tcW w:w="1083" w:type="dxa"/>
            <w:tcBorders>
              <w:top w:val="single" w:sz="8" w:space="0" w:color="auto"/>
              <w:left w:val="single" w:sz="4" w:space="0" w:color="auto"/>
              <w:bottom w:val="single" w:sz="4" w:space="0" w:color="auto"/>
              <w:right w:val="single" w:sz="4" w:space="0" w:color="auto"/>
            </w:tcBorders>
          </w:tcPr>
          <w:p w14:paraId="5FAB5F83" w14:textId="77777777" w:rsidR="00C16F04" w:rsidRPr="000C7CFA" w:rsidRDefault="00C16F04" w:rsidP="00704CE9">
            <w:pPr>
              <w:pStyle w:val="Tabletext"/>
              <w:spacing w:before="0" w:after="0"/>
              <w:rPr>
                <w:rFonts w:ascii="Verdana" w:hAnsi="Verdana"/>
                <w:sz w:val="18"/>
                <w:szCs w:val="18"/>
                <w:lang w:val="en-GB" w:eastAsia="en-GB"/>
              </w:rPr>
            </w:pPr>
            <w:r w:rsidRPr="000C7CFA">
              <w:rPr>
                <w:rFonts w:ascii="Verdana" w:hAnsi="Verdana"/>
                <w:sz w:val="18"/>
                <w:szCs w:val="18"/>
                <w:lang w:val="en-GB" w:eastAsia="en-GB"/>
              </w:rPr>
              <w:t>Pectoral muscle and liver</w:t>
            </w:r>
          </w:p>
        </w:tc>
        <w:tc>
          <w:tcPr>
            <w:tcW w:w="2350" w:type="dxa"/>
            <w:tcBorders>
              <w:top w:val="single" w:sz="8" w:space="0" w:color="auto"/>
              <w:left w:val="single" w:sz="4" w:space="0" w:color="auto"/>
              <w:bottom w:val="single" w:sz="4" w:space="0" w:color="auto"/>
              <w:right w:val="single" w:sz="4" w:space="0" w:color="auto"/>
            </w:tcBorders>
          </w:tcPr>
          <w:p w14:paraId="4C7C1608"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Beijing, China; </w:t>
            </w:r>
            <w:r w:rsidRPr="000C7CFA">
              <w:rPr>
                <w:rFonts w:ascii="Verdana" w:hAnsi="Verdana"/>
                <w:sz w:val="18"/>
                <w:szCs w:val="18"/>
                <w:lang w:val="en-GB" w:eastAsia="en-GB"/>
              </w:rPr>
              <w:t>March 2004 to January 2006</w:t>
            </w:r>
          </w:p>
        </w:tc>
        <w:tc>
          <w:tcPr>
            <w:tcW w:w="2110" w:type="dxa"/>
            <w:tcBorders>
              <w:top w:val="single" w:sz="4" w:space="0" w:color="auto"/>
              <w:left w:val="single" w:sz="4" w:space="0" w:color="auto"/>
              <w:bottom w:val="single" w:sz="4" w:space="0" w:color="auto"/>
              <w:right w:val="single" w:sz="4" w:space="0" w:color="auto"/>
            </w:tcBorders>
          </w:tcPr>
          <w:p w14:paraId="4F6621E6"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eastAsia="Calibri" w:hAnsi="Verdana"/>
                <w:sz w:val="18"/>
                <w:szCs w:val="18"/>
                <w:lang w:val="en-GB"/>
              </w:rPr>
              <w:t xml:space="preserve">Anti-DP: 0.07-0.7 </w:t>
            </w:r>
            <w:r w:rsidRPr="000C7CFA">
              <w:rPr>
                <w:rFonts w:ascii="Verdana" w:hAnsi="Verdana"/>
                <w:color w:val="000000"/>
                <w:sz w:val="18"/>
                <w:szCs w:val="18"/>
              </w:rPr>
              <w:t xml:space="preserve">µg/kg </w:t>
            </w:r>
            <w:r w:rsidRPr="000C7CFA">
              <w:rPr>
                <w:rFonts w:ascii="Verdana" w:eastAsia="Calibri" w:hAnsi="Verdana"/>
                <w:sz w:val="18"/>
                <w:szCs w:val="18"/>
                <w:lang w:val="en-GB"/>
              </w:rPr>
              <w:t xml:space="preserve">lw </w:t>
            </w:r>
          </w:p>
          <w:p w14:paraId="1C2F4B19"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eastAsia="Calibri" w:hAnsi="Verdana"/>
                <w:sz w:val="18"/>
                <w:szCs w:val="18"/>
                <w:lang w:val="en-GB"/>
              </w:rPr>
              <w:t xml:space="preserve">Syn-DP: 0.1-1 </w:t>
            </w:r>
            <w:r w:rsidRPr="000C7CFA">
              <w:rPr>
                <w:rFonts w:ascii="Verdana" w:hAnsi="Verdana"/>
                <w:color w:val="000000"/>
                <w:sz w:val="18"/>
                <w:szCs w:val="18"/>
              </w:rPr>
              <w:t xml:space="preserve">µg/kg </w:t>
            </w:r>
            <w:r w:rsidRPr="000C7CFA">
              <w:rPr>
                <w:rFonts w:ascii="Verdana" w:eastAsia="Calibri" w:hAnsi="Verdana"/>
                <w:sz w:val="18"/>
                <w:szCs w:val="18"/>
                <w:lang w:val="en-GB"/>
              </w:rPr>
              <w:t xml:space="preserve">lw </w:t>
            </w:r>
          </w:p>
          <w:p w14:paraId="5D60D00D" w14:textId="77777777" w:rsidR="00C16F04" w:rsidRPr="000C7CFA" w:rsidRDefault="00C16F04" w:rsidP="00704CE9">
            <w:pPr>
              <w:pStyle w:val="Tabletext"/>
              <w:spacing w:before="0" w:after="0"/>
              <w:jc w:val="center"/>
              <w:rPr>
                <w:rFonts w:ascii="Verdana" w:hAnsi="Verdana"/>
                <w:sz w:val="18"/>
                <w:szCs w:val="18"/>
                <w:lang w:val="en-GB"/>
              </w:rPr>
            </w:pPr>
          </w:p>
        </w:tc>
        <w:tc>
          <w:tcPr>
            <w:tcW w:w="2672" w:type="dxa"/>
            <w:tcBorders>
              <w:top w:val="single" w:sz="8" w:space="0" w:color="auto"/>
              <w:left w:val="single" w:sz="4" w:space="0" w:color="auto"/>
              <w:bottom w:val="single" w:sz="4" w:space="0" w:color="auto"/>
              <w:right w:val="single" w:sz="4" w:space="0" w:color="auto"/>
            </w:tcBorders>
          </w:tcPr>
          <w:p w14:paraId="661A77FC"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Anti- isomer detected in all individuals (n=6).</w:t>
            </w:r>
          </w:p>
          <w:p w14:paraId="2079E2A7" w14:textId="77777777" w:rsidR="00C16F04" w:rsidRPr="000C7CFA" w:rsidRDefault="00C16F04" w:rsidP="00704CE9">
            <w:pPr>
              <w:pStyle w:val="NoSpacing"/>
              <w:rPr>
                <w:rFonts w:ascii="Verdana" w:hAnsi="Verdana" w:cs="Times New Roman"/>
                <w:color w:val="000000"/>
                <w:sz w:val="18"/>
                <w:szCs w:val="18"/>
              </w:rPr>
            </w:pPr>
          </w:p>
          <w:p w14:paraId="7EF8EDEA"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Muscle</w:t>
            </w:r>
          </w:p>
          <w:p w14:paraId="2ECC34A0"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isomers: median 40 (range: 5–150) µg/kg lw</w:t>
            </w:r>
          </w:p>
          <w:p w14:paraId="6B0BB976" w14:textId="77777777" w:rsidR="00C16F04" w:rsidRPr="000C7CFA" w:rsidRDefault="00C16F04" w:rsidP="00704CE9">
            <w:pPr>
              <w:pStyle w:val="NoSpacing"/>
              <w:rPr>
                <w:rFonts w:ascii="Verdana" w:hAnsi="Verdana" w:cs="Times New Roman"/>
                <w:color w:val="000000"/>
                <w:sz w:val="18"/>
                <w:szCs w:val="18"/>
              </w:rPr>
            </w:pPr>
          </w:p>
          <w:p w14:paraId="3BD6CDD1"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Liver</w:t>
            </w:r>
          </w:p>
          <w:p w14:paraId="3AA29EC5"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isomers: median 71 (range: 15–140) µg/kg lw</w:t>
            </w:r>
          </w:p>
          <w:p w14:paraId="0BB1CF39" w14:textId="77777777" w:rsidR="00C16F04" w:rsidRPr="000C7CFA" w:rsidRDefault="00C16F04" w:rsidP="00704CE9">
            <w:pPr>
              <w:pStyle w:val="NoSpacing"/>
              <w:rPr>
                <w:rFonts w:ascii="Verdana" w:hAnsi="Verdana" w:cs="Times New Roman"/>
                <w:color w:val="000000"/>
                <w:sz w:val="18"/>
                <w:szCs w:val="18"/>
              </w:rPr>
            </w:pPr>
          </w:p>
          <w:p w14:paraId="3F678783" w14:textId="77777777" w:rsidR="00C16F04" w:rsidRPr="000C7CFA" w:rsidRDefault="00C16F04" w:rsidP="00704CE9">
            <w:pPr>
              <w:spacing w:after="0"/>
              <w:rPr>
                <w:rFonts w:ascii="Verdana" w:hAnsi="Verdana"/>
                <w:sz w:val="18"/>
                <w:szCs w:val="18"/>
                <w:lang w:val="en-GB"/>
              </w:rPr>
            </w:pPr>
            <w:r w:rsidRPr="000C7CFA">
              <w:rPr>
                <w:rFonts w:ascii="Verdana" w:hAnsi="Verdana"/>
                <w:sz w:val="18"/>
                <w:szCs w:val="18"/>
                <w:lang w:val="en-GB"/>
              </w:rPr>
              <w:t>DP-1Cl levels were not reported due to the number of results below the LoD.</w:t>
            </w:r>
            <w:r w:rsidRPr="000C7CFA">
              <w:rPr>
                <w:rFonts w:ascii="Verdana" w:hAnsi="Verdana"/>
                <w:color w:val="000000"/>
                <w:sz w:val="18"/>
                <w:szCs w:val="18"/>
                <w:lang w:val="en-GB"/>
              </w:rPr>
              <w:t xml:space="preserve"> </w:t>
            </w:r>
            <w:r w:rsidRPr="000C7CFA">
              <w:rPr>
                <w:rFonts w:ascii="Verdana" w:hAnsi="Verdana"/>
                <w:sz w:val="18"/>
                <w:szCs w:val="18"/>
                <w:lang w:val="en-GB"/>
              </w:rPr>
              <w:t>DP-2Cl was</w:t>
            </w:r>
            <w:r w:rsidRPr="000C7CFA">
              <w:rPr>
                <w:rFonts w:ascii="Verdana" w:hAnsi="Verdana"/>
                <w:color w:val="000000"/>
                <w:sz w:val="18"/>
                <w:szCs w:val="18"/>
                <w:lang w:val="en-GB"/>
              </w:rPr>
              <w:t xml:space="preserve"> not detectable in any tissue (LoD not stated).</w:t>
            </w:r>
          </w:p>
        </w:tc>
        <w:tc>
          <w:tcPr>
            <w:tcW w:w="2532" w:type="dxa"/>
            <w:tcBorders>
              <w:top w:val="single" w:sz="8" w:space="0" w:color="auto"/>
              <w:left w:val="single" w:sz="4" w:space="0" w:color="auto"/>
              <w:bottom w:val="single" w:sz="4" w:space="0" w:color="auto"/>
              <w:right w:val="single" w:sz="4" w:space="0" w:color="auto"/>
            </w:tcBorders>
          </w:tcPr>
          <w:p w14:paraId="01C68336"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Analysis was by GC-MS.</w:t>
            </w:r>
          </w:p>
          <w:p w14:paraId="37A46132" w14:textId="77777777" w:rsidR="00C16F04" w:rsidRPr="000C7CFA" w:rsidRDefault="00C16F04" w:rsidP="00704CE9">
            <w:pPr>
              <w:pStyle w:val="Tabletext"/>
              <w:spacing w:before="0" w:after="0"/>
              <w:rPr>
                <w:rFonts w:ascii="Verdana" w:hAnsi="Verdana"/>
                <w:sz w:val="18"/>
                <w:szCs w:val="18"/>
                <w:lang w:val="en-GB"/>
              </w:rPr>
            </w:pPr>
          </w:p>
          <w:p w14:paraId="383185F2" w14:textId="77777777" w:rsidR="00C16F04" w:rsidRPr="000C7CFA" w:rsidRDefault="00C16F04" w:rsidP="00704CE9">
            <w:pPr>
              <w:pStyle w:val="NoSpacing"/>
              <w:rPr>
                <w:rFonts w:ascii="Verdana" w:hAnsi="Verdana"/>
                <w:sz w:val="18"/>
                <w:szCs w:val="18"/>
              </w:rPr>
            </w:pPr>
          </w:p>
        </w:tc>
        <w:tc>
          <w:tcPr>
            <w:tcW w:w="1374" w:type="dxa"/>
            <w:tcBorders>
              <w:top w:val="single" w:sz="8" w:space="0" w:color="auto"/>
              <w:left w:val="single" w:sz="4" w:space="0" w:color="auto"/>
              <w:bottom w:val="single" w:sz="4" w:space="0" w:color="auto"/>
              <w:right w:val="single" w:sz="12" w:space="0" w:color="auto"/>
            </w:tcBorders>
          </w:tcPr>
          <w:p w14:paraId="5EEC6A08" w14:textId="77777777" w:rsidR="00C16F04" w:rsidRPr="000C7CFA" w:rsidRDefault="00C16F04"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Chen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(2013b)</w:t>
            </w:r>
          </w:p>
          <w:p w14:paraId="2EAC9BEF" w14:textId="77777777" w:rsidR="00C16F04" w:rsidRPr="000C7CFA" w:rsidRDefault="00C16F04" w:rsidP="00704CE9">
            <w:pPr>
              <w:autoSpaceDE w:val="0"/>
              <w:autoSpaceDN w:val="0"/>
              <w:adjustRightInd w:val="0"/>
              <w:spacing w:after="0"/>
              <w:rPr>
                <w:rFonts w:ascii="Verdana" w:eastAsiaTheme="minorHAnsi" w:hAnsi="Verdana"/>
                <w:sz w:val="18"/>
                <w:szCs w:val="18"/>
                <w:lang w:val="en-GB"/>
              </w:rPr>
            </w:pPr>
          </w:p>
        </w:tc>
      </w:tr>
      <w:tr w:rsidR="00C16F04" w:rsidRPr="000C7CFA" w14:paraId="0E3CBD93" w14:textId="77777777" w:rsidTr="000A1A05">
        <w:trPr>
          <w:trHeight w:val="281"/>
        </w:trPr>
        <w:tc>
          <w:tcPr>
            <w:tcW w:w="1913" w:type="dxa"/>
            <w:tcBorders>
              <w:top w:val="single" w:sz="8" w:space="0" w:color="auto"/>
              <w:left w:val="single" w:sz="12" w:space="0" w:color="auto"/>
              <w:bottom w:val="single" w:sz="4" w:space="0" w:color="auto"/>
              <w:right w:val="single" w:sz="4" w:space="0" w:color="auto"/>
            </w:tcBorders>
          </w:tcPr>
          <w:p w14:paraId="6C9D7098" w14:textId="77777777" w:rsidR="00C16F04" w:rsidRPr="000C7CFA" w:rsidRDefault="00C16F04"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 xml:space="preserve">Long-eared Owl </w:t>
            </w:r>
          </w:p>
          <w:p w14:paraId="6EF56104" w14:textId="77777777" w:rsidR="00C16F04" w:rsidRPr="000C7CFA" w:rsidRDefault="00C16F04"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w:t>
            </w:r>
            <w:r w:rsidRPr="000C7CFA">
              <w:rPr>
                <w:rFonts w:ascii="Verdana" w:hAnsi="Verdana"/>
                <w:i/>
                <w:sz w:val="18"/>
                <w:szCs w:val="18"/>
                <w:lang w:val="en-GB" w:eastAsia="en-GB"/>
              </w:rPr>
              <w:t>Asio otus</w:t>
            </w:r>
            <w:r w:rsidRPr="000C7CFA">
              <w:rPr>
                <w:rFonts w:ascii="Verdana" w:hAnsi="Verdana"/>
                <w:sz w:val="18"/>
                <w:szCs w:val="18"/>
                <w:lang w:val="en-GB" w:eastAsia="en-GB"/>
              </w:rPr>
              <w:t>, n=6)</w:t>
            </w:r>
          </w:p>
        </w:tc>
        <w:tc>
          <w:tcPr>
            <w:tcW w:w="1083" w:type="dxa"/>
            <w:tcBorders>
              <w:top w:val="single" w:sz="8" w:space="0" w:color="auto"/>
              <w:left w:val="single" w:sz="4" w:space="0" w:color="auto"/>
              <w:bottom w:val="single" w:sz="4" w:space="0" w:color="auto"/>
              <w:right w:val="single" w:sz="4" w:space="0" w:color="auto"/>
            </w:tcBorders>
          </w:tcPr>
          <w:p w14:paraId="5697C293" w14:textId="77777777" w:rsidR="00C16F04" w:rsidRPr="000C7CFA" w:rsidRDefault="00C16F04" w:rsidP="00704CE9">
            <w:pPr>
              <w:pStyle w:val="Tabletext"/>
              <w:spacing w:before="0" w:after="0"/>
              <w:rPr>
                <w:rFonts w:ascii="Verdana" w:hAnsi="Verdana"/>
                <w:sz w:val="18"/>
                <w:szCs w:val="18"/>
                <w:lang w:val="en-GB" w:eastAsia="en-GB"/>
              </w:rPr>
            </w:pPr>
            <w:r w:rsidRPr="000C7CFA">
              <w:rPr>
                <w:rFonts w:ascii="Verdana" w:hAnsi="Verdana"/>
                <w:sz w:val="18"/>
                <w:szCs w:val="18"/>
                <w:lang w:val="en-GB" w:eastAsia="en-GB"/>
              </w:rPr>
              <w:t>Pectoral muscle and liver</w:t>
            </w:r>
          </w:p>
        </w:tc>
        <w:tc>
          <w:tcPr>
            <w:tcW w:w="2350" w:type="dxa"/>
            <w:tcBorders>
              <w:top w:val="single" w:sz="8" w:space="0" w:color="auto"/>
              <w:left w:val="single" w:sz="4" w:space="0" w:color="auto"/>
              <w:bottom w:val="single" w:sz="4" w:space="0" w:color="auto"/>
              <w:right w:val="single" w:sz="4" w:space="0" w:color="auto"/>
            </w:tcBorders>
          </w:tcPr>
          <w:p w14:paraId="17105F71"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Beijing, China; </w:t>
            </w:r>
            <w:r w:rsidRPr="000C7CFA">
              <w:rPr>
                <w:rFonts w:ascii="Verdana" w:hAnsi="Verdana"/>
                <w:sz w:val="18"/>
                <w:szCs w:val="18"/>
                <w:lang w:val="en-GB" w:eastAsia="en-GB"/>
              </w:rPr>
              <w:t>March 2004 to January 2006</w:t>
            </w:r>
          </w:p>
        </w:tc>
        <w:tc>
          <w:tcPr>
            <w:tcW w:w="2110" w:type="dxa"/>
            <w:tcBorders>
              <w:top w:val="single" w:sz="4" w:space="0" w:color="auto"/>
              <w:left w:val="single" w:sz="4" w:space="0" w:color="auto"/>
              <w:bottom w:val="single" w:sz="4" w:space="0" w:color="auto"/>
              <w:right w:val="single" w:sz="4" w:space="0" w:color="auto"/>
            </w:tcBorders>
          </w:tcPr>
          <w:p w14:paraId="6A2A23F3" w14:textId="77777777" w:rsidR="00C16F04" w:rsidRPr="000C7CFA" w:rsidRDefault="00C16F04"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Anti-DP:</w:t>
            </w:r>
          </w:p>
          <w:p w14:paraId="6DB2206E" w14:textId="77777777" w:rsidR="00C16F04" w:rsidRPr="000C7CFA" w:rsidRDefault="00C16F04" w:rsidP="00704CE9">
            <w:pPr>
              <w:pStyle w:val="Tabletext"/>
              <w:spacing w:before="0" w:after="0"/>
              <w:jc w:val="center"/>
              <w:rPr>
                <w:rFonts w:ascii="Verdana" w:hAnsi="Verdana"/>
                <w:color w:val="000000"/>
                <w:sz w:val="18"/>
                <w:szCs w:val="18"/>
                <w:lang w:val="en-GB"/>
              </w:rPr>
            </w:pPr>
            <w:r w:rsidRPr="000C7CFA">
              <w:rPr>
                <w:rFonts w:ascii="Verdana" w:hAnsi="Verdana"/>
                <w:sz w:val="18"/>
                <w:szCs w:val="18"/>
                <w:lang w:val="en-GB"/>
              </w:rPr>
              <w:t xml:space="preserve">0.1 </w:t>
            </w:r>
            <w:r w:rsidRPr="000C7CFA">
              <w:rPr>
                <w:rFonts w:ascii="Verdana" w:hAnsi="Verdana"/>
                <w:color w:val="000000"/>
                <w:sz w:val="18"/>
                <w:szCs w:val="18"/>
                <w:lang w:val="en-GB"/>
              </w:rPr>
              <w:t>µg/kg lw (muscle)</w:t>
            </w:r>
          </w:p>
          <w:p w14:paraId="6592FF2A" w14:textId="77777777" w:rsidR="00C16F04" w:rsidRPr="000C7CFA" w:rsidRDefault="00C16F04"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 xml:space="preserve">2 </w:t>
            </w:r>
            <w:r w:rsidRPr="000C7CFA">
              <w:rPr>
                <w:rFonts w:ascii="Verdana" w:hAnsi="Verdana"/>
                <w:color w:val="000000"/>
                <w:sz w:val="18"/>
                <w:szCs w:val="18"/>
                <w:lang w:val="en-GB"/>
              </w:rPr>
              <w:t>µg/kg lw (liver)</w:t>
            </w:r>
          </w:p>
          <w:p w14:paraId="5353DAFA" w14:textId="77777777" w:rsidR="00C16F04" w:rsidRPr="000C7CFA" w:rsidRDefault="00C16F04" w:rsidP="00704CE9">
            <w:pPr>
              <w:pStyle w:val="Tabletext"/>
              <w:spacing w:before="0" w:after="0"/>
              <w:jc w:val="center"/>
              <w:rPr>
                <w:rFonts w:ascii="Verdana" w:hAnsi="Verdana"/>
                <w:sz w:val="18"/>
                <w:szCs w:val="18"/>
                <w:lang w:val="en-GB"/>
              </w:rPr>
            </w:pPr>
          </w:p>
          <w:p w14:paraId="5304982A" w14:textId="77777777" w:rsidR="00C16F04" w:rsidRPr="000C7CFA" w:rsidRDefault="00C16F04"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 xml:space="preserve">Syn–DP: </w:t>
            </w:r>
          </w:p>
          <w:p w14:paraId="724E59F2" w14:textId="77777777" w:rsidR="00C16F04" w:rsidRPr="000C7CFA" w:rsidRDefault="00C16F04" w:rsidP="00704CE9">
            <w:pPr>
              <w:pStyle w:val="Tabletext"/>
              <w:spacing w:before="0" w:after="0"/>
              <w:jc w:val="center"/>
              <w:rPr>
                <w:rFonts w:ascii="Verdana" w:hAnsi="Verdana"/>
                <w:color w:val="000000"/>
                <w:sz w:val="18"/>
                <w:szCs w:val="18"/>
                <w:lang w:val="en-GB"/>
              </w:rPr>
            </w:pPr>
            <w:r w:rsidRPr="000C7CFA">
              <w:rPr>
                <w:rFonts w:ascii="Verdana" w:hAnsi="Verdana"/>
                <w:sz w:val="18"/>
                <w:szCs w:val="18"/>
                <w:lang w:val="en-GB"/>
              </w:rPr>
              <w:t>0.2</w:t>
            </w:r>
            <w:r w:rsidRPr="000C7CFA">
              <w:rPr>
                <w:rFonts w:ascii="Verdana" w:hAnsi="Verdana"/>
                <w:color w:val="000000"/>
                <w:sz w:val="18"/>
                <w:szCs w:val="18"/>
                <w:lang w:val="en-GB"/>
              </w:rPr>
              <w:t xml:space="preserve"> µg/kg lw</w:t>
            </w:r>
          </w:p>
          <w:p w14:paraId="42DD9F30" w14:textId="77777777" w:rsidR="00C16F04" w:rsidRPr="000C7CFA" w:rsidRDefault="00C16F04" w:rsidP="00704CE9">
            <w:pPr>
              <w:pStyle w:val="Tabletext"/>
              <w:jc w:val="center"/>
              <w:rPr>
                <w:rFonts w:ascii="Verdana" w:hAnsi="Verdana"/>
                <w:sz w:val="18"/>
                <w:szCs w:val="18"/>
                <w:lang w:val="en-GB"/>
              </w:rPr>
            </w:pPr>
            <w:r w:rsidRPr="000C7CFA">
              <w:rPr>
                <w:rFonts w:ascii="Verdana" w:hAnsi="Verdana"/>
                <w:sz w:val="18"/>
                <w:szCs w:val="18"/>
                <w:lang w:val="en-GB"/>
              </w:rPr>
              <w:t xml:space="preserve">2 </w:t>
            </w:r>
            <w:r w:rsidRPr="000C7CFA">
              <w:rPr>
                <w:rFonts w:ascii="Verdana" w:hAnsi="Verdana"/>
                <w:color w:val="000000"/>
                <w:sz w:val="18"/>
                <w:szCs w:val="18"/>
                <w:lang w:val="en-GB"/>
              </w:rPr>
              <w:t>µg/kg lw (liver)</w:t>
            </w:r>
          </w:p>
        </w:tc>
        <w:tc>
          <w:tcPr>
            <w:tcW w:w="2672" w:type="dxa"/>
            <w:tcBorders>
              <w:top w:val="single" w:sz="8" w:space="0" w:color="auto"/>
              <w:left w:val="single" w:sz="4" w:space="0" w:color="auto"/>
              <w:bottom w:val="single" w:sz="4" w:space="0" w:color="auto"/>
              <w:right w:val="single" w:sz="4" w:space="0" w:color="auto"/>
            </w:tcBorders>
          </w:tcPr>
          <w:p w14:paraId="4B30BB18"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Both isomers not detected in all individuals (n=6).</w:t>
            </w:r>
          </w:p>
          <w:p w14:paraId="27866C93" w14:textId="77777777" w:rsidR="00C16F04" w:rsidRPr="000C7CFA" w:rsidRDefault="00C16F04" w:rsidP="00704CE9">
            <w:pPr>
              <w:pStyle w:val="NoSpacing"/>
              <w:rPr>
                <w:rFonts w:ascii="Verdana" w:hAnsi="Verdana" w:cs="Times New Roman"/>
                <w:color w:val="000000"/>
                <w:sz w:val="18"/>
                <w:szCs w:val="18"/>
              </w:rPr>
            </w:pPr>
          </w:p>
          <w:p w14:paraId="6B00099C"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Muscle</w:t>
            </w:r>
          </w:p>
          <w:p w14:paraId="7B7D8713"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isomers: median 0.71 (range: 0.62–0.84) µg/kg lw</w:t>
            </w:r>
          </w:p>
          <w:p w14:paraId="19B3E934" w14:textId="77777777" w:rsidR="00C16F04" w:rsidRPr="000C7CFA" w:rsidRDefault="00C16F04" w:rsidP="00704CE9">
            <w:pPr>
              <w:pStyle w:val="NoSpacing"/>
              <w:rPr>
                <w:rFonts w:ascii="Verdana" w:hAnsi="Verdana" w:cs="Times New Roman"/>
                <w:color w:val="000000"/>
                <w:sz w:val="18"/>
                <w:szCs w:val="18"/>
              </w:rPr>
            </w:pPr>
          </w:p>
          <w:p w14:paraId="260628C3"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Liver</w:t>
            </w:r>
          </w:p>
          <w:p w14:paraId="55569582"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isomers: median 0.60 (range: 0.60–0.67) µg/kg lw</w:t>
            </w:r>
          </w:p>
          <w:p w14:paraId="75B27FCE" w14:textId="77777777" w:rsidR="00C16F04" w:rsidRPr="000C7CFA" w:rsidRDefault="00C16F04" w:rsidP="00704CE9">
            <w:pPr>
              <w:pStyle w:val="NoSpacing"/>
              <w:rPr>
                <w:rFonts w:ascii="Verdana" w:hAnsi="Verdana" w:cs="Times New Roman"/>
                <w:color w:val="000000"/>
                <w:sz w:val="18"/>
                <w:szCs w:val="18"/>
              </w:rPr>
            </w:pPr>
          </w:p>
          <w:p w14:paraId="5BDDEB09" w14:textId="77777777" w:rsidR="00C16F04" w:rsidRPr="000C7CFA" w:rsidRDefault="00C16F04" w:rsidP="00704CE9">
            <w:pPr>
              <w:spacing w:after="0"/>
              <w:rPr>
                <w:rFonts w:ascii="Verdana" w:hAnsi="Verdana"/>
                <w:sz w:val="18"/>
                <w:szCs w:val="18"/>
                <w:lang w:val="en-GB"/>
              </w:rPr>
            </w:pPr>
            <w:r w:rsidRPr="000C7CFA">
              <w:rPr>
                <w:rFonts w:ascii="Verdana" w:hAnsi="Verdana"/>
                <w:sz w:val="18"/>
                <w:szCs w:val="18"/>
                <w:lang w:val="en-GB"/>
              </w:rPr>
              <w:t xml:space="preserve">DP-1Cl </w:t>
            </w:r>
            <w:r w:rsidRPr="000C7CFA">
              <w:rPr>
                <w:rFonts w:ascii="Verdana" w:hAnsi="Verdana"/>
                <w:color w:val="000000"/>
                <w:sz w:val="18"/>
                <w:szCs w:val="18"/>
                <w:lang w:val="en-GB"/>
              </w:rPr>
              <w:t xml:space="preserve">concentrations were &lt;0.1–20 µg/kg lw in muscle and &lt;0.2–120 µg/kg lw in liver. </w:t>
            </w:r>
            <w:r w:rsidRPr="000C7CFA">
              <w:rPr>
                <w:rFonts w:ascii="Verdana" w:hAnsi="Verdana"/>
                <w:sz w:val="18"/>
                <w:szCs w:val="18"/>
                <w:lang w:val="en-GB"/>
              </w:rPr>
              <w:t xml:space="preserve">DP-2Cl </w:t>
            </w:r>
            <w:r w:rsidRPr="000C7CFA">
              <w:rPr>
                <w:rFonts w:ascii="Verdana" w:hAnsi="Verdana"/>
                <w:color w:val="000000"/>
                <w:sz w:val="18"/>
                <w:szCs w:val="18"/>
                <w:lang w:val="en-GB"/>
              </w:rPr>
              <w:lastRenderedPageBreak/>
              <w:t>was not detectable in any tissue (LoD not stated).</w:t>
            </w:r>
          </w:p>
        </w:tc>
        <w:tc>
          <w:tcPr>
            <w:tcW w:w="2532" w:type="dxa"/>
            <w:tcBorders>
              <w:top w:val="single" w:sz="8" w:space="0" w:color="auto"/>
              <w:left w:val="single" w:sz="4" w:space="0" w:color="auto"/>
              <w:bottom w:val="single" w:sz="4" w:space="0" w:color="auto"/>
              <w:right w:val="single" w:sz="4" w:space="0" w:color="auto"/>
            </w:tcBorders>
          </w:tcPr>
          <w:p w14:paraId="6B8E9301"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lastRenderedPageBreak/>
              <w:t>Analysis was by GC-MS.</w:t>
            </w:r>
          </w:p>
          <w:p w14:paraId="57AA8C4A" w14:textId="77777777" w:rsidR="00C16F04" w:rsidRPr="000C7CFA" w:rsidRDefault="00C16F04" w:rsidP="00704CE9">
            <w:pPr>
              <w:pStyle w:val="NoSpacing"/>
              <w:rPr>
                <w:rFonts w:ascii="Verdana" w:hAnsi="Verdana" w:cs="Times New Roman"/>
                <w:color w:val="000000"/>
                <w:sz w:val="18"/>
                <w:szCs w:val="18"/>
              </w:rPr>
            </w:pPr>
          </w:p>
          <w:p w14:paraId="44D4E7B2" w14:textId="77777777" w:rsidR="00C16F04" w:rsidRPr="000C7CFA" w:rsidRDefault="00C16F04" w:rsidP="00704CE9">
            <w:pPr>
              <w:pStyle w:val="Tabletext"/>
              <w:spacing w:before="0" w:after="0"/>
              <w:rPr>
                <w:rFonts w:ascii="Verdana" w:hAnsi="Verdana"/>
                <w:sz w:val="18"/>
                <w:szCs w:val="18"/>
                <w:lang w:val="en-GB"/>
              </w:rPr>
            </w:pPr>
          </w:p>
          <w:p w14:paraId="36C97853" w14:textId="77777777" w:rsidR="00C16F04" w:rsidRPr="000C7CFA" w:rsidRDefault="00C16F04" w:rsidP="00704CE9">
            <w:pPr>
              <w:pStyle w:val="Tabletext"/>
              <w:spacing w:before="0" w:after="0"/>
              <w:rPr>
                <w:rFonts w:ascii="Verdana" w:hAnsi="Verdana"/>
                <w:sz w:val="18"/>
                <w:szCs w:val="18"/>
                <w:lang w:val="en-GB"/>
              </w:rPr>
            </w:pPr>
          </w:p>
        </w:tc>
        <w:tc>
          <w:tcPr>
            <w:tcW w:w="1374" w:type="dxa"/>
            <w:tcBorders>
              <w:top w:val="single" w:sz="8" w:space="0" w:color="auto"/>
              <w:left w:val="single" w:sz="4" w:space="0" w:color="auto"/>
              <w:bottom w:val="single" w:sz="4" w:space="0" w:color="auto"/>
              <w:right w:val="single" w:sz="12" w:space="0" w:color="auto"/>
            </w:tcBorders>
          </w:tcPr>
          <w:p w14:paraId="6A19C7C4" w14:textId="77777777" w:rsidR="00C16F04" w:rsidRPr="000C7CFA" w:rsidRDefault="00C16F04"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Chen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(2013b)</w:t>
            </w:r>
          </w:p>
          <w:p w14:paraId="7A118C35" w14:textId="77777777" w:rsidR="00C16F04" w:rsidRPr="000C7CFA" w:rsidRDefault="00C16F04" w:rsidP="00704CE9">
            <w:pPr>
              <w:autoSpaceDE w:val="0"/>
              <w:autoSpaceDN w:val="0"/>
              <w:adjustRightInd w:val="0"/>
              <w:spacing w:after="0"/>
              <w:rPr>
                <w:rFonts w:ascii="Verdana" w:eastAsiaTheme="minorHAnsi" w:hAnsi="Verdana"/>
                <w:sz w:val="18"/>
                <w:szCs w:val="18"/>
                <w:lang w:val="en-GB"/>
              </w:rPr>
            </w:pPr>
          </w:p>
        </w:tc>
      </w:tr>
      <w:tr w:rsidR="00C16F04" w:rsidRPr="000C7CFA" w14:paraId="2C6C75F7" w14:textId="77777777" w:rsidTr="000A1A05">
        <w:trPr>
          <w:trHeight w:val="1801"/>
        </w:trPr>
        <w:tc>
          <w:tcPr>
            <w:tcW w:w="1913" w:type="dxa"/>
            <w:tcBorders>
              <w:right w:val="single" w:sz="4" w:space="0" w:color="auto"/>
            </w:tcBorders>
          </w:tcPr>
          <w:p w14:paraId="4B416EAB" w14:textId="77777777" w:rsidR="00C16F04" w:rsidRPr="000C7CFA" w:rsidRDefault="00C16F04"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Little Owl</w:t>
            </w:r>
          </w:p>
          <w:p w14:paraId="283F6DCA"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eastAsia="en-GB"/>
              </w:rPr>
              <w:t>(</w:t>
            </w:r>
            <w:r w:rsidRPr="000C7CFA">
              <w:rPr>
                <w:rFonts w:ascii="Verdana" w:hAnsi="Verdana"/>
                <w:i/>
                <w:sz w:val="18"/>
                <w:szCs w:val="18"/>
                <w:lang w:val="en-GB" w:eastAsia="en-GB"/>
              </w:rPr>
              <w:t>Athene noctua</w:t>
            </w:r>
            <w:r w:rsidRPr="000C7CFA">
              <w:rPr>
                <w:rFonts w:ascii="Verdana" w:hAnsi="Verdana"/>
                <w:sz w:val="18"/>
                <w:szCs w:val="18"/>
                <w:lang w:val="en-GB" w:eastAsia="en-GB"/>
              </w:rPr>
              <w:t>)</w:t>
            </w:r>
          </w:p>
        </w:tc>
        <w:tc>
          <w:tcPr>
            <w:tcW w:w="1083" w:type="dxa"/>
            <w:tcBorders>
              <w:left w:val="single" w:sz="4" w:space="0" w:color="auto"/>
              <w:right w:val="single" w:sz="4" w:space="0" w:color="auto"/>
            </w:tcBorders>
          </w:tcPr>
          <w:p w14:paraId="2463A5CB"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eastAsia="en-GB"/>
              </w:rPr>
              <w:t>Pectoral muscle and liver</w:t>
            </w:r>
          </w:p>
        </w:tc>
        <w:tc>
          <w:tcPr>
            <w:tcW w:w="2350" w:type="dxa"/>
            <w:tcBorders>
              <w:left w:val="single" w:sz="4" w:space="0" w:color="auto"/>
              <w:right w:val="single" w:sz="4" w:space="0" w:color="auto"/>
            </w:tcBorders>
          </w:tcPr>
          <w:p w14:paraId="1DDC1432"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 xml:space="preserve">Beijing, China; </w:t>
            </w:r>
            <w:r w:rsidRPr="000C7CFA">
              <w:rPr>
                <w:rFonts w:ascii="Verdana" w:hAnsi="Verdana"/>
                <w:sz w:val="18"/>
                <w:szCs w:val="18"/>
                <w:lang w:val="en-GB" w:eastAsia="en-GB"/>
              </w:rPr>
              <w:t>March 2004 to January 2006</w:t>
            </w:r>
          </w:p>
        </w:tc>
        <w:tc>
          <w:tcPr>
            <w:tcW w:w="2110" w:type="dxa"/>
            <w:tcBorders>
              <w:top w:val="single" w:sz="4" w:space="0" w:color="auto"/>
              <w:left w:val="single" w:sz="4" w:space="0" w:color="auto"/>
              <w:bottom w:val="single" w:sz="12" w:space="0" w:color="auto"/>
              <w:right w:val="single" w:sz="4" w:space="0" w:color="auto"/>
            </w:tcBorders>
          </w:tcPr>
          <w:p w14:paraId="1EFF8587"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eastAsia="Calibri" w:hAnsi="Verdana"/>
                <w:sz w:val="18"/>
                <w:szCs w:val="18"/>
                <w:lang w:val="en-GB"/>
              </w:rPr>
              <w:t xml:space="preserve">Anti-DP: 0.07-0.7 </w:t>
            </w:r>
            <w:r w:rsidRPr="000C7CFA">
              <w:rPr>
                <w:rFonts w:ascii="Verdana" w:hAnsi="Verdana"/>
                <w:color w:val="000000"/>
                <w:sz w:val="18"/>
                <w:szCs w:val="18"/>
              </w:rPr>
              <w:t xml:space="preserve">µg/kg </w:t>
            </w:r>
            <w:r w:rsidRPr="000C7CFA">
              <w:rPr>
                <w:rFonts w:ascii="Verdana" w:eastAsia="Calibri" w:hAnsi="Verdana"/>
                <w:sz w:val="18"/>
                <w:szCs w:val="18"/>
                <w:lang w:val="en-GB"/>
              </w:rPr>
              <w:t xml:space="preserve">lw </w:t>
            </w:r>
          </w:p>
          <w:p w14:paraId="4BB24AD5"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eastAsia="Calibri" w:hAnsi="Verdana"/>
                <w:sz w:val="18"/>
                <w:szCs w:val="18"/>
                <w:lang w:val="en-GB"/>
              </w:rPr>
              <w:t xml:space="preserve">Syn-DP: 0.1-1 </w:t>
            </w:r>
            <w:r w:rsidRPr="000C7CFA">
              <w:rPr>
                <w:rFonts w:ascii="Verdana" w:hAnsi="Verdana"/>
                <w:color w:val="000000"/>
                <w:sz w:val="18"/>
                <w:szCs w:val="18"/>
              </w:rPr>
              <w:t xml:space="preserve">µg/kg </w:t>
            </w:r>
            <w:r w:rsidRPr="000C7CFA">
              <w:rPr>
                <w:rFonts w:ascii="Verdana" w:eastAsia="Calibri" w:hAnsi="Verdana"/>
                <w:sz w:val="18"/>
                <w:szCs w:val="18"/>
                <w:lang w:val="en-GB"/>
              </w:rPr>
              <w:t xml:space="preserve">lw </w:t>
            </w:r>
          </w:p>
          <w:p w14:paraId="11EDAF77" w14:textId="481E1BF8" w:rsidR="00C16F04" w:rsidRPr="000C7CFA" w:rsidRDefault="00C16F04" w:rsidP="00704CE9">
            <w:pPr>
              <w:pStyle w:val="Tabletext"/>
              <w:spacing w:before="0" w:after="0"/>
              <w:jc w:val="center"/>
              <w:rPr>
                <w:rFonts w:ascii="Verdana" w:hAnsi="Verdana"/>
                <w:sz w:val="18"/>
                <w:szCs w:val="18"/>
                <w:lang w:val="en-GB"/>
              </w:rPr>
            </w:pPr>
          </w:p>
        </w:tc>
        <w:tc>
          <w:tcPr>
            <w:tcW w:w="2672" w:type="dxa"/>
            <w:tcBorders>
              <w:left w:val="single" w:sz="4" w:space="0" w:color="auto"/>
              <w:right w:val="single" w:sz="4" w:space="0" w:color="auto"/>
            </w:tcBorders>
          </w:tcPr>
          <w:p w14:paraId="667112CA"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Both isomers detected in all individuals (n=6).</w:t>
            </w:r>
          </w:p>
          <w:p w14:paraId="1AEAAFD1" w14:textId="77777777" w:rsidR="00C16F04" w:rsidRPr="000C7CFA" w:rsidRDefault="00C16F04" w:rsidP="00704CE9">
            <w:pPr>
              <w:pStyle w:val="NoSpacing"/>
              <w:rPr>
                <w:rFonts w:ascii="Verdana" w:hAnsi="Verdana" w:cs="Times New Roman"/>
                <w:color w:val="000000"/>
                <w:sz w:val="18"/>
                <w:szCs w:val="18"/>
              </w:rPr>
            </w:pPr>
          </w:p>
          <w:p w14:paraId="3867B600"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Muscle</w:t>
            </w:r>
          </w:p>
          <w:p w14:paraId="7DBDE601" w14:textId="3CC817AD"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w:t>
            </w:r>
            <w:r w:rsidR="008610EB" w:rsidRPr="000C7CFA">
              <w:rPr>
                <w:rFonts w:ascii="Verdana" w:hAnsi="Verdana" w:cs="Times New Roman"/>
                <w:color w:val="000000"/>
                <w:sz w:val="18"/>
                <w:szCs w:val="18"/>
              </w:rPr>
              <w:t xml:space="preserve">somers: median 240 (range: 50–1 </w:t>
            </w:r>
            <w:r w:rsidRPr="000C7CFA">
              <w:rPr>
                <w:rFonts w:ascii="Verdana" w:hAnsi="Verdana" w:cs="Times New Roman"/>
                <w:color w:val="000000"/>
                <w:sz w:val="18"/>
                <w:szCs w:val="18"/>
              </w:rPr>
              <w:t>500) µg/kg lw</w:t>
            </w:r>
          </w:p>
          <w:p w14:paraId="792DA38E" w14:textId="77777777" w:rsidR="00C16F04" w:rsidRPr="000C7CFA" w:rsidRDefault="00C16F04" w:rsidP="00704CE9">
            <w:pPr>
              <w:pStyle w:val="NoSpacing"/>
              <w:rPr>
                <w:rFonts w:ascii="Verdana" w:hAnsi="Verdana" w:cs="Times New Roman"/>
                <w:color w:val="000000"/>
                <w:sz w:val="18"/>
                <w:szCs w:val="18"/>
              </w:rPr>
            </w:pPr>
          </w:p>
          <w:p w14:paraId="66E86DB4"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Liver</w:t>
            </w:r>
          </w:p>
          <w:p w14:paraId="7DC57A9D" w14:textId="6BB98A96"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Total i</w:t>
            </w:r>
            <w:r w:rsidR="008610EB" w:rsidRPr="000C7CFA">
              <w:rPr>
                <w:rFonts w:ascii="Verdana" w:hAnsi="Verdana" w:cs="Times New Roman"/>
                <w:color w:val="000000"/>
                <w:sz w:val="18"/>
                <w:szCs w:val="18"/>
              </w:rPr>
              <w:t xml:space="preserve">somers: median 480 (range: 23–1 </w:t>
            </w:r>
            <w:r w:rsidRPr="000C7CFA">
              <w:rPr>
                <w:rFonts w:ascii="Verdana" w:hAnsi="Verdana" w:cs="Times New Roman"/>
                <w:color w:val="000000"/>
                <w:sz w:val="18"/>
                <w:szCs w:val="18"/>
              </w:rPr>
              <w:t>740) µg/kg lw</w:t>
            </w:r>
          </w:p>
          <w:p w14:paraId="1BFDCC47" w14:textId="77777777" w:rsidR="00C16F04" w:rsidRPr="000C7CFA" w:rsidRDefault="00C16F04" w:rsidP="00704CE9">
            <w:pPr>
              <w:pStyle w:val="NoSpacing"/>
              <w:rPr>
                <w:rFonts w:ascii="Verdana" w:hAnsi="Verdana" w:cs="Times New Roman"/>
                <w:color w:val="000000"/>
                <w:sz w:val="18"/>
                <w:szCs w:val="18"/>
              </w:rPr>
            </w:pPr>
          </w:p>
          <w:p w14:paraId="7292815A" w14:textId="77777777" w:rsidR="00C16F04" w:rsidRPr="000C7CFA" w:rsidRDefault="00C16F04" w:rsidP="00704CE9">
            <w:pPr>
              <w:spacing w:after="0"/>
              <w:rPr>
                <w:rFonts w:ascii="Verdana" w:hAnsi="Verdana"/>
                <w:sz w:val="18"/>
                <w:szCs w:val="18"/>
                <w:lang w:val="en-GB"/>
              </w:rPr>
            </w:pPr>
            <w:r w:rsidRPr="000C7CFA">
              <w:rPr>
                <w:rFonts w:ascii="Verdana" w:hAnsi="Verdana"/>
                <w:sz w:val="18"/>
                <w:szCs w:val="18"/>
                <w:lang w:val="en-GB"/>
              </w:rPr>
              <w:t xml:space="preserve">DP-1Cl </w:t>
            </w:r>
            <w:r w:rsidRPr="000C7CFA">
              <w:rPr>
                <w:rFonts w:ascii="Verdana" w:hAnsi="Verdana"/>
                <w:color w:val="000000"/>
                <w:sz w:val="18"/>
                <w:szCs w:val="18"/>
                <w:lang w:val="en-GB"/>
              </w:rPr>
              <w:t xml:space="preserve">concentrations were &lt;0.9–85 µg/kg lw in muscle and &lt;1.3–85 µg/kg lw in liver. </w:t>
            </w:r>
            <w:r w:rsidRPr="000C7CFA">
              <w:rPr>
                <w:rFonts w:ascii="Verdana" w:hAnsi="Verdana"/>
                <w:sz w:val="18"/>
                <w:szCs w:val="18"/>
                <w:lang w:val="en-GB"/>
              </w:rPr>
              <w:t xml:space="preserve">DP-2Cl </w:t>
            </w:r>
            <w:r w:rsidRPr="000C7CFA">
              <w:rPr>
                <w:rFonts w:ascii="Verdana" w:hAnsi="Verdana"/>
                <w:color w:val="000000"/>
                <w:sz w:val="18"/>
                <w:szCs w:val="18"/>
                <w:lang w:val="en-GB"/>
              </w:rPr>
              <w:t>was not detectable in any tissue (LoD not stated).</w:t>
            </w:r>
          </w:p>
        </w:tc>
        <w:tc>
          <w:tcPr>
            <w:tcW w:w="2532" w:type="dxa"/>
            <w:tcBorders>
              <w:left w:val="single" w:sz="4" w:space="0" w:color="auto"/>
              <w:right w:val="single" w:sz="4" w:space="0" w:color="auto"/>
            </w:tcBorders>
          </w:tcPr>
          <w:p w14:paraId="7979576C"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GB"/>
              </w:rPr>
              <w:t>Analysis was by GC-MS.</w:t>
            </w:r>
          </w:p>
          <w:p w14:paraId="3F1BC2A5" w14:textId="77777777" w:rsidR="00C16F04" w:rsidRPr="000C7CFA" w:rsidRDefault="00C16F04" w:rsidP="00704CE9">
            <w:pPr>
              <w:pStyle w:val="Tabletext"/>
              <w:spacing w:before="0" w:after="0"/>
              <w:rPr>
                <w:rFonts w:ascii="Verdana" w:hAnsi="Verdana"/>
                <w:sz w:val="18"/>
                <w:szCs w:val="18"/>
                <w:lang w:val="en-GB"/>
              </w:rPr>
            </w:pPr>
          </w:p>
          <w:p w14:paraId="270709E3" w14:textId="77777777" w:rsidR="00C16F04" w:rsidRPr="000C7CFA" w:rsidRDefault="00C16F04" w:rsidP="00704CE9">
            <w:pPr>
              <w:pStyle w:val="NoSpacing"/>
              <w:rPr>
                <w:rFonts w:ascii="Verdana" w:hAnsi="Verdana"/>
                <w:sz w:val="18"/>
                <w:szCs w:val="18"/>
              </w:rPr>
            </w:pPr>
          </w:p>
        </w:tc>
        <w:tc>
          <w:tcPr>
            <w:tcW w:w="1374" w:type="dxa"/>
            <w:tcBorders>
              <w:left w:val="single" w:sz="4" w:space="0" w:color="auto"/>
            </w:tcBorders>
          </w:tcPr>
          <w:p w14:paraId="54130A0D" w14:textId="77777777" w:rsidR="00C16F04" w:rsidRPr="000C7CFA" w:rsidRDefault="00C16F04"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Chen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(2013b)</w:t>
            </w:r>
          </w:p>
          <w:p w14:paraId="79758496" w14:textId="77777777" w:rsidR="00C16F04" w:rsidRPr="000C7CFA" w:rsidRDefault="00C16F04" w:rsidP="00704CE9">
            <w:pPr>
              <w:autoSpaceDE w:val="0"/>
              <w:autoSpaceDN w:val="0"/>
              <w:adjustRightInd w:val="0"/>
              <w:spacing w:after="0"/>
              <w:rPr>
                <w:rFonts w:ascii="Verdana" w:eastAsia="Calibri" w:hAnsi="Verdana"/>
                <w:sz w:val="18"/>
                <w:szCs w:val="18"/>
                <w:lang w:val="en-GB"/>
              </w:rPr>
            </w:pPr>
          </w:p>
        </w:tc>
      </w:tr>
      <w:tr w:rsidR="00C16F04" w:rsidRPr="000C7CFA" w14:paraId="506629D1" w14:textId="77777777" w:rsidTr="000A1A05">
        <w:trPr>
          <w:trHeight w:val="787"/>
        </w:trPr>
        <w:tc>
          <w:tcPr>
            <w:tcW w:w="1913" w:type="dxa"/>
            <w:tcBorders>
              <w:top w:val="single" w:sz="4" w:space="0" w:color="auto"/>
              <w:bottom w:val="single" w:sz="4" w:space="0" w:color="auto"/>
              <w:right w:val="single" w:sz="4" w:space="0" w:color="auto"/>
            </w:tcBorders>
          </w:tcPr>
          <w:p w14:paraId="57F647CA" w14:textId="77777777" w:rsidR="00C16F04" w:rsidRPr="000C7CFA" w:rsidRDefault="00C16F04"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Domestic Chicken (</w:t>
            </w:r>
            <w:r w:rsidRPr="000C7CFA">
              <w:rPr>
                <w:rFonts w:ascii="Verdana" w:hAnsi="Verdana"/>
                <w:i/>
                <w:sz w:val="18"/>
                <w:szCs w:val="18"/>
                <w:lang w:val="en-GB" w:eastAsia="en-GB"/>
              </w:rPr>
              <w:t>Gallus gallus domesticus</w:t>
            </w:r>
            <w:r w:rsidRPr="000C7CFA">
              <w:rPr>
                <w:rFonts w:ascii="Verdana" w:hAnsi="Verdana"/>
                <w:sz w:val="18"/>
                <w:szCs w:val="18"/>
                <w:lang w:val="en-GB" w:eastAsia="en-GB"/>
              </w:rPr>
              <w:t>)</w:t>
            </w:r>
          </w:p>
        </w:tc>
        <w:tc>
          <w:tcPr>
            <w:tcW w:w="1083" w:type="dxa"/>
            <w:tcBorders>
              <w:top w:val="single" w:sz="4" w:space="0" w:color="auto"/>
              <w:left w:val="single" w:sz="4" w:space="0" w:color="auto"/>
              <w:bottom w:val="single" w:sz="4" w:space="0" w:color="auto"/>
              <w:right w:val="single" w:sz="4" w:space="0" w:color="auto"/>
            </w:tcBorders>
          </w:tcPr>
          <w:p w14:paraId="1E2D0007" w14:textId="77777777" w:rsidR="00C16F04" w:rsidRPr="000C7CFA" w:rsidRDefault="00C16F04" w:rsidP="00704CE9">
            <w:pPr>
              <w:pStyle w:val="Tabletext"/>
              <w:spacing w:before="0" w:after="0"/>
              <w:rPr>
                <w:rFonts w:ascii="Verdana" w:hAnsi="Verdana"/>
                <w:sz w:val="18"/>
                <w:szCs w:val="18"/>
                <w:lang w:val="en-GB" w:eastAsia="en-GB"/>
              </w:rPr>
            </w:pPr>
            <w:r w:rsidRPr="000C7CFA">
              <w:rPr>
                <w:rFonts w:ascii="Verdana" w:hAnsi="Verdana"/>
                <w:sz w:val="18"/>
                <w:szCs w:val="18"/>
                <w:lang w:val="en-GB" w:eastAsia="en-GB"/>
              </w:rPr>
              <w:t>Eggs</w:t>
            </w:r>
          </w:p>
        </w:tc>
        <w:tc>
          <w:tcPr>
            <w:tcW w:w="2350" w:type="dxa"/>
            <w:tcBorders>
              <w:top w:val="single" w:sz="4" w:space="0" w:color="auto"/>
              <w:left w:val="single" w:sz="4" w:space="0" w:color="auto"/>
              <w:bottom w:val="single" w:sz="4" w:space="0" w:color="auto"/>
              <w:right w:val="single" w:sz="4" w:space="0" w:color="auto"/>
            </w:tcBorders>
          </w:tcPr>
          <w:p w14:paraId="3F66D8BF" w14:textId="77777777" w:rsidR="00C16F04" w:rsidRPr="000C7CFA" w:rsidRDefault="00C16F04" w:rsidP="00704CE9">
            <w:pPr>
              <w:pStyle w:val="Tabletext"/>
              <w:spacing w:before="0" w:after="0"/>
              <w:rPr>
                <w:rFonts w:ascii="Verdana" w:hAnsi="Verdana"/>
                <w:sz w:val="18"/>
                <w:szCs w:val="18"/>
                <w:lang w:val="en-GB"/>
              </w:rPr>
            </w:pPr>
            <w:r w:rsidRPr="000C7CFA">
              <w:rPr>
                <w:rFonts w:ascii="Verdana" w:hAnsi="Verdana"/>
                <w:sz w:val="18"/>
                <w:szCs w:val="18"/>
                <w:lang w:val="en-CA" w:eastAsia="en-GB"/>
              </w:rPr>
              <w:t>Three recycling</w:t>
            </w:r>
            <w:r w:rsidRPr="000C7CFA">
              <w:rPr>
                <w:rFonts w:ascii="Verdana" w:hAnsi="Verdana"/>
                <w:sz w:val="18"/>
                <w:szCs w:val="18"/>
                <w:lang w:eastAsia="en-GB"/>
              </w:rPr>
              <w:t xml:space="preserve"> </w:t>
            </w:r>
            <w:r w:rsidRPr="000C7CFA">
              <w:rPr>
                <w:rFonts w:ascii="Verdana" w:hAnsi="Verdana"/>
                <w:sz w:val="18"/>
                <w:szCs w:val="18"/>
                <w:lang w:val="en-CA" w:eastAsia="en-GB"/>
              </w:rPr>
              <w:t>sites and a reference site in an e-waste recycling region</w:t>
            </w:r>
            <w:r w:rsidRPr="000C7CFA">
              <w:rPr>
                <w:rFonts w:ascii="Verdana" w:hAnsi="Verdana"/>
                <w:sz w:val="18"/>
                <w:szCs w:val="18"/>
                <w:lang w:eastAsia="en-GB"/>
              </w:rPr>
              <w:t xml:space="preserve"> of southern</w:t>
            </w:r>
            <w:r w:rsidRPr="000C7CFA">
              <w:rPr>
                <w:rFonts w:ascii="Verdana" w:hAnsi="Verdana"/>
                <w:sz w:val="18"/>
                <w:szCs w:val="18"/>
                <w:lang w:val="en-CA" w:eastAsia="en-GB"/>
              </w:rPr>
              <w:t xml:space="preserve"> China; July 2010 </w:t>
            </w:r>
          </w:p>
        </w:tc>
        <w:tc>
          <w:tcPr>
            <w:tcW w:w="2110" w:type="dxa"/>
            <w:tcBorders>
              <w:top w:val="single" w:sz="4" w:space="0" w:color="auto"/>
              <w:left w:val="single" w:sz="4" w:space="0" w:color="auto"/>
              <w:bottom w:val="single" w:sz="4" w:space="0" w:color="auto"/>
              <w:right w:val="single" w:sz="4" w:space="0" w:color="auto"/>
            </w:tcBorders>
          </w:tcPr>
          <w:p w14:paraId="6795E6CF" w14:textId="77777777" w:rsidR="00C16F04" w:rsidRPr="000C7CFA" w:rsidRDefault="00C16F04" w:rsidP="00704CE9">
            <w:pPr>
              <w:pStyle w:val="Tabletext"/>
              <w:spacing w:before="0" w:after="0"/>
              <w:jc w:val="center"/>
              <w:rPr>
                <w:rFonts w:ascii="Verdana" w:hAnsi="Verdana"/>
                <w:sz w:val="18"/>
                <w:szCs w:val="18"/>
                <w:lang w:val="en-GB"/>
              </w:rPr>
            </w:pPr>
            <w:r w:rsidRPr="000C7CFA">
              <w:rPr>
                <w:rFonts w:ascii="Verdana" w:hAnsi="Verdana"/>
                <w:sz w:val="18"/>
                <w:szCs w:val="18"/>
                <w:lang w:val="en-GB"/>
              </w:rPr>
              <w:t>LoQ: in the range 0.08 to 6.26 µg/kg lw</w:t>
            </w:r>
          </w:p>
        </w:tc>
        <w:tc>
          <w:tcPr>
            <w:tcW w:w="2672" w:type="dxa"/>
            <w:tcBorders>
              <w:top w:val="single" w:sz="4" w:space="0" w:color="auto"/>
              <w:left w:val="single" w:sz="4" w:space="0" w:color="auto"/>
              <w:bottom w:val="single" w:sz="4" w:space="0" w:color="auto"/>
              <w:right w:val="single" w:sz="4" w:space="0" w:color="auto"/>
            </w:tcBorders>
          </w:tcPr>
          <w:p w14:paraId="7CC481B7"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color w:val="000000"/>
                <w:sz w:val="18"/>
                <w:szCs w:val="18"/>
              </w:rPr>
              <w:t>Detected in &gt;50% of samples (n=41)</w:t>
            </w:r>
          </w:p>
          <w:p w14:paraId="19B1469D" w14:textId="77777777" w:rsidR="00C16F04" w:rsidRPr="000C7CFA" w:rsidRDefault="00C16F04" w:rsidP="00704CE9">
            <w:pPr>
              <w:pStyle w:val="NoSpacing"/>
              <w:rPr>
                <w:rFonts w:ascii="Verdana" w:hAnsi="Verdana" w:cs="Times New Roman"/>
                <w:color w:val="000000"/>
                <w:sz w:val="18"/>
                <w:szCs w:val="18"/>
              </w:rPr>
            </w:pPr>
          </w:p>
          <w:p w14:paraId="40EEB5B3" w14:textId="30999DCE" w:rsidR="00C16F04" w:rsidRPr="000C7CFA" w:rsidRDefault="00C16F04" w:rsidP="002D4EB9">
            <w:pPr>
              <w:autoSpaceDE w:val="0"/>
              <w:autoSpaceDN w:val="0"/>
              <w:adjustRightInd w:val="0"/>
              <w:spacing w:after="0"/>
              <w:rPr>
                <w:rFonts w:ascii="Verdana" w:hAnsi="Verdana"/>
                <w:color w:val="000000"/>
                <w:sz w:val="18"/>
                <w:szCs w:val="18"/>
              </w:rPr>
            </w:pPr>
            <w:r w:rsidRPr="000C7CFA">
              <w:rPr>
                <w:rFonts w:ascii="Verdana" w:hAnsi="Verdana"/>
                <w:color w:val="000000"/>
                <w:sz w:val="18"/>
                <w:szCs w:val="18"/>
              </w:rPr>
              <w:t xml:space="preserve">Total isomers: site means were in the range </w:t>
            </w:r>
            <w:r w:rsidRPr="000C7CFA">
              <w:rPr>
                <w:rFonts w:ascii="Verdana" w:hAnsi="Verdana"/>
                <w:snapToGrid w:val="0"/>
                <w:sz w:val="18"/>
                <w:szCs w:val="18"/>
                <w:lang w:eastAsia="en-GB"/>
              </w:rPr>
              <w:t>124–3</w:t>
            </w:r>
            <w:r w:rsidR="002D4EB9" w:rsidRPr="000C7CFA">
              <w:rPr>
                <w:rFonts w:ascii="Verdana" w:hAnsi="Verdana"/>
                <w:snapToGrid w:val="0"/>
                <w:sz w:val="18"/>
                <w:szCs w:val="18"/>
                <w:lang w:eastAsia="en-GB"/>
              </w:rPr>
              <w:t> </w:t>
            </w:r>
            <w:r w:rsidRPr="000C7CFA">
              <w:rPr>
                <w:rFonts w:ascii="Verdana" w:hAnsi="Verdana"/>
                <w:snapToGrid w:val="0"/>
                <w:sz w:val="18"/>
                <w:szCs w:val="18"/>
                <w:lang w:eastAsia="en-GB"/>
              </w:rPr>
              <w:t>290 </w:t>
            </w:r>
            <w:r w:rsidRPr="000C7CFA">
              <w:rPr>
                <w:rFonts w:ascii="Verdana" w:hAnsi="Verdana"/>
                <w:color w:val="000000"/>
                <w:sz w:val="18"/>
                <w:szCs w:val="18"/>
              </w:rPr>
              <w:t xml:space="preserve">µg/kg </w:t>
            </w:r>
            <w:r w:rsidRPr="000C7CFA">
              <w:rPr>
                <w:rFonts w:ascii="Verdana" w:hAnsi="Verdana"/>
                <w:snapToGrid w:val="0"/>
                <w:sz w:val="18"/>
                <w:szCs w:val="18"/>
                <w:lang w:eastAsia="en-GB"/>
              </w:rPr>
              <w:t>lw</w:t>
            </w:r>
          </w:p>
        </w:tc>
        <w:tc>
          <w:tcPr>
            <w:tcW w:w="2532" w:type="dxa"/>
            <w:tcBorders>
              <w:top w:val="single" w:sz="4" w:space="0" w:color="auto"/>
              <w:left w:val="single" w:sz="4" w:space="0" w:color="auto"/>
              <w:bottom w:val="single" w:sz="4" w:space="0" w:color="auto"/>
              <w:right w:val="single" w:sz="4" w:space="0" w:color="auto"/>
            </w:tcBorders>
          </w:tcPr>
          <w:p w14:paraId="20BD6481" w14:textId="77777777" w:rsidR="00C16F04" w:rsidRPr="000C7CFA" w:rsidRDefault="00C16F04"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lang w:val="en-GB" w:eastAsia="en-GB"/>
              </w:rPr>
              <w:t xml:space="preserve">Birds were free-range. </w:t>
            </w:r>
          </w:p>
          <w:p w14:paraId="1CC55F7D" w14:textId="77777777" w:rsidR="00C16F04" w:rsidRPr="000C7CFA" w:rsidRDefault="00C16F04" w:rsidP="00704CE9">
            <w:pPr>
              <w:autoSpaceDE w:val="0"/>
              <w:autoSpaceDN w:val="0"/>
              <w:adjustRightInd w:val="0"/>
              <w:spacing w:after="0"/>
              <w:rPr>
                <w:rFonts w:ascii="Verdana" w:hAnsi="Verdana"/>
                <w:sz w:val="18"/>
                <w:szCs w:val="18"/>
                <w:lang w:val="en-GB" w:eastAsia="en-GB"/>
              </w:rPr>
            </w:pPr>
          </w:p>
          <w:p w14:paraId="5AED01D8" w14:textId="77777777" w:rsidR="00C16F04" w:rsidRPr="000C7CFA" w:rsidRDefault="00C16F04" w:rsidP="00704CE9">
            <w:pPr>
              <w:autoSpaceDE w:val="0"/>
              <w:autoSpaceDN w:val="0"/>
              <w:adjustRightInd w:val="0"/>
              <w:spacing w:after="0"/>
              <w:rPr>
                <w:rFonts w:ascii="Verdana" w:hAnsi="Verdana"/>
                <w:sz w:val="18"/>
                <w:szCs w:val="18"/>
                <w:lang w:val="en-GB"/>
              </w:rPr>
            </w:pPr>
            <w:r w:rsidRPr="000C7CFA">
              <w:rPr>
                <w:rFonts w:ascii="Verdana" w:hAnsi="Verdana"/>
                <w:sz w:val="18"/>
                <w:szCs w:val="18"/>
                <w:lang w:val="en-GB" w:eastAsia="en-GB"/>
              </w:rPr>
              <w:t>No stereoisomeric selectivity was observed.</w:t>
            </w:r>
          </w:p>
        </w:tc>
        <w:tc>
          <w:tcPr>
            <w:tcW w:w="1374" w:type="dxa"/>
            <w:tcBorders>
              <w:top w:val="single" w:sz="4" w:space="0" w:color="auto"/>
              <w:left w:val="single" w:sz="4" w:space="0" w:color="auto"/>
              <w:bottom w:val="single" w:sz="4" w:space="0" w:color="auto"/>
            </w:tcBorders>
          </w:tcPr>
          <w:p w14:paraId="516CA797" w14:textId="77777777" w:rsidR="00C16F04" w:rsidRPr="000C7CFA" w:rsidRDefault="00C16F04" w:rsidP="00704CE9">
            <w:pPr>
              <w:autoSpaceDE w:val="0"/>
              <w:autoSpaceDN w:val="0"/>
              <w:adjustRightInd w:val="0"/>
              <w:spacing w:after="0"/>
              <w:rPr>
                <w:rFonts w:ascii="Verdana" w:eastAsiaTheme="minorHAnsi" w:hAnsi="Verdana"/>
                <w:sz w:val="18"/>
                <w:szCs w:val="18"/>
                <w:lang w:val="en-GB"/>
              </w:rPr>
            </w:pPr>
            <w:r w:rsidRPr="000C7CFA">
              <w:rPr>
                <w:rFonts w:ascii="Verdana" w:hAnsi="Verdana"/>
                <w:sz w:val="18"/>
                <w:szCs w:val="18"/>
                <w:lang w:eastAsia="en-GB"/>
              </w:rPr>
              <w:t xml:space="preserve">Zheng </w:t>
            </w:r>
            <w:r w:rsidRPr="000C7CFA">
              <w:rPr>
                <w:rFonts w:ascii="Verdana" w:hAnsi="Verdana"/>
                <w:i/>
                <w:sz w:val="18"/>
                <w:szCs w:val="18"/>
                <w:lang w:eastAsia="en-GB"/>
              </w:rPr>
              <w:t>et al</w:t>
            </w:r>
            <w:r w:rsidRPr="000C7CFA">
              <w:rPr>
                <w:rFonts w:ascii="Verdana" w:hAnsi="Verdana"/>
                <w:sz w:val="18"/>
                <w:szCs w:val="18"/>
                <w:lang w:eastAsia="en-GB"/>
              </w:rPr>
              <w:t>. (2012)</w:t>
            </w:r>
          </w:p>
        </w:tc>
      </w:tr>
      <w:tr w:rsidR="00C16F04" w:rsidRPr="000C7CFA" w14:paraId="38A075EB" w14:textId="77777777" w:rsidTr="000A1A05">
        <w:trPr>
          <w:trHeight w:val="787"/>
        </w:trPr>
        <w:tc>
          <w:tcPr>
            <w:tcW w:w="1913" w:type="dxa"/>
            <w:tcBorders>
              <w:top w:val="single" w:sz="4" w:space="0" w:color="auto"/>
              <w:bottom w:val="nil"/>
              <w:right w:val="single" w:sz="4" w:space="0" w:color="auto"/>
            </w:tcBorders>
          </w:tcPr>
          <w:p w14:paraId="7A5F0838" w14:textId="77777777" w:rsidR="00C16F04" w:rsidRPr="000C7CFA" w:rsidRDefault="00C16F04" w:rsidP="00704CE9">
            <w:pPr>
              <w:autoSpaceDE w:val="0"/>
              <w:autoSpaceDN w:val="0"/>
              <w:adjustRightInd w:val="0"/>
              <w:spacing w:after="0"/>
              <w:rPr>
                <w:rFonts w:ascii="Verdana" w:hAnsi="Verdana"/>
                <w:sz w:val="18"/>
                <w:szCs w:val="18"/>
                <w:lang w:val="en-GB" w:eastAsia="en-GB"/>
              </w:rPr>
            </w:pPr>
            <w:r w:rsidRPr="000C7CFA">
              <w:rPr>
                <w:rFonts w:ascii="Verdana" w:hAnsi="Verdana"/>
                <w:color w:val="222222"/>
                <w:sz w:val="18"/>
                <w:szCs w:val="18"/>
              </w:rPr>
              <w:lastRenderedPageBreak/>
              <w:t>European Starling (</w:t>
            </w:r>
            <w:r w:rsidRPr="000C7CFA">
              <w:rPr>
                <w:rStyle w:val="Emphasis"/>
                <w:rFonts w:ascii="Verdana" w:hAnsi="Verdana"/>
                <w:color w:val="222222"/>
                <w:sz w:val="18"/>
                <w:szCs w:val="18"/>
              </w:rPr>
              <w:t>Sturnus vulgaris</w:t>
            </w:r>
            <w:r w:rsidRPr="000C7CFA">
              <w:rPr>
                <w:rFonts w:ascii="Verdana" w:hAnsi="Verdana"/>
                <w:color w:val="222222"/>
                <w:sz w:val="18"/>
                <w:szCs w:val="18"/>
              </w:rPr>
              <w:t>)</w:t>
            </w:r>
          </w:p>
        </w:tc>
        <w:tc>
          <w:tcPr>
            <w:tcW w:w="1083" w:type="dxa"/>
            <w:tcBorders>
              <w:top w:val="single" w:sz="4" w:space="0" w:color="auto"/>
              <w:left w:val="single" w:sz="4" w:space="0" w:color="auto"/>
              <w:bottom w:val="nil"/>
              <w:right w:val="single" w:sz="4" w:space="0" w:color="auto"/>
            </w:tcBorders>
          </w:tcPr>
          <w:p w14:paraId="2ACB4F9F" w14:textId="77777777" w:rsidR="00C16F04" w:rsidRPr="000C7CFA" w:rsidRDefault="00C16F04" w:rsidP="00704CE9">
            <w:pPr>
              <w:pStyle w:val="Tabletext"/>
              <w:spacing w:before="0" w:after="0"/>
              <w:rPr>
                <w:rFonts w:ascii="Verdana" w:hAnsi="Verdana"/>
                <w:sz w:val="18"/>
                <w:szCs w:val="18"/>
                <w:lang w:val="en-GB" w:eastAsia="en-GB"/>
              </w:rPr>
            </w:pPr>
            <w:r w:rsidRPr="000C7CFA">
              <w:rPr>
                <w:rFonts w:ascii="Verdana" w:hAnsi="Verdana"/>
                <w:sz w:val="18"/>
                <w:szCs w:val="18"/>
                <w:lang w:val="en-GB" w:eastAsia="en-GB"/>
              </w:rPr>
              <w:t>Egg</w:t>
            </w:r>
          </w:p>
        </w:tc>
        <w:tc>
          <w:tcPr>
            <w:tcW w:w="2350" w:type="dxa"/>
            <w:tcBorders>
              <w:top w:val="single" w:sz="4" w:space="0" w:color="auto"/>
              <w:left w:val="single" w:sz="4" w:space="0" w:color="auto"/>
              <w:bottom w:val="nil"/>
              <w:right w:val="single" w:sz="4" w:space="0" w:color="auto"/>
            </w:tcBorders>
          </w:tcPr>
          <w:p w14:paraId="54BA433A" w14:textId="77777777" w:rsidR="00C16F04" w:rsidRPr="000C7CFA" w:rsidRDefault="00C16F04" w:rsidP="00704CE9">
            <w:pPr>
              <w:pStyle w:val="Tabletext"/>
              <w:spacing w:before="0" w:after="0"/>
              <w:rPr>
                <w:rFonts w:ascii="Verdana" w:hAnsi="Verdana"/>
                <w:sz w:val="18"/>
                <w:szCs w:val="18"/>
                <w:lang w:val="en-CA" w:eastAsia="en-GB"/>
              </w:rPr>
            </w:pPr>
            <w:r w:rsidRPr="000C7CFA">
              <w:rPr>
                <w:rFonts w:ascii="Verdana" w:hAnsi="Verdana"/>
                <w:sz w:val="18"/>
                <w:szCs w:val="18"/>
              </w:rPr>
              <w:t>Samples collected during 2008 from Grimsby, Niagara-on-the-Lake, St. George and Tillsonburg, Ontario, Canada (10 eggs in 3 pools for each location)</w:t>
            </w:r>
          </w:p>
        </w:tc>
        <w:tc>
          <w:tcPr>
            <w:tcW w:w="2110" w:type="dxa"/>
            <w:tcBorders>
              <w:top w:val="single" w:sz="4" w:space="0" w:color="auto"/>
              <w:left w:val="single" w:sz="4" w:space="0" w:color="auto"/>
              <w:bottom w:val="nil"/>
              <w:right w:val="single" w:sz="4" w:space="0" w:color="auto"/>
            </w:tcBorders>
          </w:tcPr>
          <w:p w14:paraId="08B1F851" w14:textId="77777777" w:rsidR="00C16F04" w:rsidRPr="000C7CFA" w:rsidRDefault="00C16F04" w:rsidP="00704CE9">
            <w:pPr>
              <w:spacing w:after="0"/>
              <w:rPr>
                <w:rFonts w:ascii="Verdana" w:hAnsi="Verdana"/>
                <w:sz w:val="18"/>
                <w:szCs w:val="18"/>
              </w:rPr>
            </w:pPr>
            <w:r w:rsidRPr="000C7CFA">
              <w:rPr>
                <w:rFonts w:ascii="Verdana" w:hAnsi="Verdana"/>
                <w:sz w:val="18"/>
                <w:szCs w:val="18"/>
              </w:rPr>
              <w:t>Exact value not stated (in the range  0.01-0.78)</w:t>
            </w:r>
          </w:p>
          <w:p w14:paraId="2E8FF2A6" w14:textId="77777777" w:rsidR="00C16F04" w:rsidRPr="000C7CFA" w:rsidRDefault="00C16F04" w:rsidP="00704CE9">
            <w:pPr>
              <w:pStyle w:val="Tabletext"/>
              <w:spacing w:before="0" w:after="0"/>
              <w:jc w:val="center"/>
              <w:rPr>
                <w:rFonts w:ascii="Verdana" w:hAnsi="Verdana"/>
                <w:sz w:val="18"/>
                <w:szCs w:val="18"/>
                <w:lang w:val="en-GB"/>
              </w:rPr>
            </w:pPr>
          </w:p>
        </w:tc>
        <w:tc>
          <w:tcPr>
            <w:tcW w:w="2672" w:type="dxa"/>
            <w:tcBorders>
              <w:top w:val="single" w:sz="4" w:space="0" w:color="auto"/>
              <w:left w:val="single" w:sz="4" w:space="0" w:color="auto"/>
              <w:bottom w:val="nil"/>
              <w:right w:val="single" w:sz="4" w:space="0" w:color="auto"/>
            </w:tcBorders>
          </w:tcPr>
          <w:p w14:paraId="635C9F1F" w14:textId="77777777" w:rsidR="00C16F04" w:rsidRPr="000C7CFA" w:rsidRDefault="00C16F04" w:rsidP="00704CE9">
            <w:pPr>
              <w:spacing w:after="0"/>
              <w:rPr>
                <w:rFonts w:ascii="Verdana" w:eastAsiaTheme="minorHAnsi" w:hAnsi="Verdana"/>
                <w:sz w:val="18"/>
                <w:szCs w:val="18"/>
              </w:rPr>
            </w:pPr>
            <w:r w:rsidRPr="000C7CFA">
              <w:rPr>
                <w:rFonts w:ascii="Verdana" w:hAnsi="Verdana"/>
                <w:sz w:val="18"/>
                <w:szCs w:val="18"/>
              </w:rPr>
              <w:t>Anti-DP: &lt;0.2-6.0</w:t>
            </w:r>
            <w:r w:rsidRPr="000C7CFA">
              <w:rPr>
                <w:rFonts w:ascii="Verdana" w:hAnsi="Verdana"/>
                <w:color w:val="000000"/>
                <w:sz w:val="18"/>
                <w:szCs w:val="18"/>
                <w:lang w:val="en-GB"/>
              </w:rPr>
              <w:t xml:space="preserve"> µg/kg </w:t>
            </w:r>
            <w:r w:rsidRPr="000C7CFA">
              <w:rPr>
                <w:rFonts w:ascii="Verdana" w:hAnsi="Verdana"/>
                <w:sz w:val="18"/>
                <w:szCs w:val="18"/>
                <w:lang w:val="en-GB"/>
              </w:rPr>
              <w:t xml:space="preserve">ww at </w:t>
            </w:r>
            <w:r w:rsidRPr="000C7CFA">
              <w:rPr>
                <w:rFonts w:ascii="Verdana" w:hAnsi="Verdana"/>
                <w:sz w:val="18"/>
                <w:szCs w:val="18"/>
              </w:rPr>
              <w:t>Niagara-on-the-Lake, &lt;LoQ-0.2 </w:t>
            </w:r>
            <w:r w:rsidRPr="000C7CFA">
              <w:rPr>
                <w:rFonts w:ascii="Verdana" w:hAnsi="Verdana"/>
                <w:color w:val="000000"/>
                <w:sz w:val="18"/>
                <w:szCs w:val="18"/>
                <w:lang w:val="en-GB"/>
              </w:rPr>
              <w:t xml:space="preserve">µg/kg </w:t>
            </w:r>
            <w:r w:rsidRPr="000C7CFA">
              <w:rPr>
                <w:rFonts w:ascii="Verdana" w:hAnsi="Verdana"/>
                <w:sz w:val="18"/>
                <w:szCs w:val="18"/>
                <w:lang w:val="en-GB"/>
              </w:rPr>
              <w:t xml:space="preserve">ww at </w:t>
            </w:r>
            <w:r w:rsidRPr="000C7CFA">
              <w:rPr>
                <w:rFonts w:ascii="Verdana" w:hAnsi="Verdana"/>
                <w:sz w:val="18"/>
                <w:szCs w:val="18"/>
              </w:rPr>
              <w:t>Grimsby, not detected at St. George or Tillsonburg.</w:t>
            </w:r>
          </w:p>
          <w:p w14:paraId="735159C6" w14:textId="77777777" w:rsidR="00C16F04" w:rsidRPr="000C7CFA" w:rsidRDefault="00C16F04" w:rsidP="00704CE9">
            <w:pPr>
              <w:spacing w:after="0"/>
              <w:rPr>
                <w:rFonts w:ascii="Verdana" w:hAnsi="Verdana"/>
                <w:sz w:val="18"/>
                <w:szCs w:val="18"/>
              </w:rPr>
            </w:pPr>
          </w:p>
          <w:p w14:paraId="12EE0841" w14:textId="77777777" w:rsidR="00C16F04" w:rsidRPr="000C7CFA" w:rsidRDefault="00C16F04" w:rsidP="00704CE9">
            <w:pPr>
              <w:pStyle w:val="NoSpacing"/>
              <w:rPr>
                <w:rFonts w:ascii="Verdana" w:hAnsi="Verdana" w:cs="Times New Roman"/>
                <w:color w:val="000000"/>
                <w:sz w:val="18"/>
                <w:szCs w:val="18"/>
              </w:rPr>
            </w:pPr>
            <w:r w:rsidRPr="000C7CFA">
              <w:rPr>
                <w:rFonts w:ascii="Verdana" w:hAnsi="Verdana" w:cs="Times New Roman"/>
                <w:sz w:val="18"/>
                <w:szCs w:val="18"/>
              </w:rPr>
              <w:t>Syn-DP: &lt;LoD at all sites except Niagara-on-the-Lake (where maximum concentration was 4.0</w:t>
            </w:r>
            <w:r w:rsidRPr="000C7CFA">
              <w:rPr>
                <w:rFonts w:ascii="Verdana" w:hAnsi="Verdana" w:cs="Times New Roman"/>
                <w:color w:val="000000"/>
                <w:sz w:val="18"/>
                <w:szCs w:val="18"/>
              </w:rPr>
              <w:t xml:space="preserve"> µg/kg </w:t>
            </w:r>
            <w:r w:rsidRPr="000C7CFA">
              <w:rPr>
                <w:rFonts w:ascii="Verdana" w:hAnsi="Verdana" w:cs="Times New Roman"/>
                <w:sz w:val="18"/>
                <w:szCs w:val="18"/>
              </w:rPr>
              <w:t>ww).</w:t>
            </w:r>
          </w:p>
        </w:tc>
        <w:tc>
          <w:tcPr>
            <w:tcW w:w="2532" w:type="dxa"/>
            <w:tcBorders>
              <w:top w:val="single" w:sz="4" w:space="0" w:color="auto"/>
              <w:left w:val="single" w:sz="4" w:space="0" w:color="auto"/>
              <w:bottom w:val="nil"/>
              <w:right w:val="single" w:sz="4" w:space="0" w:color="auto"/>
            </w:tcBorders>
          </w:tcPr>
          <w:p w14:paraId="50BF5AE3" w14:textId="77777777" w:rsidR="00C16F04" w:rsidRPr="000C7CFA" w:rsidRDefault="00C16F04" w:rsidP="00704CE9">
            <w:pPr>
              <w:autoSpaceDE w:val="0"/>
              <w:autoSpaceDN w:val="0"/>
              <w:adjustRightInd w:val="0"/>
              <w:spacing w:after="0"/>
              <w:rPr>
                <w:rFonts w:ascii="Verdana" w:hAnsi="Verdana"/>
                <w:sz w:val="18"/>
                <w:szCs w:val="18"/>
                <w:lang w:val="en-GB" w:eastAsia="en-GB"/>
              </w:rPr>
            </w:pPr>
            <w:r w:rsidRPr="000C7CFA">
              <w:rPr>
                <w:rFonts w:ascii="Verdana" w:hAnsi="Verdana"/>
                <w:color w:val="222222"/>
                <w:sz w:val="18"/>
                <w:szCs w:val="18"/>
              </w:rPr>
              <w:t>Niagara-on-the-Lake is approximately 15 km from the only North American manufacturing site.</w:t>
            </w:r>
          </w:p>
        </w:tc>
        <w:tc>
          <w:tcPr>
            <w:tcW w:w="1374" w:type="dxa"/>
            <w:tcBorders>
              <w:top w:val="single" w:sz="4" w:space="0" w:color="auto"/>
              <w:left w:val="single" w:sz="4" w:space="0" w:color="auto"/>
              <w:bottom w:val="nil"/>
            </w:tcBorders>
          </w:tcPr>
          <w:p w14:paraId="580E95EC" w14:textId="77777777" w:rsidR="00C16F04" w:rsidRPr="000C7CFA" w:rsidRDefault="00C16F04" w:rsidP="00704CE9">
            <w:pPr>
              <w:pStyle w:val="NormalWeb"/>
              <w:spacing w:before="0" w:beforeAutospacing="0" w:after="120" w:afterAutospacing="0"/>
              <w:rPr>
                <w:rFonts w:ascii="Verdana" w:hAnsi="Verdana"/>
                <w:sz w:val="18"/>
                <w:szCs w:val="18"/>
              </w:rPr>
            </w:pPr>
            <w:r w:rsidRPr="000C7CFA">
              <w:rPr>
                <w:rFonts w:ascii="Verdana" w:hAnsi="Verdana"/>
                <w:sz w:val="18"/>
                <w:szCs w:val="18"/>
              </w:rPr>
              <w:t xml:space="preserve">Chen </w:t>
            </w:r>
            <w:r w:rsidRPr="000C7CFA">
              <w:rPr>
                <w:rFonts w:ascii="Verdana" w:hAnsi="Verdana"/>
                <w:i/>
                <w:sz w:val="18"/>
                <w:szCs w:val="18"/>
              </w:rPr>
              <w:t>et al</w:t>
            </w:r>
            <w:r w:rsidRPr="000C7CFA">
              <w:rPr>
                <w:rFonts w:ascii="Verdana" w:hAnsi="Verdana"/>
                <w:sz w:val="18"/>
                <w:szCs w:val="18"/>
              </w:rPr>
              <w:t>. (2012a)</w:t>
            </w:r>
          </w:p>
          <w:p w14:paraId="429A684F" w14:textId="77777777" w:rsidR="00C16F04" w:rsidRPr="000C7CFA" w:rsidRDefault="00C16F04" w:rsidP="00704CE9">
            <w:pPr>
              <w:autoSpaceDE w:val="0"/>
              <w:autoSpaceDN w:val="0"/>
              <w:adjustRightInd w:val="0"/>
              <w:spacing w:after="0"/>
              <w:rPr>
                <w:rFonts w:ascii="Verdana" w:hAnsi="Verdana"/>
                <w:sz w:val="18"/>
                <w:szCs w:val="18"/>
                <w:lang w:eastAsia="en-GB"/>
              </w:rPr>
            </w:pPr>
          </w:p>
        </w:tc>
      </w:tr>
      <w:tr w:rsidR="00C16F04" w:rsidRPr="000C7CFA" w14:paraId="1EA109A9" w14:textId="77777777" w:rsidTr="000A1A05">
        <w:trPr>
          <w:trHeight w:val="787"/>
        </w:trPr>
        <w:tc>
          <w:tcPr>
            <w:tcW w:w="1913" w:type="dxa"/>
            <w:tcBorders>
              <w:top w:val="nil"/>
              <w:bottom w:val="single" w:sz="4" w:space="0" w:color="auto"/>
              <w:right w:val="single" w:sz="4" w:space="0" w:color="auto"/>
            </w:tcBorders>
          </w:tcPr>
          <w:p w14:paraId="7ED87C54" w14:textId="77777777" w:rsidR="00C16F04" w:rsidRPr="000C7CFA" w:rsidRDefault="00C16F04" w:rsidP="00704CE9">
            <w:pPr>
              <w:autoSpaceDE w:val="0"/>
              <w:autoSpaceDN w:val="0"/>
              <w:adjustRightInd w:val="0"/>
              <w:spacing w:after="0"/>
              <w:rPr>
                <w:rFonts w:ascii="Verdana" w:hAnsi="Verdana"/>
                <w:sz w:val="18"/>
                <w:szCs w:val="18"/>
                <w:lang w:val="en-GB" w:eastAsia="en-GB"/>
              </w:rPr>
            </w:pPr>
            <w:r w:rsidRPr="000C7CFA">
              <w:rPr>
                <w:rFonts w:ascii="Verdana" w:hAnsi="Verdana"/>
                <w:color w:val="222222"/>
                <w:sz w:val="18"/>
                <w:szCs w:val="18"/>
              </w:rPr>
              <w:t>European Starling (</w:t>
            </w:r>
            <w:r w:rsidRPr="000C7CFA">
              <w:rPr>
                <w:rStyle w:val="Emphasis"/>
                <w:rFonts w:ascii="Verdana" w:hAnsi="Verdana"/>
                <w:color w:val="222222"/>
                <w:sz w:val="18"/>
                <w:szCs w:val="18"/>
              </w:rPr>
              <w:t>Sturnus vulgaris</w:t>
            </w:r>
            <w:r w:rsidRPr="000C7CFA">
              <w:rPr>
                <w:rFonts w:ascii="Verdana" w:hAnsi="Verdana"/>
                <w:color w:val="222222"/>
                <w:sz w:val="18"/>
                <w:szCs w:val="18"/>
              </w:rPr>
              <w:t>)</w:t>
            </w:r>
          </w:p>
        </w:tc>
        <w:tc>
          <w:tcPr>
            <w:tcW w:w="1083" w:type="dxa"/>
            <w:tcBorders>
              <w:top w:val="nil"/>
              <w:left w:val="single" w:sz="4" w:space="0" w:color="auto"/>
              <w:bottom w:val="single" w:sz="4" w:space="0" w:color="auto"/>
              <w:right w:val="single" w:sz="4" w:space="0" w:color="auto"/>
            </w:tcBorders>
          </w:tcPr>
          <w:p w14:paraId="5226990D" w14:textId="77777777" w:rsidR="00C16F04" w:rsidRPr="000C7CFA" w:rsidRDefault="00C16F04" w:rsidP="00704CE9">
            <w:pPr>
              <w:pStyle w:val="Tabletext"/>
              <w:spacing w:before="0" w:after="0"/>
              <w:rPr>
                <w:rFonts w:ascii="Verdana" w:hAnsi="Verdana"/>
                <w:sz w:val="18"/>
                <w:szCs w:val="18"/>
                <w:lang w:val="en-GB" w:eastAsia="en-GB"/>
              </w:rPr>
            </w:pPr>
            <w:r w:rsidRPr="000C7CFA">
              <w:rPr>
                <w:rFonts w:ascii="Verdana" w:hAnsi="Verdana"/>
                <w:sz w:val="18"/>
                <w:szCs w:val="18"/>
                <w:lang w:val="en-GB" w:eastAsia="en-GB"/>
              </w:rPr>
              <w:t>Egg</w:t>
            </w:r>
          </w:p>
        </w:tc>
        <w:tc>
          <w:tcPr>
            <w:tcW w:w="2350" w:type="dxa"/>
            <w:tcBorders>
              <w:top w:val="nil"/>
              <w:left w:val="single" w:sz="4" w:space="0" w:color="auto"/>
              <w:bottom w:val="single" w:sz="4" w:space="0" w:color="auto"/>
              <w:right w:val="single" w:sz="4" w:space="0" w:color="auto"/>
            </w:tcBorders>
          </w:tcPr>
          <w:p w14:paraId="2DCA6F5A" w14:textId="77777777" w:rsidR="00C16F04" w:rsidRPr="000C7CFA" w:rsidRDefault="00C16F04" w:rsidP="00704CE9">
            <w:pPr>
              <w:pStyle w:val="Tabletext"/>
              <w:spacing w:before="0" w:after="0"/>
              <w:rPr>
                <w:rFonts w:ascii="Verdana" w:hAnsi="Verdana"/>
                <w:sz w:val="18"/>
                <w:szCs w:val="18"/>
                <w:lang w:val="en-CA" w:eastAsia="en-GB"/>
              </w:rPr>
            </w:pPr>
            <w:r w:rsidRPr="000C7CFA">
              <w:rPr>
                <w:rFonts w:ascii="Verdana" w:hAnsi="Verdana"/>
                <w:sz w:val="18"/>
                <w:szCs w:val="18"/>
              </w:rPr>
              <w:t>Samples collected during 2009, 2010 and 2011 in the vicinity of five Canadian cities: Vancouver, British Columbia (3 sites); Calgary, Alberta (5 sites); Hamilton, Ontario (6 sites); Montréal, Québec (4 sites); and Halifax, Nova Scotia (3 sites), covering several land use types (districts of industrial activity within city limits, landfill sites and rural agricultural sites, as well as a non-urban national reference site).</w:t>
            </w:r>
          </w:p>
        </w:tc>
        <w:tc>
          <w:tcPr>
            <w:tcW w:w="2110" w:type="dxa"/>
            <w:tcBorders>
              <w:top w:val="nil"/>
              <w:left w:val="single" w:sz="4" w:space="0" w:color="auto"/>
              <w:bottom w:val="single" w:sz="4" w:space="0" w:color="auto"/>
              <w:right w:val="single" w:sz="4" w:space="0" w:color="auto"/>
            </w:tcBorders>
          </w:tcPr>
          <w:p w14:paraId="4A1E8B30" w14:textId="77777777" w:rsidR="00C16F04" w:rsidRPr="000C7CFA" w:rsidRDefault="00C16F04" w:rsidP="00704CE9">
            <w:pPr>
              <w:pStyle w:val="Tabletext"/>
              <w:spacing w:before="0" w:after="0"/>
              <w:jc w:val="center"/>
              <w:rPr>
                <w:rFonts w:ascii="Verdana" w:hAnsi="Verdana"/>
                <w:sz w:val="18"/>
                <w:szCs w:val="18"/>
                <w:lang w:val="en-GB"/>
              </w:rPr>
            </w:pPr>
            <w:r w:rsidRPr="000C7CFA">
              <w:rPr>
                <w:rFonts w:ascii="Verdana" w:eastAsia="Calibri" w:hAnsi="Verdana"/>
                <w:sz w:val="18"/>
                <w:szCs w:val="18"/>
                <w:lang w:val="en-GB"/>
              </w:rPr>
              <w:t>Not stated</w:t>
            </w:r>
          </w:p>
        </w:tc>
        <w:tc>
          <w:tcPr>
            <w:tcW w:w="2672" w:type="dxa"/>
            <w:tcBorders>
              <w:top w:val="nil"/>
              <w:left w:val="single" w:sz="4" w:space="0" w:color="auto"/>
              <w:bottom w:val="single" w:sz="4" w:space="0" w:color="auto"/>
              <w:right w:val="single" w:sz="4" w:space="0" w:color="auto"/>
            </w:tcBorders>
          </w:tcPr>
          <w:p w14:paraId="10CE92D2" w14:textId="42D089C3" w:rsidR="00C16F04" w:rsidRPr="000C7CFA" w:rsidRDefault="00C16F04" w:rsidP="00704CE9">
            <w:pPr>
              <w:tabs>
                <w:tab w:val="left" w:pos="5150"/>
              </w:tabs>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Detectable in 4</w:t>
            </w:r>
            <w:r w:rsidR="00AF7606" w:rsidRPr="000C7CFA">
              <w:rPr>
                <w:rFonts w:ascii="Verdana" w:eastAsiaTheme="minorHAnsi" w:hAnsi="Verdana"/>
                <w:sz w:val="18"/>
                <w:szCs w:val="18"/>
                <w:lang w:val="en-GB"/>
              </w:rPr>
              <w:t>1 %</w:t>
            </w:r>
            <w:r w:rsidRPr="000C7CFA">
              <w:rPr>
                <w:rFonts w:ascii="Verdana" w:eastAsiaTheme="minorHAnsi" w:hAnsi="Verdana"/>
                <w:sz w:val="18"/>
                <w:szCs w:val="18"/>
                <w:lang w:val="en-GB"/>
              </w:rPr>
              <w:t xml:space="preserve"> of the examined egg pool homogenates (representing up to 10 eggs from each site and year), with concentrations (total isomers) up to 24 </w:t>
            </w:r>
            <w:r w:rsidRPr="000C7CFA">
              <w:rPr>
                <w:rFonts w:ascii="Verdana" w:hAnsi="Verdana"/>
                <w:color w:val="000000"/>
                <w:sz w:val="18"/>
                <w:szCs w:val="18"/>
                <w:lang w:val="en-GB"/>
              </w:rPr>
              <w:t xml:space="preserve">µg/kg </w:t>
            </w:r>
            <w:r w:rsidRPr="000C7CFA">
              <w:rPr>
                <w:rFonts w:ascii="Verdana" w:hAnsi="Verdana"/>
                <w:sz w:val="18"/>
                <w:szCs w:val="18"/>
                <w:lang w:val="en-GB"/>
              </w:rPr>
              <w:t>ww</w:t>
            </w:r>
            <w:r w:rsidRPr="000C7CFA">
              <w:rPr>
                <w:rFonts w:ascii="Verdana" w:eastAsiaTheme="minorHAnsi" w:hAnsi="Verdana"/>
                <w:sz w:val="18"/>
                <w:szCs w:val="18"/>
                <w:lang w:val="en-GB"/>
              </w:rPr>
              <w:t xml:space="preserve">. </w:t>
            </w:r>
          </w:p>
          <w:p w14:paraId="5FE348B8" w14:textId="77777777" w:rsidR="00C16F04" w:rsidRPr="000C7CFA" w:rsidRDefault="00C16F04" w:rsidP="00704CE9">
            <w:pPr>
              <w:tabs>
                <w:tab w:val="left" w:pos="5150"/>
              </w:tabs>
              <w:autoSpaceDE w:val="0"/>
              <w:autoSpaceDN w:val="0"/>
              <w:adjustRightInd w:val="0"/>
              <w:spacing w:after="0"/>
              <w:rPr>
                <w:rFonts w:ascii="Verdana" w:eastAsiaTheme="minorHAnsi" w:hAnsi="Verdana"/>
                <w:sz w:val="18"/>
                <w:szCs w:val="18"/>
                <w:lang w:val="en-GB"/>
              </w:rPr>
            </w:pPr>
          </w:p>
          <w:p w14:paraId="2D69B128" w14:textId="77777777" w:rsidR="00C16F04" w:rsidRPr="000C7CFA" w:rsidRDefault="00C16F04" w:rsidP="00704CE9">
            <w:pPr>
              <w:tabs>
                <w:tab w:val="left" w:pos="5150"/>
              </w:tabs>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At the 16 sites for which median concentrations could be derived, the median was in the range 0.1 – 2.2</w:t>
            </w:r>
            <w:r w:rsidRPr="000C7CFA">
              <w:rPr>
                <w:rFonts w:ascii="Verdana" w:hAnsi="Verdana"/>
                <w:color w:val="000000"/>
                <w:sz w:val="18"/>
                <w:szCs w:val="18"/>
                <w:lang w:val="en-GB"/>
              </w:rPr>
              <w:t xml:space="preserve"> µg/kg </w:t>
            </w:r>
            <w:r w:rsidRPr="000C7CFA">
              <w:rPr>
                <w:rFonts w:ascii="Verdana" w:hAnsi="Verdana"/>
                <w:sz w:val="18"/>
                <w:szCs w:val="18"/>
                <w:lang w:val="en-GB"/>
              </w:rPr>
              <w:t>ww</w:t>
            </w:r>
            <w:r w:rsidRPr="000C7CFA">
              <w:rPr>
                <w:rFonts w:ascii="Verdana" w:eastAsiaTheme="minorHAnsi" w:hAnsi="Verdana"/>
                <w:sz w:val="18"/>
                <w:szCs w:val="18"/>
                <w:lang w:val="en-GB"/>
              </w:rPr>
              <w:t>.</w:t>
            </w:r>
          </w:p>
          <w:p w14:paraId="4ABE1E1A" w14:textId="77777777" w:rsidR="00C16F04" w:rsidRPr="000C7CFA" w:rsidRDefault="00C16F04" w:rsidP="00704CE9">
            <w:pPr>
              <w:tabs>
                <w:tab w:val="left" w:pos="5150"/>
              </w:tabs>
              <w:autoSpaceDE w:val="0"/>
              <w:autoSpaceDN w:val="0"/>
              <w:adjustRightInd w:val="0"/>
              <w:spacing w:after="0"/>
              <w:rPr>
                <w:rFonts w:ascii="Verdana" w:eastAsiaTheme="minorHAnsi" w:hAnsi="Verdana"/>
                <w:sz w:val="18"/>
                <w:szCs w:val="18"/>
                <w:lang w:val="en-GB"/>
              </w:rPr>
            </w:pPr>
          </w:p>
          <w:p w14:paraId="7A95ABBA" w14:textId="77777777" w:rsidR="00C16F04" w:rsidRPr="000C7CFA" w:rsidRDefault="00C16F04" w:rsidP="00704CE9">
            <w:pPr>
              <w:tabs>
                <w:tab w:val="left" w:pos="5150"/>
              </w:tabs>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The mean</w:t>
            </w:r>
            <w:r w:rsidRPr="000C7CFA">
              <w:rPr>
                <w:rFonts w:ascii="Verdana" w:hAnsi="Verdana"/>
                <w:sz w:val="18"/>
                <w:szCs w:val="18"/>
              </w:rPr>
              <w:t xml:space="preserve"> f</w:t>
            </w:r>
            <w:r w:rsidRPr="000C7CFA">
              <w:rPr>
                <w:rFonts w:ascii="Verdana" w:hAnsi="Verdana"/>
                <w:sz w:val="18"/>
                <w:szCs w:val="18"/>
                <w:vertAlign w:val="subscript"/>
              </w:rPr>
              <w:t>anti</w:t>
            </w:r>
            <w:r w:rsidRPr="000C7CFA">
              <w:rPr>
                <w:rFonts w:ascii="Verdana" w:hAnsi="Verdana"/>
                <w:sz w:val="18"/>
                <w:szCs w:val="18"/>
              </w:rPr>
              <w:t xml:space="preserve"> was 0.80 (</w:t>
            </w:r>
            <w:r w:rsidRPr="000C7CFA">
              <w:rPr>
                <w:rFonts w:ascii="Verdana" w:eastAsiaTheme="minorHAnsi" w:hAnsi="Verdana"/>
                <w:sz w:val="18"/>
                <w:szCs w:val="18"/>
                <w:lang w:val="en-GB"/>
              </w:rPr>
              <w:t>range: 0.30 – 0.91).</w:t>
            </w:r>
          </w:p>
          <w:p w14:paraId="5AE9E811" w14:textId="77777777" w:rsidR="00C16F04" w:rsidRPr="000C7CFA" w:rsidRDefault="00C16F04" w:rsidP="00704CE9">
            <w:pPr>
              <w:pStyle w:val="NoSpacing"/>
              <w:rPr>
                <w:rFonts w:ascii="Verdana" w:hAnsi="Verdana" w:cs="Times New Roman"/>
                <w:color w:val="000000"/>
                <w:sz w:val="18"/>
                <w:szCs w:val="18"/>
              </w:rPr>
            </w:pPr>
          </w:p>
        </w:tc>
        <w:tc>
          <w:tcPr>
            <w:tcW w:w="2532" w:type="dxa"/>
            <w:tcBorders>
              <w:top w:val="nil"/>
              <w:left w:val="single" w:sz="4" w:space="0" w:color="auto"/>
              <w:bottom w:val="single" w:sz="4" w:space="0" w:color="auto"/>
              <w:right w:val="single" w:sz="4" w:space="0" w:color="auto"/>
            </w:tcBorders>
          </w:tcPr>
          <w:p w14:paraId="5A78CAC9" w14:textId="77777777" w:rsidR="00C16F04" w:rsidRPr="000C7CFA" w:rsidRDefault="00C16F04" w:rsidP="00704CE9">
            <w:pPr>
              <w:autoSpaceDE w:val="0"/>
              <w:autoSpaceDN w:val="0"/>
              <w:adjustRightInd w:val="0"/>
              <w:spacing w:after="0"/>
              <w:rPr>
                <w:rFonts w:ascii="Verdana" w:hAnsi="Verdana"/>
                <w:sz w:val="18"/>
                <w:szCs w:val="18"/>
              </w:rPr>
            </w:pPr>
            <w:r w:rsidRPr="000C7CFA">
              <w:rPr>
                <w:rFonts w:ascii="Verdana" w:hAnsi="Verdana"/>
                <w:sz w:val="18"/>
                <w:szCs w:val="18"/>
              </w:rPr>
              <w:t>Analysis was by GC-MS.</w:t>
            </w:r>
          </w:p>
          <w:p w14:paraId="67086F76" w14:textId="77777777" w:rsidR="00C16F04" w:rsidRPr="000C7CFA" w:rsidRDefault="00C16F04" w:rsidP="00704CE9">
            <w:pPr>
              <w:autoSpaceDE w:val="0"/>
              <w:autoSpaceDN w:val="0"/>
              <w:adjustRightInd w:val="0"/>
              <w:spacing w:after="0"/>
              <w:rPr>
                <w:rFonts w:ascii="Verdana" w:hAnsi="Verdana"/>
                <w:sz w:val="18"/>
                <w:szCs w:val="18"/>
              </w:rPr>
            </w:pPr>
          </w:p>
          <w:p w14:paraId="49A8F807" w14:textId="77777777" w:rsidR="00C16F04" w:rsidRPr="000C7CFA" w:rsidRDefault="00C16F04" w:rsidP="00704CE9">
            <w:pPr>
              <w:autoSpaceDE w:val="0"/>
              <w:autoSpaceDN w:val="0"/>
              <w:adjustRightInd w:val="0"/>
              <w:spacing w:after="0"/>
              <w:rPr>
                <w:rFonts w:ascii="Verdana" w:hAnsi="Verdana"/>
                <w:sz w:val="18"/>
                <w:szCs w:val="18"/>
                <w:lang w:val="en-GB" w:eastAsia="en-GB"/>
              </w:rPr>
            </w:pPr>
            <w:r w:rsidRPr="000C7CFA">
              <w:rPr>
                <w:rFonts w:ascii="Verdana" w:hAnsi="Verdana"/>
                <w:sz w:val="18"/>
                <w:szCs w:val="18"/>
              </w:rPr>
              <w:t>Based on an analysis of PBDEs in the same samples, landfills were found to be an important source of exposure</w:t>
            </w:r>
            <w:r w:rsidRPr="000C7CFA">
              <w:rPr>
                <w:rFonts w:ascii="Verdana" w:hAnsi="Verdana"/>
                <w:color w:val="222222"/>
                <w:sz w:val="18"/>
                <w:szCs w:val="18"/>
              </w:rPr>
              <w:t>.</w:t>
            </w:r>
          </w:p>
        </w:tc>
        <w:tc>
          <w:tcPr>
            <w:tcW w:w="1374" w:type="dxa"/>
            <w:tcBorders>
              <w:top w:val="nil"/>
              <w:left w:val="single" w:sz="4" w:space="0" w:color="auto"/>
              <w:bottom w:val="single" w:sz="4" w:space="0" w:color="auto"/>
            </w:tcBorders>
          </w:tcPr>
          <w:p w14:paraId="72400F8A" w14:textId="77777777" w:rsidR="00C16F04" w:rsidRPr="000C7CFA" w:rsidRDefault="00C16F04" w:rsidP="00704CE9">
            <w:pPr>
              <w:autoSpaceDE w:val="0"/>
              <w:autoSpaceDN w:val="0"/>
              <w:adjustRightInd w:val="0"/>
              <w:spacing w:after="0"/>
              <w:rPr>
                <w:rFonts w:ascii="Verdana" w:hAnsi="Verdana"/>
                <w:sz w:val="18"/>
                <w:szCs w:val="18"/>
                <w:lang w:eastAsia="en-GB"/>
              </w:rPr>
            </w:pPr>
            <w:r w:rsidRPr="000C7CFA">
              <w:rPr>
                <w:rFonts w:ascii="Verdana" w:hAnsi="Verdana"/>
                <w:sz w:val="18"/>
                <w:szCs w:val="18"/>
                <w:lang w:eastAsia="en-GB"/>
              </w:rPr>
              <w:t xml:space="preserve">Chen </w:t>
            </w:r>
            <w:r w:rsidRPr="000C7CFA">
              <w:rPr>
                <w:rFonts w:ascii="Verdana" w:hAnsi="Verdana"/>
                <w:i/>
                <w:sz w:val="18"/>
                <w:szCs w:val="18"/>
                <w:lang w:eastAsia="en-GB"/>
              </w:rPr>
              <w:t>et al</w:t>
            </w:r>
            <w:r w:rsidRPr="000C7CFA">
              <w:rPr>
                <w:rFonts w:ascii="Verdana" w:hAnsi="Verdana"/>
                <w:sz w:val="18"/>
                <w:szCs w:val="18"/>
                <w:lang w:eastAsia="en-GB"/>
              </w:rPr>
              <w:t>. (2013a)</w:t>
            </w:r>
          </w:p>
        </w:tc>
      </w:tr>
      <w:tr w:rsidR="008B3C29" w:rsidRPr="000C7CFA" w14:paraId="1100713A" w14:textId="77777777" w:rsidTr="000A1A05">
        <w:trPr>
          <w:trHeight w:val="787"/>
        </w:trPr>
        <w:tc>
          <w:tcPr>
            <w:tcW w:w="1913" w:type="dxa"/>
            <w:tcBorders>
              <w:top w:val="single" w:sz="4" w:space="0" w:color="auto"/>
              <w:bottom w:val="single" w:sz="4" w:space="0" w:color="auto"/>
              <w:right w:val="single" w:sz="4" w:space="0" w:color="auto"/>
            </w:tcBorders>
          </w:tcPr>
          <w:p w14:paraId="22FC5ADC" w14:textId="77777777" w:rsidR="008B3C29" w:rsidRPr="000C7CFA" w:rsidRDefault="008B3C29" w:rsidP="008B3C29">
            <w:pPr>
              <w:spacing w:after="0"/>
              <w:rPr>
                <w:rFonts w:ascii="Verdana" w:hAnsi="Verdana"/>
                <w:sz w:val="18"/>
                <w:szCs w:val="18"/>
                <w:lang w:val="en-GB"/>
              </w:rPr>
            </w:pPr>
            <w:r w:rsidRPr="000C7CFA">
              <w:rPr>
                <w:rFonts w:ascii="Verdana" w:hAnsi="Verdana"/>
                <w:sz w:val="18"/>
                <w:szCs w:val="18"/>
                <w:lang w:val="en-GB"/>
              </w:rPr>
              <w:lastRenderedPageBreak/>
              <w:t>Domestic Dog</w:t>
            </w:r>
          </w:p>
          <w:p w14:paraId="463661D1" w14:textId="77777777" w:rsidR="008B3C29" w:rsidRPr="000C7CFA" w:rsidRDefault="008B3C29" w:rsidP="008B3C29">
            <w:pPr>
              <w:spacing w:after="0"/>
              <w:rPr>
                <w:rFonts w:ascii="Verdana" w:hAnsi="Verdana"/>
                <w:sz w:val="18"/>
                <w:szCs w:val="18"/>
                <w:lang w:val="en-GB" w:eastAsia="ar-SA"/>
              </w:rPr>
            </w:pPr>
            <w:r w:rsidRPr="000C7CFA">
              <w:rPr>
                <w:rFonts w:ascii="Verdana" w:hAnsi="Verdana"/>
                <w:sz w:val="18"/>
                <w:szCs w:val="18"/>
                <w:lang w:val="en-GB"/>
              </w:rPr>
              <w:t>(</w:t>
            </w:r>
            <w:r w:rsidRPr="000C7CFA">
              <w:rPr>
                <w:rFonts w:ascii="Verdana" w:hAnsi="Verdana"/>
                <w:i/>
                <w:sz w:val="18"/>
                <w:szCs w:val="18"/>
                <w:lang w:val="en-GB"/>
              </w:rPr>
              <w:t>Canis familiaris</w:t>
            </w:r>
            <w:r w:rsidRPr="000C7CFA">
              <w:rPr>
                <w:rFonts w:ascii="Verdana" w:hAnsi="Verdana"/>
                <w:sz w:val="18"/>
                <w:szCs w:val="18"/>
                <w:lang w:val="en-GB"/>
              </w:rPr>
              <w:t>)</w:t>
            </w:r>
          </w:p>
        </w:tc>
        <w:tc>
          <w:tcPr>
            <w:tcW w:w="1083" w:type="dxa"/>
            <w:tcBorders>
              <w:top w:val="single" w:sz="4" w:space="0" w:color="auto"/>
              <w:left w:val="single" w:sz="4" w:space="0" w:color="auto"/>
              <w:bottom w:val="single" w:sz="4" w:space="0" w:color="auto"/>
              <w:right w:val="single" w:sz="4" w:space="0" w:color="auto"/>
            </w:tcBorders>
          </w:tcPr>
          <w:p w14:paraId="2F537C19" w14:textId="77777777" w:rsidR="008B3C29" w:rsidRPr="000C7CFA" w:rsidRDefault="008B3C29" w:rsidP="00704CE9">
            <w:pPr>
              <w:pStyle w:val="Tabletext"/>
              <w:spacing w:before="0" w:after="0"/>
              <w:rPr>
                <w:rFonts w:ascii="Verdana" w:hAnsi="Verdana"/>
                <w:sz w:val="18"/>
                <w:szCs w:val="18"/>
                <w:lang w:val="en-GB" w:eastAsia="ar-SA"/>
              </w:rPr>
            </w:pPr>
            <w:r w:rsidRPr="000C7CFA">
              <w:rPr>
                <w:rFonts w:ascii="Verdana" w:hAnsi="Verdana"/>
                <w:sz w:val="18"/>
                <w:szCs w:val="18"/>
                <w:lang w:val="en-GB"/>
              </w:rPr>
              <w:t>Blood serum</w:t>
            </w:r>
          </w:p>
        </w:tc>
        <w:tc>
          <w:tcPr>
            <w:tcW w:w="2350" w:type="dxa"/>
            <w:tcBorders>
              <w:top w:val="single" w:sz="4" w:space="0" w:color="auto"/>
              <w:left w:val="single" w:sz="4" w:space="0" w:color="auto"/>
              <w:bottom w:val="single" w:sz="4" w:space="0" w:color="auto"/>
              <w:right w:val="single" w:sz="4" w:space="0" w:color="auto"/>
            </w:tcBorders>
          </w:tcPr>
          <w:p w14:paraId="30CC9783" w14:textId="77777777" w:rsidR="008B3C29" w:rsidRPr="000C7CFA" w:rsidRDefault="008B3C29" w:rsidP="00704CE9">
            <w:pPr>
              <w:pStyle w:val="Tabletext"/>
              <w:spacing w:before="0" w:after="0"/>
              <w:rPr>
                <w:rFonts w:ascii="Verdana" w:hAnsi="Verdana"/>
                <w:sz w:val="18"/>
                <w:szCs w:val="18"/>
                <w:lang w:val="en-GB" w:eastAsia="ar-SA"/>
              </w:rPr>
            </w:pPr>
            <w:r w:rsidRPr="000C7CFA">
              <w:rPr>
                <w:rFonts w:ascii="Verdana" w:hAnsi="Verdana" w:cs="AdvOT2e364b11"/>
                <w:sz w:val="18"/>
                <w:szCs w:val="18"/>
                <w:lang w:val="en-GB" w:eastAsia="en-GB"/>
              </w:rPr>
              <w:t>Samples collected at a veterinary clinic in Bloomington, Indiana, USA (n = 18)</w:t>
            </w:r>
          </w:p>
        </w:tc>
        <w:tc>
          <w:tcPr>
            <w:tcW w:w="2110" w:type="dxa"/>
            <w:tcBorders>
              <w:top w:val="single" w:sz="4" w:space="0" w:color="auto"/>
              <w:left w:val="single" w:sz="4" w:space="0" w:color="auto"/>
              <w:bottom w:val="single" w:sz="4" w:space="0" w:color="auto"/>
              <w:right w:val="single" w:sz="4" w:space="0" w:color="auto"/>
            </w:tcBorders>
          </w:tcPr>
          <w:p w14:paraId="33DD3A8E" w14:textId="77777777" w:rsidR="008B3C29" w:rsidRPr="000C7CFA" w:rsidRDefault="008B3C29" w:rsidP="00704CE9">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w:t>
            </w:r>
          </w:p>
        </w:tc>
        <w:tc>
          <w:tcPr>
            <w:tcW w:w="2672" w:type="dxa"/>
            <w:tcBorders>
              <w:top w:val="single" w:sz="4" w:space="0" w:color="auto"/>
              <w:left w:val="single" w:sz="4" w:space="0" w:color="auto"/>
              <w:bottom w:val="single" w:sz="4" w:space="0" w:color="auto"/>
              <w:right w:val="single" w:sz="4" w:space="0" w:color="auto"/>
            </w:tcBorders>
          </w:tcPr>
          <w:p w14:paraId="491C3BBE" w14:textId="2BA318FA" w:rsidR="008B3C29" w:rsidRPr="000C7CFA" w:rsidRDefault="008B3C29" w:rsidP="008B3C29">
            <w:pPr>
              <w:autoSpaceDE w:val="0"/>
              <w:autoSpaceDN w:val="0"/>
              <w:adjustRightInd w:val="0"/>
              <w:spacing w:after="0"/>
              <w:rPr>
                <w:rFonts w:ascii="Verdana" w:hAnsi="Verdana" w:cs="AdvOT2e364b11"/>
                <w:sz w:val="18"/>
                <w:szCs w:val="18"/>
                <w:lang w:val="en-GB" w:eastAsia="en-GB"/>
              </w:rPr>
            </w:pPr>
            <w:r w:rsidRPr="000C7CFA">
              <w:rPr>
                <w:rFonts w:ascii="Verdana" w:hAnsi="Verdana" w:cs="AdvOT2e364b11"/>
                <w:sz w:val="18"/>
                <w:szCs w:val="18"/>
                <w:lang w:val="en-GB" w:eastAsia="en-GB"/>
              </w:rPr>
              <w:t>Detected in 14 samples (7</w:t>
            </w:r>
            <w:r w:rsidR="00AF7606" w:rsidRPr="000C7CFA">
              <w:rPr>
                <w:rFonts w:ascii="Verdana" w:hAnsi="Verdana" w:cs="AdvOT2e364b11"/>
                <w:sz w:val="18"/>
                <w:szCs w:val="18"/>
                <w:lang w:val="en-GB" w:eastAsia="en-GB"/>
              </w:rPr>
              <w:t>8 %</w:t>
            </w:r>
            <w:r w:rsidRPr="000C7CFA">
              <w:rPr>
                <w:rFonts w:ascii="Verdana" w:hAnsi="Verdana" w:cs="AdvOT2e364b11"/>
                <w:sz w:val="18"/>
                <w:szCs w:val="18"/>
                <w:lang w:val="en-GB" w:eastAsia="en-GB"/>
              </w:rPr>
              <w:t>).</w:t>
            </w:r>
          </w:p>
          <w:p w14:paraId="5B2CBFEA" w14:textId="77777777" w:rsidR="008B3C29" w:rsidRPr="000C7CFA" w:rsidRDefault="008B3C29" w:rsidP="008B3C29">
            <w:pPr>
              <w:autoSpaceDE w:val="0"/>
              <w:autoSpaceDN w:val="0"/>
              <w:adjustRightInd w:val="0"/>
              <w:spacing w:after="0"/>
              <w:rPr>
                <w:rFonts w:ascii="Verdana" w:hAnsi="Verdana" w:cs="AdvOT2e364b11"/>
                <w:sz w:val="18"/>
                <w:szCs w:val="18"/>
                <w:lang w:val="en-GB" w:eastAsia="en-GB"/>
              </w:rPr>
            </w:pPr>
          </w:p>
          <w:p w14:paraId="5ECB5051" w14:textId="77777777" w:rsidR="008B3C29" w:rsidRPr="000C7CFA" w:rsidRDefault="008B3C29" w:rsidP="008B3C29">
            <w:pPr>
              <w:autoSpaceDE w:val="0"/>
              <w:autoSpaceDN w:val="0"/>
              <w:adjustRightInd w:val="0"/>
              <w:spacing w:after="0"/>
              <w:rPr>
                <w:rFonts w:ascii="Verdana" w:hAnsi="Verdana" w:cs="AdvOT2e364b11"/>
                <w:sz w:val="18"/>
                <w:szCs w:val="18"/>
                <w:lang w:val="en-GB" w:eastAsia="en-GB"/>
              </w:rPr>
            </w:pPr>
            <w:r w:rsidRPr="000C7CFA">
              <w:rPr>
                <w:rFonts w:ascii="Verdana" w:hAnsi="Verdana" w:cs="AdvOT2e364b11"/>
                <w:sz w:val="18"/>
                <w:szCs w:val="18"/>
                <w:lang w:val="en-GB" w:eastAsia="en-GB"/>
              </w:rPr>
              <w:t>Total isomers</w:t>
            </w:r>
          </w:p>
          <w:p w14:paraId="38D52B3D" w14:textId="77777777" w:rsidR="008B3C29" w:rsidRPr="000C7CFA" w:rsidRDefault="008B3C29" w:rsidP="008B3C29">
            <w:pPr>
              <w:autoSpaceDE w:val="0"/>
              <w:autoSpaceDN w:val="0"/>
              <w:adjustRightInd w:val="0"/>
              <w:spacing w:after="0"/>
              <w:rPr>
                <w:rFonts w:ascii="Verdana" w:hAnsi="Verdana" w:cs="AdvOT2e364b11"/>
                <w:sz w:val="18"/>
                <w:szCs w:val="18"/>
                <w:lang w:val="en-GB" w:eastAsia="en-GB"/>
              </w:rPr>
            </w:pPr>
            <w:r w:rsidRPr="000C7CFA">
              <w:rPr>
                <w:rFonts w:ascii="Verdana" w:hAnsi="Verdana" w:cs="AdvOT2e364b11"/>
                <w:sz w:val="18"/>
                <w:szCs w:val="18"/>
                <w:lang w:val="en-GB" w:eastAsia="en-GB"/>
              </w:rPr>
              <w:t>Average: 0.032</w:t>
            </w:r>
            <w:r w:rsidRPr="000C7CFA">
              <w:rPr>
                <w:rFonts w:ascii="Verdana" w:hAnsi="Verdana" w:cs="AdvChemBats2"/>
                <w:sz w:val="18"/>
                <w:szCs w:val="18"/>
                <w:lang w:val="en-GB" w:eastAsia="en-GB"/>
              </w:rPr>
              <w:t>±</w:t>
            </w:r>
            <w:r w:rsidRPr="000C7CFA">
              <w:rPr>
                <w:rFonts w:ascii="Verdana" w:hAnsi="Verdana" w:cs="AdvOT2e364b11"/>
                <w:sz w:val="18"/>
                <w:szCs w:val="18"/>
                <w:lang w:val="en-GB" w:eastAsia="en-GB"/>
              </w:rPr>
              <w:t xml:space="preserve">0.006 </w:t>
            </w:r>
            <w:r w:rsidRPr="000C7CFA">
              <w:rPr>
                <w:rFonts w:ascii="Verdana" w:hAnsi="Verdana"/>
                <w:sz w:val="18"/>
                <w:szCs w:val="18"/>
                <w:lang w:val="en-GB"/>
              </w:rPr>
              <w:t>μg/kg w</w:t>
            </w:r>
            <w:r w:rsidRPr="000C7CFA">
              <w:rPr>
                <w:rFonts w:ascii="Verdana" w:hAnsi="Verdana" w:cs="AdvOT2e364b11"/>
                <w:sz w:val="18"/>
                <w:szCs w:val="18"/>
                <w:lang w:val="en-GB" w:eastAsia="en-GB"/>
              </w:rPr>
              <w:t xml:space="preserve">w (maximum: 0.133 </w:t>
            </w:r>
            <w:r w:rsidRPr="000C7CFA">
              <w:rPr>
                <w:rFonts w:ascii="Verdana" w:hAnsi="Verdana"/>
                <w:sz w:val="18"/>
                <w:szCs w:val="18"/>
                <w:lang w:val="en-GB"/>
              </w:rPr>
              <w:t>μg/kg w</w:t>
            </w:r>
            <w:r w:rsidRPr="000C7CFA">
              <w:rPr>
                <w:rFonts w:ascii="Verdana" w:hAnsi="Verdana" w:cs="AdvOT2e364b11"/>
                <w:sz w:val="18"/>
                <w:szCs w:val="18"/>
                <w:lang w:val="en-GB" w:eastAsia="en-GB"/>
              </w:rPr>
              <w:t>w)</w:t>
            </w:r>
          </w:p>
          <w:p w14:paraId="64E887A5" w14:textId="77777777" w:rsidR="008B3C29" w:rsidRPr="000C7CFA" w:rsidRDefault="008B3C29" w:rsidP="00704CE9">
            <w:pPr>
              <w:rPr>
                <w:rFonts w:ascii="Verdana" w:eastAsiaTheme="minorHAnsi" w:hAnsi="Verdana"/>
                <w:sz w:val="18"/>
                <w:szCs w:val="18"/>
                <w:lang w:val="en-GB"/>
              </w:rPr>
            </w:pPr>
          </w:p>
        </w:tc>
        <w:tc>
          <w:tcPr>
            <w:tcW w:w="2532" w:type="dxa"/>
            <w:tcBorders>
              <w:top w:val="single" w:sz="4" w:space="0" w:color="auto"/>
              <w:left w:val="single" w:sz="4" w:space="0" w:color="auto"/>
              <w:bottom w:val="single" w:sz="4" w:space="0" w:color="auto"/>
              <w:right w:val="single" w:sz="4" w:space="0" w:color="auto"/>
            </w:tcBorders>
          </w:tcPr>
          <w:p w14:paraId="2AFCEF09" w14:textId="0BAD2576" w:rsidR="008B3C29" w:rsidRPr="000C7CFA" w:rsidRDefault="008B3C29" w:rsidP="00A11FA5">
            <w:pPr>
              <w:autoSpaceDE w:val="0"/>
              <w:autoSpaceDN w:val="0"/>
              <w:adjustRightInd w:val="0"/>
              <w:spacing w:after="0"/>
              <w:rPr>
                <w:rFonts w:ascii="Verdana" w:hAnsi="Verdana" w:cs="AdvOT2e364b11"/>
                <w:sz w:val="18"/>
                <w:szCs w:val="18"/>
                <w:lang w:val="en-GB" w:eastAsia="en-GB"/>
              </w:rPr>
            </w:pPr>
            <w:r w:rsidRPr="000C7CFA">
              <w:rPr>
                <w:rFonts w:ascii="Verdana" w:hAnsi="Verdana" w:cs="AdvOT2e364b11"/>
                <w:sz w:val="18"/>
                <w:szCs w:val="18"/>
                <w:lang w:val="en-GB" w:eastAsia="en-GB"/>
              </w:rPr>
              <w:t>All of the dogs lived mainly</w:t>
            </w:r>
            <w:r w:rsidR="00A11FA5" w:rsidRPr="000C7CFA">
              <w:rPr>
                <w:rFonts w:ascii="Verdana" w:hAnsi="Verdana" w:cs="AdvOT2e364b11"/>
                <w:sz w:val="18"/>
                <w:szCs w:val="18"/>
                <w:lang w:val="en-GB" w:eastAsia="en-GB"/>
              </w:rPr>
              <w:t xml:space="preserve"> </w:t>
            </w:r>
            <w:r w:rsidRPr="000C7CFA">
              <w:rPr>
                <w:rFonts w:ascii="Verdana" w:hAnsi="Verdana" w:cs="AdvOT2e364b11"/>
                <w:sz w:val="18"/>
                <w:szCs w:val="18"/>
                <w:lang w:val="en-GB" w:eastAsia="en-GB"/>
              </w:rPr>
              <w:t>indoors. There was no significant correlation between the levels in serum and dog food (average concentration in food: 0.030±0.006 μg/kg ww, n = 16).</w:t>
            </w:r>
          </w:p>
          <w:p w14:paraId="446B02D0" w14:textId="77777777" w:rsidR="008B3C29" w:rsidRPr="000C7CFA" w:rsidRDefault="008B3C29" w:rsidP="008B3C29">
            <w:pPr>
              <w:autoSpaceDE w:val="0"/>
              <w:autoSpaceDN w:val="0"/>
              <w:adjustRightInd w:val="0"/>
              <w:spacing w:after="0"/>
              <w:rPr>
                <w:rFonts w:ascii="Verdana" w:hAnsi="Verdana" w:cs="AdvOT2e364b11"/>
                <w:sz w:val="18"/>
                <w:szCs w:val="18"/>
                <w:lang w:val="en-GB" w:eastAsia="en-GB"/>
              </w:rPr>
            </w:pPr>
          </w:p>
          <w:p w14:paraId="5857B788" w14:textId="77777777" w:rsidR="008B3C29" w:rsidRPr="000C7CFA" w:rsidRDefault="008B3C29" w:rsidP="008B3C29">
            <w:pPr>
              <w:autoSpaceDE w:val="0"/>
              <w:autoSpaceDN w:val="0"/>
              <w:adjustRightInd w:val="0"/>
              <w:spacing w:after="0"/>
              <w:rPr>
                <w:rFonts w:ascii="Verdana" w:eastAsiaTheme="minorHAnsi" w:hAnsi="Verdana"/>
                <w:sz w:val="18"/>
                <w:szCs w:val="18"/>
                <w:lang w:val="en-GB"/>
              </w:rPr>
            </w:pPr>
            <w:r w:rsidRPr="000C7CFA">
              <w:rPr>
                <w:rFonts w:ascii="Verdana" w:hAnsi="Verdana" w:cs="AdvOT2e364b11"/>
                <w:sz w:val="18"/>
                <w:szCs w:val="18"/>
                <w:lang w:val="en-GB" w:eastAsia="en-GB"/>
              </w:rPr>
              <w:t>The paper notes that the average concentration in dry cat food was 0.086</w:t>
            </w:r>
            <w:r w:rsidRPr="000C7CFA">
              <w:rPr>
                <w:rFonts w:ascii="Verdana" w:hAnsi="Verdana" w:cs="AdvChemBats2"/>
                <w:sz w:val="18"/>
                <w:szCs w:val="18"/>
                <w:lang w:val="en-GB" w:eastAsia="en-GB"/>
              </w:rPr>
              <w:t>±</w:t>
            </w:r>
            <w:r w:rsidRPr="000C7CFA">
              <w:rPr>
                <w:rFonts w:ascii="Verdana" w:hAnsi="Verdana" w:cs="AdvOT2e364b11"/>
                <w:sz w:val="18"/>
                <w:szCs w:val="18"/>
                <w:lang w:val="en-GB" w:eastAsia="en-GB"/>
              </w:rPr>
              <w:t xml:space="preserve">0.014 </w:t>
            </w:r>
            <w:r w:rsidRPr="000C7CFA">
              <w:rPr>
                <w:rFonts w:ascii="Verdana" w:hAnsi="Verdana"/>
                <w:sz w:val="18"/>
                <w:szCs w:val="18"/>
                <w:lang w:val="en-GB"/>
              </w:rPr>
              <w:t xml:space="preserve">μg/kg </w:t>
            </w:r>
            <w:r w:rsidRPr="000C7CFA">
              <w:rPr>
                <w:rFonts w:ascii="Verdana" w:hAnsi="Verdana" w:cs="AdvOT2e364b11"/>
                <w:sz w:val="18"/>
                <w:szCs w:val="18"/>
                <w:lang w:val="en-GB" w:eastAsia="en-GB"/>
              </w:rPr>
              <w:t>ww (unpublished data).</w:t>
            </w:r>
          </w:p>
        </w:tc>
        <w:tc>
          <w:tcPr>
            <w:tcW w:w="1374" w:type="dxa"/>
            <w:tcBorders>
              <w:top w:val="single" w:sz="4" w:space="0" w:color="auto"/>
              <w:left w:val="single" w:sz="4" w:space="0" w:color="auto"/>
              <w:bottom w:val="single" w:sz="4" w:space="0" w:color="auto"/>
            </w:tcBorders>
          </w:tcPr>
          <w:p w14:paraId="3828D1AB" w14:textId="77777777" w:rsidR="008B3C29" w:rsidRPr="000C7CFA" w:rsidRDefault="008B3C29" w:rsidP="00704CE9">
            <w:pPr>
              <w:spacing w:after="0"/>
              <w:rPr>
                <w:rFonts w:ascii="Verdana" w:hAnsi="Verdana"/>
                <w:sz w:val="18"/>
                <w:szCs w:val="18"/>
                <w:lang w:val="en-GB" w:eastAsia="ar-SA"/>
              </w:rPr>
            </w:pPr>
            <w:r w:rsidRPr="000C7CFA">
              <w:rPr>
                <w:rFonts w:ascii="Verdana" w:hAnsi="Verdana"/>
                <w:sz w:val="18"/>
                <w:szCs w:val="18"/>
                <w:lang w:val="en-GB"/>
              </w:rPr>
              <w:t>Venier &amp; Hites (2011)</w:t>
            </w:r>
          </w:p>
        </w:tc>
      </w:tr>
      <w:tr w:rsidR="00971666" w:rsidRPr="000C7CFA" w14:paraId="2E13A994" w14:textId="77777777" w:rsidTr="000A1A05">
        <w:trPr>
          <w:trHeight w:val="787"/>
        </w:trPr>
        <w:tc>
          <w:tcPr>
            <w:tcW w:w="1913" w:type="dxa"/>
            <w:tcBorders>
              <w:top w:val="single" w:sz="4" w:space="0" w:color="auto"/>
              <w:right w:val="single" w:sz="4" w:space="0" w:color="auto"/>
            </w:tcBorders>
          </w:tcPr>
          <w:p w14:paraId="59048B52" w14:textId="77777777" w:rsidR="00971666" w:rsidRPr="000C7CFA" w:rsidRDefault="00971666" w:rsidP="00FC2B2F">
            <w:pPr>
              <w:spacing w:after="0"/>
              <w:rPr>
                <w:rFonts w:ascii="Verdana" w:hAnsi="Verdana"/>
                <w:sz w:val="18"/>
                <w:szCs w:val="18"/>
                <w:lang w:val="en-GB" w:eastAsia="ar-SA"/>
              </w:rPr>
            </w:pPr>
            <w:r w:rsidRPr="000C7CFA">
              <w:rPr>
                <w:rFonts w:ascii="Verdana" w:hAnsi="Verdana"/>
                <w:sz w:val="18"/>
                <w:szCs w:val="18"/>
                <w:lang w:val="en-GB" w:eastAsia="ar-SA"/>
              </w:rPr>
              <w:t>Lichens</w:t>
            </w:r>
          </w:p>
        </w:tc>
        <w:tc>
          <w:tcPr>
            <w:tcW w:w="1083" w:type="dxa"/>
            <w:tcBorders>
              <w:top w:val="single" w:sz="4" w:space="0" w:color="auto"/>
              <w:left w:val="single" w:sz="4" w:space="0" w:color="auto"/>
              <w:right w:val="single" w:sz="4" w:space="0" w:color="auto"/>
            </w:tcBorders>
          </w:tcPr>
          <w:p w14:paraId="1E61AD0C" w14:textId="77777777" w:rsidR="00971666" w:rsidRPr="000C7CFA" w:rsidRDefault="00971666" w:rsidP="00FC2B2F">
            <w:pPr>
              <w:pStyle w:val="Tabletext"/>
              <w:spacing w:before="0" w:after="0"/>
              <w:rPr>
                <w:rFonts w:ascii="Verdana" w:hAnsi="Verdana"/>
                <w:sz w:val="18"/>
                <w:szCs w:val="18"/>
                <w:lang w:val="en-GB" w:eastAsia="ar-SA"/>
              </w:rPr>
            </w:pPr>
            <w:r w:rsidRPr="000C7CFA">
              <w:rPr>
                <w:rFonts w:ascii="Verdana" w:hAnsi="Verdana"/>
                <w:sz w:val="18"/>
                <w:szCs w:val="18"/>
                <w:lang w:val="en-GB" w:eastAsia="ar-SA"/>
              </w:rPr>
              <w:t>Whole lichen</w:t>
            </w:r>
          </w:p>
        </w:tc>
        <w:tc>
          <w:tcPr>
            <w:tcW w:w="2350" w:type="dxa"/>
            <w:tcBorders>
              <w:top w:val="single" w:sz="4" w:space="0" w:color="auto"/>
              <w:left w:val="single" w:sz="4" w:space="0" w:color="auto"/>
              <w:right w:val="single" w:sz="4" w:space="0" w:color="auto"/>
            </w:tcBorders>
          </w:tcPr>
          <w:p w14:paraId="24385A30" w14:textId="77777777" w:rsidR="00971666" w:rsidRPr="000C7CFA" w:rsidRDefault="00971666" w:rsidP="00FC2B2F">
            <w:pPr>
              <w:pStyle w:val="Tabletext"/>
              <w:spacing w:before="0" w:after="0"/>
              <w:rPr>
                <w:rFonts w:ascii="Verdana" w:hAnsi="Verdana"/>
                <w:sz w:val="18"/>
                <w:szCs w:val="18"/>
                <w:lang w:val="en-GB" w:eastAsia="ar-SA"/>
              </w:rPr>
            </w:pPr>
            <w:r w:rsidRPr="000C7CFA">
              <w:rPr>
                <w:rFonts w:ascii="Verdana" w:hAnsi="Verdana"/>
                <w:sz w:val="18"/>
                <w:szCs w:val="18"/>
                <w:lang w:val="en-GB" w:eastAsia="ar-SA"/>
              </w:rPr>
              <w:t>Southeast Tibetan Plateau, July 2013. A total of 26 samples collected across 3 mountain transects.</w:t>
            </w:r>
          </w:p>
        </w:tc>
        <w:tc>
          <w:tcPr>
            <w:tcW w:w="2110" w:type="dxa"/>
            <w:tcBorders>
              <w:top w:val="single" w:sz="4" w:space="0" w:color="auto"/>
              <w:left w:val="single" w:sz="4" w:space="0" w:color="auto"/>
              <w:bottom w:val="single" w:sz="4" w:space="0" w:color="000000"/>
              <w:right w:val="single" w:sz="4" w:space="0" w:color="auto"/>
            </w:tcBorders>
          </w:tcPr>
          <w:p w14:paraId="20E89917" w14:textId="77777777" w:rsidR="00971666" w:rsidRPr="000C7CFA" w:rsidRDefault="00971666" w:rsidP="00FC2B2F">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Limit of quantification was</w:t>
            </w:r>
            <w:r w:rsidRPr="000C7CFA">
              <w:rPr>
                <w:rFonts w:ascii="Verdana" w:hAnsi="Verdana"/>
                <w:sz w:val="18"/>
                <w:szCs w:val="18"/>
              </w:rPr>
              <w:t xml:space="preserve"> 0.030 μg/kg dw</w:t>
            </w:r>
          </w:p>
        </w:tc>
        <w:tc>
          <w:tcPr>
            <w:tcW w:w="2672" w:type="dxa"/>
            <w:tcBorders>
              <w:top w:val="single" w:sz="4" w:space="0" w:color="auto"/>
              <w:left w:val="single" w:sz="4" w:space="0" w:color="auto"/>
              <w:right w:val="single" w:sz="4" w:space="0" w:color="auto"/>
            </w:tcBorders>
          </w:tcPr>
          <w:p w14:paraId="1645BCEF" w14:textId="77777777" w:rsidR="00971666" w:rsidRPr="000C7CFA" w:rsidRDefault="00971666" w:rsidP="00FC2B2F">
            <w:pPr>
              <w:rPr>
                <w:rFonts w:ascii="Verdana" w:eastAsiaTheme="minorHAnsi" w:hAnsi="Verdana"/>
                <w:sz w:val="18"/>
                <w:szCs w:val="18"/>
                <w:lang w:val="en-GB"/>
              </w:rPr>
            </w:pPr>
            <w:r w:rsidRPr="000C7CFA">
              <w:rPr>
                <w:rFonts w:ascii="Verdana" w:eastAsiaTheme="minorHAnsi" w:hAnsi="Verdana"/>
                <w:sz w:val="18"/>
                <w:szCs w:val="18"/>
                <w:lang w:val="en-GB"/>
              </w:rPr>
              <w:t>Total isomers: mean 0.318 μg/kg dw (range &lt;LoD-1.1 μg/kg dw)</w:t>
            </w:r>
          </w:p>
          <w:p w14:paraId="0C6DCB6F" w14:textId="77777777" w:rsidR="00971666" w:rsidRPr="000C7CFA" w:rsidRDefault="00971666" w:rsidP="00FC2B2F">
            <w:pPr>
              <w:rPr>
                <w:rFonts w:ascii="Verdana" w:eastAsiaTheme="minorHAnsi" w:hAnsi="Verdana"/>
                <w:sz w:val="18"/>
                <w:szCs w:val="18"/>
                <w:lang w:val="en-GB"/>
              </w:rPr>
            </w:pPr>
            <w:r w:rsidRPr="000C7CFA">
              <w:rPr>
                <w:rFonts w:ascii="Verdana" w:eastAsiaTheme="minorHAnsi" w:hAnsi="Verdana"/>
                <w:sz w:val="18"/>
                <w:szCs w:val="18"/>
                <w:lang w:val="en-GB"/>
              </w:rPr>
              <w:t>The mean f</w:t>
            </w:r>
            <w:r w:rsidRPr="000C7CFA">
              <w:rPr>
                <w:rFonts w:ascii="Verdana" w:eastAsiaTheme="minorHAnsi" w:hAnsi="Verdana"/>
                <w:sz w:val="18"/>
                <w:szCs w:val="18"/>
                <w:vertAlign w:val="subscript"/>
                <w:lang w:val="en-GB"/>
              </w:rPr>
              <w:t>anti</w:t>
            </w:r>
            <w:r w:rsidRPr="000C7CFA">
              <w:rPr>
                <w:rFonts w:ascii="Verdana" w:eastAsiaTheme="minorHAnsi" w:hAnsi="Verdana"/>
                <w:sz w:val="18"/>
                <w:szCs w:val="18"/>
                <w:lang w:val="en-GB"/>
              </w:rPr>
              <w:t xml:space="preserve"> was 0.71 (range 0.46-0.83).</w:t>
            </w:r>
          </w:p>
        </w:tc>
        <w:tc>
          <w:tcPr>
            <w:tcW w:w="2532" w:type="dxa"/>
            <w:tcBorders>
              <w:top w:val="single" w:sz="4" w:space="0" w:color="auto"/>
              <w:left w:val="single" w:sz="4" w:space="0" w:color="auto"/>
              <w:right w:val="single" w:sz="4" w:space="0" w:color="auto"/>
            </w:tcBorders>
          </w:tcPr>
          <w:p w14:paraId="6B22140C" w14:textId="77777777" w:rsidR="00971666" w:rsidRPr="000C7CFA" w:rsidRDefault="00971666"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Analysis was by GC-MS-NCI. </w:t>
            </w:r>
          </w:p>
          <w:p w14:paraId="15680F71" w14:textId="6E312B2C" w:rsidR="00971666" w:rsidRPr="000C7CFA" w:rsidRDefault="00971666"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Detectable in 8</w:t>
            </w:r>
            <w:r w:rsidR="00AF7606" w:rsidRPr="000C7CFA">
              <w:rPr>
                <w:rFonts w:ascii="Verdana" w:eastAsiaTheme="minorHAnsi" w:hAnsi="Verdana"/>
                <w:sz w:val="18"/>
                <w:szCs w:val="18"/>
                <w:lang w:val="en-GB"/>
              </w:rPr>
              <w:t>9 %</w:t>
            </w:r>
            <w:r w:rsidRPr="000C7CFA">
              <w:rPr>
                <w:rFonts w:ascii="Verdana" w:eastAsiaTheme="minorHAnsi" w:hAnsi="Verdana"/>
                <w:sz w:val="18"/>
                <w:szCs w:val="18"/>
                <w:lang w:val="en-GB"/>
              </w:rPr>
              <w:t xml:space="preserve"> of the </w:t>
            </w:r>
            <w:r w:rsidR="00A11FA5" w:rsidRPr="000C7CFA">
              <w:rPr>
                <w:rFonts w:ascii="Verdana" w:eastAsiaTheme="minorHAnsi" w:hAnsi="Verdana"/>
                <w:sz w:val="18"/>
                <w:szCs w:val="18"/>
                <w:lang w:val="en-GB"/>
              </w:rPr>
              <w:t>samples. The</w:t>
            </w:r>
            <w:r w:rsidRPr="000C7CFA">
              <w:rPr>
                <w:rFonts w:ascii="Verdana" w:eastAsiaTheme="minorHAnsi" w:hAnsi="Verdana"/>
                <w:sz w:val="18"/>
                <w:szCs w:val="18"/>
                <w:lang w:val="en-GB"/>
              </w:rPr>
              <w:t xml:space="preserve"> concentrations showed a decreasing trend with increasing altitude.</w:t>
            </w:r>
          </w:p>
        </w:tc>
        <w:tc>
          <w:tcPr>
            <w:tcW w:w="1374" w:type="dxa"/>
            <w:tcBorders>
              <w:top w:val="single" w:sz="4" w:space="0" w:color="auto"/>
              <w:left w:val="single" w:sz="4" w:space="0" w:color="auto"/>
            </w:tcBorders>
          </w:tcPr>
          <w:p w14:paraId="542517EC" w14:textId="77777777" w:rsidR="00971666" w:rsidRPr="000C7CFA" w:rsidRDefault="00971666" w:rsidP="00FC2B2F">
            <w:pPr>
              <w:spacing w:after="0"/>
              <w:rPr>
                <w:rFonts w:ascii="Verdana" w:hAnsi="Verdana"/>
                <w:sz w:val="18"/>
                <w:szCs w:val="18"/>
                <w:lang w:val="en-GB" w:eastAsia="ar-SA"/>
              </w:rPr>
            </w:pPr>
            <w:r w:rsidRPr="000C7CFA">
              <w:rPr>
                <w:rFonts w:ascii="Verdana" w:hAnsi="Verdana"/>
                <w:sz w:val="18"/>
                <w:szCs w:val="18"/>
                <w:lang w:val="en-GB" w:eastAsia="ar-SA"/>
              </w:rPr>
              <w:t xml:space="preserve">Yang </w:t>
            </w:r>
            <w:r w:rsidRPr="000C7CFA">
              <w:rPr>
                <w:rFonts w:ascii="Verdana" w:hAnsi="Verdana"/>
                <w:i/>
                <w:sz w:val="18"/>
                <w:szCs w:val="18"/>
                <w:lang w:val="en-GB" w:eastAsia="ar-SA"/>
              </w:rPr>
              <w:t>et al</w:t>
            </w:r>
            <w:r w:rsidRPr="000C7CFA">
              <w:rPr>
                <w:rFonts w:ascii="Verdana" w:hAnsi="Verdana"/>
                <w:sz w:val="18"/>
                <w:szCs w:val="18"/>
                <w:lang w:val="en-GB" w:eastAsia="ar-SA"/>
              </w:rPr>
              <w:t>. (2016)</w:t>
            </w:r>
          </w:p>
        </w:tc>
      </w:tr>
      <w:tr w:rsidR="00971666" w:rsidRPr="000C7CFA" w14:paraId="11DA47B8" w14:textId="77777777" w:rsidTr="000A1A05">
        <w:trPr>
          <w:trHeight w:val="787"/>
        </w:trPr>
        <w:tc>
          <w:tcPr>
            <w:tcW w:w="1913" w:type="dxa"/>
            <w:tcBorders>
              <w:top w:val="single" w:sz="4" w:space="0" w:color="auto"/>
              <w:right w:val="single" w:sz="4" w:space="0" w:color="auto"/>
            </w:tcBorders>
          </w:tcPr>
          <w:p w14:paraId="435D5B5F" w14:textId="77777777" w:rsidR="00971666" w:rsidRPr="000C7CFA" w:rsidRDefault="00971666" w:rsidP="00FC2B2F">
            <w:pPr>
              <w:spacing w:after="0"/>
              <w:rPr>
                <w:rFonts w:ascii="Verdana" w:hAnsi="Verdana"/>
                <w:sz w:val="18"/>
                <w:szCs w:val="18"/>
                <w:lang w:val="en-GB" w:eastAsia="ar-SA"/>
              </w:rPr>
            </w:pPr>
            <w:r w:rsidRPr="000C7CFA">
              <w:rPr>
                <w:rFonts w:ascii="Verdana" w:hAnsi="Verdana"/>
                <w:sz w:val="18"/>
                <w:szCs w:val="18"/>
                <w:lang w:val="en-GB" w:eastAsia="ar-SA"/>
              </w:rPr>
              <w:t>Moss (</w:t>
            </w:r>
            <w:r w:rsidRPr="000C7CFA">
              <w:rPr>
                <w:rFonts w:ascii="Verdana" w:hAnsi="Verdana"/>
                <w:i/>
                <w:sz w:val="18"/>
                <w:szCs w:val="18"/>
                <w:lang w:val="en-GB" w:eastAsia="ar-SA"/>
              </w:rPr>
              <w:t>Hytocomium splendens</w:t>
            </w:r>
            <w:r w:rsidRPr="000C7CFA">
              <w:rPr>
                <w:rFonts w:ascii="Verdana" w:hAnsi="Verdana"/>
                <w:sz w:val="18"/>
                <w:szCs w:val="18"/>
                <w:lang w:val="en-GB" w:eastAsia="ar-SA"/>
              </w:rPr>
              <w:t>)</w:t>
            </w:r>
          </w:p>
        </w:tc>
        <w:tc>
          <w:tcPr>
            <w:tcW w:w="1083" w:type="dxa"/>
            <w:tcBorders>
              <w:top w:val="single" w:sz="4" w:space="0" w:color="auto"/>
              <w:left w:val="single" w:sz="4" w:space="0" w:color="auto"/>
              <w:right w:val="single" w:sz="4" w:space="0" w:color="auto"/>
            </w:tcBorders>
          </w:tcPr>
          <w:p w14:paraId="6F8725B9" w14:textId="77777777" w:rsidR="00971666" w:rsidRPr="000C7CFA" w:rsidRDefault="00971666" w:rsidP="00FC2B2F">
            <w:pPr>
              <w:pStyle w:val="Tabletext"/>
              <w:spacing w:before="0" w:after="0"/>
              <w:rPr>
                <w:rFonts w:ascii="Verdana" w:hAnsi="Verdana"/>
                <w:sz w:val="18"/>
                <w:szCs w:val="18"/>
                <w:lang w:val="en-GB" w:eastAsia="ar-SA"/>
              </w:rPr>
            </w:pPr>
            <w:r w:rsidRPr="000C7CFA">
              <w:rPr>
                <w:rFonts w:ascii="Verdana" w:hAnsi="Verdana"/>
                <w:sz w:val="18"/>
                <w:szCs w:val="18"/>
                <w:lang w:val="en-GB" w:eastAsia="ar-SA"/>
              </w:rPr>
              <w:t>Whole sample</w:t>
            </w:r>
          </w:p>
        </w:tc>
        <w:tc>
          <w:tcPr>
            <w:tcW w:w="2350" w:type="dxa"/>
            <w:tcBorders>
              <w:top w:val="single" w:sz="4" w:space="0" w:color="auto"/>
              <w:left w:val="single" w:sz="4" w:space="0" w:color="auto"/>
              <w:right w:val="single" w:sz="4" w:space="0" w:color="auto"/>
            </w:tcBorders>
          </w:tcPr>
          <w:p w14:paraId="232B169B" w14:textId="77777777" w:rsidR="00971666" w:rsidRPr="000C7CFA" w:rsidRDefault="00971666" w:rsidP="00FC2B2F">
            <w:pPr>
              <w:pStyle w:val="Tabletext"/>
              <w:spacing w:after="0"/>
              <w:rPr>
                <w:rFonts w:ascii="Verdana" w:hAnsi="Verdana"/>
                <w:sz w:val="18"/>
                <w:szCs w:val="18"/>
                <w:lang w:val="en-GB" w:eastAsia="ar-SA"/>
              </w:rPr>
            </w:pPr>
            <w:r w:rsidRPr="000C7CFA">
              <w:rPr>
                <w:rFonts w:ascii="Verdana" w:hAnsi="Verdana"/>
                <w:sz w:val="18"/>
                <w:szCs w:val="18"/>
                <w:lang w:val="en-GB" w:eastAsia="ar-SA"/>
              </w:rPr>
              <w:t xml:space="preserve">Incineration </w:t>
            </w:r>
            <w:r w:rsidR="00A11FA5" w:rsidRPr="000C7CFA">
              <w:rPr>
                <w:rFonts w:ascii="Verdana" w:hAnsi="Verdana"/>
                <w:sz w:val="18"/>
                <w:szCs w:val="18"/>
                <w:lang w:val="en-GB" w:eastAsia="ar-SA"/>
              </w:rPr>
              <w:t>facilities</w:t>
            </w:r>
            <w:r w:rsidRPr="000C7CFA">
              <w:rPr>
                <w:rFonts w:ascii="Verdana" w:hAnsi="Verdana"/>
                <w:sz w:val="18"/>
                <w:szCs w:val="18"/>
                <w:lang w:val="en-GB" w:eastAsia="ar-SA"/>
              </w:rPr>
              <w:t xml:space="preserve"> at Tórshavn and Leirvíc, Faroe Islands, 2009 (1 sample from each site). </w:t>
            </w:r>
          </w:p>
          <w:p w14:paraId="470EEF15" w14:textId="77777777" w:rsidR="000A1A05" w:rsidRPr="000C7CFA" w:rsidRDefault="000A1A05" w:rsidP="00FC2B2F">
            <w:pPr>
              <w:pStyle w:val="Tabletext"/>
              <w:spacing w:after="0"/>
              <w:rPr>
                <w:rFonts w:ascii="Verdana" w:hAnsi="Verdana"/>
                <w:sz w:val="18"/>
                <w:szCs w:val="18"/>
                <w:lang w:val="en-GB" w:eastAsia="ar-SA"/>
              </w:rPr>
            </w:pPr>
          </w:p>
          <w:p w14:paraId="22F6CA01" w14:textId="77777777" w:rsidR="000A1A05" w:rsidRPr="000C7CFA" w:rsidRDefault="000A1A05" w:rsidP="00FC2B2F">
            <w:pPr>
              <w:pStyle w:val="Tabletext"/>
              <w:spacing w:after="0"/>
              <w:rPr>
                <w:rFonts w:ascii="Verdana" w:hAnsi="Verdana"/>
                <w:sz w:val="18"/>
                <w:szCs w:val="18"/>
                <w:lang w:val="en-GB" w:eastAsia="ar-SA"/>
              </w:rPr>
            </w:pPr>
          </w:p>
          <w:p w14:paraId="2EBF1EB9" w14:textId="29D700BB" w:rsidR="000A1A05" w:rsidRPr="000C7CFA" w:rsidRDefault="000A1A05" w:rsidP="00FC2B2F">
            <w:pPr>
              <w:pStyle w:val="Tabletext"/>
              <w:spacing w:after="0"/>
              <w:rPr>
                <w:rFonts w:ascii="Verdana" w:hAnsi="Verdana"/>
                <w:sz w:val="18"/>
                <w:szCs w:val="18"/>
                <w:lang w:val="en-GB" w:eastAsia="ar-SA"/>
              </w:rPr>
            </w:pPr>
          </w:p>
        </w:tc>
        <w:tc>
          <w:tcPr>
            <w:tcW w:w="2110" w:type="dxa"/>
            <w:tcBorders>
              <w:top w:val="single" w:sz="4" w:space="0" w:color="000000"/>
              <w:left w:val="single" w:sz="4" w:space="0" w:color="auto"/>
              <w:bottom w:val="single" w:sz="4" w:space="0" w:color="000000"/>
              <w:right w:val="single" w:sz="4" w:space="0" w:color="auto"/>
            </w:tcBorders>
          </w:tcPr>
          <w:p w14:paraId="750A6410" w14:textId="77777777" w:rsidR="00971666" w:rsidRPr="000C7CFA" w:rsidRDefault="00971666" w:rsidP="00FC2B2F">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 xml:space="preserve">Not stated but probably </w:t>
            </w:r>
          </w:p>
        </w:tc>
        <w:tc>
          <w:tcPr>
            <w:tcW w:w="2672" w:type="dxa"/>
            <w:tcBorders>
              <w:top w:val="single" w:sz="4" w:space="0" w:color="auto"/>
              <w:left w:val="single" w:sz="4" w:space="0" w:color="auto"/>
              <w:right w:val="single" w:sz="4" w:space="0" w:color="auto"/>
            </w:tcBorders>
          </w:tcPr>
          <w:p w14:paraId="2AADB73E" w14:textId="77777777" w:rsidR="00971666" w:rsidRPr="000C7CFA" w:rsidRDefault="00971666" w:rsidP="00FC2B2F">
            <w:pPr>
              <w:rPr>
                <w:rFonts w:ascii="Verdana" w:eastAsiaTheme="minorHAnsi" w:hAnsi="Verdana"/>
                <w:sz w:val="18"/>
                <w:szCs w:val="18"/>
                <w:lang w:val="en-GB"/>
              </w:rPr>
            </w:pPr>
            <w:r w:rsidRPr="000C7CFA">
              <w:rPr>
                <w:rFonts w:ascii="Verdana" w:eastAsiaTheme="minorHAnsi" w:hAnsi="Verdana"/>
                <w:sz w:val="18"/>
                <w:szCs w:val="18"/>
                <w:lang w:val="en-GB"/>
              </w:rPr>
              <w:t>Anti-DP: 0.04-0.12 μg/kg dw</w:t>
            </w:r>
          </w:p>
          <w:p w14:paraId="655BA20F" w14:textId="77777777" w:rsidR="00971666" w:rsidRPr="000C7CFA" w:rsidRDefault="00971666" w:rsidP="00FC2B2F">
            <w:pPr>
              <w:rPr>
                <w:rFonts w:ascii="Verdana" w:eastAsiaTheme="minorHAnsi" w:hAnsi="Verdana"/>
                <w:sz w:val="18"/>
                <w:szCs w:val="18"/>
                <w:lang w:val="en-GB"/>
              </w:rPr>
            </w:pPr>
            <w:r w:rsidRPr="000C7CFA">
              <w:rPr>
                <w:rFonts w:ascii="Verdana" w:eastAsiaTheme="minorHAnsi" w:hAnsi="Verdana"/>
                <w:sz w:val="18"/>
                <w:szCs w:val="18"/>
                <w:lang w:val="en-GB"/>
              </w:rPr>
              <w:t>Syn-DP: 0.02-0.05 μg/kg dw</w:t>
            </w:r>
          </w:p>
        </w:tc>
        <w:tc>
          <w:tcPr>
            <w:tcW w:w="2532" w:type="dxa"/>
            <w:tcBorders>
              <w:top w:val="single" w:sz="4" w:space="0" w:color="auto"/>
              <w:left w:val="single" w:sz="4" w:space="0" w:color="auto"/>
              <w:right w:val="single" w:sz="4" w:space="0" w:color="auto"/>
            </w:tcBorders>
          </w:tcPr>
          <w:p w14:paraId="0764FFCE" w14:textId="77777777" w:rsidR="00971666" w:rsidRPr="000C7CFA" w:rsidRDefault="00971666"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Analysis as by GC-MS.</w:t>
            </w:r>
          </w:p>
        </w:tc>
        <w:tc>
          <w:tcPr>
            <w:tcW w:w="1374" w:type="dxa"/>
            <w:tcBorders>
              <w:top w:val="single" w:sz="4" w:space="0" w:color="auto"/>
              <w:left w:val="single" w:sz="4" w:space="0" w:color="auto"/>
            </w:tcBorders>
          </w:tcPr>
          <w:p w14:paraId="48B639F5" w14:textId="77777777" w:rsidR="00971666" w:rsidRPr="000C7CFA" w:rsidRDefault="00971666" w:rsidP="00971666">
            <w:pPr>
              <w:spacing w:after="0"/>
              <w:rPr>
                <w:rFonts w:ascii="Verdana" w:hAnsi="Verdana"/>
                <w:sz w:val="18"/>
                <w:szCs w:val="18"/>
                <w:lang w:val="en-GB" w:eastAsia="ar-SA"/>
              </w:rPr>
            </w:pPr>
            <w:r w:rsidRPr="000C7CFA">
              <w:rPr>
                <w:rFonts w:ascii="Verdana" w:hAnsi="Verdana"/>
                <w:sz w:val="18"/>
                <w:szCs w:val="18"/>
                <w:lang w:val="en-GB" w:eastAsia="ar-SA"/>
              </w:rPr>
              <w:t xml:space="preserve">Schlabach </w:t>
            </w:r>
            <w:r w:rsidRPr="000C7CFA">
              <w:rPr>
                <w:rFonts w:ascii="Verdana" w:hAnsi="Verdana"/>
                <w:i/>
                <w:sz w:val="18"/>
                <w:szCs w:val="18"/>
                <w:lang w:val="en-GB" w:eastAsia="ar-SA"/>
              </w:rPr>
              <w:t>et al</w:t>
            </w:r>
            <w:r w:rsidRPr="000C7CFA">
              <w:rPr>
                <w:rFonts w:ascii="Verdana" w:hAnsi="Verdana"/>
                <w:sz w:val="18"/>
                <w:szCs w:val="18"/>
                <w:lang w:val="en-GB" w:eastAsia="ar-SA"/>
              </w:rPr>
              <w:t>. (2011)</w:t>
            </w:r>
          </w:p>
        </w:tc>
      </w:tr>
      <w:tr w:rsidR="00971666" w:rsidRPr="000C7CFA" w14:paraId="3A0715D7" w14:textId="77777777" w:rsidTr="000A1A05">
        <w:trPr>
          <w:trHeight w:val="787"/>
        </w:trPr>
        <w:tc>
          <w:tcPr>
            <w:tcW w:w="1913" w:type="dxa"/>
            <w:tcBorders>
              <w:top w:val="single" w:sz="4" w:space="0" w:color="auto"/>
              <w:bottom w:val="single" w:sz="4" w:space="0" w:color="auto"/>
              <w:right w:val="single" w:sz="4" w:space="0" w:color="auto"/>
            </w:tcBorders>
          </w:tcPr>
          <w:p w14:paraId="7DFE1DE7" w14:textId="77777777" w:rsidR="00971666" w:rsidRPr="000C7CFA" w:rsidRDefault="00971666" w:rsidP="00FC2B2F">
            <w:pPr>
              <w:spacing w:after="0"/>
              <w:rPr>
                <w:rFonts w:ascii="Verdana" w:hAnsi="Verdana"/>
                <w:sz w:val="18"/>
                <w:szCs w:val="18"/>
                <w:lang w:val="en-GB" w:eastAsia="ar-SA"/>
              </w:rPr>
            </w:pPr>
            <w:r w:rsidRPr="000C7CFA">
              <w:rPr>
                <w:rFonts w:ascii="Verdana" w:hAnsi="Verdana"/>
                <w:sz w:val="18"/>
                <w:szCs w:val="18"/>
                <w:lang w:val="en-GB" w:eastAsia="ar-SA"/>
              </w:rPr>
              <w:lastRenderedPageBreak/>
              <w:t xml:space="preserve">Moss, dung (reindeer and bird) </w:t>
            </w:r>
          </w:p>
        </w:tc>
        <w:tc>
          <w:tcPr>
            <w:tcW w:w="1083" w:type="dxa"/>
            <w:tcBorders>
              <w:top w:val="single" w:sz="4" w:space="0" w:color="auto"/>
              <w:left w:val="single" w:sz="4" w:space="0" w:color="auto"/>
              <w:bottom w:val="single" w:sz="4" w:space="0" w:color="auto"/>
              <w:right w:val="single" w:sz="4" w:space="0" w:color="auto"/>
            </w:tcBorders>
          </w:tcPr>
          <w:p w14:paraId="18CE32BD" w14:textId="77777777" w:rsidR="00971666" w:rsidRPr="000C7CFA" w:rsidRDefault="00971666" w:rsidP="00FC2B2F">
            <w:pPr>
              <w:pStyle w:val="Tabletext"/>
              <w:spacing w:before="0" w:after="0"/>
              <w:rPr>
                <w:rFonts w:ascii="Verdana" w:hAnsi="Verdana"/>
                <w:sz w:val="18"/>
                <w:szCs w:val="18"/>
                <w:lang w:val="en-GB" w:eastAsia="ar-SA"/>
              </w:rPr>
            </w:pPr>
            <w:r w:rsidRPr="000C7CFA">
              <w:rPr>
                <w:rFonts w:ascii="Verdana" w:hAnsi="Verdana"/>
                <w:sz w:val="18"/>
                <w:szCs w:val="18"/>
                <w:lang w:val="en-GB" w:eastAsia="ar-SA"/>
              </w:rPr>
              <w:t>Whole sample</w:t>
            </w:r>
          </w:p>
        </w:tc>
        <w:tc>
          <w:tcPr>
            <w:tcW w:w="2350" w:type="dxa"/>
            <w:tcBorders>
              <w:top w:val="single" w:sz="4" w:space="0" w:color="auto"/>
              <w:left w:val="single" w:sz="4" w:space="0" w:color="auto"/>
              <w:bottom w:val="single" w:sz="4" w:space="0" w:color="auto"/>
              <w:right w:val="single" w:sz="4" w:space="0" w:color="auto"/>
            </w:tcBorders>
          </w:tcPr>
          <w:p w14:paraId="397D2E0A" w14:textId="77777777" w:rsidR="00971666" w:rsidRPr="000C7CFA" w:rsidRDefault="00971666" w:rsidP="00FC2B2F">
            <w:pPr>
              <w:pStyle w:val="Tabletext"/>
              <w:spacing w:after="0"/>
              <w:rPr>
                <w:rFonts w:ascii="Verdana" w:hAnsi="Verdana"/>
                <w:sz w:val="18"/>
                <w:szCs w:val="18"/>
                <w:lang w:val="de-DE" w:eastAsia="ar-SA"/>
              </w:rPr>
            </w:pPr>
            <w:r w:rsidRPr="000C7CFA">
              <w:rPr>
                <w:rFonts w:ascii="Verdana" w:hAnsi="Verdana"/>
                <w:sz w:val="18"/>
                <w:szCs w:val="18"/>
                <w:lang w:val="de-DE" w:eastAsia="ar-SA"/>
              </w:rPr>
              <w:t xml:space="preserve">Ny-Ålesund, Svalbard (78°55′N, 11°56′E). </w:t>
            </w:r>
          </w:p>
        </w:tc>
        <w:tc>
          <w:tcPr>
            <w:tcW w:w="2110" w:type="dxa"/>
            <w:tcBorders>
              <w:top w:val="single" w:sz="4" w:space="0" w:color="000000"/>
              <w:left w:val="single" w:sz="4" w:space="0" w:color="auto"/>
              <w:bottom w:val="single" w:sz="4" w:space="0" w:color="auto"/>
              <w:right w:val="single" w:sz="4" w:space="0" w:color="auto"/>
            </w:tcBorders>
          </w:tcPr>
          <w:p w14:paraId="125C0403" w14:textId="77777777" w:rsidR="00971666" w:rsidRPr="000C7CFA" w:rsidRDefault="00971666" w:rsidP="00FC2B2F">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0.004-0.054 (dung)</w:t>
            </w:r>
          </w:p>
          <w:p w14:paraId="6F129A6A" w14:textId="77777777" w:rsidR="00971666" w:rsidRPr="000C7CFA" w:rsidRDefault="00971666" w:rsidP="00FC2B2F">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0.00057-0.076 (soil)</w:t>
            </w:r>
          </w:p>
        </w:tc>
        <w:tc>
          <w:tcPr>
            <w:tcW w:w="2672" w:type="dxa"/>
            <w:tcBorders>
              <w:top w:val="single" w:sz="4" w:space="0" w:color="auto"/>
              <w:left w:val="single" w:sz="4" w:space="0" w:color="auto"/>
              <w:bottom w:val="single" w:sz="4" w:space="0" w:color="auto"/>
              <w:right w:val="single" w:sz="4" w:space="0" w:color="auto"/>
            </w:tcBorders>
          </w:tcPr>
          <w:p w14:paraId="37BABE9B" w14:textId="77777777" w:rsidR="00971666" w:rsidRPr="000C7CFA" w:rsidRDefault="00971666" w:rsidP="00971666">
            <w:pPr>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Moss: </w:t>
            </w:r>
          </w:p>
          <w:p w14:paraId="122F21F1" w14:textId="77777777" w:rsidR="00971666" w:rsidRPr="000C7CFA" w:rsidRDefault="00971666" w:rsidP="00FC2B2F">
            <w:pPr>
              <w:rPr>
                <w:rFonts w:ascii="Verdana" w:eastAsiaTheme="minorHAnsi" w:hAnsi="Verdana"/>
                <w:sz w:val="18"/>
                <w:szCs w:val="18"/>
                <w:lang w:val="en-GB"/>
              </w:rPr>
            </w:pPr>
            <w:r w:rsidRPr="000C7CFA">
              <w:rPr>
                <w:rFonts w:ascii="Verdana" w:eastAsiaTheme="minorHAnsi" w:hAnsi="Verdana"/>
                <w:sz w:val="18"/>
                <w:szCs w:val="18"/>
                <w:lang w:val="en-GB"/>
              </w:rPr>
              <w:t>Anti-DP: mean 0.0004 μg/kg dw (range &lt;LoD-0.0009 μg/kg)</w:t>
            </w:r>
          </w:p>
          <w:p w14:paraId="3535E807" w14:textId="77777777" w:rsidR="00971666" w:rsidRPr="000C7CFA" w:rsidRDefault="00971666" w:rsidP="00FC2B2F">
            <w:pPr>
              <w:rPr>
                <w:rFonts w:ascii="Verdana" w:eastAsiaTheme="minorHAnsi" w:hAnsi="Verdana"/>
                <w:sz w:val="18"/>
                <w:szCs w:val="18"/>
                <w:lang w:val="en-GB"/>
              </w:rPr>
            </w:pPr>
            <w:r w:rsidRPr="000C7CFA">
              <w:rPr>
                <w:rFonts w:ascii="Verdana" w:eastAsiaTheme="minorHAnsi" w:hAnsi="Verdana"/>
                <w:sz w:val="18"/>
                <w:szCs w:val="18"/>
                <w:lang w:val="en-GB"/>
              </w:rPr>
              <w:t>Syn-DP: mean 0.001 μg/kg dw (range 0.0001-0.0025 μg/kg dw)</w:t>
            </w:r>
          </w:p>
          <w:p w14:paraId="70132756" w14:textId="77777777" w:rsidR="00971666" w:rsidRPr="000C7CFA" w:rsidRDefault="00971666" w:rsidP="00FC2B2F">
            <w:pPr>
              <w:rPr>
                <w:rFonts w:ascii="Verdana" w:eastAsiaTheme="minorHAnsi" w:hAnsi="Verdana"/>
                <w:sz w:val="18"/>
                <w:szCs w:val="18"/>
                <w:lang w:val="en-GB"/>
              </w:rPr>
            </w:pPr>
            <w:r w:rsidRPr="000C7CFA">
              <w:rPr>
                <w:rFonts w:ascii="Verdana" w:eastAsiaTheme="minorHAnsi" w:hAnsi="Verdana"/>
                <w:sz w:val="18"/>
                <w:szCs w:val="18"/>
                <w:lang w:val="en-GB"/>
              </w:rPr>
              <w:t>f</w:t>
            </w:r>
            <w:r w:rsidRPr="000C7CFA">
              <w:rPr>
                <w:rFonts w:ascii="Verdana" w:eastAsiaTheme="minorHAnsi" w:hAnsi="Verdana"/>
                <w:sz w:val="18"/>
                <w:szCs w:val="18"/>
                <w:vertAlign w:val="subscript"/>
                <w:lang w:val="en-GB"/>
              </w:rPr>
              <w:t>anti</w:t>
            </w:r>
            <w:r w:rsidRPr="000C7CFA">
              <w:rPr>
                <w:rFonts w:ascii="Verdana" w:eastAsiaTheme="minorHAnsi" w:hAnsi="Verdana"/>
                <w:sz w:val="18"/>
                <w:szCs w:val="18"/>
                <w:lang w:val="en-GB"/>
              </w:rPr>
              <w:t xml:space="preserve"> = 0.27</w:t>
            </w:r>
          </w:p>
          <w:p w14:paraId="29D9036F" w14:textId="77777777" w:rsidR="00971666" w:rsidRPr="000C7CFA" w:rsidRDefault="00971666" w:rsidP="00971666">
            <w:pPr>
              <w:spacing w:after="0"/>
              <w:rPr>
                <w:rFonts w:ascii="Verdana" w:eastAsiaTheme="minorHAnsi" w:hAnsi="Verdana"/>
                <w:sz w:val="18"/>
                <w:szCs w:val="18"/>
                <w:lang w:val="en-GB"/>
              </w:rPr>
            </w:pPr>
            <w:r w:rsidRPr="000C7CFA">
              <w:rPr>
                <w:rFonts w:ascii="Verdana" w:eastAsiaTheme="minorHAnsi" w:hAnsi="Verdana"/>
                <w:sz w:val="18"/>
                <w:szCs w:val="18"/>
                <w:lang w:val="en-GB"/>
              </w:rPr>
              <w:t>Dung:</w:t>
            </w:r>
          </w:p>
          <w:p w14:paraId="0565701A" w14:textId="77777777" w:rsidR="00971666" w:rsidRPr="000C7CFA" w:rsidRDefault="00971666" w:rsidP="00FC2B2F">
            <w:pPr>
              <w:rPr>
                <w:rFonts w:ascii="Verdana" w:eastAsiaTheme="minorHAnsi" w:hAnsi="Verdana"/>
                <w:sz w:val="18"/>
                <w:szCs w:val="18"/>
                <w:lang w:val="en-GB"/>
              </w:rPr>
            </w:pPr>
            <w:r w:rsidRPr="000C7CFA">
              <w:rPr>
                <w:rFonts w:ascii="Verdana" w:eastAsiaTheme="minorHAnsi" w:hAnsi="Verdana"/>
                <w:sz w:val="18"/>
                <w:szCs w:val="18"/>
                <w:lang w:val="en-GB"/>
              </w:rPr>
              <w:t>Anti-DP: mean 0.171 μg/kg dw (range 0.0017-0.524 μg/kg)</w:t>
            </w:r>
          </w:p>
          <w:p w14:paraId="1F8A4075" w14:textId="77777777" w:rsidR="00971666" w:rsidRPr="000C7CFA" w:rsidRDefault="00971666" w:rsidP="00FC2B2F">
            <w:pPr>
              <w:rPr>
                <w:rFonts w:ascii="Verdana" w:eastAsiaTheme="minorHAnsi" w:hAnsi="Verdana"/>
                <w:sz w:val="18"/>
                <w:szCs w:val="18"/>
                <w:lang w:val="en-GB"/>
              </w:rPr>
            </w:pPr>
            <w:r w:rsidRPr="000C7CFA">
              <w:rPr>
                <w:rFonts w:ascii="Verdana" w:eastAsiaTheme="minorHAnsi" w:hAnsi="Verdana"/>
                <w:sz w:val="18"/>
                <w:szCs w:val="18"/>
                <w:lang w:val="en-GB"/>
              </w:rPr>
              <w:t>Syn-DP: mean 0.087 μg/kg dw (range 0.0035-0.369 μg/kg dw)</w:t>
            </w:r>
          </w:p>
          <w:p w14:paraId="15D78606" w14:textId="77777777" w:rsidR="00971666" w:rsidRPr="000C7CFA" w:rsidRDefault="00971666" w:rsidP="00FC2B2F">
            <w:pPr>
              <w:rPr>
                <w:rFonts w:ascii="Verdana" w:eastAsiaTheme="minorHAnsi" w:hAnsi="Verdana"/>
                <w:sz w:val="18"/>
                <w:szCs w:val="18"/>
                <w:lang w:val="en-GB"/>
              </w:rPr>
            </w:pPr>
            <w:r w:rsidRPr="000C7CFA">
              <w:rPr>
                <w:rFonts w:ascii="Verdana" w:eastAsiaTheme="minorHAnsi" w:hAnsi="Verdana"/>
                <w:sz w:val="18"/>
                <w:szCs w:val="18"/>
                <w:lang w:val="en-GB"/>
              </w:rPr>
              <w:t>The f</w:t>
            </w:r>
            <w:r w:rsidRPr="000C7CFA">
              <w:rPr>
                <w:rFonts w:ascii="Verdana" w:eastAsiaTheme="minorHAnsi" w:hAnsi="Verdana"/>
                <w:sz w:val="18"/>
                <w:szCs w:val="18"/>
                <w:vertAlign w:val="subscript"/>
                <w:lang w:val="en-GB"/>
              </w:rPr>
              <w:t>anti</w:t>
            </w:r>
            <w:r w:rsidRPr="000C7CFA">
              <w:rPr>
                <w:rFonts w:ascii="Verdana" w:eastAsiaTheme="minorHAnsi" w:hAnsi="Verdana"/>
                <w:sz w:val="18"/>
                <w:szCs w:val="18"/>
                <w:lang w:val="en-GB"/>
              </w:rPr>
              <w:t xml:space="preserve"> was 0.66 in reindeer dung and 0.67 in bird dung.</w:t>
            </w:r>
          </w:p>
          <w:p w14:paraId="083D4C88" w14:textId="77777777" w:rsidR="00971666" w:rsidRPr="000C7CFA" w:rsidRDefault="00971666" w:rsidP="00FC2B2F">
            <w:pPr>
              <w:rPr>
                <w:rFonts w:ascii="Verdana" w:eastAsiaTheme="minorHAnsi" w:hAnsi="Verdana"/>
                <w:sz w:val="18"/>
                <w:szCs w:val="18"/>
                <w:lang w:val="en-GB"/>
              </w:rPr>
            </w:pPr>
          </w:p>
        </w:tc>
        <w:tc>
          <w:tcPr>
            <w:tcW w:w="2532" w:type="dxa"/>
            <w:tcBorders>
              <w:top w:val="single" w:sz="4" w:space="0" w:color="auto"/>
              <w:left w:val="single" w:sz="4" w:space="0" w:color="auto"/>
              <w:bottom w:val="single" w:sz="4" w:space="0" w:color="auto"/>
              <w:right w:val="single" w:sz="4" w:space="0" w:color="auto"/>
            </w:tcBorders>
          </w:tcPr>
          <w:p w14:paraId="32ADA14C" w14:textId="77777777" w:rsidR="00971666" w:rsidRPr="000C7CFA" w:rsidRDefault="00971666"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Analysis was by GC-MS-NCI. Samples of moss, dung (and surface soil) were collected simultaneously.  </w:t>
            </w:r>
          </w:p>
          <w:p w14:paraId="70B045E0" w14:textId="77777777" w:rsidR="00971666" w:rsidRPr="000C7CFA" w:rsidRDefault="00971666"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Sediment and seawater samples were also taken at King’s Bay. Na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xml:space="preserve"> (2015) considered the low f</w:t>
            </w:r>
            <w:r w:rsidRPr="000C7CFA">
              <w:rPr>
                <w:rFonts w:ascii="Verdana" w:eastAsiaTheme="minorHAnsi" w:hAnsi="Verdana"/>
                <w:sz w:val="18"/>
                <w:szCs w:val="18"/>
                <w:vertAlign w:val="subscript"/>
                <w:lang w:val="en-GB"/>
              </w:rPr>
              <w:t>anti</w:t>
            </w:r>
            <w:r w:rsidRPr="000C7CFA">
              <w:rPr>
                <w:rFonts w:ascii="Verdana" w:eastAsiaTheme="minorHAnsi" w:hAnsi="Verdana"/>
                <w:sz w:val="18"/>
                <w:szCs w:val="18"/>
                <w:lang w:val="en-GB"/>
              </w:rPr>
              <w:t xml:space="preserve"> values found in moss (and also water, sediment, soil) may reflect degradation of anti-DP during long-range transport, possibly by UV. The f</w:t>
            </w:r>
            <w:r w:rsidRPr="000C7CFA">
              <w:rPr>
                <w:rFonts w:ascii="Verdana" w:eastAsiaTheme="minorHAnsi" w:hAnsi="Verdana"/>
                <w:sz w:val="18"/>
                <w:szCs w:val="18"/>
                <w:vertAlign w:val="subscript"/>
                <w:lang w:val="en-GB"/>
              </w:rPr>
              <w:t>anti</w:t>
            </w:r>
            <w:r w:rsidRPr="000C7CFA">
              <w:rPr>
                <w:rFonts w:ascii="Verdana" w:eastAsiaTheme="minorHAnsi" w:hAnsi="Verdana"/>
                <w:sz w:val="18"/>
                <w:szCs w:val="18"/>
                <w:lang w:val="en-GB"/>
              </w:rPr>
              <w:t xml:space="preserve"> value in the dung samples was close to that in commercial products and suggests that the migration behaviour of the organisms may be the main source of transport for these organisms.</w:t>
            </w:r>
          </w:p>
          <w:p w14:paraId="3575A773" w14:textId="77777777" w:rsidR="000A1A05" w:rsidRPr="000C7CFA" w:rsidRDefault="000A1A05" w:rsidP="00FC2B2F">
            <w:pPr>
              <w:autoSpaceDE w:val="0"/>
              <w:autoSpaceDN w:val="0"/>
              <w:adjustRightInd w:val="0"/>
              <w:spacing w:after="0"/>
              <w:rPr>
                <w:rFonts w:ascii="Verdana" w:eastAsiaTheme="minorHAnsi" w:hAnsi="Verdana"/>
                <w:sz w:val="18"/>
                <w:szCs w:val="18"/>
                <w:lang w:val="en-GB"/>
              </w:rPr>
            </w:pPr>
          </w:p>
          <w:p w14:paraId="4A11BAAC" w14:textId="77777777" w:rsidR="000A1A05" w:rsidRPr="000C7CFA" w:rsidRDefault="000A1A05" w:rsidP="00FC2B2F">
            <w:pPr>
              <w:autoSpaceDE w:val="0"/>
              <w:autoSpaceDN w:val="0"/>
              <w:adjustRightInd w:val="0"/>
              <w:spacing w:after="0"/>
              <w:rPr>
                <w:rFonts w:ascii="Verdana" w:eastAsiaTheme="minorHAnsi" w:hAnsi="Verdana"/>
                <w:sz w:val="18"/>
                <w:szCs w:val="18"/>
                <w:lang w:val="en-GB"/>
              </w:rPr>
            </w:pPr>
          </w:p>
        </w:tc>
        <w:tc>
          <w:tcPr>
            <w:tcW w:w="1374" w:type="dxa"/>
            <w:tcBorders>
              <w:top w:val="single" w:sz="4" w:space="0" w:color="auto"/>
              <w:left w:val="single" w:sz="4" w:space="0" w:color="auto"/>
              <w:bottom w:val="single" w:sz="4" w:space="0" w:color="auto"/>
            </w:tcBorders>
          </w:tcPr>
          <w:p w14:paraId="25333F10" w14:textId="77777777" w:rsidR="00971666" w:rsidRPr="000C7CFA" w:rsidRDefault="00971666" w:rsidP="00971666">
            <w:pPr>
              <w:spacing w:after="0"/>
              <w:rPr>
                <w:rFonts w:ascii="Verdana" w:hAnsi="Verdana"/>
                <w:sz w:val="18"/>
                <w:szCs w:val="18"/>
                <w:lang w:val="en-GB" w:eastAsia="ar-SA"/>
              </w:rPr>
            </w:pPr>
            <w:r w:rsidRPr="000C7CFA">
              <w:rPr>
                <w:rFonts w:ascii="Verdana" w:hAnsi="Verdana"/>
                <w:sz w:val="18"/>
                <w:szCs w:val="18"/>
                <w:lang w:val="en-GB" w:eastAsia="ar-SA"/>
              </w:rPr>
              <w:t xml:space="preserve">Na </w:t>
            </w:r>
            <w:r w:rsidRPr="000C7CFA">
              <w:rPr>
                <w:rFonts w:ascii="Verdana" w:hAnsi="Verdana"/>
                <w:i/>
                <w:sz w:val="18"/>
                <w:szCs w:val="18"/>
                <w:lang w:val="en-GB" w:eastAsia="ar-SA"/>
              </w:rPr>
              <w:t>et al</w:t>
            </w:r>
            <w:r w:rsidRPr="000C7CFA">
              <w:rPr>
                <w:rFonts w:ascii="Verdana" w:hAnsi="Verdana"/>
                <w:sz w:val="18"/>
                <w:szCs w:val="18"/>
                <w:lang w:val="en-GB" w:eastAsia="ar-SA"/>
              </w:rPr>
              <w:t>. (2015)</w:t>
            </w:r>
          </w:p>
        </w:tc>
      </w:tr>
      <w:tr w:rsidR="00C16F04" w:rsidRPr="000C7CFA" w14:paraId="122D8F13" w14:textId="77777777" w:rsidTr="000A1A05">
        <w:trPr>
          <w:trHeight w:val="787"/>
        </w:trPr>
        <w:tc>
          <w:tcPr>
            <w:tcW w:w="1913" w:type="dxa"/>
            <w:tcBorders>
              <w:top w:val="single" w:sz="4" w:space="0" w:color="auto"/>
              <w:right w:val="single" w:sz="4" w:space="0" w:color="auto"/>
            </w:tcBorders>
          </w:tcPr>
          <w:p w14:paraId="3CDDA874" w14:textId="77777777" w:rsidR="00C16F04" w:rsidRPr="000C7CFA" w:rsidRDefault="00C16F04" w:rsidP="00704CE9">
            <w:pPr>
              <w:spacing w:after="0"/>
              <w:rPr>
                <w:rFonts w:ascii="Verdana" w:hAnsi="Verdana"/>
                <w:sz w:val="18"/>
                <w:szCs w:val="18"/>
                <w:lang w:val="en-GB" w:eastAsia="ar-SA"/>
              </w:rPr>
            </w:pPr>
            <w:r w:rsidRPr="000C7CFA">
              <w:rPr>
                <w:rFonts w:ascii="Verdana" w:hAnsi="Verdana"/>
                <w:sz w:val="18"/>
                <w:szCs w:val="18"/>
                <w:lang w:val="en-GB" w:eastAsia="ar-SA"/>
              </w:rPr>
              <w:lastRenderedPageBreak/>
              <w:t>Green Onion (</w:t>
            </w:r>
            <w:r w:rsidRPr="000C7CFA">
              <w:rPr>
                <w:rFonts w:ascii="Verdana" w:hAnsi="Verdana"/>
                <w:i/>
                <w:sz w:val="18"/>
                <w:szCs w:val="18"/>
                <w:lang w:val="en-GB" w:eastAsia="ar-SA"/>
              </w:rPr>
              <w:t>Allium fistulosum</w:t>
            </w:r>
            <w:r w:rsidRPr="000C7CFA">
              <w:rPr>
                <w:rFonts w:ascii="Verdana" w:hAnsi="Verdana"/>
                <w:sz w:val="18"/>
                <w:szCs w:val="18"/>
                <w:lang w:val="en-GB" w:eastAsia="ar-SA"/>
              </w:rPr>
              <w:t xml:space="preserve">) </w:t>
            </w:r>
            <w:r w:rsidRPr="000C7CFA">
              <w:rPr>
                <w:rFonts w:ascii="Verdana" w:eastAsiaTheme="minorHAnsi" w:hAnsi="Verdana"/>
                <w:color w:val="000000"/>
                <w:sz w:val="18"/>
                <w:szCs w:val="18"/>
                <w:lang w:val="en-GB"/>
              </w:rPr>
              <w:t>(n = 12)</w:t>
            </w:r>
          </w:p>
          <w:p w14:paraId="1E9451B2" w14:textId="77777777" w:rsidR="00C16F04" w:rsidRPr="000C7CFA" w:rsidRDefault="00C16F04" w:rsidP="00704CE9">
            <w:pPr>
              <w:spacing w:after="0"/>
              <w:rPr>
                <w:rFonts w:ascii="Verdana" w:hAnsi="Verdana"/>
                <w:sz w:val="18"/>
                <w:szCs w:val="18"/>
                <w:lang w:val="en-GB" w:eastAsia="ar-SA"/>
              </w:rPr>
            </w:pPr>
          </w:p>
          <w:p w14:paraId="3B0ECE30" w14:textId="77777777" w:rsidR="00C16F04" w:rsidRPr="000C7CFA" w:rsidRDefault="00C16F04" w:rsidP="00704CE9">
            <w:pPr>
              <w:spacing w:after="0"/>
              <w:rPr>
                <w:rFonts w:ascii="Verdana" w:hAnsi="Verdana"/>
                <w:sz w:val="18"/>
                <w:szCs w:val="18"/>
                <w:lang w:val="en-GB" w:eastAsia="ar-SA"/>
              </w:rPr>
            </w:pPr>
            <w:r w:rsidRPr="000C7CFA">
              <w:rPr>
                <w:rFonts w:ascii="Verdana" w:hAnsi="Verdana"/>
                <w:sz w:val="18"/>
                <w:szCs w:val="18"/>
                <w:lang w:val="en-GB" w:eastAsia="ar-SA"/>
              </w:rPr>
              <w:t>Lettuce (</w:t>
            </w:r>
            <w:r w:rsidRPr="000C7CFA">
              <w:rPr>
                <w:rFonts w:ascii="Verdana" w:hAnsi="Verdana"/>
                <w:i/>
                <w:sz w:val="18"/>
                <w:szCs w:val="18"/>
                <w:lang w:val="en-GB" w:eastAsia="ar-SA"/>
              </w:rPr>
              <w:t>Lactuca sativa</w:t>
            </w:r>
            <w:r w:rsidRPr="000C7CFA">
              <w:rPr>
                <w:rFonts w:ascii="Verdana" w:hAnsi="Verdana"/>
                <w:sz w:val="18"/>
                <w:szCs w:val="18"/>
                <w:lang w:val="en-GB" w:eastAsia="ar-SA"/>
              </w:rPr>
              <w:t xml:space="preserve">) </w:t>
            </w:r>
            <w:r w:rsidRPr="000C7CFA">
              <w:rPr>
                <w:rFonts w:ascii="Verdana" w:eastAsiaTheme="minorHAnsi" w:hAnsi="Verdana"/>
                <w:color w:val="000000"/>
                <w:sz w:val="18"/>
                <w:szCs w:val="18"/>
                <w:lang w:val="en-GB"/>
              </w:rPr>
              <w:t>(n = 8)</w:t>
            </w:r>
          </w:p>
          <w:p w14:paraId="4208EDF1" w14:textId="77777777" w:rsidR="00C16F04" w:rsidRPr="000C7CFA" w:rsidRDefault="00C16F04" w:rsidP="00704CE9">
            <w:pPr>
              <w:spacing w:after="0"/>
              <w:rPr>
                <w:rFonts w:ascii="Verdana" w:hAnsi="Verdana"/>
                <w:sz w:val="18"/>
                <w:szCs w:val="18"/>
                <w:lang w:val="en-GB" w:eastAsia="ar-SA"/>
              </w:rPr>
            </w:pPr>
          </w:p>
          <w:p w14:paraId="6B9CFC9B" w14:textId="77777777" w:rsidR="00C16F04" w:rsidRPr="000C7CFA" w:rsidRDefault="00C16F04" w:rsidP="00704CE9">
            <w:pPr>
              <w:spacing w:after="0"/>
              <w:rPr>
                <w:rFonts w:ascii="Verdana" w:hAnsi="Verdana"/>
                <w:sz w:val="18"/>
                <w:szCs w:val="18"/>
                <w:lang w:val="en-GB" w:eastAsia="ar-SA"/>
              </w:rPr>
            </w:pPr>
            <w:r w:rsidRPr="000C7CFA">
              <w:rPr>
                <w:rFonts w:ascii="Verdana" w:hAnsi="Verdana"/>
                <w:sz w:val="18"/>
                <w:szCs w:val="18"/>
                <w:lang w:val="en-GB" w:eastAsia="ar-SA"/>
              </w:rPr>
              <w:t>Garlic Chives (</w:t>
            </w:r>
            <w:r w:rsidRPr="000C7CFA">
              <w:rPr>
                <w:rFonts w:ascii="Verdana" w:hAnsi="Verdana"/>
                <w:i/>
                <w:sz w:val="18"/>
                <w:szCs w:val="18"/>
                <w:lang w:val="en-GB" w:eastAsia="ar-SA"/>
              </w:rPr>
              <w:t>Allium tuberosum</w:t>
            </w:r>
            <w:r w:rsidRPr="000C7CFA">
              <w:rPr>
                <w:rFonts w:ascii="Verdana" w:hAnsi="Verdana"/>
                <w:sz w:val="18"/>
                <w:szCs w:val="18"/>
                <w:lang w:val="en-GB" w:eastAsia="ar-SA"/>
              </w:rPr>
              <w:t xml:space="preserve">) </w:t>
            </w:r>
            <w:r w:rsidRPr="000C7CFA">
              <w:rPr>
                <w:rFonts w:ascii="Verdana" w:eastAsiaTheme="minorHAnsi" w:hAnsi="Verdana"/>
                <w:color w:val="000000"/>
                <w:sz w:val="18"/>
                <w:szCs w:val="18"/>
                <w:lang w:val="en-GB"/>
              </w:rPr>
              <w:t>(n = 18)</w:t>
            </w:r>
          </w:p>
          <w:p w14:paraId="0093C025" w14:textId="77777777" w:rsidR="00C16F04" w:rsidRPr="000C7CFA" w:rsidRDefault="00C16F04" w:rsidP="00704CE9">
            <w:pPr>
              <w:spacing w:after="0"/>
              <w:rPr>
                <w:rFonts w:ascii="Verdana" w:hAnsi="Verdana"/>
                <w:sz w:val="18"/>
                <w:szCs w:val="18"/>
                <w:lang w:val="en-GB" w:eastAsia="ar-SA"/>
              </w:rPr>
            </w:pPr>
          </w:p>
          <w:p w14:paraId="3F3F0C68" w14:textId="3843D49C" w:rsidR="00C16F04" w:rsidRPr="000C7CFA" w:rsidRDefault="00C16F04" w:rsidP="00704CE9">
            <w:pPr>
              <w:spacing w:after="0"/>
              <w:rPr>
                <w:rFonts w:ascii="Verdana" w:hAnsi="Verdana"/>
                <w:sz w:val="18"/>
                <w:szCs w:val="18"/>
                <w:lang w:val="en-GB" w:eastAsia="ar-SA"/>
              </w:rPr>
            </w:pPr>
            <w:r w:rsidRPr="000C7CFA">
              <w:rPr>
                <w:rFonts w:ascii="Verdana" w:hAnsi="Verdana"/>
                <w:sz w:val="18"/>
                <w:szCs w:val="18"/>
                <w:lang w:val="en-GB" w:eastAsia="ar-SA"/>
              </w:rPr>
              <w:t>Pak Choi Cabbage (</w:t>
            </w:r>
            <w:r w:rsidRPr="000C7CFA">
              <w:rPr>
                <w:rFonts w:ascii="Verdana" w:hAnsi="Verdana"/>
                <w:i/>
                <w:sz w:val="18"/>
                <w:szCs w:val="18"/>
                <w:lang w:val="en-GB" w:eastAsia="ar-SA"/>
              </w:rPr>
              <w:t>Br</w:t>
            </w:r>
            <w:r w:rsidR="00A11FA5" w:rsidRPr="000C7CFA">
              <w:rPr>
                <w:rFonts w:ascii="Verdana" w:hAnsi="Verdana"/>
                <w:i/>
                <w:sz w:val="18"/>
                <w:szCs w:val="18"/>
                <w:lang w:val="en-GB" w:eastAsia="ar-SA"/>
              </w:rPr>
              <w:t>a</w:t>
            </w:r>
            <w:r w:rsidRPr="000C7CFA">
              <w:rPr>
                <w:rFonts w:ascii="Verdana" w:hAnsi="Verdana"/>
                <w:i/>
                <w:sz w:val="18"/>
                <w:szCs w:val="18"/>
                <w:lang w:val="en-GB" w:eastAsia="ar-SA"/>
              </w:rPr>
              <w:t>ssica rapa chinensis</w:t>
            </w:r>
            <w:r w:rsidRPr="000C7CFA">
              <w:rPr>
                <w:rFonts w:ascii="Verdana" w:hAnsi="Verdana"/>
                <w:sz w:val="18"/>
                <w:szCs w:val="18"/>
                <w:lang w:val="en-GB" w:eastAsia="ar-SA"/>
              </w:rPr>
              <w:t xml:space="preserve">) </w:t>
            </w:r>
            <w:r w:rsidRPr="000C7CFA">
              <w:rPr>
                <w:rFonts w:ascii="Verdana" w:eastAsiaTheme="minorHAnsi" w:hAnsi="Verdana"/>
                <w:color w:val="000000"/>
                <w:sz w:val="18"/>
                <w:szCs w:val="18"/>
                <w:lang w:val="en-GB"/>
              </w:rPr>
              <w:t>(n = 15)</w:t>
            </w:r>
          </w:p>
          <w:p w14:paraId="70CBB7C3" w14:textId="77777777" w:rsidR="00C16F04" w:rsidRPr="000C7CFA" w:rsidRDefault="00C16F04" w:rsidP="00704CE9">
            <w:pPr>
              <w:spacing w:after="0"/>
              <w:rPr>
                <w:rFonts w:ascii="Verdana" w:hAnsi="Verdana"/>
                <w:sz w:val="18"/>
                <w:szCs w:val="18"/>
                <w:lang w:val="en-GB" w:eastAsia="ar-SA"/>
              </w:rPr>
            </w:pPr>
          </w:p>
          <w:p w14:paraId="5255B22B" w14:textId="77777777" w:rsidR="00C16F04" w:rsidRPr="000C7CFA" w:rsidRDefault="00C16F04" w:rsidP="00704CE9">
            <w:pPr>
              <w:spacing w:after="0"/>
              <w:rPr>
                <w:rFonts w:ascii="Verdana" w:hAnsi="Verdana"/>
                <w:sz w:val="18"/>
                <w:szCs w:val="18"/>
                <w:lang w:val="en-GB" w:eastAsia="ar-SA"/>
              </w:rPr>
            </w:pPr>
            <w:r w:rsidRPr="000C7CFA">
              <w:rPr>
                <w:rFonts w:ascii="Verdana" w:hAnsi="Verdana"/>
                <w:sz w:val="18"/>
                <w:szCs w:val="18"/>
                <w:lang w:val="en-GB" w:eastAsia="ar-SA"/>
              </w:rPr>
              <w:t>Field Mustard (</w:t>
            </w:r>
            <w:r w:rsidRPr="000C7CFA">
              <w:rPr>
                <w:rFonts w:ascii="Verdana" w:hAnsi="Verdana"/>
                <w:i/>
                <w:sz w:val="18"/>
                <w:szCs w:val="18"/>
                <w:lang w:val="en-GB" w:eastAsia="ar-SA"/>
              </w:rPr>
              <w:t>Brassica rapa</w:t>
            </w:r>
            <w:r w:rsidRPr="000C7CFA">
              <w:rPr>
                <w:rFonts w:ascii="Verdana" w:hAnsi="Verdana"/>
                <w:sz w:val="18"/>
                <w:szCs w:val="18"/>
                <w:lang w:val="en-GB" w:eastAsia="ar-SA"/>
              </w:rPr>
              <w:t xml:space="preserve">) </w:t>
            </w:r>
            <w:r w:rsidRPr="000C7CFA">
              <w:rPr>
                <w:rFonts w:ascii="Verdana" w:eastAsiaTheme="minorHAnsi" w:hAnsi="Verdana"/>
                <w:color w:val="000000"/>
                <w:sz w:val="18"/>
                <w:szCs w:val="18"/>
                <w:lang w:val="en-GB"/>
              </w:rPr>
              <w:t>(n = 10)</w:t>
            </w:r>
          </w:p>
          <w:p w14:paraId="3CA0FF0D" w14:textId="77777777" w:rsidR="00C16F04" w:rsidRPr="000C7CFA" w:rsidRDefault="00C16F04" w:rsidP="00704CE9">
            <w:pPr>
              <w:spacing w:after="0"/>
              <w:rPr>
                <w:rFonts w:ascii="Verdana" w:hAnsi="Verdana"/>
                <w:sz w:val="18"/>
                <w:szCs w:val="18"/>
                <w:lang w:val="en-GB" w:eastAsia="ar-SA"/>
              </w:rPr>
            </w:pPr>
          </w:p>
          <w:p w14:paraId="076570FD" w14:textId="77777777" w:rsidR="00C16F04" w:rsidRPr="000C7CFA" w:rsidRDefault="00C16F04" w:rsidP="00704CE9">
            <w:pPr>
              <w:spacing w:after="0"/>
              <w:rPr>
                <w:rFonts w:ascii="Verdana" w:hAnsi="Verdana"/>
                <w:sz w:val="18"/>
                <w:szCs w:val="18"/>
                <w:lang w:val="en-GB" w:eastAsia="ar-SA"/>
              </w:rPr>
            </w:pPr>
            <w:r w:rsidRPr="000C7CFA">
              <w:rPr>
                <w:rFonts w:ascii="Verdana" w:hAnsi="Verdana"/>
                <w:sz w:val="18"/>
                <w:szCs w:val="18"/>
                <w:lang w:val="en-GB" w:eastAsia="ar-SA"/>
              </w:rPr>
              <w:t>Common Wheat (</w:t>
            </w:r>
            <w:r w:rsidRPr="000C7CFA">
              <w:rPr>
                <w:rFonts w:ascii="Verdana" w:hAnsi="Verdana"/>
                <w:i/>
                <w:sz w:val="18"/>
                <w:szCs w:val="18"/>
                <w:lang w:val="en-GB" w:eastAsia="ar-SA"/>
              </w:rPr>
              <w:t>Triticum aestivum</w:t>
            </w:r>
            <w:r w:rsidRPr="000C7CFA">
              <w:rPr>
                <w:rFonts w:ascii="Verdana" w:hAnsi="Verdana"/>
                <w:sz w:val="18"/>
                <w:szCs w:val="18"/>
                <w:lang w:val="en-GB" w:eastAsia="ar-SA"/>
              </w:rPr>
              <w:t xml:space="preserve">) </w:t>
            </w:r>
            <w:r w:rsidRPr="000C7CFA">
              <w:rPr>
                <w:rFonts w:ascii="Verdana" w:eastAsiaTheme="minorHAnsi" w:hAnsi="Verdana"/>
                <w:color w:val="000000"/>
                <w:sz w:val="18"/>
                <w:szCs w:val="18"/>
                <w:lang w:val="en-GB"/>
              </w:rPr>
              <w:t>(n = 50)</w:t>
            </w:r>
          </w:p>
          <w:p w14:paraId="59AC5687" w14:textId="77777777" w:rsidR="00C16F04" w:rsidRPr="000C7CFA" w:rsidRDefault="00C16F04" w:rsidP="00704CE9">
            <w:pPr>
              <w:spacing w:after="0"/>
              <w:rPr>
                <w:rFonts w:ascii="Verdana" w:hAnsi="Verdana"/>
                <w:sz w:val="18"/>
                <w:szCs w:val="18"/>
                <w:lang w:val="en-GB" w:eastAsia="ar-SA"/>
              </w:rPr>
            </w:pPr>
          </w:p>
          <w:p w14:paraId="438050DC" w14:textId="77777777" w:rsidR="00C16F04" w:rsidRPr="000C7CFA" w:rsidRDefault="00C16F04" w:rsidP="00704CE9">
            <w:pPr>
              <w:spacing w:after="0"/>
              <w:rPr>
                <w:rFonts w:ascii="Verdana" w:hAnsi="Verdana"/>
                <w:sz w:val="18"/>
                <w:szCs w:val="18"/>
                <w:lang w:val="en-GB" w:eastAsia="ar-SA"/>
              </w:rPr>
            </w:pPr>
            <w:r w:rsidRPr="000C7CFA">
              <w:rPr>
                <w:rFonts w:ascii="Verdana" w:hAnsi="Verdana"/>
                <w:sz w:val="18"/>
                <w:szCs w:val="18"/>
                <w:lang w:val="en-GB" w:eastAsia="ar-SA"/>
              </w:rPr>
              <w:t>Maize (</w:t>
            </w:r>
            <w:r w:rsidRPr="000C7CFA">
              <w:rPr>
                <w:rFonts w:ascii="Verdana" w:hAnsi="Verdana"/>
                <w:i/>
                <w:sz w:val="18"/>
                <w:szCs w:val="18"/>
                <w:lang w:val="en-GB" w:eastAsia="ar-SA"/>
              </w:rPr>
              <w:t>Zea mays</w:t>
            </w:r>
            <w:r w:rsidRPr="000C7CFA">
              <w:rPr>
                <w:rFonts w:ascii="Verdana" w:hAnsi="Verdana"/>
                <w:sz w:val="18"/>
                <w:szCs w:val="18"/>
                <w:lang w:val="en-GB" w:eastAsia="ar-SA"/>
              </w:rPr>
              <w:t xml:space="preserve">) </w:t>
            </w:r>
            <w:r w:rsidRPr="000C7CFA">
              <w:rPr>
                <w:rFonts w:ascii="Verdana" w:eastAsiaTheme="minorHAnsi" w:hAnsi="Verdana"/>
                <w:color w:val="000000"/>
                <w:sz w:val="18"/>
                <w:szCs w:val="18"/>
                <w:lang w:val="en-GB"/>
              </w:rPr>
              <w:t>(n = 40)</w:t>
            </w:r>
          </w:p>
          <w:p w14:paraId="2CAADD44" w14:textId="77777777" w:rsidR="00C16F04" w:rsidRPr="000C7CFA" w:rsidRDefault="00C16F04" w:rsidP="00704CE9">
            <w:pPr>
              <w:spacing w:after="0"/>
              <w:rPr>
                <w:rFonts w:ascii="Verdana" w:hAnsi="Verdana"/>
                <w:sz w:val="18"/>
                <w:szCs w:val="18"/>
                <w:lang w:val="en-GB" w:eastAsia="ar-SA"/>
              </w:rPr>
            </w:pPr>
          </w:p>
          <w:p w14:paraId="31F74F46" w14:textId="77777777" w:rsidR="00C16F04" w:rsidRPr="000C7CFA" w:rsidRDefault="00C16F04" w:rsidP="00704CE9">
            <w:pPr>
              <w:autoSpaceDE w:val="0"/>
              <w:autoSpaceDN w:val="0"/>
              <w:adjustRightInd w:val="0"/>
              <w:spacing w:after="0"/>
              <w:rPr>
                <w:rFonts w:ascii="Verdana" w:hAnsi="Verdana"/>
                <w:color w:val="222222"/>
                <w:sz w:val="18"/>
                <w:szCs w:val="18"/>
              </w:rPr>
            </w:pPr>
            <w:r w:rsidRPr="000C7CFA">
              <w:rPr>
                <w:rFonts w:ascii="Verdana" w:hAnsi="Verdana"/>
                <w:sz w:val="18"/>
                <w:szCs w:val="18"/>
                <w:lang w:val="en-GB" w:eastAsia="ar-SA"/>
              </w:rPr>
              <w:t>Soybean (</w:t>
            </w:r>
            <w:r w:rsidRPr="000C7CFA">
              <w:rPr>
                <w:rFonts w:ascii="Verdana" w:hAnsi="Verdana"/>
                <w:i/>
                <w:sz w:val="18"/>
                <w:szCs w:val="18"/>
                <w:lang w:val="en-GB" w:eastAsia="ar-SA"/>
              </w:rPr>
              <w:t>Glycine max</w:t>
            </w:r>
            <w:r w:rsidRPr="000C7CFA">
              <w:rPr>
                <w:rFonts w:ascii="Verdana" w:hAnsi="Verdana"/>
                <w:sz w:val="18"/>
                <w:szCs w:val="18"/>
                <w:lang w:val="en-GB" w:eastAsia="ar-SA"/>
              </w:rPr>
              <w:t xml:space="preserve">) </w:t>
            </w:r>
            <w:r w:rsidRPr="000C7CFA">
              <w:rPr>
                <w:rFonts w:ascii="Verdana" w:eastAsiaTheme="minorHAnsi" w:hAnsi="Verdana"/>
                <w:color w:val="000000"/>
                <w:sz w:val="18"/>
                <w:szCs w:val="18"/>
                <w:lang w:val="en-GB"/>
              </w:rPr>
              <w:t>(n = 40)</w:t>
            </w:r>
          </w:p>
        </w:tc>
        <w:tc>
          <w:tcPr>
            <w:tcW w:w="1083" w:type="dxa"/>
            <w:tcBorders>
              <w:top w:val="single" w:sz="4" w:space="0" w:color="auto"/>
              <w:left w:val="single" w:sz="4" w:space="0" w:color="auto"/>
              <w:right w:val="single" w:sz="4" w:space="0" w:color="auto"/>
            </w:tcBorders>
          </w:tcPr>
          <w:p w14:paraId="77A8F489" w14:textId="77777777" w:rsidR="00C16F04" w:rsidRPr="000C7CFA" w:rsidRDefault="00C16F04" w:rsidP="00704CE9">
            <w:pPr>
              <w:pStyle w:val="Tabletext"/>
              <w:spacing w:before="0" w:after="0"/>
              <w:rPr>
                <w:rFonts w:ascii="Verdana" w:hAnsi="Verdana"/>
                <w:sz w:val="18"/>
                <w:szCs w:val="18"/>
                <w:lang w:val="en-GB" w:eastAsia="en-GB"/>
              </w:rPr>
            </w:pPr>
            <w:r w:rsidRPr="000C7CFA">
              <w:rPr>
                <w:rFonts w:ascii="Verdana" w:hAnsi="Verdana"/>
                <w:sz w:val="18"/>
                <w:szCs w:val="18"/>
                <w:lang w:val="en-GB" w:eastAsia="ar-SA"/>
              </w:rPr>
              <w:t>Leaves (vege-tables) or grain (wheat, maize, soy-bean)</w:t>
            </w:r>
          </w:p>
        </w:tc>
        <w:tc>
          <w:tcPr>
            <w:tcW w:w="2350" w:type="dxa"/>
            <w:tcBorders>
              <w:top w:val="single" w:sz="4" w:space="0" w:color="auto"/>
              <w:left w:val="single" w:sz="4" w:space="0" w:color="auto"/>
              <w:right w:val="single" w:sz="4" w:space="0" w:color="auto"/>
            </w:tcBorders>
          </w:tcPr>
          <w:p w14:paraId="27BA303F" w14:textId="77777777" w:rsidR="00C16F04" w:rsidRPr="000C7CFA" w:rsidRDefault="00C16F04" w:rsidP="00704CE9">
            <w:pPr>
              <w:pStyle w:val="Tabletext"/>
              <w:spacing w:before="0" w:after="0"/>
              <w:rPr>
                <w:rFonts w:ascii="Verdana" w:hAnsi="Verdana"/>
                <w:sz w:val="18"/>
                <w:szCs w:val="18"/>
              </w:rPr>
            </w:pPr>
            <w:r w:rsidRPr="000C7CFA">
              <w:rPr>
                <w:rFonts w:ascii="Verdana" w:hAnsi="Verdana"/>
                <w:sz w:val="18"/>
                <w:szCs w:val="18"/>
                <w:lang w:val="en-GB" w:eastAsia="ar-SA"/>
              </w:rPr>
              <w:t>Huai'an, Jiangsu province, China; May 2010.</w:t>
            </w:r>
          </w:p>
        </w:tc>
        <w:tc>
          <w:tcPr>
            <w:tcW w:w="2110" w:type="dxa"/>
            <w:tcBorders>
              <w:top w:val="single" w:sz="4" w:space="0" w:color="auto"/>
              <w:left w:val="single" w:sz="4" w:space="0" w:color="auto"/>
              <w:bottom w:val="single" w:sz="12" w:space="0" w:color="auto"/>
              <w:right w:val="single" w:sz="4" w:space="0" w:color="auto"/>
            </w:tcBorders>
          </w:tcPr>
          <w:p w14:paraId="2CD999C2" w14:textId="77777777" w:rsidR="00C16F04" w:rsidRPr="000C7CFA" w:rsidRDefault="00C16F04" w:rsidP="00704CE9">
            <w:pPr>
              <w:pStyle w:val="Tabletext"/>
              <w:spacing w:before="0" w:after="0"/>
              <w:jc w:val="center"/>
              <w:rPr>
                <w:rFonts w:ascii="Verdana" w:hAnsi="Verdana"/>
                <w:snapToGrid/>
                <w:sz w:val="18"/>
                <w:szCs w:val="18"/>
                <w:lang w:val="en-GB" w:eastAsia="ar-SA"/>
              </w:rPr>
            </w:pPr>
            <w:r w:rsidRPr="000C7CFA">
              <w:rPr>
                <w:rFonts w:ascii="Verdana" w:hAnsi="Verdana"/>
                <w:snapToGrid/>
                <w:sz w:val="18"/>
                <w:szCs w:val="18"/>
                <w:lang w:val="en-GB" w:eastAsia="ar-SA"/>
              </w:rPr>
              <w:t xml:space="preserve">Anti-DP: 0.135 </w:t>
            </w:r>
          </w:p>
          <w:p w14:paraId="32EC7C26" w14:textId="77777777" w:rsidR="00C16F04" w:rsidRPr="000C7CFA" w:rsidRDefault="00C16F04" w:rsidP="00704CE9">
            <w:pPr>
              <w:pStyle w:val="Tabletext"/>
              <w:spacing w:before="0" w:after="0"/>
              <w:jc w:val="center"/>
              <w:rPr>
                <w:rFonts w:ascii="Verdana" w:eastAsia="Calibri" w:hAnsi="Verdana"/>
                <w:sz w:val="18"/>
                <w:szCs w:val="18"/>
                <w:lang w:val="en-GB"/>
              </w:rPr>
            </w:pPr>
            <w:r w:rsidRPr="000C7CFA">
              <w:rPr>
                <w:rFonts w:ascii="Verdana" w:hAnsi="Verdana"/>
                <w:snapToGrid/>
                <w:sz w:val="18"/>
                <w:szCs w:val="18"/>
                <w:lang w:val="en-GB" w:eastAsia="ar-SA"/>
              </w:rPr>
              <w:t>Syn-DP: 0.120</w:t>
            </w:r>
          </w:p>
        </w:tc>
        <w:tc>
          <w:tcPr>
            <w:tcW w:w="2672" w:type="dxa"/>
            <w:tcBorders>
              <w:top w:val="single" w:sz="4" w:space="0" w:color="auto"/>
              <w:left w:val="single" w:sz="4" w:space="0" w:color="auto"/>
              <w:right w:val="single" w:sz="4" w:space="0" w:color="auto"/>
            </w:tcBorders>
          </w:tcPr>
          <w:p w14:paraId="35637B06" w14:textId="77777777" w:rsidR="00C16F04" w:rsidRPr="000C7CFA" w:rsidRDefault="00C16F04" w:rsidP="00704CE9">
            <w:pPr>
              <w:rPr>
                <w:rFonts w:ascii="Verdana" w:eastAsiaTheme="minorHAnsi" w:hAnsi="Verdana"/>
                <w:sz w:val="18"/>
                <w:szCs w:val="18"/>
                <w:lang w:val="en-GB"/>
              </w:rPr>
            </w:pPr>
            <w:r w:rsidRPr="000C7CFA">
              <w:rPr>
                <w:rFonts w:ascii="Verdana" w:eastAsiaTheme="minorHAnsi" w:hAnsi="Verdana"/>
                <w:sz w:val="18"/>
                <w:szCs w:val="18"/>
                <w:lang w:val="en-GB"/>
              </w:rPr>
              <w:t xml:space="preserve">Total isomers: </w:t>
            </w:r>
          </w:p>
          <w:p w14:paraId="44735804" w14:textId="6EE98D6D" w:rsidR="00C16F04" w:rsidRPr="000C7CFA" w:rsidRDefault="00C16F04" w:rsidP="00704CE9">
            <w:pPr>
              <w:rPr>
                <w:rFonts w:ascii="Verdana" w:eastAsiaTheme="minorHAnsi" w:hAnsi="Verdana"/>
                <w:sz w:val="18"/>
                <w:szCs w:val="18"/>
                <w:lang w:val="en-GB"/>
              </w:rPr>
            </w:pPr>
            <w:r w:rsidRPr="000C7CFA">
              <w:rPr>
                <w:rFonts w:ascii="Verdana" w:eastAsiaTheme="minorHAnsi" w:hAnsi="Verdana"/>
                <w:sz w:val="18"/>
                <w:szCs w:val="18"/>
                <w:lang w:val="en-GB"/>
              </w:rPr>
              <w:t>Mean for</w:t>
            </w:r>
            <w:r w:rsidRPr="000C7CFA">
              <w:rPr>
                <w:rFonts w:ascii="Verdana" w:hAnsi="Verdana"/>
                <w:sz w:val="18"/>
                <w:szCs w:val="18"/>
                <w:lang w:val="en-GB" w:eastAsia="ar-SA"/>
              </w:rPr>
              <w:t xml:space="preserve"> vegetables</w:t>
            </w:r>
            <w:r w:rsidRPr="000C7CFA">
              <w:rPr>
                <w:rFonts w:ascii="Verdana" w:eastAsiaTheme="minorHAnsi" w:hAnsi="Verdana"/>
                <w:sz w:val="18"/>
                <w:szCs w:val="18"/>
                <w:lang w:val="en-GB"/>
              </w:rPr>
              <w:t xml:space="preserve">: </w:t>
            </w:r>
            <w:r w:rsidR="008610EB" w:rsidRPr="000C7CFA">
              <w:rPr>
                <w:rFonts w:ascii="Verdana" w:hAnsi="Verdana"/>
                <w:sz w:val="18"/>
                <w:szCs w:val="18"/>
                <w:lang w:val="en-GB" w:eastAsia="ar-SA"/>
              </w:rPr>
              <w:t>1 </w:t>
            </w:r>
            <w:r w:rsidRPr="000C7CFA">
              <w:rPr>
                <w:rFonts w:ascii="Verdana" w:hAnsi="Verdana"/>
                <w:sz w:val="18"/>
                <w:szCs w:val="18"/>
                <w:lang w:val="en-GB" w:eastAsia="ar-SA"/>
              </w:rPr>
              <w:t xml:space="preserve">038 </w:t>
            </w:r>
            <w:r w:rsidRPr="000C7CFA">
              <w:rPr>
                <w:rFonts w:ascii="Verdana" w:eastAsiaTheme="minorHAnsi" w:hAnsi="Verdana"/>
                <w:sz w:val="18"/>
                <w:szCs w:val="18"/>
                <w:lang w:val="en-GB"/>
              </w:rPr>
              <w:t xml:space="preserve">(range of means for each species: </w:t>
            </w:r>
            <w:r w:rsidR="008610EB" w:rsidRPr="000C7CFA">
              <w:rPr>
                <w:rFonts w:ascii="Verdana" w:hAnsi="Verdana"/>
                <w:sz w:val="18"/>
                <w:szCs w:val="18"/>
                <w:lang w:val="en-GB" w:eastAsia="ar-SA"/>
              </w:rPr>
              <w:t>305 to 2 </w:t>
            </w:r>
            <w:r w:rsidRPr="000C7CFA">
              <w:rPr>
                <w:rFonts w:ascii="Verdana" w:hAnsi="Verdana"/>
                <w:sz w:val="18"/>
                <w:szCs w:val="18"/>
                <w:lang w:val="en-GB" w:eastAsia="ar-SA"/>
              </w:rPr>
              <w:t>720</w:t>
            </w:r>
            <w:r w:rsidRPr="000C7CFA">
              <w:rPr>
                <w:rFonts w:ascii="Verdana" w:eastAsiaTheme="minorHAnsi" w:hAnsi="Verdana"/>
                <w:sz w:val="18"/>
                <w:szCs w:val="18"/>
                <w:lang w:val="en-GB"/>
              </w:rPr>
              <w:t>) µg/kg ww</w:t>
            </w:r>
          </w:p>
          <w:p w14:paraId="18046C32" w14:textId="4F52825F" w:rsidR="00C16F04" w:rsidRPr="000C7CFA" w:rsidRDefault="00C16F04" w:rsidP="00704CE9">
            <w:pPr>
              <w:rPr>
                <w:rFonts w:ascii="Verdana" w:eastAsiaTheme="minorHAnsi" w:hAnsi="Verdana"/>
                <w:sz w:val="18"/>
                <w:szCs w:val="18"/>
                <w:lang w:val="en-GB"/>
              </w:rPr>
            </w:pPr>
            <w:r w:rsidRPr="000C7CFA">
              <w:rPr>
                <w:rFonts w:ascii="Verdana" w:eastAsiaTheme="minorHAnsi" w:hAnsi="Verdana"/>
                <w:sz w:val="18"/>
                <w:szCs w:val="18"/>
                <w:lang w:val="en-GB"/>
              </w:rPr>
              <w:t>Mean for</w:t>
            </w:r>
            <w:r w:rsidRPr="000C7CFA">
              <w:rPr>
                <w:rFonts w:ascii="Verdana" w:hAnsi="Verdana"/>
                <w:sz w:val="18"/>
                <w:szCs w:val="18"/>
                <w:lang w:val="en-GB" w:eastAsia="ar-SA"/>
              </w:rPr>
              <w:t xml:space="preserve"> grains</w:t>
            </w:r>
            <w:r w:rsidRPr="000C7CFA">
              <w:rPr>
                <w:rFonts w:ascii="Verdana" w:eastAsiaTheme="minorHAnsi" w:hAnsi="Verdana"/>
                <w:sz w:val="18"/>
                <w:szCs w:val="18"/>
                <w:lang w:val="en-GB"/>
              </w:rPr>
              <w:t xml:space="preserve">: </w:t>
            </w:r>
            <w:r w:rsidRPr="000C7CFA">
              <w:rPr>
                <w:rFonts w:ascii="Verdana" w:hAnsi="Verdana"/>
                <w:sz w:val="18"/>
                <w:szCs w:val="18"/>
                <w:lang w:val="en-GB" w:eastAsia="ar-SA"/>
              </w:rPr>
              <w:t xml:space="preserve">877 </w:t>
            </w:r>
            <w:r w:rsidRPr="000C7CFA">
              <w:rPr>
                <w:rFonts w:ascii="Verdana" w:eastAsiaTheme="minorHAnsi" w:hAnsi="Verdana"/>
                <w:sz w:val="18"/>
                <w:szCs w:val="18"/>
                <w:lang w:val="en-GB"/>
              </w:rPr>
              <w:t xml:space="preserve">(range of means for each species: </w:t>
            </w:r>
            <w:r w:rsidRPr="000C7CFA">
              <w:rPr>
                <w:rFonts w:ascii="Verdana" w:hAnsi="Verdana"/>
                <w:sz w:val="18"/>
                <w:szCs w:val="18"/>
                <w:lang w:val="en-GB" w:eastAsia="ar-SA"/>
              </w:rPr>
              <w:t>498 to 1</w:t>
            </w:r>
            <w:r w:rsidR="008610EB" w:rsidRPr="000C7CFA">
              <w:rPr>
                <w:rFonts w:ascii="Verdana" w:hAnsi="Verdana"/>
                <w:sz w:val="18"/>
                <w:szCs w:val="18"/>
                <w:lang w:val="en-GB" w:eastAsia="ar-SA"/>
              </w:rPr>
              <w:t> </w:t>
            </w:r>
            <w:r w:rsidRPr="000C7CFA">
              <w:rPr>
                <w:rFonts w:ascii="Verdana" w:hAnsi="Verdana"/>
                <w:sz w:val="18"/>
                <w:szCs w:val="18"/>
                <w:lang w:val="en-GB" w:eastAsia="ar-SA"/>
              </w:rPr>
              <w:t>370</w:t>
            </w:r>
            <w:r w:rsidRPr="000C7CFA">
              <w:rPr>
                <w:rFonts w:ascii="Verdana" w:eastAsiaTheme="minorHAnsi" w:hAnsi="Verdana"/>
                <w:sz w:val="18"/>
                <w:szCs w:val="18"/>
                <w:lang w:val="en-GB"/>
              </w:rPr>
              <w:t>)</w:t>
            </w:r>
            <w:r w:rsidR="008610EB" w:rsidRPr="000C7CFA">
              <w:rPr>
                <w:rFonts w:ascii="Verdana" w:eastAsiaTheme="minorHAnsi" w:hAnsi="Verdana"/>
                <w:sz w:val="18"/>
                <w:szCs w:val="18"/>
                <w:lang w:val="en-GB"/>
              </w:rPr>
              <w:t> </w:t>
            </w:r>
            <w:r w:rsidRPr="000C7CFA">
              <w:rPr>
                <w:rFonts w:ascii="Verdana" w:eastAsiaTheme="minorHAnsi" w:hAnsi="Verdana"/>
                <w:sz w:val="18"/>
                <w:szCs w:val="18"/>
                <w:lang w:val="en-GB"/>
              </w:rPr>
              <w:t>µg/kg ww</w:t>
            </w:r>
          </w:p>
          <w:p w14:paraId="7CB76C5D" w14:textId="77777777" w:rsidR="00C16F04" w:rsidRPr="000C7CFA" w:rsidRDefault="00C16F04" w:rsidP="00704CE9">
            <w:pPr>
              <w:tabs>
                <w:tab w:val="left" w:pos="5150"/>
              </w:tabs>
              <w:autoSpaceDE w:val="0"/>
              <w:autoSpaceDN w:val="0"/>
              <w:adjustRightInd w:val="0"/>
              <w:spacing w:after="0"/>
              <w:rPr>
                <w:rFonts w:ascii="Verdana" w:eastAsiaTheme="minorHAnsi" w:hAnsi="Verdana"/>
                <w:sz w:val="18"/>
                <w:szCs w:val="18"/>
                <w:lang w:val="en-GB"/>
              </w:rPr>
            </w:pPr>
          </w:p>
        </w:tc>
        <w:tc>
          <w:tcPr>
            <w:tcW w:w="2532" w:type="dxa"/>
            <w:tcBorders>
              <w:top w:val="single" w:sz="4" w:space="0" w:color="auto"/>
              <w:left w:val="single" w:sz="4" w:space="0" w:color="auto"/>
              <w:right w:val="single" w:sz="4" w:space="0" w:color="auto"/>
            </w:tcBorders>
          </w:tcPr>
          <w:p w14:paraId="23C52073" w14:textId="77777777" w:rsidR="00C16F04" w:rsidRPr="000C7CFA" w:rsidRDefault="00C16F04" w:rsidP="00704CE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Analysis by GC- high resolution MS.</w:t>
            </w:r>
          </w:p>
          <w:p w14:paraId="5C7AAE92" w14:textId="77777777" w:rsidR="00C16F04" w:rsidRPr="000C7CFA" w:rsidRDefault="00C16F04" w:rsidP="00704CE9">
            <w:pPr>
              <w:autoSpaceDE w:val="0"/>
              <w:autoSpaceDN w:val="0"/>
              <w:adjustRightInd w:val="0"/>
              <w:spacing w:after="0"/>
              <w:rPr>
                <w:rFonts w:ascii="Verdana" w:eastAsiaTheme="minorHAnsi" w:hAnsi="Verdana"/>
                <w:sz w:val="18"/>
                <w:szCs w:val="18"/>
                <w:lang w:val="en-GB"/>
              </w:rPr>
            </w:pPr>
          </w:p>
          <w:p w14:paraId="69880C3A" w14:textId="77777777" w:rsidR="00C16F04" w:rsidRPr="000C7CFA" w:rsidRDefault="00C16F04" w:rsidP="00704CE9">
            <w:pPr>
              <w:spacing w:after="0"/>
              <w:rPr>
                <w:rFonts w:ascii="Verdana" w:hAnsi="Verdana"/>
                <w:sz w:val="18"/>
                <w:szCs w:val="18"/>
                <w:lang w:val="en-GB"/>
              </w:rPr>
            </w:pPr>
            <w:r w:rsidRPr="000C7CFA">
              <w:rPr>
                <w:rFonts w:ascii="Verdana" w:hAnsi="Verdana"/>
                <w:sz w:val="18"/>
                <w:szCs w:val="18"/>
                <w:lang w:val="en-GB"/>
              </w:rPr>
              <w:t>The sampling site was in close proximity to the Chinese manufacturing facility.</w:t>
            </w:r>
          </w:p>
          <w:p w14:paraId="2349EA35" w14:textId="77777777" w:rsidR="00C16F04" w:rsidRPr="000C7CFA" w:rsidRDefault="00C16F04" w:rsidP="00704CE9">
            <w:pPr>
              <w:autoSpaceDE w:val="0"/>
              <w:autoSpaceDN w:val="0"/>
              <w:adjustRightInd w:val="0"/>
              <w:spacing w:after="0"/>
              <w:rPr>
                <w:rFonts w:ascii="Verdana" w:hAnsi="Verdana"/>
                <w:sz w:val="18"/>
                <w:szCs w:val="18"/>
              </w:rPr>
            </w:pPr>
          </w:p>
        </w:tc>
        <w:tc>
          <w:tcPr>
            <w:tcW w:w="1374" w:type="dxa"/>
            <w:tcBorders>
              <w:top w:val="single" w:sz="4" w:space="0" w:color="auto"/>
              <w:left w:val="single" w:sz="4" w:space="0" w:color="auto"/>
            </w:tcBorders>
          </w:tcPr>
          <w:p w14:paraId="65AAC4A0" w14:textId="77777777" w:rsidR="00C16F04" w:rsidRPr="000C7CFA" w:rsidRDefault="00C16F04" w:rsidP="00704CE9">
            <w:pPr>
              <w:spacing w:after="0"/>
              <w:rPr>
                <w:rFonts w:ascii="Verdana" w:hAnsi="Verdana"/>
                <w:sz w:val="18"/>
                <w:szCs w:val="18"/>
                <w:lang w:val="en-GB"/>
              </w:rPr>
            </w:pPr>
            <w:r w:rsidRPr="000C7CFA">
              <w:rPr>
                <w:rFonts w:ascii="Verdana" w:hAnsi="Verdana"/>
                <w:sz w:val="18"/>
                <w:szCs w:val="18"/>
                <w:lang w:val="en-GB" w:eastAsia="ar-SA"/>
              </w:rPr>
              <w:t xml:space="preserve">Wang </w:t>
            </w:r>
            <w:r w:rsidRPr="000C7CFA">
              <w:rPr>
                <w:rFonts w:ascii="Verdana" w:hAnsi="Verdana"/>
                <w:i/>
                <w:sz w:val="18"/>
                <w:szCs w:val="18"/>
                <w:lang w:val="en-GB"/>
              </w:rPr>
              <w:t>et al</w:t>
            </w:r>
            <w:r w:rsidRPr="000C7CFA">
              <w:rPr>
                <w:rFonts w:ascii="Verdana" w:hAnsi="Verdana"/>
                <w:sz w:val="18"/>
                <w:szCs w:val="18"/>
                <w:lang w:val="en-GB"/>
              </w:rPr>
              <w:t>. (2013)</w:t>
            </w:r>
          </w:p>
          <w:p w14:paraId="63461201" w14:textId="77777777" w:rsidR="00C16F04" w:rsidRPr="000C7CFA" w:rsidRDefault="00C16F04" w:rsidP="00704CE9">
            <w:pPr>
              <w:autoSpaceDE w:val="0"/>
              <w:autoSpaceDN w:val="0"/>
              <w:adjustRightInd w:val="0"/>
              <w:spacing w:after="0"/>
              <w:rPr>
                <w:rFonts w:ascii="Verdana" w:hAnsi="Verdana"/>
                <w:sz w:val="18"/>
                <w:szCs w:val="18"/>
                <w:lang w:eastAsia="en-GB"/>
              </w:rPr>
            </w:pPr>
          </w:p>
        </w:tc>
      </w:tr>
    </w:tbl>
    <w:p w14:paraId="78D69627" w14:textId="77777777" w:rsidR="00C16F04" w:rsidRPr="000C7CFA" w:rsidRDefault="00C16F04" w:rsidP="00C16F04">
      <w:pPr>
        <w:pStyle w:val="BodyText"/>
        <w:rPr>
          <w:rFonts w:ascii="Verdana" w:hAnsi="Verdana"/>
          <w:sz w:val="18"/>
          <w:szCs w:val="18"/>
        </w:rPr>
        <w:sectPr w:rsidR="00C16F04" w:rsidRPr="000C7CFA" w:rsidSect="00BE1215">
          <w:pgSz w:w="16838" w:h="11906" w:orient="landscape" w:code="9"/>
          <w:pgMar w:top="1797" w:right="1440" w:bottom="1797" w:left="1440" w:header="709" w:footer="709" w:gutter="0"/>
          <w:cols w:space="708"/>
          <w:docGrid w:linePitch="360"/>
        </w:sectPr>
      </w:pPr>
    </w:p>
    <w:p w14:paraId="5B4B5698" w14:textId="2B1A197F" w:rsidR="00C43DC2" w:rsidRPr="000C7CFA" w:rsidRDefault="00C43DC2" w:rsidP="002A361D">
      <w:pPr>
        <w:pStyle w:val="Heading1"/>
        <w:numPr>
          <w:ilvl w:val="0"/>
          <w:numId w:val="0"/>
        </w:numPr>
        <w:tabs>
          <w:tab w:val="clear" w:pos="839"/>
          <w:tab w:val="left" w:pos="1701"/>
        </w:tabs>
        <w:ind w:left="1701" w:hanging="1701"/>
        <w:rPr>
          <w:rFonts w:ascii="Verdana" w:eastAsia="BatangChe" w:hAnsi="Verdana"/>
          <w:sz w:val="18"/>
          <w:szCs w:val="18"/>
        </w:rPr>
      </w:pPr>
      <w:bookmarkStart w:id="152" w:name="_Toc491862804"/>
      <w:r w:rsidRPr="000C7CFA">
        <w:rPr>
          <w:rFonts w:ascii="Verdana" w:eastAsia="BatangChe" w:hAnsi="Verdana"/>
          <w:sz w:val="18"/>
          <w:szCs w:val="18"/>
        </w:rPr>
        <w:lastRenderedPageBreak/>
        <w:t xml:space="preserve">Appendix </w:t>
      </w:r>
      <w:r w:rsidR="00FB3AD7" w:rsidRPr="000C7CFA">
        <w:rPr>
          <w:rFonts w:ascii="Verdana" w:eastAsia="BatangChe" w:hAnsi="Verdana"/>
          <w:sz w:val="18"/>
          <w:szCs w:val="18"/>
        </w:rPr>
        <w:t>5</w:t>
      </w:r>
      <w:r w:rsidR="002A361D" w:rsidRPr="000C7CFA">
        <w:rPr>
          <w:rFonts w:ascii="Verdana" w:eastAsia="BatangChe" w:hAnsi="Verdana"/>
          <w:sz w:val="18"/>
          <w:szCs w:val="18"/>
        </w:rPr>
        <w:tab/>
        <w:t>Other European monitoring studies</w:t>
      </w:r>
      <w:bookmarkEnd w:id="152"/>
    </w:p>
    <w:p w14:paraId="7445EBF1" w14:textId="4623D34F" w:rsidR="00DC5370" w:rsidRPr="000C7CFA" w:rsidRDefault="00C43DC2" w:rsidP="00C43DC2">
      <w:pPr>
        <w:pStyle w:val="BodyText"/>
        <w:rPr>
          <w:rFonts w:ascii="Verdana" w:hAnsi="Verdana"/>
          <w:sz w:val="18"/>
          <w:szCs w:val="18"/>
        </w:rPr>
      </w:pPr>
      <w:r w:rsidRPr="000C7CFA">
        <w:rPr>
          <w:rFonts w:ascii="Verdana" w:hAnsi="Verdana"/>
          <w:sz w:val="18"/>
          <w:szCs w:val="18"/>
        </w:rPr>
        <w:t>This appendix provides a brief summary of data on the environmental occurrence of Dechlorane Plus that is not directly relevant to this report. The information has been obtained from abstracts, and a detailed review has not been performed. The focus is on data obtained in Europe</w:t>
      </w:r>
      <w:r w:rsidR="00275CC8" w:rsidRPr="000C7CFA">
        <w:rPr>
          <w:rFonts w:ascii="Verdana" w:hAnsi="Verdana"/>
          <w:sz w:val="18"/>
          <w:szCs w:val="18"/>
        </w:rPr>
        <w:t>; s</w:t>
      </w:r>
      <w:r w:rsidRPr="000C7CFA">
        <w:rPr>
          <w:rFonts w:ascii="Verdana" w:hAnsi="Verdana"/>
          <w:sz w:val="18"/>
          <w:szCs w:val="18"/>
        </w:rPr>
        <w:t xml:space="preserve">tudies from outside Europe are </w:t>
      </w:r>
      <w:r w:rsidR="007B0EBB" w:rsidRPr="000C7CFA">
        <w:rPr>
          <w:rFonts w:ascii="Verdana" w:hAnsi="Verdana"/>
          <w:sz w:val="18"/>
          <w:szCs w:val="18"/>
        </w:rPr>
        <w:t xml:space="preserve">listed </w:t>
      </w:r>
      <w:r w:rsidRPr="000C7CFA">
        <w:rPr>
          <w:rFonts w:ascii="Verdana" w:hAnsi="Verdana"/>
          <w:sz w:val="18"/>
          <w:szCs w:val="18"/>
        </w:rPr>
        <w:t>in the Annex.</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7342"/>
        <w:gridCol w:w="2551"/>
      </w:tblGrid>
      <w:tr w:rsidR="00942572" w:rsidRPr="000C7CFA" w14:paraId="685A0E47" w14:textId="77777777" w:rsidTr="000A1A05">
        <w:trPr>
          <w:tblHead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39797DE1" w14:textId="77777777" w:rsidR="00942572" w:rsidRPr="000C7CFA" w:rsidRDefault="00942572" w:rsidP="00DC5370">
            <w:pPr>
              <w:pStyle w:val="BodyText"/>
              <w:rPr>
                <w:rFonts w:ascii="Verdana" w:hAnsi="Verdana"/>
                <w:b/>
                <w:sz w:val="18"/>
                <w:szCs w:val="18"/>
              </w:rPr>
            </w:pPr>
            <w:r w:rsidRPr="000C7CFA">
              <w:rPr>
                <w:rFonts w:ascii="Verdana" w:hAnsi="Verdana"/>
                <w:b/>
                <w:sz w:val="18"/>
                <w:szCs w:val="18"/>
              </w:rPr>
              <w:t>Compartment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4DEE800" w14:textId="77777777" w:rsidR="00942572" w:rsidRPr="000C7CFA" w:rsidRDefault="00942572" w:rsidP="00DC5370">
            <w:pPr>
              <w:pStyle w:val="BodyText"/>
              <w:rPr>
                <w:rFonts w:ascii="Verdana" w:hAnsi="Verdana"/>
                <w:b/>
                <w:sz w:val="18"/>
                <w:szCs w:val="18"/>
              </w:rPr>
            </w:pPr>
            <w:r w:rsidRPr="000C7CFA">
              <w:rPr>
                <w:rFonts w:ascii="Verdana" w:hAnsi="Verdana"/>
                <w:b/>
                <w:sz w:val="18"/>
                <w:szCs w:val="18"/>
              </w:rPr>
              <w:t>Location</w:t>
            </w:r>
          </w:p>
        </w:tc>
        <w:tc>
          <w:tcPr>
            <w:tcW w:w="7342" w:type="dxa"/>
            <w:tcBorders>
              <w:top w:val="single" w:sz="4" w:space="0" w:color="auto"/>
              <w:left w:val="single" w:sz="4" w:space="0" w:color="auto"/>
              <w:bottom w:val="single" w:sz="4" w:space="0" w:color="auto"/>
              <w:right w:val="single" w:sz="4" w:space="0" w:color="auto"/>
            </w:tcBorders>
            <w:shd w:val="clear" w:color="auto" w:fill="auto"/>
            <w:hideMark/>
          </w:tcPr>
          <w:p w14:paraId="7676F182" w14:textId="77777777" w:rsidR="00942572" w:rsidRPr="000C7CFA" w:rsidRDefault="00942572" w:rsidP="00DC5370">
            <w:pPr>
              <w:pStyle w:val="BodyText"/>
              <w:rPr>
                <w:rFonts w:ascii="Verdana" w:hAnsi="Verdana"/>
                <w:b/>
                <w:sz w:val="18"/>
                <w:szCs w:val="18"/>
              </w:rPr>
            </w:pPr>
            <w:r w:rsidRPr="000C7CFA">
              <w:rPr>
                <w:rFonts w:ascii="Verdana" w:hAnsi="Verdana"/>
                <w:b/>
                <w:sz w:val="18"/>
                <w:szCs w:val="18"/>
              </w:rPr>
              <w:t>Findings</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4C1BFA31" w14:textId="77777777" w:rsidR="00942572" w:rsidRPr="000C7CFA" w:rsidRDefault="00942572" w:rsidP="00DC5370">
            <w:pPr>
              <w:pStyle w:val="BodyText"/>
              <w:rPr>
                <w:rFonts w:ascii="Verdana" w:hAnsi="Verdana"/>
                <w:b/>
                <w:sz w:val="18"/>
                <w:szCs w:val="18"/>
              </w:rPr>
            </w:pPr>
            <w:r w:rsidRPr="000C7CFA">
              <w:rPr>
                <w:rFonts w:ascii="Verdana" w:hAnsi="Verdana"/>
                <w:b/>
                <w:sz w:val="18"/>
                <w:szCs w:val="18"/>
              </w:rPr>
              <w:t>Reference</w:t>
            </w:r>
          </w:p>
        </w:tc>
      </w:tr>
      <w:tr w:rsidR="00901039" w:rsidRPr="000C7CFA" w14:paraId="59493931" w14:textId="77777777" w:rsidTr="000A1A05">
        <w:tc>
          <w:tcPr>
            <w:tcW w:w="1696" w:type="dxa"/>
            <w:vMerge w:val="restart"/>
            <w:tcBorders>
              <w:top w:val="single" w:sz="4" w:space="0" w:color="auto"/>
              <w:left w:val="single" w:sz="4" w:space="0" w:color="auto"/>
              <w:right w:val="single" w:sz="4" w:space="0" w:color="auto"/>
            </w:tcBorders>
            <w:shd w:val="clear" w:color="auto" w:fill="auto"/>
            <w:hideMark/>
          </w:tcPr>
          <w:p w14:paraId="61E2A9E2" w14:textId="77777777" w:rsidR="00901039" w:rsidRPr="000C7CFA" w:rsidRDefault="00901039" w:rsidP="00DC5370">
            <w:pPr>
              <w:pStyle w:val="BodyText"/>
              <w:rPr>
                <w:rFonts w:ascii="Verdana" w:hAnsi="Verdana"/>
                <w:b/>
                <w:sz w:val="18"/>
                <w:szCs w:val="18"/>
              </w:rPr>
            </w:pPr>
            <w:r w:rsidRPr="000C7CFA">
              <w:rPr>
                <w:rFonts w:ascii="Verdana" w:hAnsi="Verdana"/>
                <w:b/>
                <w:sz w:val="18"/>
                <w:szCs w:val="18"/>
              </w:rPr>
              <w:t>Atmosphere</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F9C391D" w14:textId="77777777" w:rsidR="00901039" w:rsidRPr="000C7CFA" w:rsidRDefault="00901039" w:rsidP="00DC5370">
            <w:pPr>
              <w:pStyle w:val="BodyText"/>
              <w:rPr>
                <w:rFonts w:ascii="Verdana" w:hAnsi="Verdana"/>
                <w:sz w:val="18"/>
                <w:szCs w:val="18"/>
              </w:rPr>
            </w:pPr>
            <w:r w:rsidRPr="000C7CFA">
              <w:rPr>
                <w:rFonts w:ascii="Verdana" w:eastAsia="Calibri" w:hAnsi="Verdana"/>
                <w:sz w:val="18"/>
                <w:szCs w:val="18"/>
              </w:rPr>
              <w:t>Stockholm, Sweden</w:t>
            </w:r>
          </w:p>
        </w:tc>
        <w:tc>
          <w:tcPr>
            <w:tcW w:w="7342" w:type="dxa"/>
            <w:tcBorders>
              <w:top w:val="single" w:sz="4" w:space="0" w:color="auto"/>
              <w:left w:val="single" w:sz="4" w:space="0" w:color="auto"/>
              <w:bottom w:val="single" w:sz="4" w:space="0" w:color="auto"/>
              <w:right w:val="single" w:sz="4" w:space="0" w:color="auto"/>
            </w:tcBorders>
            <w:shd w:val="clear" w:color="auto" w:fill="auto"/>
            <w:hideMark/>
          </w:tcPr>
          <w:p w14:paraId="3747EA99" w14:textId="77777777" w:rsidR="00901039" w:rsidRPr="000C7CFA" w:rsidRDefault="00901039" w:rsidP="00016EE5">
            <w:pPr>
              <w:pStyle w:val="BodyText"/>
              <w:spacing w:after="0"/>
              <w:rPr>
                <w:rFonts w:ascii="Verdana" w:eastAsia="Calibri" w:hAnsi="Verdana"/>
                <w:sz w:val="18"/>
                <w:szCs w:val="18"/>
              </w:rPr>
            </w:pPr>
            <w:r w:rsidRPr="000C7CFA">
              <w:rPr>
                <w:rFonts w:ascii="Verdana" w:eastAsia="Calibri" w:hAnsi="Verdana"/>
                <w:sz w:val="18"/>
                <w:szCs w:val="18"/>
              </w:rPr>
              <w:t>Urban air sampled in November 2009 and January 2010: 1.4 – 1.5 pg/m</w:t>
            </w:r>
            <w:r w:rsidRPr="000C7CFA">
              <w:rPr>
                <w:rFonts w:ascii="Verdana" w:eastAsia="Calibri" w:hAnsi="Verdana"/>
                <w:sz w:val="18"/>
                <w:szCs w:val="18"/>
                <w:vertAlign w:val="superscript"/>
              </w:rPr>
              <w:t>3</w:t>
            </w:r>
          </w:p>
          <w:p w14:paraId="5CFFB9FC" w14:textId="431A9C41" w:rsidR="00901039" w:rsidRPr="000C7CFA" w:rsidRDefault="00901039" w:rsidP="00016EE5">
            <w:pPr>
              <w:pStyle w:val="BodyText"/>
              <w:spacing w:after="0"/>
              <w:rPr>
                <w:rFonts w:ascii="Verdana" w:eastAsia="Calibri" w:hAnsi="Verdana"/>
                <w:sz w:val="18"/>
                <w:szCs w:val="18"/>
              </w:rPr>
            </w:pPr>
            <w:r w:rsidRPr="000C7CFA">
              <w:rPr>
                <w:rFonts w:ascii="Verdana" w:eastAsia="Calibri" w:hAnsi="Verdana"/>
                <w:sz w:val="18"/>
                <w:szCs w:val="18"/>
              </w:rPr>
              <w:t xml:space="preserve">Deposition fluxes were estimated from the </w:t>
            </w:r>
            <w:r w:rsidR="00A11FA5" w:rsidRPr="000C7CFA">
              <w:rPr>
                <w:rFonts w:ascii="Verdana" w:eastAsia="Calibri" w:hAnsi="Verdana"/>
                <w:sz w:val="18"/>
                <w:szCs w:val="18"/>
              </w:rPr>
              <w:t>monthly</w:t>
            </w:r>
            <w:r w:rsidRPr="000C7CFA">
              <w:rPr>
                <w:rFonts w:ascii="Verdana" w:eastAsia="Calibri" w:hAnsi="Verdana"/>
                <w:sz w:val="18"/>
                <w:szCs w:val="18"/>
              </w:rPr>
              <w:t xml:space="preserve"> average data as 0.50 – 0.55 ng/m</w:t>
            </w:r>
            <w:r w:rsidRPr="000C7CFA">
              <w:rPr>
                <w:rFonts w:ascii="Verdana" w:eastAsia="Calibri" w:hAnsi="Verdana"/>
                <w:sz w:val="18"/>
                <w:szCs w:val="18"/>
                <w:vertAlign w:val="superscript"/>
              </w:rPr>
              <w:t>2</w:t>
            </w:r>
            <w:r w:rsidRPr="000C7CFA">
              <w:rPr>
                <w:rFonts w:ascii="Verdana" w:eastAsia="Calibri" w:hAnsi="Verdana"/>
                <w:sz w:val="18"/>
                <w:szCs w:val="18"/>
              </w:rPr>
              <w:t>/d</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98EE08C" w14:textId="77777777" w:rsidR="00901039" w:rsidRPr="000C7CFA" w:rsidRDefault="00901039" w:rsidP="00942572">
            <w:pPr>
              <w:autoSpaceDE w:val="0"/>
              <w:autoSpaceDN w:val="0"/>
              <w:adjustRightInd w:val="0"/>
              <w:spacing w:after="0"/>
              <w:rPr>
                <w:rFonts w:ascii="Verdana" w:hAnsi="Verdana"/>
                <w:sz w:val="18"/>
                <w:szCs w:val="18"/>
                <w:lang w:val="en-GB"/>
              </w:rPr>
            </w:pPr>
            <w:r w:rsidRPr="000C7CFA">
              <w:rPr>
                <w:rFonts w:ascii="Verdana" w:eastAsia="Calibri" w:hAnsi="Verdana"/>
                <w:sz w:val="18"/>
                <w:szCs w:val="18"/>
                <w:lang w:val="en-GB"/>
              </w:rPr>
              <w:t xml:space="preserve">Kaj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2010)</w:t>
            </w:r>
          </w:p>
        </w:tc>
      </w:tr>
      <w:tr w:rsidR="00AD0E4D" w:rsidRPr="000C7CFA" w14:paraId="60614479" w14:textId="77777777" w:rsidTr="000A1A05">
        <w:tc>
          <w:tcPr>
            <w:tcW w:w="1696" w:type="dxa"/>
            <w:vMerge/>
            <w:tcBorders>
              <w:left w:val="single" w:sz="4" w:space="0" w:color="auto"/>
              <w:right w:val="single" w:sz="4" w:space="0" w:color="auto"/>
            </w:tcBorders>
            <w:shd w:val="clear" w:color="auto" w:fill="auto"/>
          </w:tcPr>
          <w:p w14:paraId="692400F0" w14:textId="77777777" w:rsidR="00AD0E4D" w:rsidRPr="000C7CFA" w:rsidRDefault="00AD0E4D" w:rsidP="00DC5370">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44E5DC" w14:textId="77777777" w:rsidR="00AD0E4D" w:rsidRPr="000C7CFA" w:rsidRDefault="00AD0E4D" w:rsidP="00E77C47">
            <w:pPr>
              <w:autoSpaceDE w:val="0"/>
              <w:autoSpaceDN w:val="0"/>
              <w:adjustRightInd w:val="0"/>
              <w:spacing w:after="0"/>
              <w:rPr>
                <w:rFonts w:ascii="Verdana" w:hAnsi="Verdana"/>
                <w:sz w:val="18"/>
                <w:szCs w:val="18"/>
              </w:rPr>
            </w:pPr>
            <w:r w:rsidRPr="000C7CFA">
              <w:rPr>
                <w:rFonts w:ascii="Verdana" w:eastAsia="Calibri" w:hAnsi="Verdana"/>
                <w:sz w:val="18"/>
                <w:szCs w:val="18"/>
              </w:rPr>
              <w:t>Stockholm, Sweden</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5F32E743" w14:textId="77777777" w:rsidR="00AD0E4D" w:rsidRPr="000C7CFA" w:rsidRDefault="00AD0E4D" w:rsidP="00FC2B2F">
            <w:pPr>
              <w:pStyle w:val="BodyText"/>
              <w:spacing w:after="0"/>
              <w:rPr>
                <w:rFonts w:ascii="Verdana" w:eastAsia="Calibri" w:hAnsi="Verdana"/>
                <w:sz w:val="18"/>
                <w:szCs w:val="18"/>
              </w:rPr>
            </w:pPr>
            <w:r w:rsidRPr="000C7CFA">
              <w:rPr>
                <w:rFonts w:ascii="Verdana" w:eastAsia="Calibri" w:hAnsi="Verdana"/>
                <w:sz w:val="18"/>
                <w:szCs w:val="18"/>
              </w:rPr>
              <w:t>Urban air sampled in November 2009 and January 2010.</w:t>
            </w:r>
          </w:p>
          <w:p w14:paraId="3EDED3FA" w14:textId="77777777" w:rsidR="00AD0E4D" w:rsidRPr="000C7CFA" w:rsidRDefault="00AD0E4D" w:rsidP="00FC2B2F">
            <w:pPr>
              <w:pStyle w:val="BodyText"/>
              <w:spacing w:after="0"/>
              <w:rPr>
                <w:rFonts w:ascii="Verdana" w:eastAsia="Calibri" w:hAnsi="Verdana"/>
                <w:sz w:val="18"/>
                <w:szCs w:val="18"/>
              </w:rPr>
            </w:pPr>
            <w:r w:rsidRPr="000C7CFA">
              <w:rPr>
                <w:rFonts w:ascii="Verdana" w:eastAsia="Calibri" w:hAnsi="Verdana"/>
                <w:sz w:val="18"/>
                <w:szCs w:val="18"/>
              </w:rPr>
              <w:t>November 2009: Anti-DP 0.13 pg/m</w:t>
            </w:r>
            <w:r w:rsidRPr="000C7CFA">
              <w:rPr>
                <w:rFonts w:ascii="Verdana" w:eastAsia="Calibri" w:hAnsi="Verdana"/>
                <w:sz w:val="18"/>
                <w:szCs w:val="18"/>
                <w:vertAlign w:val="superscript"/>
              </w:rPr>
              <w:t xml:space="preserve">3 </w:t>
            </w:r>
            <w:r w:rsidRPr="000C7CFA">
              <w:rPr>
                <w:rFonts w:ascii="Verdana" w:eastAsia="Calibri" w:hAnsi="Verdana"/>
                <w:sz w:val="18"/>
                <w:szCs w:val="18"/>
              </w:rPr>
              <w:t>and syn-DP 0.039 pg/m</w:t>
            </w:r>
            <w:r w:rsidRPr="000C7CFA">
              <w:rPr>
                <w:rFonts w:ascii="Verdana" w:eastAsia="Calibri" w:hAnsi="Verdana"/>
                <w:sz w:val="18"/>
                <w:szCs w:val="18"/>
                <w:vertAlign w:val="superscript"/>
              </w:rPr>
              <w:t>3</w:t>
            </w:r>
            <w:r w:rsidRPr="000C7CFA">
              <w:rPr>
                <w:rFonts w:ascii="Verdana" w:eastAsia="Calibri" w:hAnsi="Verdana"/>
                <w:sz w:val="18"/>
                <w:szCs w:val="18"/>
              </w:rPr>
              <w:t>.</w:t>
            </w:r>
          </w:p>
          <w:p w14:paraId="0576E11C" w14:textId="77777777" w:rsidR="00AD0E4D" w:rsidRPr="000C7CFA" w:rsidRDefault="00AD0E4D" w:rsidP="00901039">
            <w:pPr>
              <w:pStyle w:val="BodyText"/>
              <w:spacing w:after="0"/>
              <w:rPr>
                <w:rFonts w:ascii="Verdana" w:hAnsi="Verdana"/>
                <w:sz w:val="18"/>
                <w:szCs w:val="18"/>
              </w:rPr>
            </w:pPr>
            <w:r w:rsidRPr="000C7CFA">
              <w:rPr>
                <w:rFonts w:ascii="Verdana" w:eastAsia="Calibri" w:hAnsi="Verdana"/>
                <w:sz w:val="18"/>
                <w:szCs w:val="18"/>
              </w:rPr>
              <w:t>January 2010: Anti-DP 0.065 pg/m</w:t>
            </w:r>
            <w:r w:rsidRPr="000C7CFA">
              <w:rPr>
                <w:rFonts w:ascii="Verdana" w:eastAsia="Calibri" w:hAnsi="Verdana"/>
                <w:sz w:val="18"/>
                <w:szCs w:val="18"/>
                <w:vertAlign w:val="superscript"/>
              </w:rPr>
              <w:t>3</w:t>
            </w:r>
            <w:r w:rsidRPr="000C7CFA">
              <w:rPr>
                <w:rFonts w:ascii="Verdana" w:eastAsia="Calibri" w:hAnsi="Verdana"/>
                <w:sz w:val="18"/>
                <w:szCs w:val="18"/>
              </w:rPr>
              <w:t xml:space="preserve"> and syn-DP 0.044 pg/m</w:t>
            </w:r>
            <w:r w:rsidRPr="000C7CFA">
              <w:rPr>
                <w:rFonts w:ascii="Verdana" w:eastAsia="Calibri" w:hAnsi="Verdana"/>
                <w:sz w:val="18"/>
                <w:szCs w:val="18"/>
                <w:vertAlign w:val="superscript"/>
              </w:rPr>
              <w:t>3</w:t>
            </w:r>
            <w:r w:rsidRPr="000C7CFA">
              <w:rPr>
                <w:rFonts w:ascii="Verdana" w:eastAsia="Calibri" w:hAnsi="Verdana"/>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CA6A6FE" w14:textId="77777777" w:rsidR="00AD0E4D" w:rsidRPr="000C7CFA" w:rsidRDefault="00AD0E4D"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Schlabach </w:t>
            </w:r>
            <w:r w:rsidRPr="000C7CFA">
              <w:rPr>
                <w:rFonts w:ascii="Verdana" w:eastAsia="Calibri" w:hAnsi="Verdana"/>
                <w:i/>
                <w:sz w:val="18"/>
                <w:szCs w:val="18"/>
                <w:lang w:val="en-GB"/>
              </w:rPr>
              <w:t>et al</w:t>
            </w:r>
            <w:r w:rsidRPr="000C7CFA">
              <w:rPr>
                <w:rFonts w:ascii="Verdana" w:eastAsia="Calibri" w:hAnsi="Verdana"/>
                <w:sz w:val="18"/>
                <w:szCs w:val="18"/>
                <w:lang w:val="en-GB"/>
              </w:rPr>
              <w:t>. (2011)</w:t>
            </w:r>
          </w:p>
        </w:tc>
      </w:tr>
      <w:tr w:rsidR="00AD0E4D" w:rsidRPr="000C7CFA" w14:paraId="2A59ECA4" w14:textId="77777777" w:rsidTr="000A1A05">
        <w:tc>
          <w:tcPr>
            <w:tcW w:w="1696" w:type="dxa"/>
            <w:vMerge/>
            <w:tcBorders>
              <w:left w:val="single" w:sz="4" w:space="0" w:color="auto"/>
              <w:right w:val="single" w:sz="4" w:space="0" w:color="auto"/>
            </w:tcBorders>
            <w:shd w:val="clear" w:color="auto" w:fill="auto"/>
          </w:tcPr>
          <w:p w14:paraId="0E8CCCDF" w14:textId="77777777" w:rsidR="00AD0E4D" w:rsidRPr="000C7CFA" w:rsidRDefault="00AD0E4D" w:rsidP="00DC5370">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9C449A" w14:textId="07969641" w:rsidR="00AD0E4D" w:rsidRPr="000C7CFA" w:rsidRDefault="00A11FA5" w:rsidP="00E77C47">
            <w:pPr>
              <w:autoSpaceDE w:val="0"/>
              <w:autoSpaceDN w:val="0"/>
              <w:adjustRightInd w:val="0"/>
              <w:spacing w:after="0"/>
              <w:rPr>
                <w:rFonts w:ascii="Verdana" w:hAnsi="Verdana"/>
                <w:sz w:val="18"/>
                <w:szCs w:val="18"/>
              </w:rPr>
            </w:pPr>
            <w:r w:rsidRPr="000C7CFA">
              <w:rPr>
                <w:rFonts w:ascii="Verdana" w:eastAsia="Calibri" w:hAnsi="Verdana"/>
                <w:sz w:val="18"/>
                <w:szCs w:val="18"/>
              </w:rPr>
              <w:t>Oslo</w:t>
            </w:r>
            <w:r w:rsidR="00AD0E4D" w:rsidRPr="000C7CFA">
              <w:rPr>
                <w:rFonts w:ascii="Verdana" w:eastAsia="Calibri" w:hAnsi="Verdana"/>
                <w:sz w:val="18"/>
                <w:szCs w:val="18"/>
              </w:rPr>
              <w:t>, Norway</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7D119941" w14:textId="6246CD9D" w:rsidR="00AD0E4D" w:rsidRPr="000C7CFA" w:rsidRDefault="00AD0E4D" w:rsidP="00901039">
            <w:pPr>
              <w:pStyle w:val="BodyText"/>
              <w:spacing w:after="0"/>
              <w:rPr>
                <w:rFonts w:ascii="Verdana" w:eastAsia="Calibri" w:hAnsi="Verdana"/>
                <w:sz w:val="18"/>
                <w:szCs w:val="18"/>
              </w:rPr>
            </w:pPr>
            <w:r w:rsidRPr="000C7CFA">
              <w:rPr>
                <w:rFonts w:ascii="Verdana" w:eastAsia="Calibri" w:hAnsi="Verdana"/>
                <w:sz w:val="18"/>
                <w:szCs w:val="18"/>
              </w:rPr>
              <w:t>Urban air sampled in 2009: Anti-DP 16-120 pg/m</w:t>
            </w:r>
            <w:r w:rsidRPr="000C7CFA">
              <w:rPr>
                <w:rFonts w:ascii="Verdana" w:eastAsia="Calibri" w:hAnsi="Verdana"/>
                <w:sz w:val="18"/>
                <w:szCs w:val="18"/>
                <w:vertAlign w:val="superscript"/>
              </w:rPr>
              <w:t>3</w:t>
            </w:r>
            <w:r w:rsidRPr="000C7CFA">
              <w:rPr>
                <w:rFonts w:ascii="Verdana" w:eastAsia="Calibri" w:hAnsi="Verdana"/>
                <w:sz w:val="18"/>
                <w:szCs w:val="18"/>
              </w:rPr>
              <w:t xml:space="preserve"> and syn-DP 12-42 pg/m</w:t>
            </w:r>
            <w:r w:rsidRPr="000C7CFA">
              <w:rPr>
                <w:rFonts w:ascii="Verdana" w:eastAsia="Calibri" w:hAnsi="Verdana"/>
                <w:sz w:val="18"/>
                <w:szCs w:val="18"/>
                <w:vertAlign w:val="superscript"/>
              </w:rPr>
              <w:t>3</w:t>
            </w:r>
            <w:r w:rsidRPr="000C7CFA">
              <w:rPr>
                <w:rFonts w:ascii="Verdana" w:eastAsia="Calibri" w:hAnsi="Verdana"/>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731536B" w14:textId="77777777" w:rsidR="00AD0E4D" w:rsidRPr="000C7CFA" w:rsidRDefault="00AD0E4D"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Schlabach </w:t>
            </w:r>
            <w:r w:rsidRPr="000C7CFA">
              <w:rPr>
                <w:rFonts w:ascii="Verdana" w:eastAsia="Calibri" w:hAnsi="Verdana"/>
                <w:i/>
                <w:sz w:val="18"/>
                <w:szCs w:val="18"/>
                <w:lang w:val="en-GB"/>
              </w:rPr>
              <w:t>et al</w:t>
            </w:r>
            <w:r w:rsidRPr="000C7CFA">
              <w:rPr>
                <w:rFonts w:ascii="Verdana" w:eastAsia="Calibri" w:hAnsi="Verdana"/>
                <w:sz w:val="18"/>
                <w:szCs w:val="18"/>
                <w:lang w:val="en-GB"/>
              </w:rPr>
              <w:t>. (2011)</w:t>
            </w:r>
          </w:p>
        </w:tc>
      </w:tr>
      <w:tr w:rsidR="00AD0E4D" w:rsidRPr="000C7CFA" w14:paraId="59900D2C" w14:textId="77777777" w:rsidTr="000A1A05">
        <w:tc>
          <w:tcPr>
            <w:tcW w:w="1696" w:type="dxa"/>
            <w:vMerge/>
            <w:tcBorders>
              <w:left w:val="single" w:sz="4" w:space="0" w:color="auto"/>
              <w:right w:val="single" w:sz="4" w:space="0" w:color="auto"/>
            </w:tcBorders>
            <w:shd w:val="clear" w:color="auto" w:fill="auto"/>
          </w:tcPr>
          <w:p w14:paraId="56D80EF7" w14:textId="77777777" w:rsidR="00AD0E4D" w:rsidRPr="000C7CFA" w:rsidRDefault="00AD0E4D" w:rsidP="00DC5370">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9C30D32" w14:textId="77777777" w:rsidR="00AD0E4D" w:rsidRPr="000C7CFA" w:rsidRDefault="00AD0E4D" w:rsidP="00E77C47">
            <w:pPr>
              <w:autoSpaceDE w:val="0"/>
              <w:autoSpaceDN w:val="0"/>
              <w:adjustRightInd w:val="0"/>
              <w:spacing w:after="0"/>
              <w:rPr>
                <w:rFonts w:ascii="Verdana" w:hAnsi="Verdana"/>
                <w:sz w:val="18"/>
                <w:szCs w:val="18"/>
              </w:rPr>
            </w:pPr>
            <w:r w:rsidRPr="000C7CFA">
              <w:rPr>
                <w:rFonts w:ascii="Verdana" w:eastAsia="Calibri" w:hAnsi="Verdana"/>
                <w:sz w:val="18"/>
                <w:szCs w:val="18"/>
              </w:rPr>
              <w:t>Råö, Sweden</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0ADE0D7C" w14:textId="77777777" w:rsidR="00AD0E4D" w:rsidRPr="000C7CFA" w:rsidRDefault="00AD0E4D" w:rsidP="00FC2B2F">
            <w:pPr>
              <w:pStyle w:val="BodyText"/>
              <w:spacing w:after="0"/>
              <w:rPr>
                <w:rFonts w:ascii="Verdana" w:eastAsia="Calibri" w:hAnsi="Verdana"/>
                <w:sz w:val="18"/>
                <w:szCs w:val="18"/>
              </w:rPr>
            </w:pPr>
            <w:r w:rsidRPr="000C7CFA">
              <w:rPr>
                <w:rFonts w:ascii="Verdana" w:eastAsia="Calibri" w:hAnsi="Verdana"/>
                <w:sz w:val="18"/>
                <w:szCs w:val="18"/>
              </w:rPr>
              <w:t>Remote location on the Swedish west coast sampled in November 2009 and January 2010.</w:t>
            </w:r>
          </w:p>
          <w:p w14:paraId="03B80B1E" w14:textId="77777777" w:rsidR="00AD0E4D" w:rsidRPr="000C7CFA" w:rsidRDefault="00AD0E4D" w:rsidP="00FC2B2F">
            <w:pPr>
              <w:pStyle w:val="BodyText"/>
              <w:spacing w:after="0"/>
              <w:rPr>
                <w:rFonts w:ascii="Verdana" w:eastAsia="Calibri" w:hAnsi="Verdana"/>
                <w:sz w:val="18"/>
                <w:szCs w:val="18"/>
              </w:rPr>
            </w:pPr>
            <w:r w:rsidRPr="000C7CFA">
              <w:rPr>
                <w:rFonts w:ascii="Verdana" w:eastAsia="Calibri" w:hAnsi="Verdana"/>
                <w:sz w:val="18"/>
                <w:szCs w:val="18"/>
              </w:rPr>
              <w:t>November 2009: Anti-DP 0.43 pg/m</w:t>
            </w:r>
            <w:r w:rsidRPr="000C7CFA">
              <w:rPr>
                <w:rFonts w:ascii="Verdana" w:eastAsia="Calibri" w:hAnsi="Verdana"/>
                <w:sz w:val="18"/>
                <w:szCs w:val="18"/>
                <w:vertAlign w:val="superscript"/>
              </w:rPr>
              <w:t xml:space="preserve">3 </w:t>
            </w:r>
            <w:r w:rsidRPr="000C7CFA">
              <w:rPr>
                <w:rFonts w:ascii="Verdana" w:eastAsia="Calibri" w:hAnsi="Verdana"/>
                <w:sz w:val="18"/>
                <w:szCs w:val="18"/>
              </w:rPr>
              <w:t>and syn-DP 0.15 pg/m</w:t>
            </w:r>
            <w:r w:rsidRPr="000C7CFA">
              <w:rPr>
                <w:rFonts w:ascii="Verdana" w:eastAsia="Calibri" w:hAnsi="Verdana"/>
                <w:sz w:val="18"/>
                <w:szCs w:val="18"/>
                <w:vertAlign w:val="superscript"/>
              </w:rPr>
              <w:t>3</w:t>
            </w:r>
            <w:r w:rsidRPr="000C7CFA">
              <w:rPr>
                <w:rFonts w:ascii="Verdana" w:eastAsia="Calibri" w:hAnsi="Verdana"/>
                <w:sz w:val="18"/>
                <w:szCs w:val="18"/>
              </w:rPr>
              <w:t>.</w:t>
            </w:r>
          </w:p>
          <w:p w14:paraId="468F32CC" w14:textId="77777777" w:rsidR="00AD0E4D" w:rsidRPr="000C7CFA" w:rsidRDefault="00AD0E4D" w:rsidP="00901039">
            <w:pPr>
              <w:pStyle w:val="BodyText"/>
              <w:spacing w:after="0"/>
              <w:rPr>
                <w:rFonts w:ascii="Verdana" w:hAnsi="Verdana"/>
                <w:sz w:val="18"/>
                <w:szCs w:val="18"/>
              </w:rPr>
            </w:pPr>
            <w:r w:rsidRPr="000C7CFA">
              <w:rPr>
                <w:rFonts w:ascii="Verdana" w:eastAsia="Calibri" w:hAnsi="Verdana"/>
                <w:sz w:val="18"/>
                <w:szCs w:val="18"/>
              </w:rPr>
              <w:t>January 2010: Anti-DP 0.082 pg/m</w:t>
            </w:r>
            <w:r w:rsidRPr="000C7CFA">
              <w:rPr>
                <w:rFonts w:ascii="Verdana" w:eastAsia="Calibri" w:hAnsi="Verdana"/>
                <w:sz w:val="18"/>
                <w:szCs w:val="18"/>
                <w:vertAlign w:val="superscript"/>
              </w:rPr>
              <w:t>3</w:t>
            </w:r>
            <w:r w:rsidRPr="000C7CFA">
              <w:rPr>
                <w:rFonts w:ascii="Verdana" w:eastAsia="Calibri" w:hAnsi="Verdana"/>
                <w:sz w:val="18"/>
                <w:szCs w:val="18"/>
              </w:rPr>
              <w:t xml:space="preserve"> and syn-DP 0.047 pg/m</w:t>
            </w:r>
            <w:r w:rsidRPr="000C7CFA">
              <w:rPr>
                <w:rFonts w:ascii="Verdana" w:eastAsia="Calibri" w:hAnsi="Verdana"/>
                <w:sz w:val="18"/>
                <w:szCs w:val="18"/>
                <w:vertAlign w:val="superscript"/>
              </w:rPr>
              <w:t>3</w:t>
            </w:r>
            <w:r w:rsidRPr="000C7CFA">
              <w:rPr>
                <w:rFonts w:ascii="Verdana" w:eastAsia="Calibri" w:hAnsi="Verdana"/>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E9C9F16" w14:textId="77777777" w:rsidR="00AD0E4D" w:rsidRPr="000C7CFA" w:rsidRDefault="00AD0E4D"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Schlabach </w:t>
            </w:r>
            <w:r w:rsidRPr="000C7CFA">
              <w:rPr>
                <w:rFonts w:ascii="Verdana" w:eastAsia="Calibri" w:hAnsi="Verdana"/>
                <w:i/>
                <w:sz w:val="18"/>
                <w:szCs w:val="18"/>
                <w:lang w:val="en-GB"/>
              </w:rPr>
              <w:t>et al</w:t>
            </w:r>
            <w:r w:rsidRPr="000C7CFA">
              <w:rPr>
                <w:rFonts w:ascii="Verdana" w:eastAsia="Calibri" w:hAnsi="Verdana"/>
                <w:sz w:val="18"/>
                <w:szCs w:val="18"/>
                <w:lang w:val="en-GB"/>
              </w:rPr>
              <w:t>. (2011)</w:t>
            </w:r>
          </w:p>
        </w:tc>
      </w:tr>
      <w:tr w:rsidR="00AD0E4D" w:rsidRPr="000C7CFA" w14:paraId="57CA9DBB" w14:textId="77777777" w:rsidTr="000A1A05">
        <w:tc>
          <w:tcPr>
            <w:tcW w:w="1696" w:type="dxa"/>
            <w:vMerge/>
            <w:tcBorders>
              <w:left w:val="single" w:sz="4" w:space="0" w:color="auto"/>
              <w:right w:val="single" w:sz="4" w:space="0" w:color="auto"/>
            </w:tcBorders>
            <w:shd w:val="clear" w:color="auto" w:fill="auto"/>
          </w:tcPr>
          <w:p w14:paraId="06562655" w14:textId="77777777" w:rsidR="00AD0E4D" w:rsidRPr="000C7CFA" w:rsidRDefault="00AD0E4D" w:rsidP="00DC5370">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093A16" w14:textId="77777777" w:rsidR="00AD0E4D" w:rsidRPr="000C7CFA" w:rsidRDefault="00AD0E4D" w:rsidP="00E77C47">
            <w:pPr>
              <w:autoSpaceDE w:val="0"/>
              <w:autoSpaceDN w:val="0"/>
              <w:adjustRightInd w:val="0"/>
              <w:spacing w:after="0"/>
              <w:rPr>
                <w:rFonts w:ascii="Verdana" w:hAnsi="Verdana"/>
                <w:sz w:val="18"/>
                <w:szCs w:val="18"/>
              </w:rPr>
            </w:pPr>
            <w:r w:rsidRPr="000C7CFA">
              <w:rPr>
                <w:rFonts w:ascii="Verdana" w:eastAsia="Calibri" w:hAnsi="Verdana"/>
                <w:sz w:val="18"/>
                <w:szCs w:val="18"/>
              </w:rPr>
              <w:t>Lille Valby and Copenhagen, Denmark</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2706221B" w14:textId="77777777" w:rsidR="00AD0E4D" w:rsidRPr="000C7CFA" w:rsidRDefault="00AD0E4D" w:rsidP="00FC2B2F">
            <w:pPr>
              <w:pStyle w:val="BodyText"/>
              <w:spacing w:after="0"/>
              <w:rPr>
                <w:rFonts w:ascii="Verdana" w:eastAsia="Calibri" w:hAnsi="Verdana"/>
                <w:sz w:val="18"/>
                <w:szCs w:val="18"/>
              </w:rPr>
            </w:pPr>
            <w:r w:rsidRPr="000C7CFA">
              <w:rPr>
                <w:rFonts w:ascii="Verdana" w:eastAsia="Calibri" w:hAnsi="Verdana"/>
                <w:sz w:val="18"/>
                <w:szCs w:val="18"/>
              </w:rPr>
              <w:t>Rural air at Lille Valby: Anti-DP 7.4 pg/m</w:t>
            </w:r>
            <w:r w:rsidRPr="000C7CFA">
              <w:rPr>
                <w:rFonts w:ascii="Verdana" w:eastAsia="Calibri" w:hAnsi="Verdana"/>
                <w:sz w:val="18"/>
                <w:szCs w:val="18"/>
                <w:vertAlign w:val="superscript"/>
              </w:rPr>
              <w:t>3</w:t>
            </w:r>
            <w:r w:rsidRPr="000C7CFA">
              <w:rPr>
                <w:rFonts w:ascii="Verdana" w:eastAsia="Calibri" w:hAnsi="Verdana"/>
                <w:sz w:val="18"/>
                <w:szCs w:val="18"/>
              </w:rPr>
              <w:t xml:space="preserve"> and syn-DP 2.0 pg/m</w:t>
            </w:r>
            <w:r w:rsidRPr="000C7CFA">
              <w:rPr>
                <w:rFonts w:ascii="Verdana" w:eastAsia="Calibri" w:hAnsi="Verdana"/>
                <w:sz w:val="18"/>
                <w:szCs w:val="18"/>
                <w:vertAlign w:val="superscript"/>
              </w:rPr>
              <w:t>3</w:t>
            </w:r>
            <w:r w:rsidRPr="000C7CFA">
              <w:rPr>
                <w:rFonts w:ascii="Verdana" w:eastAsia="Calibri" w:hAnsi="Verdana"/>
                <w:sz w:val="18"/>
                <w:szCs w:val="18"/>
              </w:rPr>
              <w:t>.</w:t>
            </w:r>
          </w:p>
          <w:p w14:paraId="31571D8E" w14:textId="77777777" w:rsidR="00AD0E4D" w:rsidRPr="000C7CFA" w:rsidRDefault="00AD0E4D" w:rsidP="00FC2B2F">
            <w:pPr>
              <w:pStyle w:val="BodyText"/>
              <w:spacing w:after="0"/>
              <w:rPr>
                <w:rFonts w:ascii="Verdana" w:eastAsia="Calibri" w:hAnsi="Verdana"/>
                <w:sz w:val="18"/>
                <w:szCs w:val="18"/>
              </w:rPr>
            </w:pPr>
            <w:r w:rsidRPr="000C7CFA">
              <w:rPr>
                <w:rFonts w:ascii="Verdana" w:eastAsia="Calibri" w:hAnsi="Verdana"/>
                <w:sz w:val="18"/>
                <w:szCs w:val="18"/>
              </w:rPr>
              <w:t>Urban air at Copenhagen: Anti-DP 2.0 pg/m</w:t>
            </w:r>
            <w:r w:rsidRPr="000C7CFA">
              <w:rPr>
                <w:rFonts w:ascii="Verdana" w:eastAsia="Calibri" w:hAnsi="Verdana"/>
                <w:sz w:val="18"/>
                <w:szCs w:val="18"/>
                <w:vertAlign w:val="superscript"/>
              </w:rPr>
              <w:t>3</w:t>
            </w:r>
            <w:r w:rsidRPr="000C7CFA">
              <w:rPr>
                <w:rFonts w:ascii="Verdana" w:eastAsia="Calibri" w:hAnsi="Verdana"/>
                <w:sz w:val="18"/>
                <w:szCs w:val="18"/>
              </w:rPr>
              <w:t xml:space="preserve"> and syn-DP 0.68 pg/m</w:t>
            </w:r>
            <w:r w:rsidRPr="000C7CFA">
              <w:rPr>
                <w:rFonts w:ascii="Verdana" w:eastAsia="Calibri" w:hAnsi="Verdana"/>
                <w:sz w:val="18"/>
                <w:szCs w:val="18"/>
                <w:vertAlign w:val="superscript"/>
              </w:rPr>
              <w:t>3</w:t>
            </w:r>
            <w:r w:rsidRPr="000C7CFA">
              <w:rPr>
                <w:rFonts w:ascii="Verdana" w:eastAsia="Calibri" w:hAnsi="Verdana"/>
                <w:sz w:val="18"/>
                <w:szCs w:val="18"/>
              </w:rPr>
              <w:t>.</w:t>
            </w:r>
          </w:p>
          <w:p w14:paraId="7615AFD1" w14:textId="77777777" w:rsidR="00AD0E4D" w:rsidRPr="000C7CFA" w:rsidRDefault="00AD0E4D" w:rsidP="00901039">
            <w:pPr>
              <w:pStyle w:val="BodyText"/>
              <w:spacing w:after="0"/>
              <w:rPr>
                <w:rFonts w:ascii="Verdana" w:hAnsi="Verdana"/>
                <w:sz w:val="18"/>
                <w:szCs w:val="18"/>
              </w:rPr>
            </w:pPr>
            <w:r w:rsidRPr="000C7CFA">
              <w:rPr>
                <w:rFonts w:ascii="Verdana" w:eastAsia="Calibri" w:hAnsi="Verdana"/>
                <w:sz w:val="18"/>
                <w:szCs w:val="18"/>
              </w:rPr>
              <w:t>The dates of sampling were not given.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06DFF5" w14:textId="77777777" w:rsidR="00AD0E4D" w:rsidRPr="000C7CFA" w:rsidRDefault="00AD0E4D"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Schlabach </w:t>
            </w:r>
            <w:r w:rsidRPr="000C7CFA">
              <w:rPr>
                <w:rFonts w:ascii="Verdana" w:eastAsia="Calibri" w:hAnsi="Verdana"/>
                <w:i/>
                <w:sz w:val="18"/>
                <w:szCs w:val="18"/>
                <w:lang w:val="en-GB"/>
              </w:rPr>
              <w:t>et al</w:t>
            </w:r>
            <w:r w:rsidRPr="000C7CFA">
              <w:rPr>
                <w:rFonts w:ascii="Verdana" w:eastAsia="Calibri" w:hAnsi="Verdana"/>
                <w:sz w:val="18"/>
                <w:szCs w:val="18"/>
                <w:lang w:val="en-GB"/>
              </w:rPr>
              <w:t>. (2011)</w:t>
            </w:r>
          </w:p>
        </w:tc>
      </w:tr>
      <w:tr w:rsidR="00AD0E4D" w:rsidRPr="000C7CFA" w14:paraId="378989DE" w14:textId="77777777" w:rsidTr="000A1A05">
        <w:tc>
          <w:tcPr>
            <w:tcW w:w="1696" w:type="dxa"/>
            <w:vMerge/>
            <w:tcBorders>
              <w:left w:val="single" w:sz="4" w:space="0" w:color="auto"/>
              <w:right w:val="single" w:sz="4" w:space="0" w:color="auto"/>
            </w:tcBorders>
            <w:shd w:val="clear" w:color="auto" w:fill="auto"/>
          </w:tcPr>
          <w:p w14:paraId="13120613" w14:textId="77777777" w:rsidR="00AD0E4D" w:rsidRPr="000C7CFA" w:rsidRDefault="00AD0E4D" w:rsidP="00DC5370">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57FB309" w14:textId="77777777" w:rsidR="00AD0E4D" w:rsidRPr="000C7CFA" w:rsidRDefault="00AD0E4D" w:rsidP="00E77C47">
            <w:pPr>
              <w:autoSpaceDE w:val="0"/>
              <w:autoSpaceDN w:val="0"/>
              <w:adjustRightInd w:val="0"/>
              <w:spacing w:after="0"/>
              <w:rPr>
                <w:rFonts w:ascii="Verdana" w:eastAsia="Calibri" w:hAnsi="Verdana"/>
                <w:sz w:val="18"/>
                <w:szCs w:val="18"/>
                <w:lang w:val="en-GB"/>
              </w:rPr>
            </w:pPr>
            <w:r w:rsidRPr="000C7CFA">
              <w:rPr>
                <w:rFonts w:ascii="Verdana" w:hAnsi="Verdana"/>
                <w:sz w:val="18"/>
                <w:szCs w:val="18"/>
              </w:rPr>
              <w:t>Spain</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7F043995" w14:textId="77777777" w:rsidR="00AD0E4D" w:rsidRPr="000C7CFA" w:rsidRDefault="00AD0E4D" w:rsidP="00901039">
            <w:pPr>
              <w:pStyle w:val="BodyText"/>
              <w:spacing w:after="0"/>
              <w:rPr>
                <w:rFonts w:ascii="Verdana" w:hAnsi="Verdana"/>
                <w:sz w:val="18"/>
                <w:szCs w:val="18"/>
              </w:rPr>
            </w:pPr>
            <w:r w:rsidRPr="000C7CFA">
              <w:rPr>
                <w:rFonts w:ascii="Verdana" w:hAnsi="Verdana"/>
                <w:sz w:val="18"/>
                <w:szCs w:val="18"/>
              </w:rPr>
              <w:t xml:space="preserve">Passive, integrated sampling </w:t>
            </w:r>
          </w:p>
          <w:p w14:paraId="6021F6BF" w14:textId="77777777" w:rsidR="00AD0E4D" w:rsidRPr="000C7CFA" w:rsidRDefault="00AD0E4D" w:rsidP="00901039">
            <w:pPr>
              <w:pStyle w:val="BodyText"/>
              <w:spacing w:after="0"/>
              <w:rPr>
                <w:rFonts w:ascii="Verdana" w:hAnsi="Verdana"/>
                <w:sz w:val="18"/>
                <w:szCs w:val="18"/>
              </w:rPr>
            </w:pPr>
            <w:r w:rsidRPr="000C7CFA">
              <w:rPr>
                <w:rFonts w:ascii="Verdana" w:hAnsi="Verdana"/>
                <w:sz w:val="18"/>
                <w:szCs w:val="18"/>
              </w:rPr>
              <w:t>11 pg/m</w:t>
            </w:r>
            <w:r w:rsidRPr="000C7CFA">
              <w:rPr>
                <w:rFonts w:ascii="Verdana" w:hAnsi="Verdana"/>
                <w:sz w:val="18"/>
                <w:szCs w:val="18"/>
                <w:vertAlign w:val="superscript"/>
              </w:rPr>
              <w:t xml:space="preserve">3 </w:t>
            </w:r>
            <w:r w:rsidRPr="000C7CFA">
              <w:rPr>
                <w:rFonts w:ascii="Verdana" w:hAnsi="Verdana"/>
                <w:sz w:val="18"/>
                <w:szCs w:val="18"/>
              </w:rPr>
              <w:t>(Madrid)</w:t>
            </w:r>
          </w:p>
          <w:p w14:paraId="1203F3B4" w14:textId="77777777" w:rsidR="00AD0E4D" w:rsidRPr="000C7CFA" w:rsidRDefault="00AD0E4D" w:rsidP="00901039">
            <w:pPr>
              <w:tabs>
                <w:tab w:val="left" w:pos="2591"/>
              </w:tabs>
              <w:autoSpaceDE w:val="0"/>
              <w:autoSpaceDN w:val="0"/>
              <w:adjustRightInd w:val="0"/>
              <w:spacing w:after="0"/>
              <w:rPr>
                <w:rFonts w:ascii="Verdana" w:eastAsia="Calibri" w:hAnsi="Verdana"/>
                <w:sz w:val="18"/>
                <w:szCs w:val="18"/>
                <w:lang w:val="en-GB"/>
              </w:rPr>
            </w:pPr>
            <w:r w:rsidRPr="000C7CFA">
              <w:rPr>
                <w:rFonts w:ascii="Verdana" w:hAnsi="Verdana"/>
                <w:sz w:val="18"/>
                <w:szCs w:val="18"/>
              </w:rPr>
              <w:t>0.8 pg/m</w:t>
            </w:r>
            <w:r w:rsidRPr="000C7CFA">
              <w:rPr>
                <w:rFonts w:ascii="Verdana" w:hAnsi="Verdana"/>
                <w:sz w:val="18"/>
                <w:szCs w:val="18"/>
                <w:vertAlign w:val="superscript"/>
              </w:rPr>
              <w:t>3</w:t>
            </w:r>
            <w:r w:rsidRPr="000C7CFA">
              <w:rPr>
                <w:rFonts w:ascii="Verdana" w:hAnsi="Verdana"/>
                <w:sz w:val="18"/>
                <w:szCs w:val="18"/>
              </w:rPr>
              <w:t xml:space="preserve"> (Rural)</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CA8EC99" w14:textId="77777777" w:rsidR="00AD0E4D" w:rsidRPr="000C7CFA" w:rsidRDefault="00AD0E4D"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fr-FR"/>
              </w:rPr>
              <w:t xml:space="preserve">de la Torre </w:t>
            </w:r>
            <w:r w:rsidRPr="000C7CFA">
              <w:rPr>
                <w:rFonts w:ascii="Verdana" w:eastAsia="Calibri" w:hAnsi="Verdana"/>
                <w:i/>
                <w:sz w:val="18"/>
                <w:szCs w:val="18"/>
                <w:lang w:val="fr-FR"/>
              </w:rPr>
              <w:t>et al</w:t>
            </w:r>
            <w:r w:rsidRPr="000C7CFA">
              <w:rPr>
                <w:rFonts w:ascii="Verdana" w:eastAsia="Calibri" w:hAnsi="Verdana"/>
                <w:sz w:val="18"/>
                <w:szCs w:val="18"/>
                <w:lang w:val="fr-FR"/>
              </w:rPr>
              <w:t xml:space="preserve">. </w:t>
            </w:r>
            <w:r w:rsidRPr="000C7CFA">
              <w:rPr>
                <w:rFonts w:ascii="Verdana" w:eastAsia="Calibri" w:hAnsi="Verdana"/>
                <w:sz w:val="18"/>
                <w:szCs w:val="18"/>
                <w:lang w:val="en-GB"/>
              </w:rPr>
              <w:t>(2010) [ABST]</w:t>
            </w:r>
          </w:p>
        </w:tc>
      </w:tr>
      <w:tr w:rsidR="00AD0E4D" w:rsidRPr="000C7CFA" w14:paraId="562ABDF6" w14:textId="77777777" w:rsidTr="000A1A05">
        <w:tc>
          <w:tcPr>
            <w:tcW w:w="1696" w:type="dxa"/>
            <w:vMerge w:val="restart"/>
            <w:tcBorders>
              <w:top w:val="single" w:sz="4" w:space="0" w:color="auto"/>
              <w:left w:val="single" w:sz="4" w:space="0" w:color="auto"/>
              <w:right w:val="single" w:sz="4" w:space="0" w:color="auto"/>
            </w:tcBorders>
            <w:shd w:val="clear" w:color="auto" w:fill="auto"/>
          </w:tcPr>
          <w:p w14:paraId="327ACCC9" w14:textId="77777777" w:rsidR="00AD0E4D" w:rsidRPr="000C7CFA" w:rsidRDefault="00AD0E4D" w:rsidP="00DC5370">
            <w:pPr>
              <w:pStyle w:val="BodyText"/>
              <w:rPr>
                <w:rFonts w:ascii="Verdana" w:hAnsi="Verdana"/>
                <w:b/>
                <w:sz w:val="18"/>
                <w:szCs w:val="18"/>
              </w:rPr>
            </w:pPr>
            <w:r w:rsidRPr="000C7CFA">
              <w:rPr>
                <w:rFonts w:ascii="Verdana" w:hAnsi="Verdana"/>
                <w:b/>
                <w:sz w:val="18"/>
                <w:szCs w:val="18"/>
              </w:rPr>
              <w:t>Tree bark</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0F0B45" w14:textId="77777777" w:rsidR="00AD0E4D" w:rsidRPr="000C7CFA" w:rsidRDefault="00AD0E4D" w:rsidP="00016EE5">
            <w:pPr>
              <w:pStyle w:val="BodyText"/>
              <w:spacing w:after="0"/>
              <w:ind w:left="175" w:hanging="175"/>
              <w:rPr>
                <w:rFonts w:ascii="Verdana" w:eastAsia="Calibri" w:hAnsi="Verdana"/>
                <w:sz w:val="18"/>
                <w:szCs w:val="18"/>
              </w:rPr>
            </w:pPr>
            <w:r w:rsidRPr="000C7CFA">
              <w:rPr>
                <w:rFonts w:ascii="Verdana" w:eastAsia="Calibri" w:hAnsi="Verdana"/>
                <w:sz w:val="18"/>
                <w:szCs w:val="18"/>
              </w:rPr>
              <w:t xml:space="preserve">Halle, Germany (May 2005) </w:t>
            </w:r>
          </w:p>
          <w:p w14:paraId="58301E25" w14:textId="676E62DA" w:rsidR="00AD0E4D" w:rsidRPr="000C7CFA" w:rsidRDefault="00AD0E4D" w:rsidP="00016EE5">
            <w:pPr>
              <w:autoSpaceDE w:val="0"/>
              <w:autoSpaceDN w:val="0"/>
              <w:adjustRightInd w:val="0"/>
              <w:spacing w:after="0"/>
              <w:ind w:left="175" w:hanging="175"/>
              <w:rPr>
                <w:rFonts w:ascii="Verdana" w:eastAsia="Calibri" w:hAnsi="Verdana"/>
                <w:sz w:val="18"/>
                <w:szCs w:val="18"/>
                <w:lang w:val="en-GB"/>
              </w:rPr>
            </w:pPr>
            <w:r w:rsidRPr="000C7CFA">
              <w:rPr>
                <w:rFonts w:ascii="Verdana" w:eastAsia="Calibri" w:hAnsi="Verdana"/>
                <w:sz w:val="18"/>
                <w:szCs w:val="18"/>
                <w:lang w:val="en-GB"/>
              </w:rPr>
              <w:t>Trieste, Italy (April 2005)</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4901679A" w14:textId="77777777" w:rsidR="00AD0E4D" w:rsidRPr="000C7CFA" w:rsidRDefault="00AD0E4D" w:rsidP="005E0F37">
            <w:pPr>
              <w:tabs>
                <w:tab w:val="left" w:pos="2591"/>
              </w:tabs>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Average ± standard deviation: </w:t>
            </w:r>
            <w:r w:rsidRPr="000C7CFA">
              <w:rPr>
                <w:rFonts w:ascii="Verdana" w:eastAsia="Calibri" w:hAnsi="Verdana"/>
                <w:sz w:val="18"/>
                <w:szCs w:val="18"/>
                <w:lang w:val="en-GB"/>
              </w:rPr>
              <w:tab/>
              <w:t>0.032 ± 0.019 µg/kg (Germany)</w:t>
            </w:r>
          </w:p>
          <w:p w14:paraId="55F069F1" w14:textId="0A76A297" w:rsidR="00AD0E4D" w:rsidRPr="000C7CFA" w:rsidRDefault="00AD0E4D" w:rsidP="005E0F37">
            <w:pPr>
              <w:tabs>
                <w:tab w:val="left" w:pos="2591"/>
              </w:tabs>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ab/>
            </w:r>
            <w:r w:rsidR="000A1A05" w:rsidRPr="000C7CFA">
              <w:rPr>
                <w:rFonts w:ascii="Verdana" w:eastAsia="Calibri" w:hAnsi="Verdana"/>
                <w:sz w:val="18"/>
                <w:szCs w:val="18"/>
                <w:lang w:val="en-GB"/>
              </w:rPr>
              <w:tab/>
            </w:r>
            <w:r w:rsidRPr="000C7CFA">
              <w:rPr>
                <w:rFonts w:ascii="Verdana" w:eastAsia="Calibri" w:hAnsi="Verdana"/>
                <w:sz w:val="18"/>
                <w:szCs w:val="18"/>
                <w:lang w:val="en-GB"/>
              </w:rPr>
              <w:t>0.067 ± 0.032 µg/kg (Italy)</w:t>
            </w:r>
          </w:p>
          <w:p w14:paraId="031D2B14" w14:textId="0F969FB8" w:rsidR="00AD0E4D" w:rsidRPr="000C7CFA" w:rsidRDefault="00AD0E4D" w:rsidP="005E0F3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Levels were about ten times lower than samples collected in the USA and Asia, presumably reflecting differences in emission sources.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10A60A8" w14:textId="77777777" w:rsidR="00AD0E4D" w:rsidRPr="000C7CFA" w:rsidRDefault="00AD0E4D" w:rsidP="00E77C47">
            <w:pPr>
              <w:autoSpaceDE w:val="0"/>
              <w:autoSpaceDN w:val="0"/>
              <w:adjustRightInd w:val="0"/>
              <w:spacing w:after="0"/>
              <w:rPr>
                <w:rFonts w:ascii="Verdana" w:hAnsi="Verdana"/>
                <w:sz w:val="18"/>
                <w:szCs w:val="18"/>
                <w:lang w:val="fr-FR"/>
              </w:rPr>
            </w:pPr>
            <w:r w:rsidRPr="000C7CFA">
              <w:rPr>
                <w:rFonts w:ascii="Verdana" w:eastAsia="Calibri" w:hAnsi="Verdana"/>
                <w:sz w:val="18"/>
                <w:szCs w:val="18"/>
                <w:lang w:val="fr-FR"/>
              </w:rPr>
              <w:t xml:space="preserve">Qiu </w:t>
            </w:r>
            <w:r w:rsidRPr="000C7CFA">
              <w:rPr>
                <w:rFonts w:ascii="Verdana" w:eastAsia="Calibri" w:hAnsi="Verdana"/>
                <w:i/>
                <w:sz w:val="18"/>
                <w:szCs w:val="18"/>
                <w:lang w:val="fr-FR"/>
              </w:rPr>
              <w:t>et al</w:t>
            </w:r>
            <w:r w:rsidRPr="000C7CFA">
              <w:rPr>
                <w:rFonts w:ascii="Verdana" w:eastAsia="Calibri" w:hAnsi="Verdana"/>
                <w:sz w:val="18"/>
                <w:szCs w:val="18"/>
                <w:lang w:val="fr-FR"/>
              </w:rPr>
              <w:t>. (2008) [ABST]; Qiu &amp; Hites (2008)</w:t>
            </w:r>
          </w:p>
        </w:tc>
      </w:tr>
      <w:tr w:rsidR="00AD0E4D" w:rsidRPr="000C7CFA" w14:paraId="47749C3D" w14:textId="77777777" w:rsidTr="000A1A05">
        <w:tc>
          <w:tcPr>
            <w:tcW w:w="1696" w:type="dxa"/>
            <w:vMerge/>
            <w:tcBorders>
              <w:left w:val="single" w:sz="4" w:space="0" w:color="auto"/>
              <w:right w:val="single" w:sz="4" w:space="0" w:color="auto"/>
            </w:tcBorders>
            <w:shd w:val="clear" w:color="auto" w:fill="auto"/>
          </w:tcPr>
          <w:p w14:paraId="40C6684C" w14:textId="77777777" w:rsidR="00AD0E4D" w:rsidRPr="000C7CFA" w:rsidRDefault="00AD0E4D" w:rsidP="00566BE6">
            <w:pPr>
              <w:pStyle w:val="BodyText"/>
              <w:rPr>
                <w:rFonts w:ascii="Verdana" w:hAnsi="Verdana"/>
                <w:b/>
                <w:sz w:val="18"/>
                <w:szCs w:val="18"/>
                <w:lang w:val="fr-FR"/>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9C14F6" w14:textId="77777777" w:rsidR="00AD0E4D" w:rsidRPr="000C7CFA" w:rsidRDefault="00AD0E4D" w:rsidP="00016EE5">
            <w:pPr>
              <w:autoSpaceDE w:val="0"/>
              <w:autoSpaceDN w:val="0"/>
              <w:adjustRightInd w:val="0"/>
              <w:spacing w:after="0"/>
              <w:ind w:left="175" w:hanging="175"/>
              <w:rPr>
                <w:rFonts w:ascii="Verdana" w:eastAsia="Calibri" w:hAnsi="Verdana"/>
                <w:sz w:val="18"/>
                <w:szCs w:val="18"/>
                <w:lang w:val="en-GB"/>
              </w:rPr>
            </w:pPr>
            <w:r w:rsidRPr="000C7CFA">
              <w:rPr>
                <w:rFonts w:ascii="Verdana" w:eastAsia="Calibri" w:hAnsi="Verdana"/>
                <w:sz w:val="18"/>
                <w:szCs w:val="18"/>
                <w:lang w:val="en-GB"/>
              </w:rPr>
              <w:t xml:space="preserve">Birkeness, Norway; </w:t>
            </w:r>
          </w:p>
          <w:p w14:paraId="7CDCE3AD" w14:textId="77777777" w:rsidR="00AD0E4D" w:rsidRPr="000C7CFA" w:rsidRDefault="00AD0E4D" w:rsidP="00016EE5">
            <w:pPr>
              <w:autoSpaceDE w:val="0"/>
              <w:autoSpaceDN w:val="0"/>
              <w:adjustRightInd w:val="0"/>
              <w:spacing w:after="0"/>
              <w:ind w:left="175" w:hanging="175"/>
              <w:rPr>
                <w:rFonts w:ascii="Verdana" w:eastAsia="Calibri" w:hAnsi="Verdana"/>
                <w:sz w:val="18"/>
                <w:szCs w:val="18"/>
                <w:lang w:val="en-GB"/>
              </w:rPr>
            </w:pPr>
            <w:r w:rsidRPr="000C7CFA">
              <w:rPr>
                <w:rFonts w:ascii="Verdana" w:eastAsia="Calibri" w:hAnsi="Verdana"/>
                <w:sz w:val="18"/>
                <w:szCs w:val="18"/>
                <w:lang w:val="en-GB"/>
              </w:rPr>
              <w:t xml:space="preserve">Košetice, Czech Republic; </w:t>
            </w:r>
          </w:p>
          <w:p w14:paraId="41175A89" w14:textId="77777777" w:rsidR="00AD0E4D" w:rsidRPr="000C7CFA" w:rsidRDefault="00AD0E4D" w:rsidP="00016EE5">
            <w:pPr>
              <w:autoSpaceDE w:val="0"/>
              <w:autoSpaceDN w:val="0"/>
              <w:adjustRightInd w:val="0"/>
              <w:spacing w:after="0"/>
              <w:ind w:left="175" w:hanging="175"/>
              <w:rPr>
                <w:rFonts w:ascii="Verdana" w:eastAsia="Calibri" w:hAnsi="Verdana"/>
                <w:sz w:val="18"/>
                <w:szCs w:val="18"/>
                <w:lang w:val="en-GB"/>
              </w:rPr>
            </w:pPr>
            <w:r w:rsidRPr="000C7CFA">
              <w:rPr>
                <w:rFonts w:ascii="Verdana" w:eastAsia="Calibri" w:hAnsi="Verdana"/>
                <w:sz w:val="18"/>
                <w:szCs w:val="18"/>
                <w:lang w:val="en-GB"/>
              </w:rPr>
              <w:t xml:space="preserve">Malin Head, Ireland; </w:t>
            </w:r>
          </w:p>
          <w:p w14:paraId="37F908D2" w14:textId="77777777" w:rsidR="00AD0E4D" w:rsidRPr="000C7CFA" w:rsidRDefault="00AD0E4D" w:rsidP="00016EE5">
            <w:pPr>
              <w:autoSpaceDE w:val="0"/>
              <w:autoSpaceDN w:val="0"/>
              <w:adjustRightInd w:val="0"/>
              <w:spacing w:after="0"/>
              <w:ind w:left="175" w:hanging="175"/>
              <w:rPr>
                <w:rFonts w:ascii="Verdana" w:eastAsia="Calibri" w:hAnsi="Verdana"/>
                <w:sz w:val="18"/>
                <w:szCs w:val="18"/>
                <w:lang w:val="en-GB"/>
              </w:rPr>
            </w:pPr>
            <w:r w:rsidRPr="000C7CFA">
              <w:rPr>
                <w:rFonts w:ascii="Verdana" w:eastAsia="Calibri" w:hAnsi="Verdana"/>
                <w:sz w:val="18"/>
                <w:szCs w:val="18"/>
                <w:lang w:val="en-GB"/>
              </w:rPr>
              <w:t>Reykjavik, Iceland; 2009-2010 (n=3-4)</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645FD9A7" w14:textId="77777777" w:rsidR="000A1A05" w:rsidRPr="000C7CFA" w:rsidRDefault="00AD0E4D" w:rsidP="00893458">
            <w:pPr>
              <w:tabs>
                <w:tab w:val="left" w:pos="2591"/>
              </w:tabs>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 xml:space="preserve">Average ± standard deviation: </w:t>
            </w:r>
            <w:r w:rsidRPr="000C7CFA">
              <w:rPr>
                <w:rFonts w:ascii="Verdana" w:eastAsia="Calibri" w:hAnsi="Verdana"/>
                <w:sz w:val="18"/>
                <w:szCs w:val="18"/>
                <w:lang w:val="en-GB"/>
              </w:rPr>
              <w:tab/>
              <w:t>9.12 ± 4.89 ng/g lw (Norway)</w:t>
            </w:r>
            <w:r w:rsidRPr="000C7CFA">
              <w:rPr>
                <w:rFonts w:ascii="Verdana" w:eastAsia="Calibri" w:hAnsi="Verdana"/>
                <w:sz w:val="18"/>
                <w:szCs w:val="18"/>
                <w:lang w:val="en-GB"/>
              </w:rPr>
              <w:tab/>
            </w:r>
            <w:r w:rsidRPr="000C7CFA">
              <w:rPr>
                <w:rFonts w:ascii="Verdana" w:eastAsia="Calibri" w:hAnsi="Verdana"/>
                <w:sz w:val="18"/>
                <w:szCs w:val="18"/>
                <w:lang w:val="en-GB"/>
              </w:rPr>
              <w:tab/>
            </w:r>
            <w:r w:rsidRPr="000C7CFA">
              <w:rPr>
                <w:rFonts w:ascii="Verdana" w:eastAsia="Calibri" w:hAnsi="Verdana"/>
                <w:sz w:val="18"/>
                <w:szCs w:val="18"/>
                <w:lang w:val="en-GB"/>
              </w:rPr>
              <w:tab/>
            </w:r>
            <w:r w:rsidRPr="000C7CFA">
              <w:rPr>
                <w:rFonts w:ascii="Verdana" w:eastAsia="Calibri" w:hAnsi="Verdana"/>
                <w:sz w:val="18"/>
                <w:szCs w:val="18"/>
                <w:lang w:val="en-GB"/>
              </w:rPr>
              <w:tab/>
              <w:t>4.36 ± 1.98 µg/kg lw (Czech Republic)</w:t>
            </w:r>
          </w:p>
          <w:p w14:paraId="51A78E1A" w14:textId="15A97393" w:rsidR="00AD0E4D" w:rsidRPr="000C7CFA" w:rsidRDefault="000A1A05" w:rsidP="00893458">
            <w:pPr>
              <w:tabs>
                <w:tab w:val="left" w:pos="2591"/>
              </w:tabs>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ab/>
            </w:r>
            <w:r w:rsidR="00AD0E4D" w:rsidRPr="000C7CFA">
              <w:rPr>
                <w:rFonts w:ascii="Verdana" w:eastAsia="Calibri" w:hAnsi="Verdana"/>
                <w:sz w:val="18"/>
                <w:szCs w:val="18"/>
                <w:lang w:val="en-GB"/>
              </w:rPr>
              <w:tab/>
              <w:t>4.81 ± 1.15 µg/kg lw (Ireland)</w:t>
            </w:r>
          </w:p>
          <w:p w14:paraId="24036073" w14:textId="20C396A3" w:rsidR="00AD0E4D" w:rsidRPr="000C7CFA" w:rsidRDefault="00AD0E4D" w:rsidP="00893458">
            <w:pPr>
              <w:tabs>
                <w:tab w:val="left" w:pos="2591"/>
              </w:tabs>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ab/>
            </w:r>
            <w:r w:rsidR="000A1A05" w:rsidRPr="000C7CFA">
              <w:rPr>
                <w:rFonts w:ascii="Verdana" w:eastAsia="Calibri" w:hAnsi="Verdana"/>
                <w:sz w:val="18"/>
                <w:szCs w:val="18"/>
                <w:lang w:val="en-GB"/>
              </w:rPr>
              <w:tab/>
            </w:r>
            <w:r w:rsidRPr="000C7CFA">
              <w:rPr>
                <w:rFonts w:ascii="Verdana" w:eastAsia="Calibri" w:hAnsi="Verdana"/>
                <w:sz w:val="18"/>
                <w:szCs w:val="18"/>
                <w:lang w:val="en-GB"/>
              </w:rPr>
              <w:t>1.02 ± 0.25 µg/kg lw (Iceland)</w:t>
            </w:r>
          </w:p>
          <w:p w14:paraId="3097EFEC" w14:textId="77777777" w:rsidR="00AD0E4D" w:rsidRPr="000C7CFA" w:rsidRDefault="00AD0E4D" w:rsidP="00893458">
            <w:pPr>
              <w:tabs>
                <w:tab w:val="left" w:pos="2591"/>
              </w:tabs>
              <w:autoSpaceDE w:val="0"/>
              <w:autoSpaceDN w:val="0"/>
              <w:adjustRightInd w:val="0"/>
              <w:spacing w:after="0"/>
              <w:rPr>
                <w:rFonts w:ascii="Verdana" w:eastAsiaTheme="minorHAnsi" w:hAnsi="Verdana"/>
                <w:sz w:val="18"/>
                <w:szCs w:val="18"/>
                <w:lang w:val="en-GB"/>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DC09E6" w14:textId="77777777" w:rsidR="00AD0E4D" w:rsidRPr="000C7CFA" w:rsidRDefault="00AD0E4D" w:rsidP="00893458">
            <w:pPr>
              <w:autoSpaceDE w:val="0"/>
              <w:autoSpaceDN w:val="0"/>
              <w:adjustRightInd w:val="0"/>
              <w:spacing w:after="0"/>
              <w:rPr>
                <w:rFonts w:ascii="Verdana" w:eastAsiaTheme="minorHAnsi" w:hAnsi="Verdana"/>
                <w:sz w:val="18"/>
                <w:szCs w:val="18"/>
                <w:lang w:val="en-GB"/>
              </w:rPr>
            </w:pPr>
            <w:r w:rsidRPr="000C7CFA">
              <w:rPr>
                <w:rFonts w:ascii="Verdana" w:eastAsia="Calibri" w:hAnsi="Verdana"/>
                <w:sz w:val="18"/>
                <w:szCs w:val="18"/>
                <w:lang w:val="en-GB"/>
              </w:rPr>
              <w:t>Salamova &amp; Hites (2013)</w:t>
            </w:r>
          </w:p>
        </w:tc>
      </w:tr>
      <w:tr w:rsidR="00AD0E4D" w:rsidRPr="000C7CFA" w14:paraId="6F305EB1" w14:textId="77777777" w:rsidTr="000A1A05">
        <w:tc>
          <w:tcPr>
            <w:tcW w:w="1696" w:type="dxa"/>
            <w:vMerge w:val="restart"/>
            <w:tcBorders>
              <w:top w:val="single" w:sz="4" w:space="0" w:color="auto"/>
              <w:left w:val="single" w:sz="4" w:space="0" w:color="auto"/>
              <w:right w:val="single" w:sz="4" w:space="0" w:color="auto"/>
            </w:tcBorders>
            <w:shd w:val="clear" w:color="auto" w:fill="auto"/>
          </w:tcPr>
          <w:p w14:paraId="5F9AA846" w14:textId="77777777" w:rsidR="00AD0E4D" w:rsidRPr="000C7CFA" w:rsidRDefault="00AD0E4D" w:rsidP="00566BE6">
            <w:pPr>
              <w:pStyle w:val="BodyText"/>
              <w:rPr>
                <w:rFonts w:ascii="Verdana" w:hAnsi="Verdana"/>
                <w:b/>
                <w:sz w:val="18"/>
                <w:szCs w:val="18"/>
              </w:rPr>
            </w:pPr>
            <w:r w:rsidRPr="000C7CFA">
              <w:rPr>
                <w:rFonts w:ascii="Verdana" w:hAnsi="Verdana"/>
                <w:b/>
                <w:sz w:val="18"/>
                <w:szCs w:val="18"/>
              </w:rPr>
              <w:t>Sewage sludge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B3676A5" w14:textId="77777777" w:rsidR="00AD0E4D" w:rsidRPr="000C7CFA" w:rsidRDefault="00AD0E4D" w:rsidP="00566BE6">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Sweden</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03728365" w14:textId="77777777" w:rsidR="00AD0E4D" w:rsidRPr="000C7CFA" w:rsidRDefault="00AD0E4D" w:rsidP="0090103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4 urban wastewater treatment plants (WWTP) sampled once in 2009</w:t>
            </w:r>
          </w:p>
          <w:p w14:paraId="5B2758EF" w14:textId="77777777" w:rsidR="00AD0E4D" w:rsidRPr="000C7CFA" w:rsidRDefault="00AD0E4D" w:rsidP="0090103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lastRenderedPageBreak/>
              <w:t>Total isomers: 6.9–21 µg</w:t>
            </w:r>
            <w:r w:rsidRPr="000C7CFA">
              <w:rPr>
                <w:rFonts w:ascii="Verdana" w:eastAsia="Calibri" w:hAnsi="Verdana"/>
                <w:sz w:val="18"/>
                <w:szCs w:val="18"/>
                <w:lang w:val="en-GB"/>
              </w:rPr>
              <w:t xml:space="preserve">/kg </w:t>
            </w:r>
            <w:r w:rsidRPr="000C7CFA">
              <w:rPr>
                <w:rFonts w:ascii="Verdana" w:eastAsiaTheme="minorHAnsi" w:hAnsi="Verdana"/>
                <w:sz w:val="18"/>
                <w:szCs w:val="18"/>
                <w:lang w:val="en-GB"/>
              </w:rPr>
              <w:t>dw</w:t>
            </w:r>
          </w:p>
          <w:p w14:paraId="0F8BBF37" w14:textId="77777777" w:rsidR="00AD0E4D" w:rsidRPr="000C7CFA" w:rsidRDefault="00AD0E4D" w:rsidP="00901039">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(WWTP effluent concentrations ranged from &lt;0.1 to 0.83 ng/L)</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335427"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Calibri" w:hAnsi="Verdana"/>
                <w:sz w:val="18"/>
                <w:szCs w:val="18"/>
                <w:lang w:val="en-GB"/>
              </w:rPr>
              <w:lastRenderedPageBreak/>
              <w:t xml:space="preserve">Kaj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2010)</w:t>
            </w:r>
          </w:p>
        </w:tc>
      </w:tr>
      <w:tr w:rsidR="00AD0E4D" w:rsidRPr="000C7CFA" w14:paraId="5B8887B5" w14:textId="77777777" w:rsidTr="000A1A05">
        <w:tc>
          <w:tcPr>
            <w:tcW w:w="1696" w:type="dxa"/>
            <w:vMerge/>
            <w:tcBorders>
              <w:left w:val="single" w:sz="4" w:space="0" w:color="auto"/>
              <w:right w:val="single" w:sz="4" w:space="0" w:color="auto"/>
            </w:tcBorders>
            <w:shd w:val="clear" w:color="auto" w:fill="auto"/>
          </w:tcPr>
          <w:p w14:paraId="2DAD9653" w14:textId="77777777" w:rsidR="00AD0E4D" w:rsidRPr="000C7CFA" w:rsidRDefault="00AD0E4D" w:rsidP="00566BE6">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6CC8E3" w14:textId="77777777" w:rsidR="00AD0E4D" w:rsidRPr="000C7CFA" w:rsidRDefault="00AD0E4D" w:rsidP="00566BE6">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Sweden</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2363AB65"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2 urban WWTP sampled once in 2009.</w:t>
            </w:r>
          </w:p>
          <w:p w14:paraId="41B31024"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3.5-5.6 μg/kg dw</w:t>
            </w:r>
          </w:p>
          <w:p w14:paraId="0D7F15BD"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2.2-3.8 μg/kg dw</w:t>
            </w:r>
          </w:p>
          <w:p w14:paraId="5F71B346"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p>
          <w:p w14:paraId="27F76670"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2 sludge samples from landfills sampled once in 2009-2010.</w:t>
            </w:r>
          </w:p>
          <w:p w14:paraId="5921A0A4"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5.1-21 μg/kg dw</w:t>
            </w:r>
          </w:p>
          <w:p w14:paraId="7A1C9821"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4.6-5.5 μg/kg dw</w:t>
            </w:r>
          </w:p>
          <w:p w14:paraId="3605210D"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p>
          <w:p w14:paraId="7DD1BB52" w14:textId="1B9439F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May be </w:t>
            </w:r>
            <w:r w:rsidR="00A11FA5" w:rsidRPr="000C7CFA">
              <w:rPr>
                <w:rFonts w:ascii="Verdana" w:eastAsiaTheme="minorHAnsi" w:hAnsi="Verdana"/>
                <w:sz w:val="18"/>
                <w:szCs w:val="18"/>
                <w:lang w:val="en-GB"/>
              </w:rPr>
              <w:t>the</w:t>
            </w:r>
            <w:r w:rsidRPr="000C7CFA">
              <w:rPr>
                <w:rFonts w:ascii="Verdana" w:eastAsiaTheme="minorHAnsi" w:hAnsi="Verdana"/>
                <w:sz w:val="18"/>
                <w:szCs w:val="18"/>
                <w:lang w:val="en-GB"/>
              </w:rPr>
              <w:t xml:space="preserve"> same samples as Kaj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xml:space="preserve"> (2010) above.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20C438E"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Schlabach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(2011)</w:t>
            </w:r>
          </w:p>
        </w:tc>
      </w:tr>
      <w:tr w:rsidR="00AD0E4D" w:rsidRPr="000C7CFA" w14:paraId="252AA7D6" w14:textId="77777777" w:rsidTr="000A1A05">
        <w:tc>
          <w:tcPr>
            <w:tcW w:w="1696" w:type="dxa"/>
            <w:vMerge/>
            <w:tcBorders>
              <w:left w:val="single" w:sz="4" w:space="0" w:color="auto"/>
              <w:right w:val="single" w:sz="4" w:space="0" w:color="auto"/>
            </w:tcBorders>
            <w:shd w:val="clear" w:color="auto" w:fill="auto"/>
          </w:tcPr>
          <w:p w14:paraId="1FCB24F7" w14:textId="77777777" w:rsidR="00AD0E4D" w:rsidRPr="000C7CFA" w:rsidRDefault="00AD0E4D" w:rsidP="00566BE6">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F55D505" w14:textId="77777777" w:rsidR="00AD0E4D" w:rsidRPr="000C7CFA" w:rsidRDefault="00AD0E4D" w:rsidP="00566BE6">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Finland</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2ADA10FC"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3 samples from urban wastewater treatment plants sampled once in 2009.</w:t>
            </w:r>
          </w:p>
          <w:p w14:paraId="0ACA6A2B"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5.0-7.4 μg/kg dw</w:t>
            </w:r>
          </w:p>
          <w:p w14:paraId="1257A633"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3.1-5.8 μg/kg dw</w:t>
            </w:r>
          </w:p>
          <w:p w14:paraId="478FBD4E"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p>
          <w:p w14:paraId="705E3DD0"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3 samples from storm water outflows of 2 landfill sites and 1 industrial area sampled once in 2009.</w:t>
            </w:r>
          </w:p>
          <w:p w14:paraId="6A7644A7"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0.05-11 μg/kg dw</w:t>
            </w:r>
          </w:p>
          <w:p w14:paraId="5634B0AE"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&lt;0.01-5.1 μg/kg 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E6AE046"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Schlabach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(2011)</w:t>
            </w:r>
          </w:p>
        </w:tc>
      </w:tr>
      <w:tr w:rsidR="00AD0E4D" w:rsidRPr="000C7CFA" w14:paraId="28D915C5" w14:textId="77777777" w:rsidTr="000A1A05">
        <w:tc>
          <w:tcPr>
            <w:tcW w:w="1696" w:type="dxa"/>
            <w:vMerge/>
            <w:tcBorders>
              <w:left w:val="single" w:sz="4" w:space="0" w:color="auto"/>
              <w:right w:val="single" w:sz="4" w:space="0" w:color="auto"/>
            </w:tcBorders>
            <w:shd w:val="clear" w:color="auto" w:fill="auto"/>
          </w:tcPr>
          <w:p w14:paraId="70757E60" w14:textId="77777777" w:rsidR="00AD0E4D" w:rsidRPr="000C7CFA" w:rsidRDefault="00AD0E4D" w:rsidP="00566BE6">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7E2D92" w14:textId="77777777" w:rsidR="00AD0E4D" w:rsidRPr="000C7CFA" w:rsidRDefault="00AD0E4D" w:rsidP="00566BE6">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Norway</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11A72E42"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2 samples from an urban wastewater treatment plant sampled once in 2009.</w:t>
            </w:r>
          </w:p>
          <w:p w14:paraId="55A642E3"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1.5-7.1 μg/kg dw</w:t>
            </w:r>
          </w:p>
          <w:p w14:paraId="6660DF0C"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0.85-1.3 μg/kg dw</w:t>
            </w:r>
          </w:p>
          <w:p w14:paraId="2D59AE5F"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p>
          <w:p w14:paraId="64833246"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2 samples from recycling facilities sampled once in 2009. </w:t>
            </w:r>
          </w:p>
          <w:p w14:paraId="182C9760"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0.21-1.4 μg/kg dw</w:t>
            </w:r>
          </w:p>
          <w:p w14:paraId="01B7FF97"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0.10-0.76 μg/kg 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AD502CC"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Schlabach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(2011)</w:t>
            </w:r>
          </w:p>
        </w:tc>
      </w:tr>
      <w:tr w:rsidR="00AD0E4D" w:rsidRPr="000C7CFA" w14:paraId="77A5B78D" w14:textId="77777777" w:rsidTr="000A1A05">
        <w:tc>
          <w:tcPr>
            <w:tcW w:w="1696" w:type="dxa"/>
            <w:vMerge/>
            <w:tcBorders>
              <w:left w:val="single" w:sz="4" w:space="0" w:color="auto"/>
              <w:right w:val="single" w:sz="4" w:space="0" w:color="auto"/>
            </w:tcBorders>
            <w:shd w:val="clear" w:color="auto" w:fill="auto"/>
          </w:tcPr>
          <w:p w14:paraId="2B24DFE1" w14:textId="77777777" w:rsidR="00AD0E4D" w:rsidRPr="000C7CFA" w:rsidRDefault="00AD0E4D" w:rsidP="00566BE6">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0AD839B" w14:textId="77777777" w:rsidR="00AD0E4D" w:rsidRPr="000C7CFA" w:rsidRDefault="00AD0E4D" w:rsidP="00566BE6">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Denmark</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5B9EB0BA"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2 samples from urban wastewater treatment plants sampled once in 2009.</w:t>
            </w:r>
          </w:p>
          <w:p w14:paraId="71EEC8CD"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5.7-20 μg/kg dw</w:t>
            </w:r>
          </w:p>
          <w:p w14:paraId="709A5CA0"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3.5-14 μg/kg 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CE06593"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Schlabach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(2011)</w:t>
            </w:r>
          </w:p>
        </w:tc>
      </w:tr>
      <w:tr w:rsidR="00AD0E4D" w:rsidRPr="000C7CFA" w14:paraId="17A57501" w14:textId="77777777" w:rsidTr="000A1A05">
        <w:tc>
          <w:tcPr>
            <w:tcW w:w="1696" w:type="dxa"/>
            <w:vMerge/>
            <w:tcBorders>
              <w:left w:val="single" w:sz="4" w:space="0" w:color="auto"/>
              <w:right w:val="single" w:sz="4" w:space="0" w:color="auto"/>
            </w:tcBorders>
            <w:shd w:val="clear" w:color="auto" w:fill="auto"/>
          </w:tcPr>
          <w:p w14:paraId="2B7FA5DE" w14:textId="77777777" w:rsidR="00AD0E4D" w:rsidRPr="000C7CFA" w:rsidRDefault="00AD0E4D" w:rsidP="00566BE6">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B0B030C" w14:textId="77777777" w:rsidR="00AD0E4D" w:rsidRPr="000C7CFA" w:rsidRDefault="00AD0E4D" w:rsidP="00566BE6">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Faroe Island</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5080D58D"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2 samples from urban wastewater treatment plants sampled once in 2009.</w:t>
            </w:r>
          </w:p>
          <w:p w14:paraId="798D552A"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12-25 μg/kg dw</w:t>
            </w:r>
          </w:p>
          <w:p w14:paraId="04483740"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3.4-7.1 μg/kg dw</w:t>
            </w:r>
          </w:p>
          <w:p w14:paraId="617C5529" w14:textId="77777777" w:rsidR="000A1A05" w:rsidRPr="000C7CFA" w:rsidRDefault="000A1A05" w:rsidP="00566BE6">
            <w:pPr>
              <w:autoSpaceDE w:val="0"/>
              <w:autoSpaceDN w:val="0"/>
              <w:adjustRightInd w:val="0"/>
              <w:spacing w:after="0"/>
              <w:rPr>
                <w:rFonts w:ascii="Verdana" w:eastAsiaTheme="minorHAnsi" w:hAnsi="Verdana"/>
                <w:sz w:val="18"/>
                <w:szCs w:val="18"/>
                <w:lang w:val="en-GB"/>
              </w:rPr>
            </w:pPr>
          </w:p>
          <w:p w14:paraId="3E092F62" w14:textId="77777777" w:rsidR="000A1A05" w:rsidRPr="000C7CFA" w:rsidRDefault="000A1A05" w:rsidP="00566BE6">
            <w:pPr>
              <w:autoSpaceDE w:val="0"/>
              <w:autoSpaceDN w:val="0"/>
              <w:adjustRightInd w:val="0"/>
              <w:spacing w:after="0"/>
              <w:rPr>
                <w:rFonts w:ascii="Verdana" w:eastAsiaTheme="minorHAnsi" w:hAnsi="Verdana"/>
                <w:sz w:val="18"/>
                <w:szCs w:val="18"/>
                <w:lang w:val="en-GB"/>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16B97A6"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Schlabach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(2011)</w:t>
            </w:r>
          </w:p>
        </w:tc>
      </w:tr>
      <w:tr w:rsidR="00AD0E4D" w:rsidRPr="000C7CFA" w14:paraId="7FC7BEE1" w14:textId="77777777" w:rsidTr="000A1A05">
        <w:tc>
          <w:tcPr>
            <w:tcW w:w="1696" w:type="dxa"/>
            <w:vMerge/>
            <w:tcBorders>
              <w:left w:val="single" w:sz="4" w:space="0" w:color="auto"/>
              <w:right w:val="single" w:sz="4" w:space="0" w:color="auto"/>
            </w:tcBorders>
            <w:shd w:val="clear" w:color="auto" w:fill="auto"/>
          </w:tcPr>
          <w:p w14:paraId="41865598" w14:textId="77777777" w:rsidR="00AD0E4D" w:rsidRPr="000C7CFA" w:rsidRDefault="00AD0E4D" w:rsidP="00566BE6">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98E9055" w14:textId="77777777" w:rsidR="00AD0E4D" w:rsidRPr="000C7CFA" w:rsidRDefault="00AD0E4D" w:rsidP="00566BE6">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Iceland</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4D43E272"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2 samples from urban wastewater treatment plants sampled once in 2009.</w:t>
            </w:r>
          </w:p>
          <w:p w14:paraId="405319E3"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lastRenderedPageBreak/>
              <w:t>Anti-DP: 0.56-0.73 μg/kg dw</w:t>
            </w:r>
          </w:p>
          <w:p w14:paraId="4F14F793" w14:textId="77777777" w:rsidR="00AD0E4D" w:rsidRPr="000C7CFA" w:rsidRDefault="00AD0E4D" w:rsidP="00AD0E4D">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0.24-0.25 μg/kg 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26AA1A2"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lastRenderedPageBreak/>
              <w:t xml:space="preserve">Schlabach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(2011)</w:t>
            </w:r>
          </w:p>
        </w:tc>
      </w:tr>
      <w:tr w:rsidR="00AD0E4D" w:rsidRPr="000C7CFA" w14:paraId="4062B9EB" w14:textId="77777777" w:rsidTr="000A1A05">
        <w:tc>
          <w:tcPr>
            <w:tcW w:w="1696" w:type="dxa"/>
            <w:vMerge/>
            <w:tcBorders>
              <w:left w:val="single" w:sz="4" w:space="0" w:color="auto"/>
              <w:right w:val="single" w:sz="4" w:space="0" w:color="auto"/>
            </w:tcBorders>
            <w:shd w:val="clear" w:color="auto" w:fill="auto"/>
          </w:tcPr>
          <w:p w14:paraId="2CF2C7D5" w14:textId="77777777" w:rsidR="00AD0E4D" w:rsidRPr="000C7CFA" w:rsidRDefault="00AD0E4D" w:rsidP="00566BE6">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E90739" w14:textId="77777777" w:rsidR="00AD0E4D" w:rsidRPr="000C7CFA" w:rsidRDefault="00AD0E4D" w:rsidP="00566BE6">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Spain</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1EC71589"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31 WWTP sampled April to June 2006.</w:t>
            </w:r>
          </w:p>
          <w:p w14:paraId="39CE741B" w14:textId="79DBE799"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Total isomers: 2.45–93.8 µg</w:t>
            </w:r>
            <w:r w:rsidRPr="000C7CFA">
              <w:rPr>
                <w:rFonts w:ascii="Verdana" w:eastAsia="Calibri" w:hAnsi="Verdana"/>
                <w:sz w:val="18"/>
                <w:szCs w:val="18"/>
                <w:lang w:val="en-GB"/>
              </w:rPr>
              <w:t xml:space="preserve">/kg </w:t>
            </w:r>
            <w:r w:rsidRPr="000C7CFA">
              <w:rPr>
                <w:rFonts w:ascii="Verdana" w:eastAsiaTheme="minorHAnsi" w:hAnsi="Verdana"/>
                <w:sz w:val="18"/>
                <w:szCs w:val="18"/>
                <w:lang w:val="en-GB"/>
              </w:rPr>
              <w:t>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48F3EB" w14:textId="77777777" w:rsidR="00AD0E4D" w:rsidRPr="000C7CFA" w:rsidRDefault="00AD0E4D" w:rsidP="00566BE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fr-FR"/>
              </w:rPr>
              <w:t xml:space="preserve">de la Torre </w:t>
            </w:r>
            <w:r w:rsidRPr="000C7CFA">
              <w:rPr>
                <w:rFonts w:ascii="Verdana" w:eastAsiaTheme="minorHAnsi" w:hAnsi="Verdana"/>
                <w:i/>
                <w:sz w:val="18"/>
                <w:szCs w:val="18"/>
                <w:lang w:val="fr-FR"/>
              </w:rPr>
              <w:t>et al</w:t>
            </w:r>
            <w:r w:rsidRPr="000C7CFA">
              <w:rPr>
                <w:rFonts w:ascii="Verdana" w:eastAsiaTheme="minorHAnsi" w:hAnsi="Verdana"/>
                <w:sz w:val="18"/>
                <w:szCs w:val="18"/>
                <w:lang w:val="fr-FR"/>
              </w:rPr>
              <w:t xml:space="preserve">. </w:t>
            </w:r>
            <w:r w:rsidRPr="000C7CFA">
              <w:rPr>
                <w:rFonts w:ascii="Verdana" w:eastAsiaTheme="minorHAnsi" w:hAnsi="Verdana"/>
                <w:sz w:val="18"/>
                <w:szCs w:val="18"/>
                <w:lang w:val="en-GB"/>
              </w:rPr>
              <w:t>(2011)</w:t>
            </w:r>
          </w:p>
          <w:p w14:paraId="49C25C7B" w14:textId="77777777" w:rsidR="00AD0E4D" w:rsidRPr="000C7CFA" w:rsidRDefault="00AD0E4D" w:rsidP="00566BE6">
            <w:pPr>
              <w:autoSpaceDE w:val="0"/>
              <w:autoSpaceDN w:val="0"/>
              <w:adjustRightInd w:val="0"/>
              <w:spacing w:after="0"/>
              <w:rPr>
                <w:rFonts w:ascii="Verdana" w:eastAsia="Calibri" w:hAnsi="Verdana"/>
                <w:sz w:val="18"/>
                <w:szCs w:val="18"/>
                <w:lang w:val="en-GB"/>
              </w:rPr>
            </w:pPr>
          </w:p>
        </w:tc>
      </w:tr>
      <w:tr w:rsidR="00AD0E4D" w:rsidRPr="000C7CFA" w14:paraId="0B264E54" w14:textId="77777777" w:rsidTr="000A1A05">
        <w:tc>
          <w:tcPr>
            <w:tcW w:w="1696" w:type="dxa"/>
            <w:vMerge/>
            <w:tcBorders>
              <w:left w:val="single" w:sz="4" w:space="0" w:color="auto"/>
              <w:right w:val="single" w:sz="4" w:space="0" w:color="auto"/>
            </w:tcBorders>
            <w:shd w:val="clear" w:color="auto" w:fill="auto"/>
          </w:tcPr>
          <w:p w14:paraId="2683410B" w14:textId="77777777" w:rsidR="00AD0E4D" w:rsidRPr="000C7CFA" w:rsidRDefault="00AD0E4D" w:rsidP="00566BE6">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630037" w14:textId="77777777" w:rsidR="00AD0E4D" w:rsidRPr="000C7CFA" w:rsidRDefault="00AD0E4D" w:rsidP="00566BE6">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Spain</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350C00D1" w14:textId="77777777" w:rsidR="00AD0E4D" w:rsidRPr="000C7CFA" w:rsidRDefault="00AD0E4D" w:rsidP="001A4EB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Ebro river basin: up to 18.8 µg</w:t>
            </w:r>
            <w:r w:rsidRPr="000C7CFA">
              <w:rPr>
                <w:rFonts w:ascii="Verdana" w:eastAsia="Calibri" w:hAnsi="Verdana"/>
                <w:sz w:val="18"/>
                <w:szCs w:val="18"/>
                <w:lang w:val="en-GB"/>
              </w:rPr>
              <w:t xml:space="preserve">/kg </w:t>
            </w:r>
            <w:r w:rsidRPr="000C7CFA">
              <w:rPr>
                <w:rFonts w:ascii="Verdana" w:eastAsiaTheme="minorHAnsi" w:hAnsi="Verdana"/>
                <w:sz w:val="18"/>
                <w:szCs w:val="18"/>
                <w:lang w:val="en-GB"/>
              </w:rPr>
              <w:t>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8882CAA" w14:textId="77777777" w:rsidR="00AD0E4D" w:rsidRPr="000C7CFA" w:rsidRDefault="00AD0E4D" w:rsidP="00566BE6">
            <w:pPr>
              <w:pStyle w:val="NoSpacing"/>
              <w:jc w:val="both"/>
              <w:rPr>
                <w:rFonts w:ascii="Verdana" w:hAnsi="Verdana" w:cs="Times New Roman"/>
                <w:sz w:val="18"/>
                <w:szCs w:val="18"/>
              </w:rPr>
            </w:pPr>
            <w:r w:rsidRPr="000C7CFA">
              <w:rPr>
                <w:rFonts w:ascii="Verdana" w:hAnsi="Verdana" w:cs="Times New Roman"/>
                <w:sz w:val="18"/>
                <w:szCs w:val="18"/>
              </w:rPr>
              <w:t xml:space="preserve">Barón </w:t>
            </w:r>
            <w:r w:rsidRPr="000C7CFA">
              <w:rPr>
                <w:rFonts w:ascii="Verdana" w:hAnsi="Verdana" w:cs="Times New Roman"/>
                <w:i/>
                <w:sz w:val="18"/>
                <w:szCs w:val="18"/>
              </w:rPr>
              <w:t>et al</w:t>
            </w:r>
            <w:r w:rsidRPr="000C7CFA">
              <w:rPr>
                <w:rFonts w:ascii="Verdana" w:hAnsi="Verdana" w:cs="Times New Roman"/>
                <w:sz w:val="18"/>
                <w:szCs w:val="18"/>
              </w:rPr>
              <w:t>. (2012)</w:t>
            </w:r>
          </w:p>
        </w:tc>
      </w:tr>
      <w:tr w:rsidR="00AD0E4D" w:rsidRPr="000C7CFA" w14:paraId="767E701B" w14:textId="77777777" w:rsidTr="000A1A05">
        <w:tc>
          <w:tcPr>
            <w:tcW w:w="1696" w:type="dxa"/>
            <w:vMerge/>
            <w:tcBorders>
              <w:left w:val="single" w:sz="4" w:space="0" w:color="auto"/>
              <w:right w:val="single" w:sz="4" w:space="0" w:color="auto"/>
            </w:tcBorders>
            <w:shd w:val="clear" w:color="auto" w:fill="auto"/>
          </w:tcPr>
          <w:p w14:paraId="57979474" w14:textId="77777777" w:rsidR="00AD0E4D" w:rsidRPr="000C7CFA" w:rsidRDefault="00AD0E4D" w:rsidP="00566BE6">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D26F8DC" w14:textId="77777777" w:rsidR="00AD0E4D" w:rsidRPr="000C7CFA" w:rsidRDefault="00AD0E4D" w:rsidP="00566BE6">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Spain (2010)</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0B25FE25" w14:textId="77777777" w:rsidR="00AD0E4D" w:rsidRPr="000C7CFA" w:rsidRDefault="00AD0E4D" w:rsidP="002E78F8">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7 WWTP sludges from the river basins of the Rivers Ebro and Llobregat: 2.58 – 18.8 </w:t>
            </w:r>
            <w:r w:rsidRPr="000C7CFA">
              <w:rPr>
                <w:rFonts w:ascii="Verdana" w:eastAsia="Calibri" w:hAnsi="Verdana"/>
                <w:sz w:val="18"/>
                <w:szCs w:val="18"/>
                <w:lang w:val="en-GB"/>
              </w:rPr>
              <w:t xml:space="preserve">µg/kg </w:t>
            </w:r>
            <w:r w:rsidRPr="000C7CFA">
              <w:rPr>
                <w:rFonts w:ascii="Verdana" w:eastAsiaTheme="minorHAnsi" w:hAnsi="Verdana"/>
                <w:sz w:val="18"/>
                <w:szCs w:val="18"/>
                <w:lang w:val="en-GB"/>
              </w:rPr>
              <w:t>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B938C69" w14:textId="77777777" w:rsidR="00AD0E4D" w:rsidRPr="000C7CFA" w:rsidRDefault="00AD0E4D" w:rsidP="00566BE6">
            <w:pPr>
              <w:pStyle w:val="NoSpacing"/>
              <w:jc w:val="both"/>
              <w:rPr>
                <w:rFonts w:ascii="Verdana" w:hAnsi="Verdana" w:cs="Times New Roman"/>
                <w:sz w:val="18"/>
                <w:szCs w:val="18"/>
              </w:rPr>
            </w:pPr>
            <w:r w:rsidRPr="000C7CFA">
              <w:rPr>
                <w:rFonts w:ascii="Verdana" w:hAnsi="Verdana" w:cs="Times New Roman"/>
                <w:sz w:val="18"/>
                <w:szCs w:val="18"/>
              </w:rPr>
              <w:t xml:space="preserve">Barón </w:t>
            </w:r>
            <w:r w:rsidRPr="000C7CFA">
              <w:rPr>
                <w:rFonts w:ascii="Verdana" w:hAnsi="Verdana" w:cs="Times New Roman"/>
                <w:i/>
                <w:sz w:val="18"/>
                <w:szCs w:val="18"/>
              </w:rPr>
              <w:t>et al</w:t>
            </w:r>
            <w:r w:rsidRPr="000C7CFA">
              <w:rPr>
                <w:rFonts w:ascii="Verdana" w:hAnsi="Verdana" w:cs="Times New Roman"/>
                <w:sz w:val="18"/>
                <w:szCs w:val="18"/>
              </w:rPr>
              <w:t>. (2014b)</w:t>
            </w:r>
          </w:p>
        </w:tc>
      </w:tr>
      <w:tr w:rsidR="00AD0E4D" w:rsidRPr="000C7CFA" w14:paraId="75E1B774" w14:textId="77777777" w:rsidTr="000A1A05">
        <w:tc>
          <w:tcPr>
            <w:tcW w:w="1696" w:type="dxa"/>
            <w:vMerge/>
            <w:tcBorders>
              <w:left w:val="single" w:sz="4" w:space="0" w:color="auto"/>
              <w:bottom w:val="single" w:sz="4" w:space="0" w:color="auto"/>
              <w:right w:val="single" w:sz="4" w:space="0" w:color="auto"/>
            </w:tcBorders>
            <w:shd w:val="clear" w:color="auto" w:fill="auto"/>
          </w:tcPr>
          <w:p w14:paraId="6B9FC573" w14:textId="77777777" w:rsidR="00AD0E4D" w:rsidRPr="000C7CFA" w:rsidRDefault="00AD0E4D" w:rsidP="00566BE6">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66C08A" w14:textId="77777777" w:rsidR="00AD0E4D" w:rsidRPr="000C7CFA" w:rsidRDefault="00AD0E4D" w:rsidP="00566BE6">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Germany</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5FF56066" w14:textId="77777777" w:rsidR="00AD0E4D" w:rsidRPr="000C7CFA" w:rsidRDefault="00AD0E4D"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12 municipal waste water treatment plants from Bavaria from 2009.</w:t>
            </w:r>
          </w:p>
          <w:p w14:paraId="6380030B" w14:textId="77777777" w:rsidR="00AD0E4D" w:rsidRPr="000C7CFA" w:rsidRDefault="00AD0E4D" w:rsidP="002E78F8">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Total isomers: 6.9-72.8 μg/kg dw (mean 22.0 μg/kg 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019C9B" w14:textId="77777777" w:rsidR="00AD0E4D" w:rsidRPr="000C7CFA" w:rsidRDefault="00AD0E4D" w:rsidP="00566BE6">
            <w:pPr>
              <w:pStyle w:val="NoSpacing"/>
              <w:jc w:val="both"/>
              <w:rPr>
                <w:rFonts w:ascii="Verdana" w:hAnsi="Verdana" w:cs="Times New Roman"/>
                <w:sz w:val="18"/>
                <w:szCs w:val="18"/>
              </w:rPr>
            </w:pPr>
            <w:r w:rsidRPr="000C7CFA">
              <w:rPr>
                <w:rFonts w:ascii="Verdana" w:hAnsi="Verdana" w:cs="Times New Roman"/>
                <w:sz w:val="18"/>
                <w:szCs w:val="18"/>
              </w:rPr>
              <w:t xml:space="preserve">Körner </w:t>
            </w:r>
            <w:r w:rsidRPr="000C7CFA">
              <w:rPr>
                <w:rFonts w:ascii="Verdana" w:hAnsi="Verdana" w:cs="Times New Roman"/>
                <w:i/>
                <w:sz w:val="18"/>
                <w:szCs w:val="18"/>
              </w:rPr>
              <w:t>et al.</w:t>
            </w:r>
            <w:r w:rsidRPr="000C7CFA">
              <w:rPr>
                <w:rFonts w:ascii="Verdana" w:hAnsi="Verdana" w:cs="Times New Roman"/>
                <w:sz w:val="18"/>
                <w:szCs w:val="18"/>
              </w:rPr>
              <w:t xml:space="preserve"> (2011)</w:t>
            </w:r>
            <w:r w:rsidR="002576B7" w:rsidRPr="000C7CFA">
              <w:rPr>
                <w:rFonts w:ascii="Verdana" w:hAnsi="Verdana" w:cs="Times New Roman"/>
                <w:sz w:val="18"/>
                <w:szCs w:val="18"/>
              </w:rPr>
              <w:t xml:space="preserve"> [ABST]</w:t>
            </w:r>
          </w:p>
        </w:tc>
      </w:tr>
      <w:tr w:rsidR="00474558" w:rsidRPr="000C7CFA" w14:paraId="2ED37956" w14:textId="77777777" w:rsidTr="000A1A05">
        <w:trPr>
          <w:trHeight w:val="173"/>
        </w:trPr>
        <w:tc>
          <w:tcPr>
            <w:tcW w:w="1696" w:type="dxa"/>
            <w:vMerge w:val="restart"/>
            <w:tcBorders>
              <w:top w:val="single" w:sz="4" w:space="0" w:color="auto"/>
              <w:left w:val="single" w:sz="4" w:space="0" w:color="auto"/>
              <w:right w:val="single" w:sz="4" w:space="0" w:color="auto"/>
            </w:tcBorders>
            <w:shd w:val="clear" w:color="auto" w:fill="auto"/>
          </w:tcPr>
          <w:p w14:paraId="6F47D27A" w14:textId="61651F7B" w:rsidR="00474558" w:rsidRPr="000C7CFA" w:rsidRDefault="00474558" w:rsidP="00474558">
            <w:pPr>
              <w:pStyle w:val="BodyText"/>
              <w:rPr>
                <w:rFonts w:ascii="Verdana" w:hAnsi="Verdana"/>
                <w:b/>
                <w:sz w:val="18"/>
                <w:szCs w:val="18"/>
              </w:rPr>
            </w:pPr>
            <w:r w:rsidRPr="000C7CFA">
              <w:rPr>
                <w:rFonts w:ascii="Verdana" w:hAnsi="Verdana"/>
                <w:b/>
                <w:sz w:val="18"/>
                <w:szCs w:val="18"/>
              </w:rPr>
              <w:t>Sediment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1627D8B" w14:textId="77777777" w:rsidR="00474558" w:rsidRPr="000C7CFA" w:rsidRDefault="00474558"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Spain</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2A7714A4" w14:textId="77777777" w:rsidR="00474558" w:rsidRPr="000C7CFA" w:rsidRDefault="00474558" w:rsidP="001A4EB6">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Ebro river basin: up to 1.61 µg</w:t>
            </w:r>
            <w:r w:rsidRPr="000C7CFA">
              <w:rPr>
                <w:rFonts w:ascii="Verdana" w:eastAsia="Calibri" w:hAnsi="Verdana"/>
                <w:sz w:val="18"/>
                <w:szCs w:val="18"/>
                <w:lang w:val="en-GB"/>
              </w:rPr>
              <w:t xml:space="preserve">/kg </w:t>
            </w:r>
            <w:r w:rsidRPr="000C7CFA">
              <w:rPr>
                <w:rFonts w:ascii="Verdana" w:eastAsiaTheme="minorHAnsi" w:hAnsi="Verdana"/>
                <w:sz w:val="18"/>
                <w:szCs w:val="18"/>
                <w:lang w:val="en-GB"/>
              </w:rPr>
              <w:t>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55F9492" w14:textId="77777777" w:rsidR="00474558" w:rsidRPr="000C7CFA" w:rsidRDefault="00474558" w:rsidP="004C2567">
            <w:pPr>
              <w:autoSpaceDE w:val="0"/>
              <w:autoSpaceDN w:val="0"/>
              <w:adjustRightInd w:val="0"/>
              <w:spacing w:after="0"/>
              <w:rPr>
                <w:rFonts w:ascii="Verdana" w:eastAsiaTheme="minorHAnsi" w:hAnsi="Verdana"/>
                <w:sz w:val="18"/>
                <w:szCs w:val="18"/>
                <w:lang w:val="en-GB"/>
              </w:rPr>
            </w:pPr>
            <w:r w:rsidRPr="000C7CFA">
              <w:rPr>
                <w:rFonts w:ascii="Verdana" w:hAnsi="Verdana"/>
                <w:sz w:val="18"/>
                <w:szCs w:val="18"/>
              </w:rPr>
              <w:t xml:space="preserve">Barón </w:t>
            </w:r>
            <w:r w:rsidRPr="000C7CFA">
              <w:rPr>
                <w:rFonts w:ascii="Verdana" w:hAnsi="Verdana"/>
                <w:i/>
                <w:sz w:val="18"/>
                <w:szCs w:val="18"/>
              </w:rPr>
              <w:t>et al</w:t>
            </w:r>
            <w:r w:rsidRPr="000C7CFA">
              <w:rPr>
                <w:rFonts w:ascii="Verdana" w:hAnsi="Verdana"/>
                <w:sz w:val="18"/>
                <w:szCs w:val="18"/>
              </w:rPr>
              <w:t>. (2012)</w:t>
            </w:r>
          </w:p>
        </w:tc>
      </w:tr>
      <w:tr w:rsidR="00474558" w:rsidRPr="000C7CFA" w14:paraId="7C29A865" w14:textId="77777777" w:rsidTr="000A1A05">
        <w:tc>
          <w:tcPr>
            <w:tcW w:w="1696" w:type="dxa"/>
            <w:vMerge/>
            <w:tcBorders>
              <w:left w:val="single" w:sz="4" w:space="0" w:color="auto"/>
              <w:right w:val="single" w:sz="4" w:space="0" w:color="auto"/>
            </w:tcBorders>
            <w:shd w:val="clear" w:color="auto" w:fill="auto"/>
          </w:tcPr>
          <w:p w14:paraId="01E298FC" w14:textId="77777777" w:rsidR="00474558" w:rsidRPr="000C7CFA" w:rsidRDefault="00474558" w:rsidP="00DC5370">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D13AC9F" w14:textId="77777777" w:rsidR="00474558" w:rsidRPr="000C7CFA" w:rsidRDefault="00474558"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Spain (2010)</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26D24EFF" w14:textId="77777777" w:rsidR="00474558" w:rsidRPr="000C7CFA" w:rsidRDefault="00474558" w:rsidP="002E78F8">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33 sediments from the river basins of the Rivers Ebro and Llobregat: not quantified – 2.2 </w:t>
            </w:r>
            <w:r w:rsidRPr="000C7CFA">
              <w:rPr>
                <w:rFonts w:ascii="Verdana" w:eastAsia="Calibri" w:hAnsi="Verdana"/>
                <w:sz w:val="18"/>
                <w:szCs w:val="18"/>
                <w:lang w:val="en-GB"/>
              </w:rPr>
              <w:t xml:space="preserve">µg/kg </w:t>
            </w:r>
            <w:r w:rsidRPr="000C7CFA">
              <w:rPr>
                <w:rFonts w:ascii="Verdana" w:eastAsiaTheme="minorHAnsi" w:hAnsi="Verdana"/>
                <w:sz w:val="18"/>
                <w:szCs w:val="18"/>
                <w:lang w:val="en-GB"/>
              </w:rPr>
              <w:t>dw (arithmetic mean: 0.44</w:t>
            </w:r>
            <w:r w:rsidRPr="000C7CFA">
              <w:rPr>
                <w:rFonts w:ascii="Verdana" w:eastAsia="Calibri" w:hAnsi="Verdana"/>
                <w:sz w:val="18"/>
                <w:szCs w:val="18"/>
                <w:lang w:val="en-GB"/>
              </w:rPr>
              <w:t xml:space="preserve"> µg/kg </w:t>
            </w:r>
            <w:r w:rsidRPr="000C7CFA">
              <w:rPr>
                <w:rFonts w:ascii="Verdana" w:eastAsiaTheme="minorHAnsi" w:hAnsi="Verdana"/>
                <w:sz w:val="18"/>
                <w:szCs w:val="18"/>
                <w:lang w:val="en-GB"/>
              </w:rPr>
              <w:t>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D2D4129" w14:textId="77777777" w:rsidR="00474558" w:rsidRPr="000C7CFA" w:rsidRDefault="00474558" w:rsidP="004C2567">
            <w:pPr>
              <w:autoSpaceDE w:val="0"/>
              <w:autoSpaceDN w:val="0"/>
              <w:adjustRightInd w:val="0"/>
              <w:spacing w:after="0"/>
              <w:rPr>
                <w:rFonts w:ascii="Verdana" w:hAnsi="Verdana"/>
                <w:sz w:val="18"/>
                <w:szCs w:val="18"/>
              </w:rPr>
            </w:pPr>
            <w:r w:rsidRPr="000C7CFA">
              <w:rPr>
                <w:rFonts w:ascii="Verdana" w:hAnsi="Verdana"/>
                <w:sz w:val="18"/>
                <w:szCs w:val="18"/>
              </w:rPr>
              <w:t xml:space="preserve">Barón </w:t>
            </w:r>
            <w:r w:rsidRPr="000C7CFA">
              <w:rPr>
                <w:rFonts w:ascii="Verdana" w:hAnsi="Verdana"/>
                <w:i/>
                <w:sz w:val="18"/>
                <w:szCs w:val="18"/>
              </w:rPr>
              <w:t>et al</w:t>
            </w:r>
            <w:r w:rsidRPr="000C7CFA">
              <w:rPr>
                <w:rFonts w:ascii="Verdana" w:hAnsi="Verdana"/>
                <w:sz w:val="18"/>
                <w:szCs w:val="18"/>
              </w:rPr>
              <w:t>. (2014b)</w:t>
            </w:r>
          </w:p>
        </w:tc>
      </w:tr>
      <w:tr w:rsidR="00474558" w:rsidRPr="000C7CFA" w14:paraId="302862BD" w14:textId="77777777" w:rsidTr="000A1A05">
        <w:tc>
          <w:tcPr>
            <w:tcW w:w="1696" w:type="dxa"/>
            <w:vMerge/>
            <w:tcBorders>
              <w:left w:val="single" w:sz="4" w:space="0" w:color="auto"/>
              <w:right w:val="single" w:sz="4" w:space="0" w:color="auto"/>
            </w:tcBorders>
            <w:shd w:val="clear" w:color="auto" w:fill="auto"/>
          </w:tcPr>
          <w:p w14:paraId="652E171C" w14:textId="77777777" w:rsidR="00474558" w:rsidRPr="000C7CFA" w:rsidRDefault="00474558" w:rsidP="00DC5370">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4398715" w14:textId="77777777" w:rsidR="00474558" w:rsidRPr="000C7CFA" w:rsidRDefault="00474558"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Sweden</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1DFFF86A" w14:textId="7B310E80" w:rsidR="00474558" w:rsidRPr="000C7CFA" w:rsidRDefault="00474558"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 xml:space="preserve">Sediments </w:t>
            </w:r>
            <w:r w:rsidR="00A11FA5" w:rsidRPr="000C7CFA">
              <w:rPr>
                <w:rFonts w:ascii="Verdana" w:eastAsiaTheme="minorHAnsi" w:hAnsi="Verdana"/>
                <w:sz w:val="18"/>
                <w:szCs w:val="18"/>
                <w:lang w:val="en-GB"/>
              </w:rPr>
              <w:t>downstream</w:t>
            </w:r>
            <w:r w:rsidRPr="000C7CFA">
              <w:rPr>
                <w:rFonts w:ascii="Verdana" w:eastAsiaTheme="minorHAnsi" w:hAnsi="Verdana"/>
                <w:sz w:val="18"/>
                <w:szCs w:val="18"/>
                <w:lang w:val="en-GB"/>
              </w:rPr>
              <w:t xml:space="preserve"> of a WWTP in Stockholm. Sampled near the effluent source, 1 km downstream and 20 km downstream in 2009.</w:t>
            </w:r>
          </w:p>
          <w:p w14:paraId="7FE9AE6E" w14:textId="77777777" w:rsidR="00474558" w:rsidRPr="000C7CFA" w:rsidRDefault="00474558"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0.16-2.0 μg/kg dw</w:t>
            </w:r>
          </w:p>
          <w:p w14:paraId="42D5AD71" w14:textId="77777777" w:rsidR="00474558" w:rsidRPr="000C7CFA" w:rsidRDefault="00474558" w:rsidP="002E78F8">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0.08-0.99 μg/kg 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A6BAF14" w14:textId="77777777" w:rsidR="00474558" w:rsidRPr="000C7CFA" w:rsidRDefault="00474558" w:rsidP="004C2567">
            <w:pPr>
              <w:autoSpaceDE w:val="0"/>
              <w:autoSpaceDN w:val="0"/>
              <w:adjustRightInd w:val="0"/>
              <w:spacing w:after="0"/>
              <w:rPr>
                <w:rFonts w:ascii="Verdana" w:hAnsi="Verdana"/>
                <w:sz w:val="18"/>
                <w:szCs w:val="18"/>
              </w:rPr>
            </w:pPr>
            <w:r w:rsidRPr="000C7CFA">
              <w:rPr>
                <w:rFonts w:ascii="Verdana" w:eastAsiaTheme="minorHAnsi" w:hAnsi="Verdana"/>
                <w:sz w:val="18"/>
                <w:szCs w:val="18"/>
                <w:lang w:val="en-GB"/>
              </w:rPr>
              <w:t xml:space="preserve">Schlabach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(2011)</w:t>
            </w:r>
          </w:p>
        </w:tc>
      </w:tr>
      <w:tr w:rsidR="00474558" w:rsidRPr="000C7CFA" w14:paraId="0075F13D" w14:textId="77777777" w:rsidTr="000A1A05">
        <w:tc>
          <w:tcPr>
            <w:tcW w:w="1696" w:type="dxa"/>
            <w:vMerge/>
            <w:tcBorders>
              <w:left w:val="single" w:sz="4" w:space="0" w:color="auto"/>
              <w:right w:val="single" w:sz="4" w:space="0" w:color="auto"/>
            </w:tcBorders>
            <w:shd w:val="clear" w:color="auto" w:fill="auto"/>
          </w:tcPr>
          <w:p w14:paraId="1860C9A6" w14:textId="77777777" w:rsidR="00474558" w:rsidRPr="000C7CFA" w:rsidRDefault="00474558" w:rsidP="00DC5370">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24A8BD" w14:textId="77777777" w:rsidR="00474558" w:rsidRPr="000C7CFA" w:rsidRDefault="00474558"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Finland</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1D6A46C9" w14:textId="77777777" w:rsidR="00474558" w:rsidRPr="000C7CFA" w:rsidRDefault="00474558"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Marine sediment from two coastal estuary bays at Helsinki and Pori, and a sample from Lake Pyhäjärvi downstream of the city of Tampere, each sampled once in 2009.</w:t>
            </w:r>
          </w:p>
          <w:p w14:paraId="112A449F" w14:textId="77777777" w:rsidR="00474558" w:rsidRPr="000C7CFA" w:rsidRDefault="00474558"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0.21-0.66 μg/kg dw</w:t>
            </w:r>
          </w:p>
          <w:p w14:paraId="1D9732B3" w14:textId="77777777" w:rsidR="00474558" w:rsidRPr="000C7CFA" w:rsidRDefault="00474558" w:rsidP="002E78F8">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0.06-0.22 μg/kg 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80B393" w14:textId="77777777" w:rsidR="00474558" w:rsidRPr="000C7CFA" w:rsidRDefault="00474558" w:rsidP="004C2567">
            <w:pPr>
              <w:autoSpaceDE w:val="0"/>
              <w:autoSpaceDN w:val="0"/>
              <w:adjustRightInd w:val="0"/>
              <w:spacing w:after="0"/>
              <w:rPr>
                <w:rFonts w:ascii="Verdana" w:hAnsi="Verdana"/>
                <w:sz w:val="18"/>
                <w:szCs w:val="18"/>
              </w:rPr>
            </w:pPr>
            <w:r w:rsidRPr="000C7CFA">
              <w:rPr>
                <w:rFonts w:ascii="Verdana" w:eastAsiaTheme="minorHAnsi" w:hAnsi="Verdana"/>
                <w:sz w:val="18"/>
                <w:szCs w:val="18"/>
                <w:lang w:val="en-GB"/>
              </w:rPr>
              <w:t xml:space="preserve">Schlabach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(2011)</w:t>
            </w:r>
          </w:p>
        </w:tc>
      </w:tr>
      <w:tr w:rsidR="00474558" w:rsidRPr="000C7CFA" w14:paraId="2AFEAF36" w14:textId="77777777" w:rsidTr="000A1A05">
        <w:tc>
          <w:tcPr>
            <w:tcW w:w="1696" w:type="dxa"/>
            <w:vMerge/>
            <w:tcBorders>
              <w:left w:val="single" w:sz="4" w:space="0" w:color="auto"/>
              <w:right w:val="single" w:sz="4" w:space="0" w:color="auto"/>
            </w:tcBorders>
            <w:shd w:val="clear" w:color="auto" w:fill="auto"/>
          </w:tcPr>
          <w:p w14:paraId="47B454AD" w14:textId="77777777" w:rsidR="00474558" w:rsidRPr="000C7CFA" w:rsidRDefault="00474558" w:rsidP="00DC5370">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214E6F" w14:textId="77777777" w:rsidR="00474558" w:rsidRPr="000C7CFA" w:rsidRDefault="00474558"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Norway</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54CAD89B" w14:textId="77777777" w:rsidR="00474558" w:rsidRPr="000C7CFA" w:rsidRDefault="00474558"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Sediment for Åsefjorden sampled once in 2009.</w:t>
            </w:r>
          </w:p>
          <w:p w14:paraId="04E49BE3" w14:textId="77777777" w:rsidR="00474558" w:rsidRPr="000C7CFA" w:rsidRDefault="00474558"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0.92 μg/kg dw</w:t>
            </w:r>
          </w:p>
          <w:p w14:paraId="513D0451" w14:textId="77777777" w:rsidR="00474558" w:rsidRPr="000C7CFA" w:rsidRDefault="00474558"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0.28 μg/kg dw</w:t>
            </w:r>
          </w:p>
          <w:p w14:paraId="2CDB81C0" w14:textId="77777777" w:rsidR="00474558" w:rsidRPr="000C7CFA" w:rsidRDefault="00474558" w:rsidP="002E78F8">
            <w:pPr>
              <w:autoSpaceDE w:val="0"/>
              <w:autoSpaceDN w:val="0"/>
              <w:adjustRightInd w:val="0"/>
              <w:spacing w:after="0"/>
              <w:rPr>
                <w:rFonts w:ascii="Verdana" w:eastAsiaTheme="minorHAnsi" w:hAnsi="Verdana"/>
                <w:sz w:val="18"/>
                <w:szCs w:val="18"/>
                <w:lang w:val="en-GB"/>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0D72EC" w14:textId="77777777" w:rsidR="00474558" w:rsidRPr="000C7CFA" w:rsidRDefault="00474558" w:rsidP="004C2567">
            <w:pPr>
              <w:autoSpaceDE w:val="0"/>
              <w:autoSpaceDN w:val="0"/>
              <w:adjustRightInd w:val="0"/>
              <w:spacing w:after="0"/>
              <w:rPr>
                <w:rFonts w:ascii="Verdana" w:hAnsi="Verdana"/>
                <w:sz w:val="18"/>
                <w:szCs w:val="18"/>
              </w:rPr>
            </w:pPr>
            <w:r w:rsidRPr="000C7CFA">
              <w:rPr>
                <w:rFonts w:ascii="Verdana" w:eastAsiaTheme="minorHAnsi" w:hAnsi="Verdana"/>
                <w:sz w:val="18"/>
                <w:szCs w:val="18"/>
                <w:lang w:val="en-GB"/>
              </w:rPr>
              <w:t xml:space="preserve">Schlabach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(2011)</w:t>
            </w:r>
          </w:p>
        </w:tc>
      </w:tr>
      <w:tr w:rsidR="00474558" w:rsidRPr="000C7CFA" w14:paraId="7DF64F67" w14:textId="77777777" w:rsidTr="000A1A05">
        <w:tc>
          <w:tcPr>
            <w:tcW w:w="1696" w:type="dxa"/>
            <w:vMerge/>
            <w:tcBorders>
              <w:left w:val="single" w:sz="4" w:space="0" w:color="auto"/>
              <w:right w:val="single" w:sz="4" w:space="0" w:color="auto"/>
            </w:tcBorders>
            <w:shd w:val="clear" w:color="auto" w:fill="auto"/>
          </w:tcPr>
          <w:p w14:paraId="07947E9E" w14:textId="77777777" w:rsidR="00474558" w:rsidRPr="000C7CFA" w:rsidRDefault="00474558" w:rsidP="00DC5370">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CA1843" w14:textId="77777777" w:rsidR="00474558" w:rsidRPr="000C7CFA" w:rsidRDefault="00474558"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Denmark</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7211AA43" w14:textId="77777777" w:rsidR="00474558" w:rsidRPr="000C7CFA" w:rsidRDefault="00474558"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Marine sediment from Roskilde Marina and Fornaes, each sampled once in 2009.</w:t>
            </w:r>
          </w:p>
          <w:p w14:paraId="2ABDCA12" w14:textId="77777777" w:rsidR="00474558" w:rsidRPr="000C7CFA" w:rsidRDefault="00474558"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0.0049-1.6 μg/kg dw</w:t>
            </w:r>
          </w:p>
          <w:p w14:paraId="4DFDE696" w14:textId="77777777" w:rsidR="00474558" w:rsidRPr="000C7CFA" w:rsidRDefault="00474558" w:rsidP="002E78F8">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0.0035-0.82 μg/kg 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083DE5D" w14:textId="77777777" w:rsidR="00474558" w:rsidRPr="000C7CFA" w:rsidRDefault="00474558" w:rsidP="004C2567">
            <w:pPr>
              <w:autoSpaceDE w:val="0"/>
              <w:autoSpaceDN w:val="0"/>
              <w:adjustRightInd w:val="0"/>
              <w:spacing w:after="0"/>
              <w:rPr>
                <w:rFonts w:ascii="Verdana" w:hAnsi="Verdana"/>
                <w:sz w:val="18"/>
                <w:szCs w:val="18"/>
              </w:rPr>
            </w:pPr>
            <w:r w:rsidRPr="000C7CFA">
              <w:rPr>
                <w:rFonts w:ascii="Verdana" w:eastAsiaTheme="minorHAnsi" w:hAnsi="Verdana"/>
                <w:sz w:val="18"/>
                <w:szCs w:val="18"/>
                <w:lang w:val="en-GB"/>
              </w:rPr>
              <w:t xml:space="preserve">Schlabach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(2011)</w:t>
            </w:r>
          </w:p>
        </w:tc>
      </w:tr>
      <w:tr w:rsidR="00474558" w:rsidRPr="000C7CFA" w14:paraId="1DE617F8" w14:textId="77777777" w:rsidTr="000A1A05">
        <w:tc>
          <w:tcPr>
            <w:tcW w:w="1696" w:type="dxa"/>
            <w:vMerge/>
            <w:tcBorders>
              <w:left w:val="single" w:sz="4" w:space="0" w:color="auto"/>
              <w:bottom w:val="single" w:sz="4" w:space="0" w:color="auto"/>
              <w:right w:val="single" w:sz="4" w:space="0" w:color="auto"/>
            </w:tcBorders>
            <w:shd w:val="clear" w:color="auto" w:fill="auto"/>
          </w:tcPr>
          <w:p w14:paraId="6D511668" w14:textId="77777777" w:rsidR="00474558" w:rsidRPr="000C7CFA" w:rsidRDefault="00474558" w:rsidP="00DC5370">
            <w:pPr>
              <w:pStyle w:val="BodyText"/>
              <w:rPr>
                <w:rFonts w:ascii="Verdana" w:hAnsi="Verdana"/>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AD57483" w14:textId="77777777" w:rsidR="00474558" w:rsidRPr="000C7CFA" w:rsidRDefault="00474558"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Faroe Island</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49E3B29C" w14:textId="77777777" w:rsidR="00474558" w:rsidRPr="000C7CFA" w:rsidRDefault="00474558"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Marine sediment from Tórshaven harbour, Klaksvík harbour and Skálafjord, each sampled once in either 2007 or 2009.</w:t>
            </w:r>
          </w:p>
          <w:p w14:paraId="3F47EF87" w14:textId="77777777" w:rsidR="00474558" w:rsidRPr="000C7CFA" w:rsidRDefault="00474558" w:rsidP="00FC2B2F">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Anti-DP: 0.44-2.5 μg/kg dw</w:t>
            </w:r>
          </w:p>
          <w:p w14:paraId="45BCD440" w14:textId="77777777" w:rsidR="00474558" w:rsidRPr="000C7CFA" w:rsidRDefault="00474558" w:rsidP="002E78F8">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Syn-DP: 0.16-0.93 μg/kg dw</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277CA7" w14:textId="77777777" w:rsidR="00474558" w:rsidRPr="000C7CFA" w:rsidRDefault="00474558" w:rsidP="004C2567">
            <w:pPr>
              <w:autoSpaceDE w:val="0"/>
              <w:autoSpaceDN w:val="0"/>
              <w:adjustRightInd w:val="0"/>
              <w:spacing w:after="0"/>
              <w:rPr>
                <w:rFonts w:ascii="Verdana" w:hAnsi="Verdana"/>
                <w:sz w:val="18"/>
                <w:szCs w:val="18"/>
              </w:rPr>
            </w:pPr>
            <w:r w:rsidRPr="000C7CFA">
              <w:rPr>
                <w:rFonts w:ascii="Verdana" w:eastAsiaTheme="minorHAnsi" w:hAnsi="Verdana"/>
                <w:sz w:val="18"/>
                <w:szCs w:val="18"/>
                <w:lang w:val="en-GB"/>
              </w:rPr>
              <w:t xml:space="preserve">Schlabach </w:t>
            </w:r>
            <w:r w:rsidRPr="000C7CFA">
              <w:rPr>
                <w:rFonts w:ascii="Verdana" w:eastAsiaTheme="minorHAnsi" w:hAnsi="Verdana"/>
                <w:i/>
                <w:sz w:val="18"/>
                <w:szCs w:val="18"/>
                <w:lang w:val="en-GB"/>
              </w:rPr>
              <w:t>et al</w:t>
            </w:r>
            <w:r w:rsidRPr="000C7CFA">
              <w:rPr>
                <w:rFonts w:ascii="Verdana" w:eastAsiaTheme="minorHAnsi" w:hAnsi="Verdana"/>
                <w:sz w:val="18"/>
                <w:szCs w:val="18"/>
                <w:lang w:val="en-GB"/>
              </w:rPr>
              <w:t>. (2011)</w:t>
            </w:r>
          </w:p>
        </w:tc>
      </w:tr>
      <w:tr w:rsidR="00474558" w:rsidRPr="000C7CFA" w14:paraId="5F61399F" w14:textId="77777777" w:rsidTr="000A1A05">
        <w:tc>
          <w:tcPr>
            <w:tcW w:w="1696" w:type="dxa"/>
            <w:tcBorders>
              <w:left w:val="single" w:sz="4" w:space="0" w:color="auto"/>
              <w:bottom w:val="single" w:sz="4" w:space="0" w:color="auto"/>
              <w:right w:val="single" w:sz="4" w:space="0" w:color="auto"/>
            </w:tcBorders>
            <w:shd w:val="clear" w:color="auto" w:fill="auto"/>
          </w:tcPr>
          <w:p w14:paraId="1F323DF7" w14:textId="77777777" w:rsidR="00474558" w:rsidRPr="000C7CFA" w:rsidRDefault="00474558" w:rsidP="00DC5370">
            <w:pPr>
              <w:pStyle w:val="BodyText"/>
              <w:rPr>
                <w:rFonts w:ascii="Verdana" w:hAnsi="Verdana"/>
                <w:b/>
                <w:sz w:val="18"/>
                <w:szCs w:val="18"/>
              </w:rPr>
            </w:pPr>
            <w:r w:rsidRPr="000C7CFA">
              <w:rPr>
                <w:rFonts w:ascii="Verdana" w:hAnsi="Verdana"/>
                <w:b/>
                <w:sz w:val="18"/>
                <w:szCs w:val="18"/>
              </w:rPr>
              <w:t>Storm water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800166" w14:textId="77777777" w:rsidR="00474558" w:rsidRPr="000C7CFA" w:rsidRDefault="00474558" w:rsidP="00E77C47">
            <w:pPr>
              <w:autoSpaceDE w:val="0"/>
              <w:autoSpaceDN w:val="0"/>
              <w:adjustRightInd w:val="0"/>
              <w:spacing w:after="0"/>
              <w:rPr>
                <w:rFonts w:ascii="Verdana" w:eastAsia="Calibri" w:hAnsi="Verdana"/>
                <w:sz w:val="18"/>
                <w:szCs w:val="18"/>
                <w:lang w:val="en-GB"/>
              </w:rPr>
            </w:pPr>
            <w:r w:rsidRPr="000C7CFA">
              <w:rPr>
                <w:rFonts w:ascii="Verdana" w:eastAsia="Calibri" w:hAnsi="Verdana"/>
                <w:sz w:val="18"/>
                <w:szCs w:val="18"/>
                <w:lang w:val="en-GB"/>
              </w:rPr>
              <w:t>Sweden</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7AC289A2" w14:textId="77777777" w:rsidR="00474558" w:rsidRPr="000C7CFA" w:rsidRDefault="00474558" w:rsidP="006B1498">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4 urban storm waters sampled once in 2009</w:t>
            </w:r>
          </w:p>
          <w:p w14:paraId="1426F50E" w14:textId="77777777" w:rsidR="00474558" w:rsidRPr="000C7CFA" w:rsidRDefault="00474558" w:rsidP="006B1498">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t>Total isomers: &lt;0.1–1.2 ng/L</w:t>
            </w:r>
          </w:p>
          <w:p w14:paraId="3593CE76" w14:textId="77777777" w:rsidR="00474558" w:rsidRPr="000C7CFA" w:rsidRDefault="00474558" w:rsidP="002E78F8">
            <w:pPr>
              <w:autoSpaceDE w:val="0"/>
              <w:autoSpaceDN w:val="0"/>
              <w:adjustRightInd w:val="0"/>
              <w:spacing w:after="0"/>
              <w:rPr>
                <w:rFonts w:ascii="Verdana" w:eastAsiaTheme="minorHAnsi" w:hAnsi="Verdana"/>
                <w:sz w:val="18"/>
                <w:szCs w:val="18"/>
                <w:lang w:val="en-GB"/>
              </w:rPr>
            </w:pPr>
            <w:r w:rsidRPr="000C7CFA">
              <w:rPr>
                <w:rFonts w:ascii="Verdana" w:eastAsiaTheme="minorHAnsi" w:hAnsi="Verdana"/>
                <w:sz w:val="18"/>
                <w:szCs w:val="18"/>
                <w:lang w:val="en-GB"/>
              </w:rPr>
              <w:lastRenderedPageBreak/>
              <w:t>(WWTP effluent concentrations ranged from &lt;0.1 to 0.83 ng/L)</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2645D70" w14:textId="77777777" w:rsidR="00474558" w:rsidRPr="000C7CFA" w:rsidRDefault="00474558" w:rsidP="004C2567">
            <w:pPr>
              <w:autoSpaceDE w:val="0"/>
              <w:autoSpaceDN w:val="0"/>
              <w:adjustRightInd w:val="0"/>
              <w:spacing w:after="0"/>
              <w:rPr>
                <w:rFonts w:ascii="Verdana" w:hAnsi="Verdana"/>
                <w:sz w:val="18"/>
                <w:szCs w:val="18"/>
              </w:rPr>
            </w:pPr>
            <w:r w:rsidRPr="000C7CFA">
              <w:rPr>
                <w:rFonts w:ascii="Verdana" w:eastAsia="Calibri" w:hAnsi="Verdana"/>
                <w:sz w:val="18"/>
                <w:szCs w:val="18"/>
                <w:lang w:val="en-GB"/>
              </w:rPr>
              <w:lastRenderedPageBreak/>
              <w:t xml:space="preserve">Kaj </w:t>
            </w:r>
            <w:r w:rsidRPr="000C7CFA">
              <w:rPr>
                <w:rFonts w:ascii="Verdana" w:hAnsi="Verdana" w:cs="AdvOT863180fb"/>
                <w:i/>
                <w:color w:val="000000"/>
                <w:sz w:val="18"/>
                <w:szCs w:val="18"/>
                <w:lang w:val="en-GB" w:eastAsia="en-GB"/>
              </w:rPr>
              <w:t>et al</w:t>
            </w:r>
            <w:r w:rsidRPr="000C7CFA">
              <w:rPr>
                <w:rFonts w:ascii="Verdana" w:hAnsi="Verdana" w:cs="AdvOT863180fb"/>
                <w:color w:val="000000"/>
                <w:sz w:val="18"/>
                <w:szCs w:val="18"/>
                <w:lang w:val="en-GB" w:eastAsia="en-GB"/>
              </w:rPr>
              <w:t>. (</w:t>
            </w:r>
            <w:r w:rsidRPr="000C7CFA">
              <w:rPr>
                <w:rFonts w:ascii="Verdana" w:eastAsia="Calibri" w:hAnsi="Verdana"/>
                <w:sz w:val="18"/>
                <w:szCs w:val="18"/>
                <w:lang w:val="en-GB"/>
              </w:rPr>
              <w:t>2010)</w:t>
            </w:r>
          </w:p>
        </w:tc>
      </w:tr>
    </w:tbl>
    <w:p w14:paraId="2FEC81D9" w14:textId="77777777" w:rsidR="00F34724" w:rsidRPr="000C7CFA" w:rsidRDefault="00F34724" w:rsidP="00F34724">
      <w:pPr>
        <w:pStyle w:val="BodyText"/>
        <w:rPr>
          <w:rFonts w:ascii="Verdana" w:hAnsi="Verdana"/>
          <w:sz w:val="18"/>
          <w:szCs w:val="18"/>
        </w:rPr>
        <w:sectPr w:rsidR="00F34724" w:rsidRPr="000C7CFA" w:rsidSect="00275CC8">
          <w:pgSz w:w="16838" w:h="11906" w:orient="landscape" w:code="9"/>
          <w:pgMar w:top="1797" w:right="1440" w:bottom="1797" w:left="1440" w:header="709" w:footer="709" w:gutter="0"/>
          <w:cols w:space="708"/>
          <w:docGrid w:linePitch="360"/>
        </w:sectPr>
      </w:pPr>
    </w:p>
    <w:p w14:paraId="1F3E40B2" w14:textId="2A1D0C32" w:rsidR="00DF46A5" w:rsidRPr="000C7CFA" w:rsidRDefault="00FB3AD7" w:rsidP="00DF46A5">
      <w:pPr>
        <w:pStyle w:val="Heading1"/>
        <w:numPr>
          <w:ilvl w:val="0"/>
          <w:numId w:val="0"/>
        </w:numPr>
        <w:tabs>
          <w:tab w:val="clear" w:pos="839"/>
          <w:tab w:val="left" w:pos="1701"/>
        </w:tabs>
        <w:ind w:left="1701" w:hanging="1701"/>
        <w:rPr>
          <w:rFonts w:ascii="Verdana" w:eastAsia="BatangChe" w:hAnsi="Verdana"/>
          <w:sz w:val="18"/>
          <w:szCs w:val="18"/>
        </w:rPr>
      </w:pPr>
      <w:bookmarkStart w:id="153" w:name="_Toc491862805"/>
      <w:r w:rsidRPr="000C7CFA">
        <w:rPr>
          <w:rFonts w:ascii="Verdana" w:eastAsia="BatangChe" w:hAnsi="Verdana"/>
          <w:sz w:val="18"/>
          <w:szCs w:val="18"/>
        </w:rPr>
        <w:lastRenderedPageBreak/>
        <w:t>Appendix 6</w:t>
      </w:r>
      <w:r w:rsidR="00DF46A5" w:rsidRPr="000C7CFA">
        <w:rPr>
          <w:rFonts w:ascii="Verdana" w:eastAsia="BatangChe" w:hAnsi="Verdana"/>
          <w:sz w:val="18"/>
          <w:szCs w:val="18"/>
        </w:rPr>
        <w:tab/>
        <w:t>Comparison of laboratory bioconcentration data between substances</w:t>
      </w:r>
      <w:bookmarkEnd w:id="153"/>
    </w:p>
    <w:p w14:paraId="32449E7E" w14:textId="77777777" w:rsidR="00DF46A5" w:rsidRPr="000C7CFA" w:rsidRDefault="00DF46A5" w:rsidP="00DF46A5">
      <w:pPr>
        <w:pStyle w:val="NoSpacing"/>
        <w:rPr>
          <w:rFonts w:ascii="Verdana" w:eastAsia="BatangChe" w:hAnsi="Verdana" w:cs="Times New Roman"/>
          <w:sz w:val="18"/>
          <w:szCs w:val="18"/>
        </w:rPr>
      </w:pPr>
    </w:p>
    <w:p w14:paraId="0D811999" w14:textId="0AF53D23" w:rsidR="00DF46A5" w:rsidRPr="000C7CFA" w:rsidRDefault="00DF46A5" w:rsidP="00DF46A5">
      <w:pPr>
        <w:pStyle w:val="NoSpacing"/>
        <w:jc w:val="both"/>
        <w:rPr>
          <w:rFonts w:ascii="Verdana" w:eastAsia="BatangChe" w:hAnsi="Verdana" w:cs="Times New Roman"/>
          <w:sz w:val="18"/>
          <w:szCs w:val="18"/>
        </w:rPr>
      </w:pPr>
      <w:r w:rsidRPr="000C7CFA">
        <w:rPr>
          <w:rFonts w:ascii="Verdana" w:eastAsia="BatangChe" w:hAnsi="Verdana" w:cs="Times New Roman"/>
          <w:sz w:val="18"/>
          <w:szCs w:val="18"/>
        </w:rPr>
        <w:t xml:space="preserve">Given the uncertainties in the available </w:t>
      </w:r>
      <w:r w:rsidR="001F517D" w:rsidRPr="000C7CFA">
        <w:rPr>
          <w:rFonts w:ascii="Verdana" w:eastAsia="BatangChe" w:hAnsi="Verdana" w:cs="Times New Roman"/>
          <w:sz w:val="18"/>
          <w:szCs w:val="18"/>
        </w:rPr>
        <w:t>bioaccumulation</w:t>
      </w:r>
      <w:r w:rsidR="001F517D" w:rsidRPr="000C7CFA">
        <w:rPr>
          <w:rFonts w:ascii="Verdana" w:eastAsia="BatangChe" w:hAnsi="Verdana"/>
          <w:sz w:val="18"/>
          <w:szCs w:val="18"/>
        </w:rPr>
        <w:t xml:space="preserve"> </w:t>
      </w:r>
      <w:r w:rsidRPr="000C7CFA">
        <w:rPr>
          <w:rFonts w:ascii="Verdana" w:eastAsia="BatangChe" w:hAnsi="Verdana" w:cs="Times New Roman"/>
          <w:sz w:val="18"/>
          <w:szCs w:val="18"/>
        </w:rPr>
        <w:t>data for Dechlorane Plus, the available fish laboratory bioconcentr</w:t>
      </w:r>
      <w:r w:rsidR="00706677" w:rsidRPr="000C7CFA">
        <w:rPr>
          <w:rFonts w:ascii="Verdana" w:eastAsia="BatangChe" w:hAnsi="Verdana" w:cs="Times New Roman"/>
          <w:sz w:val="18"/>
          <w:szCs w:val="18"/>
        </w:rPr>
        <w:t>ation data for substances that we</w:t>
      </w:r>
      <w:r w:rsidRPr="000C7CFA">
        <w:rPr>
          <w:rFonts w:ascii="Verdana" w:eastAsia="BatangChe" w:hAnsi="Verdana" w:cs="Times New Roman"/>
          <w:sz w:val="18"/>
          <w:szCs w:val="18"/>
        </w:rPr>
        <w:t>re considered to meet the vB criterion</w:t>
      </w:r>
      <w:r w:rsidR="00706677" w:rsidRPr="000C7CFA">
        <w:rPr>
          <w:rFonts w:ascii="Verdana" w:eastAsia="BatangChe" w:hAnsi="Verdana" w:cs="Times New Roman"/>
          <w:sz w:val="18"/>
          <w:szCs w:val="18"/>
        </w:rPr>
        <w:t xml:space="preserve"> as of May 2015</w:t>
      </w:r>
      <w:r w:rsidR="00713D6A" w:rsidRPr="000C7CFA">
        <w:rPr>
          <w:rStyle w:val="FootnoteReference"/>
          <w:rFonts w:ascii="Verdana" w:eastAsia="BatangChe" w:hAnsi="Verdana" w:cs="Times New Roman"/>
          <w:sz w:val="18"/>
          <w:szCs w:val="18"/>
        </w:rPr>
        <w:footnoteReference w:id="49"/>
      </w:r>
      <w:r w:rsidR="0060361F" w:rsidRPr="000C7CFA">
        <w:rPr>
          <w:rFonts w:ascii="Verdana" w:eastAsia="BatangChe" w:hAnsi="Verdana" w:cs="Times New Roman"/>
          <w:sz w:val="18"/>
          <w:szCs w:val="18"/>
        </w:rPr>
        <w:t xml:space="preserve"> are summarised in this appendix</w:t>
      </w:r>
      <w:r w:rsidRPr="000C7CFA">
        <w:rPr>
          <w:rFonts w:ascii="Verdana" w:eastAsia="BatangChe" w:hAnsi="Verdana" w:cs="Times New Roman"/>
          <w:sz w:val="18"/>
          <w:szCs w:val="18"/>
        </w:rPr>
        <w:t xml:space="preserve">. Comparisons of concentrations actually measured in wildlife have not been included because of the size of the task and variability of use patterns and quantities leading to very different exposures. The data in the following table were collated from agreed regulatory reports produced under REACH. Wet weight whole fish concentrations have been estimated from the cited </w:t>
      </w:r>
      <w:r w:rsidR="009F12C9" w:rsidRPr="000C7CFA">
        <w:rPr>
          <w:rFonts w:ascii="Verdana" w:eastAsia="BatangChe" w:hAnsi="Verdana" w:cs="Times New Roman"/>
          <w:sz w:val="18"/>
          <w:szCs w:val="18"/>
        </w:rPr>
        <w:t xml:space="preserve">bioconcentration factors (BCF) </w:t>
      </w:r>
      <w:r w:rsidRPr="000C7CFA">
        <w:rPr>
          <w:rFonts w:ascii="Verdana" w:eastAsia="BatangChe" w:hAnsi="Verdana" w:cs="Times New Roman"/>
          <w:sz w:val="18"/>
          <w:szCs w:val="18"/>
        </w:rPr>
        <w:t>and water solubilities unless otherwise stated, and do not take account of lipid content. Polyaromatic hydrocarbons other than anthracene have not been considered for the purpose of this exercise (though could in future).</w:t>
      </w:r>
      <w:r w:rsidR="008A1E24" w:rsidRPr="000C7CFA">
        <w:rPr>
          <w:rFonts w:ascii="Verdana" w:eastAsia="BatangChe" w:hAnsi="Verdana" w:cs="Times New Roman"/>
          <w:sz w:val="18"/>
          <w:szCs w:val="18"/>
        </w:rPr>
        <w:t xml:space="preserve"> Molar concentrations are presented for comparability between substances.</w:t>
      </w:r>
    </w:p>
    <w:p w14:paraId="2CBFC38C" w14:textId="77777777" w:rsidR="00DF46A5" w:rsidRPr="000C7CFA" w:rsidRDefault="00DF46A5" w:rsidP="00DF46A5">
      <w:pPr>
        <w:pStyle w:val="NoSpacing"/>
        <w:rPr>
          <w:rFonts w:ascii="Verdana" w:eastAsia="BatangChe" w:hAnsi="Verdana" w:cs="Times New Roman"/>
          <w:sz w:val="18"/>
          <w:szCs w:val="18"/>
        </w:rPr>
      </w:pPr>
    </w:p>
    <w:tbl>
      <w:tblPr>
        <w:tblStyle w:val="TableGrid"/>
        <w:tblW w:w="14175" w:type="dxa"/>
        <w:tblLayout w:type="fixed"/>
        <w:tblLook w:val="04A0" w:firstRow="1" w:lastRow="0" w:firstColumn="1" w:lastColumn="0" w:noHBand="0" w:noVBand="1"/>
      </w:tblPr>
      <w:tblGrid>
        <w:gridCol w:w="2016"/>
        <w:gridCol w:w="1000"/>
        <w:gridCol w:w="999"/>
        <w:gridCol w:w="895"/>
        <w:gridCol w:w="895"/>
        <w:gridCol w:w="895"/>
        <w:gridCol w:w="1375"/>
        <w:gridCol w:w="5074"/>
        <w:gridCol w:w="1026"/>
      </w:tblGrid>
      <w:tr w:rsidR="00FC2B2F" w:rsidRPr="000C7CFA" w14:paraId="1317C919" w14:textId="77777777" w:rsidTr="002D4EB9">
        <w:trPr>
          <w:cantSplit/>
          <w:tblHeader/>
        </w:trPr>
        <w:tc>
          <w:tcPr>
            <w:tcW w:w="2016" w:type="dxa"/>
            <w:vMerge w:val="restart"/>
          </w:tcPr>
          <w:p w14:paraId="53BD97D7" w14:textId="77777777" w:rsidR="00FC2B2F" w:rsidRPr="000C7CFA" w:rsidRDefault="00FC2B2F" w:rsidP="00DF46A5">
            <w:pPr>
              <w:pStyle w:val="NoSpacing"/>
              <w:spacing w:after="0"/>
              <w:rPr>
                <w:rFonts w:ascii="Verdana" w:eastAsia="BatangChe" w:hAnsi="Verdana" w:cs="Times New Roman"/>
                <w:b/>
                <w:sz w:val="18"/>
                <w:szCs w:val="18"/>
              </w:rPr>
            </w:pPr>
            <w:r w:rsidRPr="000C7CFA">
              <w:rPr>
                <w:rFonts w:ascii="Verdana" w:eastAsia="BatangChe" w:hAnsi="Verdana" w:cs="Times New Roman"/>
                <w:b/>
                <w:sz w:val="18"/>
                <w:szCs w:val="18"/>
              </w:rPr>
              <w:t>Substance</w:t>
            </w:r>
          </w:p>
          <w:p w14:paraId="2B7705F9" w14:textId="77777777" w:rsidR="00FC2B2F" w:rsidRPr="000C7CFA" w:rsidRDefault="00FC2B2F" w:rsidP="00DF46A5">
            <w:pPr>
              <w:pStyle w:val="NoSpacing"/>
              <w:spacing w:after="0"/>
              <w:rPr>
                <w:rFonts w:ascii="Verdana" w:eastAsia="BatangChe" w:hAnsi="Verdana" w:cs="Times New Roman"/>
                <w:b/>
                <w:sz w:val="18"/>
                <w:szCs w:val="18"/>
              </w:rPr>
            </w:pPr>
          </w:p>
        </w:tc>
        <w:tc>
          <w:tcPr>
            <w:tcW w:w="1000" w:type="dxa"/>
            <w:vMerge w:val="restart"/>
          </w:tcPr>
          <w:p w14:paraId="102CE665" w14:textId="77777777" w:rsidR="00FC2B2F" w:rsidRPr="000C7CFA" w:rsidRDefault="00FC2B2F" w:rsidP="00DF46A5">
            <w:pPr>
              <w:pStyle w:val="NoSpacing"/>
              <w:spacing w:after="0"/>
              <w:jc w:val="center"/>
              <w:rPr>
                <w:rFonts w:ascii="Verdana" w:eastAsia="BatangChe" w:hAnsi="Verdana" w:cs="Times New Roman"/>
                <w:b/>
                <w:sz w:val="18"/>
                <w:szCs w:val="18"/>
              </w:rPr>
            </w:pPr>
            <w:r w:rsidRPr="000C7CFA">
              <w:rPr>
                <w:rFonts w:ascii="Verdana" w:eastAsia="BatangChe" w:hAnsi="Verdana" w:cs="Times New Roman"/>
                <w:b/>
                <w:sz w:val="18"/>
                <w:szCs w:val="18"/>
              </w:rPr>
              <w:t>CAS No.</w:t>
            </w:r>
          </w:p>
        </w:tc>
        <w:tc>
          <w:tcPr>
            <w:tcW w:w="999" w:type="dxa"/>
            <w:vMerge w:val="restart"/>
          </w:tcPr>
          <w:p w14:paraId="258F685D" w14:textId="77777777" w:rsidR="00FC2B2F" w:rsidRPr="000C7CFA" w:rsidRDefault="00FC2B2F" w:rsidP="00DF46A5">
            <w:pPr>
              <w:pStyle w:val="NoSpacing"/>
              <w:jc w:val="center"/>
              <w:rPr>
                <w:rFonts w:ascii="Verdana" w:eastAsia="BatangChe" w:hAnsi="Verdana" w:cs="Times New Roman"/>
                <w:b/>
                <w:sz w:val="18"/>
                <w:szCs w:val="18"/>
              </w:rPr>
            </w:pPr>
            <w:r w:rsidRPr="000C7CFA">
              <w:rPr>
                <w:rFonts w:ascii="Verdana" w:eastAsia="BatangChe" w:hAnsi="Verdana" w:cs="Times New Roman"/>
                <w:b/>
                <w:sz w:val="18"/>
                <w:szCs w:val="18"/>
              </w:rPr>
              <w:t>Molecular weight, g/mol</w:t>
            </w:r>
          </w:p>
        </w:tc>
        <w:tc>
          <w:tcPr>
            <w:tcW w:w="895" w:type="dxa"/>
            <w:vMerge w:val="restart"/>
          </w:tcPr>
          <w:p w14:paraId="09A3900E" w14:textId="77777777" w:rsidR="00FC2B2F" w:rsidRPr="000C7CFA" w:rsidRDefault="00FC2B2F" w:rsidP="00DF46A5">
            <w:pPr>
              <w:pStyle w:val="NoSpacing"/>
              <w:spacing w:after="0"/>
              <w:jc w:val="center"/>
              <w:rPr>
                <w:rFonts w:ascii="Verdana" w:eastAsia="BatangChe" w:hAnsi="Verdana" w:cs="Times New Roman"/>
                <w:b/>
                <w:sz w:val="18"/>
                <w:szCs w:val="18"/>
              </w:rPr>
            </w:pPr>
            <w:r w:rsidRPr="000C7CFA">
              <w:rPr>
                <w:rFonts w:ascii="Verdana" w:eastAsia="BatangChe" w:hAnsi="Verdana" w:cs="Times New Roman"/>
                <w:b/>
                <w:sz w:val="18"/>
                <w:szCs w:val="18"/>
              </w:rPr>
              <w:t>BCF, L/kg</w:t>
            </w:r>
          </w:p>
        </w:tc>
        <w:tc>
          <w:tcPr>
            <w:tcW w:w="1790" w:type="dxa"/>
            <w:gridSpan w:val="2"/>
          </w:tcPr>
          <w:p w14:paraId="62DA1B83" w14:textId="03543332" w:rsidR="00FC2B2F" w:rsidRPr="000C7CFA" w:rsidRDefault="00FC2B2F" w:rsidP="00FC2B2F">
            <w:pPr>
              <w:pStyle w:val="NoSpacing"/>
              <w:spacing w:after="0"/>
              <w:jc w:val="center"/>
              <w:rPr>
                <w:rFonts w:ascii="Verdana" w:eastAsia="BatangChe" w:hAnsi="Verdana" w:cs="Times New Roman"/>
                <w:b/>
                <w:sz w:val="18"/>
                <w:szCs w:val="18"/>
              </w:rPr>
            </w:pPr>
            <w:r w:rsidRPr="000C7CFA">
              <w:rPr>
                <w:rFonts w:ascii="Verdana" w:eastAsia="BatangChe" w:hAnsi="Verdana" w:cs="Times New Roman"/>
                <w:b/>
                <w:sz w:val="18"/>
                <w:szCs w:val="18"/>
              </w:rPr>
              <w:t>Maximum fish  concentration in BCF test</w:t>
            </w:r>
          </w:p>
        </w:tc>
        <w:tc>
          <w:tcPr>
            <w:tcW w:w="1375" w:type="dxa"/>
            <w:vMerge w:val="restart"/>
          </w:tcPr>
          <w:p w14:paraId="645E53CB" w14:textId="77777777" w:rsidR="00FC2B2F" w:rsidRPr="000C7CFA" w:rsidRDefault="00FC2B2F" w:rsidP="00FC2B2F">
            <w:pPr>
              <w:pStyle w:val="NoSpacing"/>
              <w:jc w:val="center"/>
              <w:rPr>
                <w:rFonts w:ascii="Verdana" w:eastAsia="BatangChe" w:hAnsi="Verdana" w:cs="Times New Roman"/>
                <w:b/>
                <w:sz w:val="18"/>
                <w:szCs w:val="18"/>
              </w:rPr>
            </w:pPr>
            <w:r w:rsidRPr="000C7CFA">
              <w:rPr>
                <w:rFonts w:ascii="Verdana" w:eastAsia="BatangChe" w:hAnsi="Verdana" w:cs="Times New Roman"/>
                <w:b/>
                <w:sz w:val="18"/>
                <w:szCs w:val="18"/>
              </w:rPr>
              <w:t>Fugacity ratio for the BCF</w:t>
            </w:r>
          </w:p>
        </w:tc>
        <w:tc>
          <w:tcPr>
            <w:tcW w:w="5074" w:type="dxa"/>
            <w:vMerge w:val="restart"/>
          </w:tcPr>
          <w:p w14:paraId="11C17F78" w14:textId="77777777" w:rsidR="00FC2B2F" w:rsidRPr="000C7CFA" w:rsidRDefault="00FC2B2F" w:rsidP="00DF46A5">
            <w:pPr>
              <w:pStyle w:val="NoSpacing"/>
              <w:spacing w:after="0"/>
              <w:rPr>
                <w:rFonts w:ascii="Verdana" w:eastAsia="BatangChe" w:hAnsi="Verdana" w:cs="Times New Roman"/>
                <w:b/>
                <w:sz w:val="18"/>
                <w:szCs w:val="18"/>
              </w:rPr>
            </w:pPr>
            <w:r w:rsidRPr="000C7CFA">
              <w:rPr>
                <w:rFonts w:ascii="Verdana" w:eastAsia="BatangChe" w:hAnsi="Verdana" w:cs="Times New Roman"/>
                <w:b/>
                <w:sz w:val="18"/>
                <w:szCs w:val="18"/>
              </w:rPr>
              <w:t>Comment</w:t>
            </w:r>
          </w:p>
        </w:tc>
        <w:tc>
          <w:tcPr>
            <w:tcW w:w="1026" w:type="dxa"/>
            <w:vMerge w:val="restart"/>
          </w:tcPr>
          <w:p w14:paraId="4743E793" w14:textId="503CA921" w:rsidR="00FC2B2F" w:rsidRPr="000C7CFA" w:rsidRDefault="00FC2B2F" w:rsidP="002811B1">
            <w:pPr>
              <w:pStyle w:val="NoSpacing"/>
              <w:spacing w:after="0"/>
              <w:rPr>
                <w:rFonts w:ascii="Verdana" w:eastAsia="BatangChe" w:hAnsi="Verdana" w:cs="Times New Roman"/>
                <w:b/>
                <w:sz w:val="18"/>
                <w:szCs w:val="18"/>
              </w:rPr>
            </w:pPr>
            <w:r w:rsidRPr="000C7CFA">
              <w:rPr>
                <w:rFonts w:ascii="Verdana" w:eastAsia="BatangChe" w:hAnsi="Verdana" w:cs="Times New Roman"/>
                <w:b/>
                <w:sz w:val="18"/>
                <w:szCs w:val="18"/>
              </w:rPr>
              <w:t>Ref.</w:t>
            </w:r>
          </w:p>
        </w:tc>
      </w:tr>
      <w:tr w:rsidR="00FC2B2F" w:rsidRPr="000C7CFA" w14:paraId="638AAD4B" w14:textId="77777777" w:rsidTr="002D4EB9">
        <w:trPr>
          <w:cantSplit/>
          <w:tblHeader/>
        </w:trPr>
        <w:tc>
          <w:tcPr>
            <w:tcW w:w="2016" w:type="dxa"/>
            <w:vMerge/>
          </w:tcPr>
          <w:p w14:paraId="128A7DA1" w14:textId="77777777" w:rsidR="00FC2B2F" w:rsidRPr="000C7CFA" w:rsidRDefault="00FC2B2F" w:rsidP="00DF46A5">
            <w:pPr>
              <w:pStyle w:val="NoSpacing"/>
              <w:rPr>
                <w:rFonts w:ascii="Verdana" w:eastAsia="BatangChe" w:hAnsi="Verdana" w:cs="Times New Roman"/>
                <w:sz w:val="18"/>
                <w:szCs w:val="18"/>
              </w:rPr>
            </w:pPr>
          </w:p>
        </w:tc>
        <w:tc>
          <w:tcPr>
            <w:tcW w:w="1000" w:type="dxa"/>
            <w:vMerge/>
          </w:tcPr>
          <w:p w14:paraId="66025025" w14:textId="77777777" w:rsidR="00FC2B2F" w:rsidRPr="000C7CFA" w:rsidRDefault="00FC2B2F" w:rsidP="00DF46A5">
            <w:pPr>
              <w:pStyle w:val="NoSpacing"/>
              <w:jc w:val="center"/>
              <w:rPr>
                <w:rFonts w:ascii="Verdana" w:eastAsia="BatangChe" w:hAnsi="Verdana" w:cs="Times New Roman"/>
                <w:sz w:val="18"/>
                <w:szCs w:val="18"/>
              </w:rPr>
            </w:pPr>
          </w:p>
        </w:tc>
        <w:tc>
          <w:tcPr>
            <w:tcW w:w="999" w:type="dxa"/>
            <w:vMerge/>
          </w:tcPr>
          <w:p w14:paraId="01C9804D" w14:textId="77777777" w:rsidR="00FC2B2F" w:rsidRPr="000C7CFA" w:rsidRDefault="00FC2B2F" w:rsidP="00DF46A5">
            <w:pPr>
              <w:pStyle w:val="NoSpacing"/>
              <w:jc w:val="center"/>
              <w:rPr>
                <w:rFonts w:ascii="Verdana" w:eastAsia="BatangChe" w:hAnsi="Verdana" w:cs="Times New Roman"/>
                <w:sz w:val="18"/>
                <w:szCs w:val="18"/>
              </w:rPr>
            </w:pPr>
          </w:p>
        </w:tc>
        <w:tc>
          <w:tcPr>
            <w:tcW w:w="895" w:type="dxa"/>
            <w:vMerge/>
          </w:tcPr>
          <w:p w14:paraId="2A4BA9D2" w14:textId="77777777" w:rsidR="00FC2B2F" w:rsidRPr="000C7CFA" w:rsidRDefault="00FC2B2F" w:rsidP="00DF46A5">
            <w:pPr>
              <w:pStyle w:val="NoSpacing"/>
              <w:jc w:val="center"/>
              <w:rPr>
                <w:rFonts w:ascii="Verdana" w:eastAsia="BatangChe" w:hAnsi="Verdana" w:cs="Times New Roman"/>
                <w:sz w:val="18"/>
                <w:szCs w:val="18"/>
              </w:rPr>
            </w:pPr>
          </w:p>
        </w:tc>
        <w:tc>
          <w:tcPr>
            <w:tcW w:w="895" w:type="dxa"/>
          </w:tcPr>
          <w:p w14:paraId="33BE9856" w14:textId="77777777" w:rsidR="00FC2B2F" w:rsidRPr="000C7CFA" w:rsidRDefault="00FC2B2F" w:rsidP="002811B1">
            <w:pPr>
              <w:pStyle w:val="NoSpacing"/>
              <w:spacing w:after="0"/>
              <w:jc w:val="center"/>
              <w:rPr>
                <w:rFonts w:ascii="Verdana" w:eastAsia="BatangChe" w:hAnsi="Verdana" w:cs="Times New Roman"/>
                <w:b/>
                <w:sz w:val="18"/>
                <w:szCs w:val="18"/>
              </w:rPr>
            </w:pPr>
            <w:r w:rsidRPr="000C7CFA">
              <w:rPr>
                <w:rFonts w:ascii="Verdana" w:eastAsia="BatangChe" w:hAnsi="Verdana" w:cs="Times New Roman"/>
                <w:b/>
                <w:sz w:val="18"/>
                <w:szCs w:val="18"/>
              </w:rPr>
              <w:t>mg/kg ww</w:t>
            </w:r>
          </w:p>
        </w:tc>
        <w:tc>
          <w:tcPr>
            <w:tcW w:w="895" w:type="dxa"/>
          </w:tcPr>
          <w:p w14:paraId="31E6EAD1" w14:textId="77777777" w:rsidR="00FC2B2F" w:rsidRPr="000C7CFA" w:rsidRDefault="00FC2B2F" w:rsidP="00FC2B2F">
            <w:pPr>
              <w:pStyle w:val="NoSpacing"/>
              <w:spacing w:after="0"/>
              <w:jc w:val="center"/>
              <w:rPr>
                <w:rFonts w:ascii="Verdana" w:eastAsia="BatangChe" w:hAnsi="Verdana" w:cs="Times New Roman"/>
                <w:b/>
                <w:sz w:val="18"/>
                <w:szCs w:val="18"/>
              </w:rPr>
            </w:pPr>
            <w:r w:rsidRPr="000C7CFA">
              <w:rPr>
                <w:rFonts w:ascii="Verdana" w:eastAsia="BatangChe" w:hAnsi="Verdana" w:cs="Times New Roman"/>
                <w:b/>
                <w:sz w:val="18"/>
                <w:szCs w:val="18"/>
              </w:rPr>
              <w:t>mmol/kg ww</w:t>
            </w:r>
          </w:p>
        </w:tc>
        <w:tc>
          <w:tcPr>
            <w:tcW w:w="1375" w:type="dxa"/>
            <w:vMerge/>
          </w:tcPr>
          <w:p w14:paraId="02CB2A06" w14:textId="77777777" w:rsidR="00591815" w:rsidRPr="000C7CFA" w:rsidRDefault="00591815" w:rsidP="007A4672">
            <w:pPr>
              <w:pStyle w:val="NoSpacing"/>
              <w:jc w:val="center"/>
              <w:rPr>
                <w:rFonts w:ascii="Verdana" w:eastAsia="BatangChe" w:hAnsi="Verdana" w:cs="Times New Roman"/>
                <w:sz w:val="18"/>
                <w:szCs w:val="18"/>
                <w:lang w:val="en-US"/>
              </w:rPr>
            </w:pPr>
          </w:p>
        </w:tc>
        <w:tc>
          <w:tcPr>
            <w:tcW w:w="5074" w:type="dxa"/>
            <w:vMerge/>
          </w:tcPr>
          <w:p w14:paraId="4717D057" w14:textId="77777777" w:rsidR="00FC2B2F" w:rsidRPr="000C7CFA" w:rsidRDefault="00FC2B2F" w:rsidP="00DF46A5">
            <w:pPr>
              <w:pStyle w:val="NoSpacing"/>
              <w:rPr>
                <w:rFonts w:ascii="Verdana" w:eastAsia="BatangChe" w:hAnsi="Verdana" w:cs="Times New Roman"/>
                <w:sz w:val="18"/>
                <w:szCs w:val="18"/>
              </w:rPr>
            </w:pPr>
          </w:p>
        </w:tc>
        <w:tc>
          <w:tcPr>
            <w:tcW w:w="1026" w:type="dxa"/>
            <w:vMerge/>
          </w:tcPr>
          <w:p w14:paraId="77A0813B" w14:textId="77777777" w:rsidR="00FC2B2F" w:rsidRPr="000C7CFA" w:rsidRDefault="00FC2B2F" w:rsidP="00DF46A5">
            <w:pPr>
              <w:pStyle w:val="NoSpacing"/>
              <w:rPr>
                <w:rFonts w:ascii="Verdana" w:eastAsia="BatangChe" w:hAnsi="Verdana" w:cs="Times New Roman"/>
                <w:sz w:val="18"/>
                <w:szCs w:val="18"/>
              </w:rPr>
            </w:pPr>
          </w:p>
        </w:tc>
      </w:tr>
      <w:tr w:rsidR="00FC2B2F" w:rsidRPr="000C7CFA" w14:paraId="30431E54" w14:textId="77777777" w:rsidTr="002D4EB9">
        <w:trPr>
          <w:cantSplit/>
        </w:trPr>
        <w:tc>
          <w:tcPr>
            <w:tcW w:w="2016" w:type="dxa"/>
          </w:tcPr>
          <w:p w14:paraId="5A26EFA2"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Anthracene</w:t>
            </w:r>
          </w:p>
        </w:tc>
        <w:tc>
          <w:tcPr>
            <w:tcW w:w="1000" w:type="dxa"/>
          </w:tcPr>
          <w:p w14:paraId="22C40E71"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120-12-7</w:t>
            </w:r>
          </w:p>
        </w:tc>
        <w:tc>
          <w:tcPr>
            <w:tcW w:w="999" w:type="dxa"/>
          </w:tcPr>
          <w:p w14:paraId="566AD0CD" w14:textId="77777777"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178.2</w:t>
            </w:r>
          </w:p>
        </w:tc>
        <w:tc>
          <w:tcPr>
            <w:tcW w:w="895" w:type="dxa"/>
          </w:tcPr>
          <w:p w14:paraId="5AD93AD0" w14:textId="17A3A4AE" w:rsidR="00FC2B2F" w:rsidRPr="000C7CFA" w:rsidRDefault="00FC2B2F" w:rsidP="002D4EB9">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&gt;6</w:t>
            </w:r>
            <w:r w:rsidR="002D4EB9" w:rsidRPr="000C7CFA">
              <w:rPr>
                <w:rFonts w:ascii="Verdana" w:eastAsia="BatangChe" w:hAnsi="Verdana" w:cs="Times New Roman"/>
                <w:sz w:val="18"/>
                <w:szCs w:val="18"/>
              </w:rPr>
              <w:t> </w:t>
            </w:r>
            <w:r w:rsidRPr="000C7CFA">
              <w:rPr>
                <w:rFonts w:ascii="Verdana" w:eastAsia="BatangChe" w:hAnsi="Verdana" w:cs="Times New Roman"/>
                <w:sz w:val="18"/>
                <w:szCs w:val="18"/>
              </w:rPr>
              <w:t>000</w:t>
            </w:r>
          </w:p>
        </w:tc>
        <w:tc>
          <w:tcPr>
            <w:tcW w:w="895" w:type="dxa"/>
          </w:tcPr>
          <w:p w14:paraId="5AB21E72"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w:t>
            </w:r>
          </w:p>
        </w:tc>
        <w:tc>
          <w:tcPr>
            <w:tcW w:w="895" w:type="dxa"/>
          </w:tcPr>
          <w:p w14:paraId="7E46CFEE"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w:t>
            </w:r>
          </w:p>
        </w:tc>
        <w:tc>
          <w:tcPr>
            <w:tcW w:w="1375" w:type="dxa"/>
          </w:tcPr>
          <w:p w14:paraId="7DA3D977"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&gt;2.3</w:t>
            </w:r>
          </w:p>
        </w:tc>
        <w:tc>
          <w:tcPr>
            <w:tcW w:w="5074" w:type="dxa"/>
          </w:tcPr>
          <w:p w14:paraId="11DA9BC0"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Exposure concentrations are not stated so whole fish concentrations cannot be derived. No information given on depuration half-life.</w:t>
            </w:r>
          </w:p>
        </w:tc>
        <w:tc>
          <w:tcPr>
            <w:tcW w:w="1026" w:type="dxa"/>
          </w:tcPr>
          <w:p w14:paraId="0A95CF6C"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EC (2008)</w:t>
            </w:r>
          </w:p>
        </w:tc>
      </w:tr>
      <w:tr w:rsidR="00FC2B2F" w:rsidRPr="000C7CFA" w14:paraId="5E2A5A15" w14:textId="77777777" w:rsidTr="002D4EB9">
        <w:trPr>
          <w:cantSplit/>
        </w:trPr>
        <w:tc>
          <w:tcPr>
            <w:tcW w:w="2016" w:type="dxa"/>
          </w:tcPr>
          <w:p w14:paraId="19EF49EB"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Alkanes, C</w:t>
            </w:r>
            <w:r w:rsidRPr="000C7CFA">
              <w:rPr>
                <w:rFonts w:ascii="Verdana" w:eastAsia="BatangChe" w:hAnsi="Verdana" w:cs="Times New Roman"/>
                <w:sz w:val="18"/>
                <w:szCs w:val="18"/>
                <w:vertAlign w:val="subscript"/>
              </w:rPr>
              <w:t>10-13</w:t>
            </w:r>
            <w:r w:rsidRPr="000C7CFA">
              <w:rPr>
                <w:rFonts w:ascii="Verdana" w:eastAsia="BatangChe" w:hAnsi="Verdana" w:cs="Times New Roman"/>
                <w:sz w:val="18"/>
                <w:szCs w:val="18"/>
              </w:rPr>
              <w:t>, chloro (short chain chlorinated paraffins)</w:t>
            </w:r>
          </w:p>
        </w:tc>
        <w:tc>
          <w:tcPr>
            <w:tcW w:w="1000" w:type="dxa"/>
          </w:tcPr>
          <w:p w14:paraId="0BF38834"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85535-84-8</w:t>
            </w:r>
          </w:p>
        </w:tc>
        <w:tc>
          <w:tcPr>
            <w:tcW w:w="999" w:type="dxa"/>
          </w:tcPr>
          <w:p w14:paraId="18BCDF7A" w14:textId="77777777"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371 (assumed: C</w:t>
            </w:r>
            <w:r w:rsidRPr="000C7CFA">
              <w:rPr>
                <w:rFonts w:ascii="Verdana" w:hAnsi="Verdana"/>
                <w:sz w:val="18"/>
                <w:szCs w:val="18"/>
                <w:vertAlign w:val="subscript"/>
              </w:rPr>
              <w:t>11</w:t>
            </w:r>
            <w:r w:rsidRPr="000C7CFA">
              <w:rPr>
                <w:rFonts w:ascii="Verdana" w:eastAsia="BatangChe" w:hAnsi="Verdana"/>
                <w:sz w:val="18"/>
                <w:szCs w:val="18"/>
              </w:rPr>
              <w:t>H</w:t>
            </w:r>
            <w:r w:rsidRPr="000C7CFA">
              <w:rPr>
                <w:rFonts w:ascii="Verdana" w:hAnsi="Verdana"/>
                <w:sz w:val="18"/>
                <w:szCs w:val="18"/>
                <w:vertAlign w:val="subscript"/>
              </w:rPr>
              <w:t>26</w:t>
            </w:r>
            <w:r w:rsidRPr="000C7CFA">
              <w:rPr>
                <w:rFonts w:ascii="Verdana" w:eastAsia="BatangChe" w:hAnsi="Verdana"/>
                <w:sz w:val="18"/>
                <w:szCs w:val="18"/>
              </w:rPr>
              <w:t>Cl</w:t>
            </w:r>
            <w:r w:rsidRPr="000C7CFA">
              <w:rPr>
                <w:rFonts w:ascii="Verdana" w:hAnsi="Verdana"/>
                <w:sz w:val="18"/>
                <w:szCs w:val="18"/>
                <w:vertAlign w:val="subscript"/>
              </w:rPr>
              <w:t>6</w:t>
            </w:r>
            <w:r w:rsidRPr="000C7CFA">
              <w:rPr>
                <w:rFonts w:ascii="Verdana" w:eastAsia="BatangChe" w:hAnsi="Verdana"/>
                <w:sz w:val="18"/>
                <w:szCs w:val="18"/>
              </w:rPr>
              <w:t>)</w:t>
            </w:r>
          </w:p>
        </w:tc>
        <w:tc>
          <w:tcPr>
            <w:tcW w:w="895" w:type="dxa"/>
          </w:tcPr>
          <w:p w14:paraId="20D601B8" w14:textId="75957F14" w:rsidR="00FC2B2F" w:rsidRPr="000C7CFA" w:rsidRDefault="002D4EB9"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ca. 7 </w:t>
            </w:r>
            <w:r w:rsidR="00FC2B2F" w:rsidRPr="000C7CFA">
              <w:rPr>
                <w:rFonts w:ascii="Verdana" w:eastAsia="BatangChe" w:hAnsi="Verdana" w:cs="Times New Roman"/>
                <w:sz w:val="18"/>
                <w:szCs w:val="18"/>
              </w:rPr>
              <w:t>273</w:t>
            </w:r>
          </w:p>
        </w:tc>
        <w:tc>
          <w:tcPr>
            <w:tcW w:w="895" w:type="dxa"/>
          </w:tcPr>
          <w:p w14:paraId="4D0CC4BD"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ca. 240</w:t>
            </w:r>
          </w:p>
        </w:tc>
        <w:tc>
          <w:tcPr>
            <w:tcW w:w="895" w:type="dxa"/>
          </w:tcPr>
          <w:p w14:paraId="7DE458C7" w14:textId="77777777" w:rsidR="00FC2B2F" w:rsidRPr="000C7CFA" w:rsidRDefault="00FC2B2F"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ca. 0.65</w:t>
            </w:r>
          </w:p>
        </w:tc>
        <w:tc>
          <w:tcPr>
            <w:tcW w:w="1375" w:type="dxa"/>
          </w:tcPr>
          <w:p w14:paraId="3C2ECD7E" w14:textId="77777777" w:rsidR="00FC2B2F" w:rsidRPr="000C7CFA" w:rsidRDefault="00FC2B2F" w:rsidP="00FC2B2F">
            <w:pPr>
              <w:autoSpaceDE w:val="0"/>
              <w:autoSpaceDN w:val="0"/>
              <w:adjustRightInd w:val="0"/>
              <w:spacing w:after="0"/>
              <w:jc w:val="center"/>
              <w:rPr>
                <w:rFonts w:ascii="Verdana" w:hAnsi="Verdana"/>
                <w:sz w:val="18"/>
                <w:szCs w:val="18"/>
              </w:rPr>
            </w:pPr>
            <w:r w:rsidRPr="000C7CFA">
              <w:rPr>
                <w:rFonts w:ascii="Verdana" w:hAnsi="Verdana"/>
                <w:sz w:val="18"/>
                <w:szCs w:val="18"/>
              </w:rPr>
              <w:t>0.13</w:t>
            </w:r>
          </w:p>
        </w:tc>
        <w:tc>
          <w:tcPr>
            <w:tcW w:w="5074" w:type="dxa"/>
          </w:tcPr>
          <w:p w14:paraId="6A8E36B5" w14:textId="40DF7564" w:rsidR="00FC2B2F" w:rsidRPr="000C7CFA" w:rsidRDefault="00FC2B2F" w:rsidP="00DF46A5">
            <w:pPr>
              <w:autoSpaceDE w:val="0"/>
              <w:autoSpaceDN w:val="0"/>
              <w:adjustRightInd w:val="0"/>
              <w:spacing w:after="0"/>
              <w:rPr>
                <w:rFonts w:ascii="Verdana" w:eastAsia="BatangChe" w:hAnsi="Verdana"/>
                <w:sz w:val="18"/>
                <w:szCs w:val="18"/>
              </w:rPr>
            </w:pPr>
            <w:r w:rsidRPr="000C7CFA">
              <w:rPr>
                <w:rFonts w:ascii="Verdana" w:hAnsi="Verdana"/>
                <w:sz w:val="18"/>
                <w:szCs w:val="18"/>
              </w:rPr>
              <w:t>Data are for a C</w:t>
            </w:r>
            <w:r w:rsidRPr="000C7CFA">
              <w:rPr>
                <w:rFonts w:ascii="Verdana" w:hAnsi="Verdana"/>
                <w:sz w:val="18"/>
                <w:szCs w:val="18"/>
                <w:vertAlign w:val="subscript"/>
              </w:rPr>
              <w:t>10-12</w:t>
            </w:r>
            <w:r w:rsidRPr="000C7CFA">
              <w:rPr>
                <w:rFonts w:ascii="Verdana" w:hAnsi="Verdana"/>
                <w:sz w:val="18"/>
                <w:szCs w:val="18"/>
              </w:rPr>
              <w:t xml:space="preserve"> 5</w:t>
            </w:r>
            <w:r w:rsidR="00AF7606" w:rsidRPr="000C7CFA">
              <w:rPr>
                <w:rFonts w:ascii="Verdana" w:hAnsi="Verdana"/>
                <w:sz w:val="18"/>
                <w:szCs w:val="18"/>
              </w:rPr>
              <w:t>8 %</w:t>
            </w:r>
            <w:r w:rsidRPr="000C7CFA">
              <w:rPr>
                <w:rFonts w:ascii="Verdana" w:hAnsi="Verdana"/>
                <w:sz w:val="18"/>
                <w:szCs w:val="18"/>
              </w:rPr>
              <w:t xml:space="preserve"> wt Cl substance based on parent compound analysis. Fish lipid content not stated. Depuration half-lives in the range 39-77 days (for a substance containing 5</w:t>
            </w:r>
            <w:r w:rsidR="00AF7606" w:rsidRPr="000C7CFA">
              <w:rPr>
                <w:rFonts w:ascii="Verdana" w:hAnsi="Verdana"/>
                <w:sz w:val="18"/>
                <w:szCs w:val="18"/>
              </w:rPr>
              <w:t>6 %</w:t>
            </w:r>
            <w:r w:rsidRPr="000C7CFA">
              <w:rPr>
                <w:rFonts w:ascii="Verdana" w:hAnsi="Verdana"/>
                <w:sz w:val="18"/>
                <w:szCs w:val="18"/>
              </w:rPr>
              <w:t xml:space="preserve"> chlorine) and 77-87 days (for a substance containing 6</w:t>
            </w:r>
            <w:r w:rsidR="00AF7606" w:rsidRPr="000C7CFA">
              <w:rPr>
                <w:rFonts w:ascii="Verdana" w:hAnsi="Verdana"/>
                <w:sz w:val="18"/>
                <w:szCs w:val="18"/>
              </w:rPr>
              <w:t>9 %</w:t>
            </w:r>
            <w:r w:rsidRPr="000C7CFA">
              <w:rPr>
                <w:rFonts w:ascii="Verdana" w:hAnsi="Verdana"/>
                <w:sz w:val="18"/>
                <w:szCs w:val="18"/>
              </w:rPr>
              <w:t xml:space="preserve"> chlorine) are reported.</w:t>
            </w:r>
          </w:p>
        </w:tc>
        <w:tc>
          <w:tcPr>
            <w:tcW w:w="1026" w:type="dxa"/>
          </w:tcPr>
          <w:p w14:paraId="6CD5B915" w14:textId="42313806" w:rsidR="00FC2B2F" w:rsidRPr="000C7CFA" w:rsidRDefault="00FC2B2F" w:rsidP="00C36A9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ECHA (2008b)</w:t>
            </w:r>
          </w:p>
        </w:tc>
      </w:tr>
      <w:tr w:rsidR="00FC2B2F" w:rsidRPr="000C7CFA" w14:paraId="1D799F48" w14:textId="77777777" w:rsidTr="002D4EB9">
        <w:trPr>
          <w:cantSplit/>
        </w:trPr>
        <w:tc>
          <w:tcPr>
            <w:tcW w:w="2016" w:type="dxa"/>
          </w:tcPr>
          <w:p w14:paraId="19CEB06C"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2-(2H-Benzotriazol-2-yl)-4,6-di-</w:t>
            </w:r>
            <w:r w:rsidRPr="000C7CFA">
              <w:rPr>
                <w:rFonts w:ascii="Verdana" w:eastAsia="BatangChe" w:hAnsi="Verdana" w:cs="Times New Roman"/>
                <w:i/>
                <w:sz w:val="18"/>
                <w:szCs w:val="18"/>
              </w:rPr>
              <w:t>tert</w:t>
            </w:r>
            <w:r w:rsidRPr="000C7CFA">
              <w:rPr>
                <w:rFonts w:ascii="Verdana" w:eastAsia="BatangChe" w:hAnsi="Verdana" w:cs="Times New Roman"/>
                <w:sz w:val="18"/>
                <w:szCs w:val="18"/>
              </w:rPr>
              <w:t xml:space="preserve">-pentylphenol </w:t>
            </w:r>
          </w:p>
          <w:p w14:paraId="2952DC14"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(UV-328)</w:t>
            </w:r>
          </w:p>
        </w:tc>
        <w:tc>
          <w:tcPr>
            <w:tcW w:w="1000" w:type="dxa"/>
          </w:tcPr>
          <w:p w14:paraId="6AD1B19F"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25973-55-1</w:t>
            </w:r>
          </w:p>
        </w:tc>
        <w:tc>
          <w:tcPr>
            <w:tcW w:w="999" w:type="dxa"/>
          </w:tcPr>
          <w:p w14:paraId="0998101C" w14:textId="77777777" w:rsidR="00FC2B2F" w:rsidRPr="000C7CFA" w:rsidRDefault="00FC2B2F" w:rsidP="00DF46A5">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351.5</w:t>
            </w:r>
          </w:p>
        </w:tc>
        <w:tc>
          <w:tcPr>
            <w:tcW w:w="895" w:type="dxa"/>
          </w:tcPr>
          <w:p w14:paraId="29AEB2A7" w14:textId="433F5815" w:rsidR="00FC2B2F" w:rsidRPr="000C7CFA" w:rsidRDefault="002D4EB9" w:rsidP="00DF46A5">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4 </w:t>
            </w:r>
            <w:r w:rsidR="00FC2B2F" w:rsidRPr="000C7CFA">
              <w:rPr>
                <w:rFonts w:ascii="Verdana" w:eastAsia="BatangChe" w:hAnsi="Verdana"/>
                <w:sz w:val="18"/>
                <w:szCs w:val="18"/>
              </w:rPr>
              <w:t>590</w:t>
            </w:r>
          </w:p>
        </w:tc>
        <w:tc>
          <w:tcPr>
            <w:tcW w:w="895" w:type="dxa"/>
          </w:tcPr>
          <w:p w14:paraId="2E087827" w14:textId="77777777" w:rsidR="00FC2B2F" w:rsidRPr="000C7CFA" w:rsidRDefault="00FC2B2F" w:rsidP="00DF46A5">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0.37</w:t>
            </w:r>
          </w:p>
        </w:tc>
        <w:tc>
          <w:tcPr>
            <w:tcW w:w="895" w:type="dxa"/>
          </w:tcPr>
          <w:p w14:paraId="15F62E96"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0.0011</w:t>
            </w:r>
          </w:p>
        </w:tc>
        <w:tc>
          <w:tcPr>
            <w:tcW w:w="1375" w:type="dxa"/>
          </w:tcPr>
          <w:p w14:paraId="2065EFBC"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0.01</w:t>
            </w:r>
          </w:p>
        </w:tc>
        <w:tc>
          <w:tcPr>
            <w:tcW w:w="5074" w:type="dxa"/>
          </w:tcPr>
          <w:p w14:paraId="01AABE77" w14:textId="213EC2F2"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Based on average BCF at study end. Fish lipid content 4.</w:t>
            </w:r>
            <w:r w:rsidR="00AF7606" w:rsidRPr="000C7CFA">
              <w:rPr>
                <w:rFonts w:ascii="Verdana" w:eastAsia="BatangChe" w:hAnsi="Verdana" w:cs="Times New Roman"/>
                <w:sz w:val="18"/>
                <w:szCs w:val="18"/>
              </w:rPr>
              <w:t>2 %</w:t>
            </w:r>
            <w:r w:rsidRPr="000C7CFA">
              <w:rPr>
                <w:rFonts w:ascii="Verdana" w:eastAsia="BatangChe" w:hAnsi="Verdana" w:cs="Times New Roman"/>
                <w:sz w:val="18"/>
                <w:szCs w:val="18"/>
              </w:rPr>
              <w:t>. No information given on depuration half-life.</w:t>
            </w:r>
          </w:p>
        </w:tc>
        <w:tc>
          <w:tcPr>
            <w:tcW w:w="1026" w:type="dxa"/>
          </w:tcPr>
          <w:p w14:paraId="0E59936E" w14:textId="63E1FBDA" w:rsidR="00FC2B2F" w:rsidRPr="000C7CFA" w:rsidRDefault="00FC2B2F" w:rsidP="008B0C2E">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ECHA (2014</w:t>
            </w:r>
            <w:r w:rsidR="008B0C2E" w:rsidRPr="000C7CFA">
              <w:rPr>
                <w:rFonts w:ascii="Verdana" w:eastAsia="BatangChe" w:hAnsi="Verdana" w:cs="Times New Roman"/>
                <w:sz w:val="18"/>
                <w:szCs w:val="18"/>
              </w:rPr>
              <w:t>a</w:t>
            </w:r>
            <w:r w:rsidRPr="000C7CFA">
              <w:rPr>
                <w:rFonts w:ascii="Verdana" w:eastAsia="BatangChe" w:hAnsi="Verdana" w:cs="Times New Roman"/>
                <w:sz w:val="18"/>
                <w:szCs w:val="18"/>
              </w:rPr>
              <w:t>)</w:t>
            </w:r>
          </w:p>
        </w:tc>
      </w:tr>
      <w:tr w:rsidR="00FC2B2F" w:rsidRPr="000C7CFA" w14:paraId="58A82BDB" w14:textId="77777777" w:rsidTr="002D4EB9">
        <w:trPr>
          <w:cantSplit/>
        </w:trPr>
        <w:tc>
          <w:tcPr>
            <w:tcW w:w="2016" w:type="dxa"/>
          </w:tcPr>
          <w:p w14:paraId="5DE0601A"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lastRenderedPageBreak/>
              <w:t>2-Benzotriazol-2-yl-4,6-di-</w:t>
            </w:r>
            <w:r w:rsidRPr="000C7CFA">
              <w:rPr>
                <w:rFonts w:ascii="Verdana" w:eastAsia="BatangChe" w:hAnsi="Verdana" w:cs="Times New Roman"/>
                <w:i/>
                <w:sz w:val="18"/>
                <w:szCs w:val="18"/>
              </w:rPr>
              <w:t>tert</w:t>
            </w:r>
            <w:r w:rsidRPr="000C7CFA">
              <w:rPr>
                <w:rFonts w:ascii="Verdana" w:eastAsia="BatangChe" w:hAnsi="Verdana" w:cs="Times New Roman"/>
                <w:sz w:val="18"/>
                <w:szCs w:val="18"/>
              </w:rPr>
              <w:t>-butylphenol (UV-320)</w:t>
            </w:r>
          </w:p>
        </w:tc>
        <w:tc>
          <w:tcPr>
            <w:tcW w:w="1000" w:type="dxa"/>
          </w:tcPr>
          <w:p w14:paraId="03D3A236"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3846-71-7</w:t>
            </w:r>
          </w:p>
        </w:tc>
        <w:tc>
          <w:tcPr>
            <w:tcW w:w="999" w:type="dxa"/>
          </w:tcPr>
          <w:p w14:paraId="6902A025" w14:textId="77777777"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323.4</w:t>
            </w:r>
          </w:p>
        </w:tc>
        <w:tc>
          <w:tcPr>
            <w:tcW w:w="895" w:type="dxa"/>
          </w:tcPr>
          <w:p w14:paraId="24C6A3EE" w14:textId="059420C5" w:rsidR="00FC2B2F" w:rsidRPr="000C7CFA" w:rsidRDefault="002D4EB9"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9 </w:t>
            </w:r>
            <w:r w:rsidR="00FC2B2F" w:rsidRPr="000C7CFA">
              <w:rPr>
                <w:rFonts w:ascii="Verdana" w:eastAsia="BatangChe" w:hAnsi="Verdana" w:cs="Times New Roman"/>
                <w:sz w:val="18"/>
                <w:szCs w:val="18"/>
              </w:rPr>
              <w:t>265</w:t>
            </w:r>
          </w:p>
        </w:tc>
        <w:tc>
          <w:tcPr>
            <w:tcW w:w="895" w:type="dxa"/>
          </w:tcPr>
          <w:p w14:paraId="738B97EE"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0.93</w:t>
            </w:r>
          </w:p>
        </w:tc>
        <w:tc>
          <w:tcPr>
            <w:tcW w:w="895" w:type="dxa"/>
          </w:tcPr>
          <w:p w14:paraId="4D5087B0"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0.0029</w:t>
            </w:r>
          </w:p>
        </w:tc>
        <w:tc>
          <w:tcPr>
            <w:tcW w:w="1375" w:type="dxa"/>
          </w:tcPr>
          <w:p w14:paraId="25723917"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0.12</w:t>
            </w:r>
          </w:p>
        </w:tc>
        <w:tc>
          <w:tcPr>
            <w:tcW w:w="5074" w:type="dxa"/>
          </w:tcPr>
          <w:p w14:paraId="2A04EC24" w14:textId="2DDFC7FD"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Fish lipid content 3.</w:t>
            </w:r>
            <w:r w:rsidR="00AF7606" w:rsidRPr="000C7CFA">
              <w:rPr>
                <w:rFonts w:ascii="Verdana" w:eastAsia="BatangChe" w:hAnsi="Verdana" w:cs="Times New Roman"/>
                <w:sz w:val="18"/>
                <w:szCs w:val="18"/>
              </w:rPr>
              <w:t>6 %</w:t>
            </w:r>
            <w:r w:rsidRPr="000C7CFA">
              <w:rPr>
                <w:rFonts w:ascii="Verdana" w:eastAsia="BatangChe" w:hAnsi="Verdana" w:cs="Times New Roman"/>
                <w:sz w:val="18"/>
                <w:szCs w:val="18"/>
              </w:rPr>
              <w:t>. No information given on depuration half-life.</w:t>
            </w:r>
          </w:p>
        </w:tc>
        <w:tc>
          <w:tcPr>
            <w:tcW w:w="1026" w:type="dxa"/>
          </w:tcPr>
          <w:p w14:paraId="19E3F12E" w14:textId="463A761C" w:rsidR="00FC2B2F" w:rsidRPr="000C7CFA" w:rsidRDefault="00FC2B2F" w:rsidP="008B0C2E">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ECHA (2014</w:t>
            </w:r>
            <w:r w:rsidR="008B0C2E" w:rsidRPr="000C7CFA">
              <w:rPr>
                <w:rFonts w:ascii="Verdana" w:eastAsia="BatangChe" w:hAnsi="Verdana" w:cs="Times New Roman"/>
                <w:sz w:val="18"/>
                <w:szCs w:val="18"/>
              </w:rPr>
              <w:t>b</w:t>
            </w:r>
            <w:r w:rsidRPr="000C7CFA">
              <w:rPr>
                <w:rFonts w:ascii="Verdana" w:eastAsia="BatangChe" w:hAnsi="Verdana" w:cs="Times New Roman"/>
                <w:sz w:val="18"/>
                <w:szCs w:val="18"/>
              </w:rPr>
              <w:t>)</w:t>
            </w:r>
          </w:p>
        </w:tc>
      </w:tr>
      <w:tr w:rsidR="00FC2B2F" w:rsidRPr="000C7CFA" w14:paraId="7193D638" w14:textId="77777777" w:rsidTr="002D4EB9">
        <w:trPr>
          <w:cantSplit/>
        </w:trPr>
        <w:tc>
          <w:tcPr>
            <w:tcW w:w="2016" w:type="dxa"/>
          </w:tcPr>
          <w:p w14:paraId="46A74899"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5-</w:t>
            </w:r>
            <w:r w:rsidRPr="000C7CFA">
              <w:rPr>
                <w:rFonts w:ascii="Verdana" w:eastAsia="BatangChe" w:hAnsi="Verdana" w:cs="Times New Roman"/>
                <w:i/>
                <w:sz w:val="18"/>
                <w:szCs w:val="18"/>
              </w:rPr>
              <w:t>tert</w:t>
            </w:r>
            <w:r w:rsidRPr="000C7CFA">
              <w:rPr>
                <w:rFonts w:ascii="Verdana" w:eastAsia="BatangChe" w:hAnsi="Verdana" w:cs="Times New Roman"/>
                <w:sz w:val="18"/>
                <w:szCs w:val="18"/>
              </w:rPr>
              <w:t>-Butyl-2,4,6-trinitro-m-xylene (musk xylene)</w:t>
            </w:r>
          </w:p>
        </w:tc>
        <w:tc>
          <w:tcPr>
            <w:tcW w:w="1000" w:type="dxa"/>
          </w:tcPr>
          <w:p w14:paraId="1A98FFD5"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81-15-2</w:t>
            </w:r>
          </w:p>
        </w:tc>
        <w:tc>
          <w:tcPr>
            <w:tcW w:w="999" w:type="dxa"/>
          </w:tcPr>
          <w:p w14:paraId="7A9B5795" w14:textId="77777777"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297.3</w:t>
            </w:r>
          </w:p>
        </w:tc>
        <w:tc>
          <w:tcPr>
            <w:tcW w:w="895" w:type="dxa"/>
          </w:tcPr>
          <w:p w14:paraId="347BDABA" w14:textId="410C6505" w:rsidR="00FC2B2F" w:rsidRPr="000C7CFA" w:rsidRDefault="002D4EB9" w:rsidP="002D4EB9">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3 </w:t>
            </w:r>
            <w:r w:rsidR="00FC2B2F" w:rsidRPr="000C7CFA">
              <w:rPr>
                <w:rFonts w:ascii="Verdana" w:eastAsia="BatangChe" w:hAnsi="Verdana" w:cs="Times New Roman"/>
                <w:sz w:val="18"/>
                <w:szCs w:val="18"/>
              </w:rPr>
              <w:t>730 and 10</w:t>
            </w:r>
            <w:r w:rsidRPr="000C7CFA">
              <w:rPr>
                <w:rFonts w:ascii="Verdana" w:eastAsia="BatangChe" w:hAnsi="Verdana" w:cs="Times New Roman"/>
                <w:sz w:val="18"/>
                <w:szCs w:val="18"/>
              </w:rPr>
              <w:t> </w:t>
            </w:r>
            <w:r w:rsidR="00FC2B2F" w:rsidRPr="000C7CFA">
              <w:rPr>
                <w:rFonts w:ascii="Verdana" w:eastAsia="BatangChe" w:hAnsi="Verdana" w:cs="Times New Roman"/>
                <w:sz w:val="18"/>
                <w:szCs w:val="18"/>
              </w:rPr>
              <w:t>500</w:t>
            </w:r>
          </w:p>
        </w:tc>
        <w:tc>
          <w:tcPr>
            <w:tcW w:w="895" w:type="dxa"/>
          </w:tcPr>
          <w:p w14:paraId="0E82E51E"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9.89 and 32.7</w:t>
            </w:r>
          </w:p>
          <w:p w14:paraId="4E9C77AE"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(estimated)</w:t>
            </w:r>
          </w:p>
        </w:tc>
        <w:tc>
          <w:tcPr>
            <w:tcW w:w="895" w:type="dxa"/>
          </w:tcPr>
          <w:p w14:paraId="63A8287F"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0.033 and 0.11</w:t>
            </w:r>
          </w:p>
        </w:tc>
        <w:tc>
          <w:tcPr>
            <w:tcW w:w="1375" w:type="dxa"/>
          </w:tcPr>
          <w:p w14:paraId="45268B9E"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1.24 and 3.5</w:t>
            </w:r>
          </w:p>
        </w:tc>
        <w:tc>
          <w:tcPr>
            <w:tcW w:w="5074" w:type="dxa"/>
          </w:tcPr>
          <w:p w14:paraId="72C7136C" w14:textId="4F5AB4F4" w:rsidR="00FC2B2F" w:rsidRPr="000C7CFA" w:rsidRDefault="00FC2B2F" w:rsidP="00FC2B2F">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Steady state not reached – plateau fish concentrations were estimated using a one-compartment model. Fish lipid content 3.</w:t>
            </w:r>
            <w:r w:rsidR="00AF7606" w:rsidRPr="000C7CFA">
              <w:rPr>
                <w:rFonts w:ascii="Verdana" w:eastAsia="BatangChe" w:hAnsi="Verdana" w:cs="Times New Roman"/>
                <w:sz w:val="18"/>
                <w:szCs w:val="18"/>
              </w:rPr>
              <w:t>4 %</w:t>
            </w:r>
            <w:r w:rsidRPr="000C7CFA">
              <w:rPr>
                <w:rFonts w:ascii="Verdana" w:eastAsia="BatangChe" w:hAnsi="Verdana" w:cs="Times New Roman"/>
                <w:sz w:val="18"/>
                <w:szCs w:val="18"/>
              </w:rPr>
              <w:t>. Depuration half-life 2.8-4.2 days.</w:t>
            </w:r>
          </w:p>
          <w:p w14:paraId="5A410D12" w14:textId="77777777" w:rsidR="00FC2B2F" w:rsidRPr="000C7CFA" w:rsidRDefault="00FC2B2F" w:rsidP="00DF46A5">
            <w:pPr>
              <w:pStyle w:val="NoSpacing"/>
              <w:spacing w:after="0"/>
              <w:rPr>
                <w:rFonts w:ascii="Verdana" w:eastAsia="BatangChe" w:hAnsi="Verdana" w:cs="Times New Roman"/>
                <w:sz w:val="18"/>
                <w:szCs w:val="18"/>
              </w:rPr>
            </w:pPr>
          </w:p>
          <w:p w14:paraId="0C9F48AE"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Another study resulted in slightly lower fish concentrations (but still &gt;1 mg/kg).</w:t>
            </w:r>
          </w:p>
        </w:tc>
        <w:tc>
          <w:tcPr>
            <w:tcW w:w="1026" w:type="dxa"/>
          </w:tcPr>
          <w:p w14:paraId="55B3E638" w14:textId="62153692"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ECHA (2008c)</w:t>
            </w:r>
          </w:p>
        </w:tc>
      </w:tr>
      <w:tr w:rsidR="00FC2B2F" w:rsidRPr="000C7CFA" w14:paraId="16DB3DF1" w14:textId="77777777" w:rsidTr="002D4EB9">
        <w:trPr>
          <w:cantSplit/>
          <w:trHeight w:val="464"/>
        </w:trPr>
        <w:tc>
          <w:tcPr>
            <w:tcW w:w="2016" w:type="dxa"/>
          </w:tcPr>
          <w:p w14:paraId="4F8E276A" w14:textId="3CF1BB50"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Hexabromocyclo</w:t>
            </w:r>
            <w:r w:rsidR="002D4EB9" w:rsidRPr="000C7CFA">
              <w:rPr>
                <w:rFonts w:ascii="Verdana" w:eastAsia="BatangChe" w:hAnsi="Verdana" w:cs="Times New Roman"/>
                <w:sz w:val="18"/>
                <w:szCs w:val="18"/>
              </w:rPr>
              <w:t>-</w:t>
            </w:r>
            <w:r w:rsidRPr="000C7CFA">
              <w:rPr>
                <w:rFonts w:ascii="Verdana" w:eastAsia="BatangChe" w:hAnsi="Verdana" w:cs="Times New Roman"/>
                <w:sz w:val="18"/>
                <w:szCs w:val="18"/>
              </w:rPr>
              <w:t>dodecane (HBCDD)</w:t>
            </w:r>
          </w:p>
        </w:tc>
        <w:tc>
          <w:tcPr>
            <w:tcW w:w="1000" w:type="dxa"/>
          </w:tcPr>
          <w:p w14:paraId="1B8AFE21"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25637-99-4</w:t>
            </w:r>
          </w:p>
        </w:tc>
        <w:tc>
          <w:tcPr>
            <w:tcW w:w="999" w:type="dxa"/>
          </w:tcPr>
          <w:p w14:paraId="3E43EBB0" w14:textId="77777777"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641.7</w:t>
            </w:r>
          </w:p>
        </w:tc>
        <w:tc>
          <w:tcPr>
            <w:tcW w:w="895" w:type="dxa"/>
          </w:tcPr>
          <w:p w14:paraId="4EB5A584" w14:textId="2C6F78EB" w:rsidR="00FC2B2F" w:rsidRPr="000C7CFA" w:rsidRDefault="002D4EB9"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18 100 and 13 </w:t>
            </w:r>
            <w:r w:rsidR="00FC2B2F" w:rsidRPr="000C7CFA">
              <w:rPr>
                <w:rFonts w:ascii="Verdana" w:eastAsia="BatangChe" w:hAnsi="Verdana" w:cs="Times New Roman"/>
                <w:sz w:val="18"/>
                <w:szCs w:val="18"/>
              </w:rPr>
              <w:t>085</w:t>
            </w:r>
          </w:p>
        </w:tc>
        <w:tc>
          <w:tcPr>
            <w:tcW w:w="895" w:type="dxa"/>
          </w:tcPr>
          <w:p w14:paraId="299B85FB"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112 and 4.45</w:t>
            </w:r>
          </w:p>
        </w:tc>
        <w:tc>
          <w:tcPr>
            <w:tcW w:w="895" w:type="dxa"/>
          </w:tcPr>
          <w:p w14:paraId="4E6FBD88"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0.17 and 0.0069</w:t>
            </w:r>
          </w:p>
        </w:tc>
        <w:tc>
          <w:tcPr>
            <w:tcW w:w="1375" w:type="dxa"/>
          </w:tcPr>
          <w:p w14:paraId="2FC6F1F5"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0.76 and 0.55</w:t>
            </w:r>
          </w:p>
        </w:tc>
        <w:tc>
          <w:tcPr>
            <w:tcW w:w="5074" w:type="dxa"/>
          </w:tcPr>
          <w:p w14:paraId="7E3D1EE3"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Fish lipid content not specified. No information given on depuration half-life.</w:t>
            </w:r>
          </w:p>
        </w:tc>
        <w:tc>
          <w:tcPr>
            <w:tcW w:w="1026" w:type="dxa"/>
          </w:tcPr>
          <w:p w14:paraId="09D6F755" w14:textId="62DB580D" w:rsidR="00FC2B2F" w:rsidRPr="000C7CFA" w:rsidRDefault="00FC2B2F" w:rsidP="00C36A9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ECHA (2008a)</w:t>
            </w:r>
          </w:p>
        </w:tc>
      </w:tr>
      <w:tr w:rsidR="00FC2B2F" w:rsidRPr="000C7CFA" w14:paraId="56855A9B" w14:textId="77777777" w:rsidTr="002D4EB9">
        <w:trPr>
          <w:cantSplit/>
        </w:trPr>
        <w:tc>
          <w:tcPr>
            <w:tcW w:w="2016" w:type="dxa"/>
          </w:tcPr>
          <w:p w14:paraId="73E3F3A8" w14:textId="20ABC395"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Henicosafluoro</w:t>
            </w:r>
            <w:r w:rsidR="002D4EB9" w:rsidRPr="000C7CFA">
              <w:rPr>
                <w:rFonts w:ascii="Verdana" w:eastAsia="BatangChe" w:hAnsi="Verdana" w:cs="Times New Roman"/>
                <w:sz w:val="18"/>
                <w:szCs w:val="18"/>
              </w:rPr>
              <w:t>-</w:t>
            </w:r>
            <w:r w:rsidRPr="000C7CFA">
              <w:rPr>
                <w:rFonts w:ascii="Verdana" w:eastAsia="BatangChe" w:hAnsi="Verdana" w:cs="Times New Roman"/>
                <w:sz w:val="18"/>
                <w:szCs w:val="18"/>
              </w:rPr>
              <w:t>undecanoic acid</w:t>
            </w:r>
          </w:p>
        </w:tc>
        <w:tc>
          <w:tcPr>
            <w:tcW w:w="1000" w:type="dxa"/>
          </w:tcPr>
          <w:p w14:paraId="0B075B36"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2058-94-8</w:t>
            </w:r>
          </w:p>
        </w:tc>
        <w:tc>
          <w:tcPr>
            <w:tcW w:w="999" w:type="dxa"/>
          </w:tcPr>
          <w:p w14:paraId="3442DEBD" w14:textId="77777777"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564.1</w:t>
            </w:r>
          </w:p>
        </w:tc>
        <w:tc>
          <w:tcPr>
            <w:tcW w:w="895" w:type="dxa"/>
          </w:tcPr>
          <w:p w14:paraId="0467D460" w14:textId="0E95B66A" w:rsidR="00FC2B2F" w:rsidRPr="000C7CFA" w:rsidRDefault="002D4EB9"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ca. 2 700 and 3 </w:t>
            </w:r>
            <w:r w:rsidR="00FC2B2F" w:rsidRPr="000C7CFA">
              <w:rPr>
                <w:rFonts w:ascii="Verdana" w:eastAsia="BatangChe" w:hAnsi="Verdana" w:cs="Times New Roman"/>
                <w:sz w:val="18"/>
                <w:szCs w:val="18"/>
              </w:rPr>
              <w:t>700</w:t>
            </w:r>
          </w:p>
        </w:tc>
        <w:tc>
          <w:tcPr>
            <w:tcW w:w="895" w:type="dxa"/>
          </w:tcPr>
          <w:p w14:paraId="1E4B26F1"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ca. 1.30 and 0.37</w:t>
            </w:r>
          </w:p>
        </w:tc>
        <w:tc>
          <w:tcPr>
            <w:tcW w:w="895" w:type="dxa"/>
          </w:tcPr>
          <w:p w14:paraId="4421AAA4"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ca. 0.0023 and ca. 0.00066</w:t>
            </w:r>
          </w:p>
        </w:tc>
        <w:tc>
          <w:tcPr>
            <w:tcW w:w="1375" w:type="dxa"/>
          </w:tcPr>
          <w:p w14:paraId="5A9C2D2B"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Not applicable</w:t>
            </w:r>
          </w:p>
        </w:tc>
        <w:tc>
          <w:tcPr>
            <w:tcW w:w="5074" w:type="dxa"/>
          </w:tcPr>
          <w:p w14:paraId="347DB16C"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BCF in first study based on carcass only. Lipid normalisation not appropriate. No information given on depuration half-life.</w:t>
            </w:r>
          </w:p>
        </w:tc>
        <w:tc>
          <w:tcPr>
            <w:tcW w:w="1026" w:type="dxa"/>
          </w:tcPr>
          <w:p w14:paraId="550C5E2A"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ECHA (2012b)</w:t>
            </w:r>
          </w:p>
        </w:tc>
      </w:tr>
      <w:tr w:rsidR="00FC2B2F" w:rsidRPr="000C7CFA" w14:paraId="07F4CB5E" w14:textId="77777777" w:rsidTr="002D4EB9">
        <w:trPr>
          <w:cantSplit/>
        </w:trPr>
        <w:tc>
          <w:tcPr>
            <w:tcW w:w="2016" w:type="dxa"/>
          </w:tcPr>
          <w:p w14:paraId="54F1D4FC" w14:textId="787AE499"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Pentacosafluoro</w:t>
            </w:r>
            <w:r w:rsidR="002D4EB9" w:rsidRPr="000C7CFA">
              <w:rPr>
                <w:rFonts w:ascii="Verdana" w:eastAsia="BatangChe" w:hAnsi="Verdana" w:cs="Times New Roman"/>
                <w:sz w:val="18"/>
                <w:szCs w:val="18"/>
              </w:rPr>
              <w:t>-</w:t>
            </w:r>
            <w:r w:rsidRPr="000C7CFA">
              <w:rPr>
                <w:rFonts w:ascii="Verdana" w:eastAsia="BatangChe" w:hAnsi="Verdana" w:cs="Times New Roman"/>
                <w:sz w:val="18"/>
                <w:szCs w:val="18"/>
              </w:rPr>
              <w:t>tridecanoic acid</w:t>
            </w:r>
          </w:p>
        </w:tc>
        <w:tc>
          <w:tcPr>
            <w:tcW w:w="1000" w:type="dxa"/>
          </w:tcPr>
          <w:p w14:paraId="5C8497DE"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72629-94-8</w:t>
            </w:r>
          </w:p>
        </w:tc>
        <w:tc>
          <w:tcPr>
            <w:tcW w:w="999" w:type="dxa"/>
          </w:tcPr>
          <w:p w14:paraId="65C3150F" w14:textId="77777777"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664.1</w:t>
            </w:r>
          </w:p>
        </w:tc>
        <w:tc>
          <w:tcPr>
            <w:tcW w:w="895" w:type="dxa"/>
          </w:tcPr>
          <w:p w14:paraId="080BD27E" w14:textId="3190EA24" w:rsidR="00FC2B2F" w:rsidRPr="000C7CFA" w:rsidRDefault="00FC2B2F" w:rsidP="002D4EB9">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ca. 18</w:t>
            </w:r>
            <w:r w:rsidR="002D4EB9" w:rsidRPr="000C7CFA">
              <w:rPr>
                <w:rFonts w:ascii="Verdana" w:eastAsia="BatangChe" w:hAnsi="Verdana" w:cs="Times New Roman"/>
                <w:sz w:val="18"/>
                <w:szCs w:val="18"/>
              </w:rPr>
              <w:t> 000 and ca. 13 </w:t>
            </w:r>
            <w:r w:rsidRPr="000C7CFA">
              <w:rPr>
                <w:rFonts w:ascii="Verdana" w:eastAsia="BatangChe" w:hAnsi="Verdana" w:cs="Times New Roman"/>
                <w:sz w:val="18"/>
                <w:szCs w:val="18"/>
              </w:rPr>
              <w:t>000</w:t>
            </w:r>
          </w:p>
        </w:tc>
        <w:tc>
          <w:tcPr>
            <w:tcW w:w="895" w:type="dxa"/>
          </w:tcPr>
          <w:p w14:paraId="4896F0C8"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ca. 3.60 and ca. 1.30</w:t>
            </w:r>
          </w:p>
        </w:tc>
        <w:tc>
          <w:tcPr>
            <w:tcW w:w="895" w:type="dxa"/>
          </w:tcPr>
          <w:p w14:paraId="61A00DA8"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ca. 0.0054 and ca. 0.0020</w:t>
            </w:r>
          </w:p>
        </w:tc>
        <w:tc>
          <w:tcPr>
            <w:tcW w:w="1375" w:type="dxa"/>
          </w:tcPr>
          <w:p w14:paraId="5438E08A"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Not applicable</w:t>
            </w:r>
          </w:p>
        </w:tc>
        <w:tc>
          <w:tcPr>
            <w:tcW w:w="5074" w:type="dxa"/>
          </w:tcPr>
          <w:p w14:paraId="250AE74D"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BCF in first study based on carcass only; second study cited as a BCF range so estimated fish concentration is based on the average. Lipid normalisation not appropriate. No information given on depuration half-life.</w:t>
            </w:r>
          </w:p>
        </w:tc>
        <w:tc>
          <w:tcPr>
            <w:tcW w:w="1026" w:type="dxa"/>
          </w:tcPr>
          <w:p w14:paraId="2E582E4B"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ECHA (2012c)</w:t>
            </w:r>
          </w:p>
        </w:tc>
      </w:tr>
      <w:tr w:rsidR="00FC2B2F" w:rsidRPr="000C7CFA" w14:paraId="7EC2EC1F" w14:textId="77777777" w:rsidTr="002D4EB9">
        <w:trPr>
          <w:cantSplit/>
        </w:trPr>
        <w:tc>
          <w:tcPr>
            <w:tcW w:w="2016" w:type="dxa"/>
          </w:tcPr>
          <w:p w14:paraId="552A79A3" w14:textId="1DA0A7A3"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Heptacosafluoro</w:t>
            </w:r>
            <w:r w:rsidR="002D4EB9" w:rsidRPr="000C7CFA">
              <w:rPr>
                <w:rFonts w:ascii="Verdana" w:eastAsia="BatangChe" w:hAnsi="Verdana" w:cs="Times New Roman"/>
                <w:sz w:val="18"/>
                <w:szCs w:val="18"/>
              </w:rPr>
              <w:t>-</w:t>
            </w:r>
            <w:r w:rsidRPr="000C7CFA">
              <w:rPr>
                <w:rFonts w:ascii="Verdana" w:eastAsia="BatangChe" w:hAnsi="Verdana" w:cs="Times New Roman"/>
                <w:sz w:val="18"/>
                <w:szCs w:val="18"/>
              </w:rPr>
              <w:t>tetradecanoic acid</w:t>
            </w:r>
          </w:p>
        </w:tc>
        <w:tc>
          <w:tcPr>
            <w:tcW w:w="1000" w:type="dxa"/>
          </w:tcPr>
          <w:p w14:paraId="59894DA9"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376-06-7</w:t>
            </w:r>
          </w:p>
        </w:tc>
        <w:tc>
          <w:tcPr>
            <w:tcW w:w="999" w:type="dxa"/>
          </w:tcPr>
          <w:p w14:paraId="0375385F" w14:textId="77777777"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714.1</w:t>
            </w:r>
          </w:p>
        </w:tc>
        <w:tc>
          <w:tcPr>
            <w:tcW w:w="895" w:type="dxa"/>
          </w:tcPr>
          <w:p w14:paraId="43003E2C" w14:textId="4918AC73" w:rsidR="00FC2B2F" w:rsidRPr="000C7CFA" w:rsidRDefault="00FC2B2F" w:rsidP="002D4EB9">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ca. 23</w:t>
            </w:r>
            <w:r w:rsidR="002D4EB9" w:rsidRPr="000C7CFA">
              <w:rPr>
                <w:rFonts w:ascii="Verdana" w:eastAsia="BatangChe" w:hAnsi="Verdana" w:cs="Times New Roman"/>
                <w:sz w:val="18"/>
                <w:szCs w:val="18"/>
              </w:rPr>
              <w:t> 000 and ca. 16 </w:t>
            </w:r>
            <w:r w:rsidRPr="000C7CFA">
              <w:rPr>
                <w:rFonts w:ascii="Verdana" w:eastAsia="BatangChe" w:hAnsi="Verdana" w:cs="Times New Roman"/>
                <w:sz w:val="18"/>
                <w:szCs w:val="18"/>
              </w:rPr>
              <w:t xml:space="preserve">500 </w:t>
            </w:r>
          </w:p>
        </w:tc>
        <w:tc>
          <w:tcPr>
            <w:tcW w:w="895" w:type="dxa"/>
          </w:tcPr>
          <w:p w14:paraId="7B5DF785"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ca. 0.32 and ca. 1.65</w:t>
            </w:r>
          </w:p>
        </w:tc>
        <w:tc>
          <w:tcPr>
            <w:tcW w:w="895" w:type="dxa"/>
          </w:tcPr>
          <w:p w14:paraId="5EEDABD7"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ca. 0.000045 and ca. 0.0023</w:t>
            </w:r>
          </w:p>
        </w:tc>
        <w:tc>
          <w:tcPr>
            <w:tcW w:w="1375" w:type="dxa"/>
          </w:tcPr>
          <w:p w14:paraId="5EE64121"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Not applicable</w:t>
            </w:r>
          </w:p>
        </w:tc>
        <w:tc>
          <w:tcPr>
            <w:tcW w:w="5074" w:type="dxa"/>
          </w:tcPr>
          <w:p w14:paraId="425D69A7"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BCF in first study based on carcass only; second study cited as a BCF range so estimated fish concentration is based on the average. Lipid normalisation not appropriate. No information given on depuration half-life.</w:t>
            </w:r>
          </w:p>
        </w:tc>
        <w:tc>
          <w:tcPr>
            <w:tcW w:w="1026" w:type="dxa"/>
          </w:tcPr>
          <w:p w14:paraId="14AAFD45"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ECHA (2012d)</w:t>
            </w:r>
          </w:p>
        </w:tc>
      </w:tr>
      <w:tr w:rsidR="00FC2B2F" w:rsidRPr="000C7CFA" w14:paraId="4ECF9A0A" w14:textId="77777777" w:rsidTr="002D4EB9">
        <w:trPr>
          <w:cantSplit/>
        </w:trPr>
        <w:tc>
          <w:tcPr>
            <w:tcW w:w="2016" w:type="dxa"/>
          </w:tcPr>
          <w:p w14:paraId="16E959F9" w14:textId="54C84F86"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lastRenderedPageBreak/>
              <w:t>Octamethylcyclo</w:t>
            </w:r>
            <w:r w:rsidR="002D4EB9" w:rsidRPr="000C7CFA">
              <w:rPr>
                <w:rFonts w:ascii="Verdana" w:eastAsia="BatangChe" w:hAnsi="Verdana" w:cs="Times New Roman"/>
                <w:sz w:val="18"/>
                <w:szCs w:val="18"/>
              </w:rPr>
              <w:t>-</w:t>
            </w:r>
            <w:r w:rsidRPr="000C7CFA">
              <w:rPr>
                <w:rFonts w:ascii="Verdana" w:eastAsia="BatangChe" w:hAnsi="Verdana" w:cs="Times New Roman"/>
                <w:sz w:val="18"/>
                <w:szCs w:val="18"/>
              </w:rPr>
              <w:t>tetrasiloxane (D4)</w:t>
            </w:r>
          </w:p>
        </w:tc>
        <w:tc>
          <w:tcPr>
            <w:tcW w:w="1000" w:type="dxa"/>
          </w:tcPr>
          <w:p w14:paraId="112D70EA"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556-67-2</w:t>
            </w:r>
          </w:p>
        </w:tc>
        <w:tc>
          <w:tcPr>
            <w:tcW w:w="999" w:type="dxa"/>
          </w:tcPr>
          <w:p w14:paraId="1751711D" w14:textId="77777777"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296.6</w:t>
            </w:r>
          </w:p>
        </w:tc>
        <w:tc>
          <w:tcPr>
            <w:tcW w:w="895" w:type="dxa"/>
          </w:tcPr>
          <w:p w14:paraId="2A6D308A" w14:textId="2AA68AF8" w:rsidR="00FC2B2F" w:rsidRPr="000C7CFA" w:rsidRDefault="00FC2B2F" w:rsidP="008610EB">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≥11</w:t>
            </w:r>
            <w:r w:rsidR="008610EB" w:rsidRPr="000C7CFA">
              <w:rPr>
                <w:rFonts w:ascii="Verdana" w:eastAsia="BatangChe" w:hAnsi="Verdana" w:cs="Times New Roman"/>
                <w:sz w:val="18"/>
                <w:szCs w:val="18"/>
              </w:rPr>
              <w:t> </w:t>
            </w:r>
            <w:r w:rsidRPr="000C7CFA">
              <w:rPr>
                <w:rFonts w:ascii="Verdana" w:eastAsia="BatangChe" w:hAnsi="Verdana" w:cs="Times New Roman"/>
                <w:sz w:val="18"/>
                <w:szCs w:val="18"/>
              </w:rPr>
              <w:t>495</w:t>
            </w:r>
          </w:p>
        </w:tc>
        <w:tc>
          <w:tcPr>
            <w:tcW w:w="895" w:type="dxa"/>
          </w:tcPr>
          <w:p w14:paraId="39EBF127"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≥2.64</w:t>
            </w:r>
          </w:p>
        </w:tc>
        <w:tc>
          <w:tcPr>
            <w:tcW w:w="895" w:type="dxa"/>
          </w:tcPr>
          <w:p w14:paraId="2B8F48E6"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≥0.0089</w:t>
            </w:r>
          </w:p>
        </w:tc>
        <w:tc>
          <w:tcPr>
            <w:tcW w:w="1375" w:type="dxa"/>
          </w:tcPr>
          <w:p w14:paraId="32EC7054"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0.05</w:t>
            </w:r>
          </w:p>
        </w:tc>
        <w:tc>
          <w:tcPr>
            <w:tcW w:w="5074" w:type="dxa"/>
          </w:tcPr>
          <w:p w14:paraId="339E1903" w14:textId="66373055"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Fish lipid content 6.</w:t>
            </w:r>
            <w:r w:rsidR="00AF7606" w:rsidRPr="000C7CFA">
              <w:rPr>
                <w:rFonts w:ascii="Verdana" w:eastAsia="BatangChe" w:hAnsi="Verdana" w:cs="Times New Roman"/>
                <w:sz w:val="18"/>
                <w:szCs w:val="18"/>
              </w:rPr>
              <w:t>4 %</w:t>
            </w:r>
            <w:r w:rsidRPr="000C7CFA">
              <w:rPr>
                <w:rFonts w:ascii="Verdana" w:eastAsia="BatangChe" w:hAnsi="Verdana" w:cs="Times New Roman"/>
                <w:sz w:val="18"/>
                <w:szCs w:val="18"/>
              </w:rPr>
              <w:t>. Depuration half-lives reported to be around 3.8 days in one study and 105 days in another.</w:t>
            </w:r>
          </w:p>
        </w:tc>
        <w:tc>
          <w:tcPr>
            <w:tcW w:w="1026" w:type="dxa"/>
          </w:tcPr>
          <w:p w14:paraId="53326167"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EA (2009a)</w:t>
            </w:r>
          </w:p>
        </w:tc>
      </w:tr>
      <w:tr w:rsidR="00FC2B2F" w:rsidRPr="000C7CFA" w14:paraId="7E58AB65" w14:textId="77777777" w:rsidTr="002D4EB9">
        <w:trPr>
          <w:cantSplit/>
        </w:trPr>
        <w:tc>
          <w:tcPr>
            <w:tcW w:w="2016" w:type="dxa"/>
          </w:tcPr>
          <w:p w14:paraId="0D554183" w14:textId="3E6E9834" w:rsidR="00FC2B2F" w:rsidRPr="000C7CFA" w:rsidRDefault="00FC2B2F" w:rsidP="002D4EB9">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Decamethylcyclo</w:t>
            </w:r>
            <w:r w:rsidR="002D4EB9" w:rsidRPr="000C7CFA">
              <w:rPr>
                <w:rFonts w:ascii="Verdana" w:eastAsia="BatangChe" w:hAnsi="Verdana" w:cs="Times New Roman"/>
                <w:sz w:val="18"/>
                <w:szCs w:val="18"/>
              </w:rPr>
              <w:t>-</w:t>
            </w:r>
            <w:r w:rsidRPr="000C7CFA">
              <w:rPr>
                <w:rFonts w:ascii="Verdana" w:eastAsia="BatangChe" w:hAnsi="Verdana" w:cs="Times New Roman"/>
                <w:sz w:val="18"/>
                <w:szCs w:val="18"/>
              </w:rPr>
              <w:t>pentasiloxane (D5)</w:t>
            </w:r>
          </w:p>
        </w:tc>
        <w:tc>
          <w:tcPr>
            <w:tcW w:w="1000" w:type="dxa"/>
          </w:tcPr>
          <w:p w14:paraId="1ABEE3D5"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541-02-6</w:t>
            </w:r>
          </w:p>
        </w:tc>
        <w:tc>
          <w:tcPr>
            <w:tcW w:w="999" w:type="dxa"/>
          </w:tcPr>
          <w:p w14:paraId="2837206C" w14:textId="77777777"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370.8</w:t>
            </w:r>
          </w:p>
        </w:tc>
        <w:tc>
          <w:tcPr>
            <w:tcW w:w="895" w:type="dxa"/>
          </w:tcPr>
          <w:p w14:paraId="65E391FE" w14:textId="40363512" w:rsidR="00FC2B2F" w:rsidRPr="000C7CFA" w:rsidRDefault="002D4EB9" w:rsidP="002D4EB9">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≥5 </w:t>
            </w:r>
            <w:r w:rsidR="00FC2B2F" w:rsidRPr="000C7CFA">
              <w:rPr>
                <w:rFonts w:ascii="Verdana" w:eastAsia="BatangChe" w:hAnsi="Verdana" w:cs="Times New Roman"/>
                <w:sz w:val="18"/>
                <w:szCs w:val="18"/>
              </w:rPr>
              <w:t>860 and ca. 12</w:t>
            </w:r>
            <w:r w:rsidRPr="000C7CFA">
              <w:rPr>
                <w:rFonts w:ascii="Verdana" w:eastAsia="BatangChe" w:hAnsi="Verdana" w:cs="Times New Roman"/>
                <w:sz w:val="18"/>
                <w:szCs w:val="18"/>
              </w:rPr>
              <w:t> </w:t>
            </w:r>
            <w:r w:rsidR="00FC2B2F" w:rsidRPr="000C7CFA">
              <w:rPr>
                <w:rFonts w:ascii="Verdana" w:eastAsia="BatangChe" w:hAnsi="Verdana" w:cs="Times New Roman"/>
                <w:sz w:val="18"/>
                <w:szCs w:val="18"/>
              </w:rPr>
              <w:t>600</w:t>
            </w:r>
          </w:p>
        </w:tc>
        <w:tc>
          <w:tcPr>
            <w:tcW w:w="895" w:type="dxa"/>
          </w:tcPr>
          <w:p w14:paraId="6664B768"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≥24.3 and 13.0</w:t>
            </w:r>
          </w:p>
        </w:tc>
        <w:tc>
          <w:tcPr>
            <w:tcW w:w="895" w:type="dxa"/>
          </w:tcPr>
          <w:p w14:paraId="40DCED78" w14:textId="77777777" w:rsidR="00FC2B2F" w:rsidRPr="000C7CFA" w:rsidRDefault="00FC2B2F" w:rsidP="00FC2B2F">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≥0.066 and ca. 0.035</w:t>
            </w:r>
          </w:p>
        </w:tc>
        <w:tc>
          <w:tcPr>
            <w:tcW w:w="1375" w:type="dxa"/>
          </w:tcPr>
          <w:p w14:paraId="768EE284" w14:textId="77777777" w:rsidR="00FC2B2F" w:rsidRPr="000C7CFA" w:rsidRDefault="00FC2B2F" w:rsidP="00FC2B2F">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0.001 and 0.002</w:t>
            </w:r>
          </w:p>
        </w:tc>
        <w:tc>
          <w:tcPr>
            <w:tcW w:w="5074" w:type="dxa"/>
          </w:tcPr>
          <w:p w14:paraId="6294DE8F" w14:textId="163D2605" w:rsidR="00FC2B2F" w:rsidRPr="000C7CFA" w:rsidRDefault="00FC2B2F" w:rsidP="002811B1">
            <w:pPr>
              <w:autoSpaceDE w:val="0"/>
              <w:autoSpaceDN w:val="0"/>
              <w:adjustRightInd w:val="0"/>
              <w:spacing w:after="0"/>
              <w:rPr>
                <w:rFonts w:ascii="Verdana" w:eastAsia="BatangChe" w:hAnsi="Verdana"/>
                <w:sz w:val="18"/>
                <w:szCs w:val="18"/>
              </w:rPr>
            </w:pPr>
            <w:r w:rsidRPr="000C7CFA">
              <w:rPr>
                <w:rFonts w:ascii="Verdana" w:eastAsia="BatangChe" w:hAnsi="Verdana"/>
                <w:sz w:val="18"/>
                <w:szCs w:val="18"/>
              </w:rPr>
              <w:t>In the first study, fish lipid content varied from 2.9 to 4.</w:t>
            </w:r>
            <w:r w:rsidR="00AF7606" w:rsidRPr="000C7CFA">
              <w:rPr>
                <w:rFonts w:ascii="Verdana" w:eastAsia="BatangChe" w:hAnsi="Verdana"/>
                <w:sz w:val="18"/>
                <w:szCs w:val="18"/>
              </w:rPr>
              <w:t>1 %</w:t>
            </w:r>
            <w:r w:rsidRPr="000C7CFA">
              <w:rPr>
                <w:rFonts w:ascii="Verdana" w:eastAsia="BatangChe" w:hAnsi="Verdana"/>
                <w:sz w:val="18"/>
                <w:szCs w:val="18"/>
              </w:rPr>
              <w:t xml:space="preserve"> during the uptake phase. In the second study, the variation was less and the mean lipid content was 5.7</w:t>
            </w:r>
            <w:r w:rsidR="00AF7606" w:rsidRPr="000C7CFA">
              <w:rPr>
                <w:rFonts w:ascii="Verdana" w:eastAsia="BatangChe" w:hAnsi="Verdana"/>
                <w:sz w:val="18"/>
                <w:szCs w:val="18"/>
              </w:rPr>
              <w:t>1 %</w:t>
            </w:r>
            <w:r w:rsidRPr="000C7CFA">
              <w:rPr>
                <w:rFonts w:ascii="Verdana" w:eastAsia="BatangChe" w:hAnsi="Verdana"/>
                <w:sz w:val="18"/>
                <w:szCs w:val="18"/>
              </w:rPr>
              <w:t>. Depuration half-lives of 24-39 days were determined in one study and 19-22 days in another study.</w:t>
            </w:r>
          </w:p>
        </w:tc>
        <w:tc>
          <w:tcPr>
            <w:tcW w:w="1026" w:type="dxa"/>
          </w:tcPr>
          <w:p w14:paraId="042AF07D"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EA (2009b) and EA (2014)</w:t>
            </w:r>
          </w:p>
        </w:tc>
      </w:tr>
      <w:tr w:rsidR="00FC2B2F" w:rsidRPr="000C7CFA" w14:paraId="5961C8EA" w14:textId="77777777" w:rsidTr="002D4EB9">
        <w:trPr>
          <w:cantSplit/>
        </w:trPr>
        <w:tc>
          <w:tcPr>
            <w:tcW w:w="2016" w:type="dxa"/>
          </w:tcPr>
          <w:p w14:paraId="2AB4468A" w14:textId="33D1DD41"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Pentabromo</w:t>
            </w:r>
            <w:r w:rsidR="002D4EB9" w:rsidRPr="000C7CFA">
              <w:rPr>
                <w:rFonts w:ascii="Verdana" w:eastAsia="BatangChe" w:hAnsi="Verdana" w:cs="Times New Roman"/>
                <w:sz w:val="18"/>
                <w:szCs w:val="18"/>
              </w:rPr>
              <w:t>-</w:t>
            </w:r>
            <w:r w:rsidRPr="000C7CFA">
              <w:rPr>
                <w:rFonts w:ascii="Verdana" w:eastAsia="BatangChe" w:hAnsi="Verdana" w:cs="Times New Roman"/>
                <w:sz w:val="18"/>
                <w:szCs w:val="18"/>
              </w:rPr>
              <w:t>diphenyl ether (pentaBDE)</w:t>
            </w:r>
          </w:p>
        </w:tc>
        <w:tc>
          <w:tcPr>
            <w:tcW w:w="1000" w:type="dxa"/>
          </w:tcPr>
          <w:p w14:paraId="6102F7EB" w14:textId="77777777"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32534-81-9</w:t>
            </w:r>
          </w:p>
        </w:tc>
        <w:tc>
          <w:tcPr>
            <w:tcW w:w="999" w:type="dxa"/>
          </w:tcPr>
          <w:p w14:paraId="49EDDFC4" w14:textId="4BC5322E"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Penta</w:t>
            </w:r>
            <w:r w:rsidR="002D4EB9" w:rsidRPr="000C7CFA">
              <w:rPr>
                <w:rFonts w:ascii="Verdana" w:eastAsia="BatangChe" w:hAnsi="Verdana"/>
                <w:sz w:val="18"/>
                <w:szCs w:val="18"/>
              </w:rPr>
              <w:t>-</w:t>
            </w:r>
            <w:r w:rsidRPr="000C7CFA">
              <w:rPr>
                <w:rFonts w:ascii="Verdana" w:eastAsia="BatangChe" w:hAnsi="Verdana"/>
                <w:sz w:val="18"/>
                <w:szCs w:val="18"/>
              </w:rPr>
              <w:t xml:space="preserve">BDE: 564.7 </w:t>
            </w:r>
          </w:p>
          <w:p w14:paraId="45AE4389" w14:textId="77777777" w:rsidR="00FC2B2F" w:rsidRPr="000C7CFA" w:rsidRDefault="00FC2B2F" w:rsidP="002811B1">
            <w:pPr>
              <w:autoSpaceDE w:val="0"/>
              <w:autoSpaceDN w:val="0"/>
              <w:adjustRightInd w:val="0"/>
              <w:spacing w:after="0"/>
              <w:jc w:val="center"/>
              <w:rPr>
                <w:rFonts w:ascii="Verdana" w:eastAsia="BatangChe" w:hAnsi="Verdana"/>
                <w:sz w:val="18"/>
                <w:szCs w:val="18"/>
              </w:rPr>
            </w:pPr>
          </w:p>
          <w:p w14:paraId="4961B6BC" w14:textId="7E0BAF33" w:rsidR="00FC2B2F" w:rsidRPr="000C7CFA" w:rsidRDefault="00FC2B2F" w:rsidP="002811B1">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Hexa</w:t>
            </w:r>
            <w:r w:rsidR="002D4EB9" w:rsidRPr="000C7CFA">
              <w:rPr>
                <w:rFonts w:ascii="Verdana" w:eastAsia="BatangChe" w:hAnsi="Verdana"/>
                <w:sz w:val="18"/>
                <w:szCs w:val="18"/>
              </w:rPr>
              <w:t>-</w:t>
            </w:r>
            <w:r w:rsidRPr="000C7CFA">
              <w:rPr>
                <w:rFonts w:ascii="Verdana" w:eastAsia="BatangChe" w:hAnsi="Verdana"/>
                <w:sz w:val="18"/>
                <w:szCs w:val="18"/>
              </w:rPr>
              <w:t>BDE: 643.6</w:t>
            </w:r>
          </w:p>
        </w:tc>
        <w:tc>
          <w:tcPr>
            <w:tcW w:w="895" w:type="dxa"/>
          </w:tcPr>
          <w:p w14:paraId="44AC2D94" w14:textId="578CB33E"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Penta</w:t>
            </w:r>
            <w:r w:rsidR="002D4EB9" w:rsidRPr="000C7CFA">
              <w:rPr>
                <w:rFonts w:ascii="Verdana" w:eastAsia="BatangChe" w:hAnsi="Verdana" w:cs="Times New Roman"/>
                <w:sz w:val="18"/>
                <w:szCs w:val="18"/>
              </w:rPr>
              <w:t>-</w:t>
            </w:r>
            <w:r w:rsidRPr="000C7CFA">
              <w:rPr>
                <w:rFonts w:ascii="Verdana" w:eastAsia="BatangChe" w:hAnsi="Verdana" w:cs="Times New Roman"/>
                <w:sz w:val="18"/>
                <w:szCs w:val="18"/>
              </w:rPr>
              <w:t>BDE: ca. 17</w:t>
            </w:r>
            <w:r w:rsidR="002D4EB9" w:rsidRPr="000C7CFA">
              <w:rPr>
                <w:rFonts w:ascii="Verdana" w:eastAsia="BatangChe" w:hAnsi="Verdana" w:cs="Times New Roman"/>
                <w:sz w:val="18"/>
                <w:szCs w:val="18"/>
              </w:rPr>
              <w:t> </w:t>
            </w:r>
            <w:r w:rsidRPr="000C7CFA">
              <w:rPr>
                <w:rFonts w:ascii="Verdana" w:eastAsia="BatangChe" w:hAnsi="Verdana" w:cs="Times New Roman"/>
                <w:sz w:val="18"/>
                <w:szCs w:val="18"/>
              </w:rPr>
              <w:t>700</w:t>
            </w:r>
          </w:p>
          <w:p w14:paraId="1C5D5418" w14:textId="77777777" w:rsidR="00FC2B2F" w:rsidRPr="000C7CFA" w:rsidRDefault="00FC2B2F" w:rsidP="00DF46A5">
            <w:pPr>
              <w:pStyle w:val="NoSpacing"/>
              <w:spacing w:after="0"/>
              <w:jc w:val="center"/>
              <w:rPr>
                <w:rFonts w:ascii="Verdana" w:eastAsia="BatangChe" w:hAnsi="Verdana" w:cs="Times New Roman"/>
                <w:sz w:val="18"/>
                <w:szCs w:val="18"/>
              </w:rPr>
            </w:pPr>
          </w:p>
          <w:p w14:paraId="436FE194" w14:textId="44FC90B2" w:rsidR="00FC2B2F" w:rsidRPr="000C7CFA" w:rsidRDefault="00FC2B2F" w:rsidP="002D4EB9">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Hexa</w:t>
            </w:r>
            <w:r w:rsidR="002D4EB9" w:rsidRPr="000C7CFA">
              <w:rPr>
                <w:rFonts w:ascii="Verdana" w:eastAsia="BatangChe" w:hAnsi="Verdana" w:cs="Times New Roman"/>
                <w:sz w:val="18"/>
                <w:szCs w:val="18"/>
              </w:rPr>
              <w:t>-</w:t>
            </w:r>
            <w:r w:rsidRPr="000C7CFA">
              <w:rPr>
                <w:rFonts w:ascii="Verdana" w:eastAsia="BatangChe" w:hAnsi="Verdana" w:cs="Times New Roman"/>
                <w:sz w:val="18"/>
                <w:szCs w:val="18"/>
              </w:rPr>
              <w:t>BDE: ca. 5</w:t>
            </w:r>
            <w:r w:rsidR="002D4EB9" w:rsidRPr="000C7CFA">
              <w:rPr>
                <w:rFonts w:ascii="Verdana" w:eastAsia="BatangChe" w:hAnsi="Verdana" w:cs="Times New Roman"/>
                <w:sz w:val="18"/>
                <w:szCs w:val="18"/>
              </w:rPr>
              <w:t> </w:t>
            </w:r>
            <w:r w:rsidRPr="000C7CFA">
              <w:rPr>
                <w:rFonts w:ascii="Verdana" w:eastAsia="BatangChe" w:hAnsi="Verdana" w:cs="Times New Roman"/>
                <w:sz w:val="18"/>
                <w:szCs w:val="18"/>
              </w:rPr>
              <w:t>640</w:t>
            </w:r>
          </w:p>
        </w:tc>
        <w:tc>
          <w:tcPr>
            <w:tcW w:w="895" w:type="dxa"/>
          </w:tcPr>
          <w:p w14:paraId="362DC1D5" w14:textId="6722F4B0"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Penta</w:t>
            </w:r>
            <w:r w:rsidR="002D4EB9" w:rsidRPr="000C7CFA">
              <w:rPr>
                <w:rFonts w:ascii="Verdana" w:eastAsia="BatangChe" w:hAnsi="Verdana" w:cs="Times New Roman"/>
                <w:sz w:val="18"/>
                <w:szCs w:val="18"/>
              </w:rPr>
              <w:t>-</w:t>
            </w:r>
            <w:r w:rsidRPr="000C7CFA">
              <w:rPr>
                <w:rFonts w:ascii="Verdana" w:eastAsia="BatangChe" w:hAnsi="Verdana" w:cs="Times New Roman"/>
                <w:sz w:val="18"/>
                <w:szCs w:val="18"/>
              </w:rPr>
              <w:t>BDE: ca. 42</w:t>
            </w:r>
          </w:p>
          <w:p w14:paraId="1471E4C5" w14:textId="77777777" w:rsidR="00FC2B2F" w:rsidRPr="000C7CFA" w:rsidRDefault="00FC2B2F" w:rsidP="00DF46A5">
            <w:pPr>
              <w:pStyle w:val="NoSpacing"/>
              <w:spacing w:after="0"/>
              <w:jc w:val="center"/>
              <w:rPr>
                <w:rFonts w:ascii="Verdana" w:eastAsia="BatangChe" w:hAnsi="Verdana" w:cs="Times New Roman"/>
                <w:sz w:val="18"/>
                <w:szCs w:val="18"/>
              </w:rPr>
            </w:pPr>
          </w:p>
          <w:p w14:paraId="70620B9E" w14:textId="29012276" w:rsidR="00FC2B2F" w:rsidRPr="000C7CFA" w:rsidRDefault="00FC2B2F" w:rsidP="00DF46A5">
            <w:pPr>
              <w:pStyle w:val="NoSpacing"/>
              <w:spacing w:after="0"/>
              <w:jc w:val="center"/>
              <w:rPr>
                <w:rFonts w:ascii="Verdana" w:eastAsia="BatangChe" w:hAnsi="Verdana" w:cs="Times New Roman"/>
                <w:sz w:val="18"/>
                <w:szCs w:val="18"/>
              </w:rPr>
            </w:pPr>
            <w:r w:rsidRPr="000C7CFA">
              <w:rPr>
                <w:rFonts w:ascii="Verdana" w:eastAsia="BatangChe" w:hAnsi="Verdana" w:cs="Times New Roman"/>
                <w:sz w:val="18"/>
                <w:szCs w:val="18"/>
              </w:rPr>
              <w:t>Hexa</w:t>
            </w:r>
            <w:r w:rsidR="002D4EB9" w:rsidRPr="000C7CFA">
              <w:rPr>
                <w:rFonts w:ascii="Verdana" w:eastAsia="BatangChe" w:hAnsi="Verdana" w:cs="Times New Roman"/>
                <w:sz w:val="18"/>
                <w:szCs w:val="18"/>
              </w:rPr>
              <w:t>-</w:t>
            </w:r>
            <w:r w:rsidRPr="000C7CFA">
              <w:rPr>
                <w:rFonts w:ascii="Verdana" w:eastAsia="BatangChe" w:hAnsi="Verdana" w:cs="Times New Roman"/>
                <w:sz w:val="18"/>
                <w:szCs w:val="18"/>
              </w:rPr>
              <w:t>BDE: ca. 1.37</w:t>
            </w:r>
          </w:p>
        </w:tc>
        <w:tc>
          <w:tcPr>
            <w:tcW w:w="895" w:type="dxa"/>
          </w:tcPr>
          <w:p w14:paraId="7C64931F" w14:textId="4311E5F2" w:rsidR="00FC2B2F" w:rsidRPr="000C7CFA" w:rsidRDefault="00FC2B2F" w:rsidP="00FC2B2F">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Penta</w:t>
            </w:r>
            <w:r w:rsidR="002D4EB9" w:rsidRPr="000C7CFA">
              <w:rPr>
                <w:rFonts w:ascii="Verdana" w:eastAsia="BatangChe" w:hAnsi="Verdana"/>
                <w:sz w:val="18"/>
                <w:szCs w:val="18"/>
              </w:rPr>
              <w:t>-</w:t>
            </w:r>
            <w:r w:rsidRPr="000C7CFA">
              <w:rPr>
                <w:rFonts w:ascii="Verdana" w:eastAsia="BatangChe" w:hAnsi="Verdana"/>
                <w:sz w:val="18"/>
                <w:szCs w:val="18"/>
              </w:rPr>
              <w:t>BDE: ca. 0.074</w:t>
            </w:r>
          </w:p>
          <w:p w14:paraId="396D0DAA" w14:textId="77777777" w:rsidR="00FC2B2F" w:rsidRPr="000C7CFA" w:rsidRDefault="00FC2B2F" w:rsidP="00FC2B2F">
            <w:pPr>
              <w:autoSpaceDE w:val="0"/>
              <w:autoSpaceDN w:val="0"/>
              <w:adjustRightInd w:val="0"/>
              <w:spacing w:after="0"/>
              <w:jc w:val="center"/>
              <w:rPr>
                <w:rFonts w:ascii="Verdana" w:eastAsia="BatangChe" w:hAnsi="Verdana"/>
                <w:sz w:val="18"/>
                <w:szCs w:val="18"/>
              </w:rPr>
            </w:pPr>
          </w:p>
          <w:p w14:paraId="27B200E9" w14:textId="20AF3EDF" w:rsidR="00FC2B2F" w:rsidRPr="000C7CFA" w:rsidRDefault="00FC2B2F" w:rsidP="00FC2B2F">
            <w:pPr>
              <w:autoSpaceDE w:val="0"/>
              <w:autoSpaceDN w:val="0"/>
              <w:adjustRightInd w:val="0"/>
              <w:spacing w:after="0"/>
              <w:jc w:val="center"/>
              <w:rPr>
                <w:rFonts w:ascii="Verdana" w:eastAsia="BatangChe" w:hAnsi="Verdana"/>
                <w:sz w:val="18"/>
                <w:szCs w:val="18"/>
              </w:rPr>
            </w:pPr>
            <w:r w:rsidRPr="000C7CFA">
              <w:rPr>
                <w:rFonts w:ascii="Verdana" w:eastAsia="BatangChe" w:hAnsi="Verdana"/>
                <w:sz w:val="18"/>
                <w:szCs w:val="18"/>
              </w:rPr>
              <w:t>Hexa</w:t>
            </w:r>
            <w:r w:rsidR="002D4EB9" w:rsidRPr="000C7CFA">
              <w:rPr>
                <w:rFonts w:ascii="Verdana" w:eastAsia="BatangChe" w:hAnsi="Verdana"/>
                <w:sz w:val="18"/>
                <w:szCs w:val="18"/>
              </w:rPr>
              <w:t>-</w:t>
            </w:r>
            <w:r w:rsidRPr="000C7CFA">
              <w:rPr>
                <w:rFonts w:ascii="Verdana" w:eastAsia="BatangChe" w:hAnsi="Verdana"/>
                <w:sz w:val="18"/>
                <w:szCs w:val="18"/>
              </w:rPr>
              <w:t>BDE: ca. 0.0021</w:t>
            </w:r>
          </w:p>
        </w:tc>
        <w:tc>
          <w:tcPr>
            <w:tcW w:w="1375" w:type="dxa"/>
          </w:tcPr>
          <w:p w14:paraId="72D9AF6D" w14:textId="77777777" w:rsidR="00FC2B2F" w:rsidRPr="000C7CFA" w:rsidRDefault="00FC2B2F" w:rsidP="00FC2B2F">
            <w:pPr>
              <w:pStyle w:val="NoSpacing"/>
              <w:jc w:val="center"/>
              <w:rPr>
                <w:rFonts w:ascii="Verdana" w:eastAsia="BatangChe" w:hAnsi="Verdana" w:cs="Times New Roman"/>
                <w:sz w:val="18"/>
                <w:szCs w:val="18"/>
              </w:rPr>
            </w:pPr>
            <w:r w:rsidRPr="000C7CFA">
              <w:rPr>
                <w:rFonts w:ascii="Verdana" w:eastAsia="BatangChe" w:hAnsi="Verdana" w:cs="Times New Roman"/>
                <w:sz w:val="18"/>
                <w:szCs w:val="18"/>
              </w:rPr>
              <w:t>0.09 (PentaBDE)</w:t>
            </w:r>
          </w:p>
        </w:tc>
        <w:tc>
          <w:tcPr>
            <w:tcW w:w="5074" w:type="dxa"/>
          </w:tcPr>
          <w:p w14:paraId="242BDF10" w14:textId="037EB221" w:rsidR="00FC2B2F" w:rsidRPr="000C7CFA" w:rsidRDefault="00FC2B2F" w:rsidP="002811B1">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The analysis is complicated because several congeners were tested at the same time, and some corrections have to be made to the data. The cited data are for one pentaBDE and one hexaBDE constituent, respectively. Fish lipid content was 4.</w:t>
            </w:r>
            <w:r w:rsidR="00AF7606" w:rsidRPr="000C7CFA">
              <w:rPr>
                <w:rFonts w:ascii="Verdana" w:eastAsia="BatangChe" w:hAnsi="Verdana" w:cs="Times New Roman"/>
                <w:sz w:val="18"/>
                <w:szCs w:val="18"/>
              </w:rPr>
              <w:t>8 %</w:t>
            </w:r>
            <w:r w:rsidRPr="000C7CFA">
              <w:rPr>
                <w:rFonts w:ascii="Verdana" w:eastAsia="BatangChe" w:hAnsi="Verdana" w:cs="Times New Roman"/>
                <w:sz w:val="18"/>
                <w:szCs w:val="18"/>
              </w:rPr>
              <w:t>. No information given on the depuration half-life.</w:t>
            </w:r>
          </w:p>
        </w:tc>
        <w:tc>
          <w:tcPr>
            <w:tcW w:w="1026" w:type="dxa"/>
          </w:tcPr>
          <w:p w14:paraId="42192308" w14:textId="77777777" w:rsidR="00FC2B2F" w:rsidRPr="000C7CFA" w:rsidRDefault="00FC2B2F" w:rsidP="00DF46A5">
            <w:pPr>
              <w:pStyle w:val="NoSpacing"/>
              <w:spacing w:after="0"/>
              <w:rPr>
                <w:rFonts w:ascii="Verdana" w:eastAsia="BatangChe" w:hAnsi="Verdana" w:cs="Times New Roman"/>
                <w:sz w:val="18"/>
                <w:szCs w:val="18"/>
              </w:rPr>
            </w:pPr>
            <w:r w:rsidRPr="000C7CFA">
              <w:rPr>
                <w:rFonts w:ascii="Verdana" w:eastAsia="BatangChe" w:hAnsi="Verdana" w:cs="Times New Roman"/>
                <w:sz w:val="18"/>
                <w:szCs w:val="18"/>
              </w:rPr>
              <w:t>EC (2001</w:t>
            </w:r>
            <w:r w:rsidR="00CE1AE6" w:rsidRPr="000C7CFA">
              <w:rPr>
                <w:rFonts w:ascii="Verdana" w:eastAsia="BatangChe" w:hAnsi="Verdana" w:cs="Times New Roman"/>
                <w:sz w:val="18"/>
                <w:szCs w:val="18"/>
              </w:rPr>
              <w:t>a</w:t>
            </w:r>
            <w:r w:rsidRPr="000C7CFA">
              <w:rPr>
                <w:rFonts w:ascii="Verdana" w:eastAsia="BatangChe" w:hAnsi="Verdana" w:cs="Times New Roman"/>
                <w:sz w:val="18"/>
                <w:szCs w:val="18"/>
              </w:rPr>
              <w:t>)</w:t>
            </w:r>
          </w:p>
        </w:tc>
      </w:tr>
    </w:tbl>
    <w:p w14:paraId="17659F23" w14:textId="77777777" w:rsidR="00DF46A5" w:rsidRPr="000C7CFA" w:rsidRDefault="00DF46A5" w:rsidP="00DF46A5">
      <w:pPr>
        <w:pStyle w:val="NoSpacing"/>
        <w:jc w:val="center"/>
        <w:rPr>
          <w:rFonts w:ascii="Verdana" w:eastAsia="BatangChe" w:hAnsi="Verdana" w:cs="Times New Roman"/>
          <w:sz w:val="18"/>
          <w:szCs w:val="18"/>
        </w:rPr>
      </w:pPr>
    </w:p>
    <w:p w14:paraId="1BE276DB" w14:textId="77777777" w:rsidR="0047043A" w:rsidRPr="000C7CFA" w:rsidRDefault="0047043A" w:rsidP="0047043A">
      <w:pPr>
        <w:spacing w:before="120"/>
        <w:jc w:val="both"/>
        <w:rPr>
          <w:rFonts w:ascii="Verdana" w:hAnsi="Verdana"/>
          <w:sz w:val="18"/>
          <w:szCs w:val="18"/>
        </w:rPr>
      </w:pPr>
      <w:r w:rsidRPr="000C7CFA">
        <w:rPr>
          <w:rFonts w:ascii="Verdana" w:hAnsi="Verdana"/>
          <w:sz w:val="18"/>
          <w:szCs w:val="18"/>
        </w:rPr>
        <w:t xml:space="preserve">The recalculation of the molar concentration in fish is based on a number of assumptions and consequently has uncertainties. The original references could be reviewed in detail to find out if information on actual fish wet weight concentrations and elimination half-lives is available, and more work could be done to lipid normalize the data (which also involves assumptions). However, this is beyond the scope of this particular dossier. The table should therefore be viewed as provisional. </w:t>
      </w:r>
    </w:p>
    <w:p w14:paraId="3096CB4C" w14:textId="665ECBA5" w:rsidR="00824FCF" w:rsidRPr="000C7CFA" w:rsidRDefault="00DF46A5" w:rsidP="009F12C9">
      <w:pPr>
        <w:jc w:val="both"/>
        <w:rPr>
          <w:rFonts w:ascii="Verdana" w:eastAsia="BatangChe" w:hAnsi="Verdana"/>
          <w:sz w:val="18"/>
          <w:szCs w:val="18"/>
        </w:rPr>
      </w:pPr>
      <w:r w:rsidRPr="000C7CFA">
        <w:rPr>
          <w:rFonts w:ascii="Verdana" w:eastAsia="BatangChe" w:hAnsi="Verdana"/>
          <w:sz w:val="18"/>
          <w:szCs w:val="18"/>
        </w:rPr>
        <w:t xml:space="preserve">Whole fish concentrations associated with a high BCF depend on the water solubility achieved in the experiment as well as (usually) the size and lipid content of the test organisms, species-specific factors (such as metabolism, which may change with life stage), and growth dilution, etc. Comparisons between studies using the same substance can therefore be complicated, and comparisons between substances should be treated with caution. Nevertheless, </w:t>
      </w:r>
      <w:r w:rsidR="009F12C9" w:rsidRPr="000C7CFA">
        <w:rPr>
          <w:rFonts w:ascii="Verdana" w:eastAsia="BatangChe" w:hAnsi="Verdana"/>
          <w:sz w:val="18"/>
          <w:szCs w:val="18"/>
        </w:rPr>
        <w:t>c</w:t>
      </w:r>
      <w:r w:rsidR="009F12C9" w:rsidRPr="000C7CFA">
        <w:rPr>
          <w:rFonts w:ascii="Verdana" w:hAnsi="Verdana"/>
          <w:sz w:val="18"/>
          <w:szCs w:val="18"/>
        </w:rPr>
        <w:t>onsidering only fish BCFs above 5</w:t>
      </w:r>
      <w:r w:rsidR="002D4EB9" w:rsidRPr="000C7CFA">
        <w:rPr>
          <w:rFonts w:ascii="Verdana" w:hAnsi="Verdana"/>
          <w:sz w:val="18"/>
          <w:szCs w:val="18"/>
        </w:rPr>
        <w:t> </w:t>
      </w:r>
      <w:r w:rsidR="009F12C9" w:rsidRPr="000C7CFA">
        <w:rPr>
          <w:rFonts w:ascii="Verdana" w:hAnsi="Verdana"/>
          <w:sz w:val="18"/>
          <w:szCs w:val="18"/>
        </w:rPr>
        <w:t>000 L/kg, these “vB” substances achieved fish concentrations of between 0.000045 and ca. 0.65 mmol/kg ww.</w:t>
      </w:r>
      <w:r w:rsidR="00824FCF" w:rsidRPr="000C7CFA">
        <w:rPr>
          <w:rFonts w:ascii="Verdana" w:eastAsia="BatangChe" w:hAnsi="Verdana"/>
          <w:sz w:val="18"/>
          <w:szCs w:val="18"/>
        </w:rPr>
        <w:t xml:space="preserve"> </w:t>
      </w:r>
    </w:p>
    <w:p w14:paraId="2401E453" w14:textId="77777777" w:rsidR="00FC2B2F" w:rsidRPr="000C7CFA" w:rsidRDefault="00FC2B2F" w:rsidP="00FC2B2F">
      <w:pPr>
        <w:pStyle w:val="NoSpacing"/>
        <w:jc w:val="both"/>
        <w:rPr>
          <w:rFonts w:ascii="Verdana" w:eastAsia="BatangChe" w:hAnsi="Verdana" w:cs="Times New Roman"/>
          <w:sz w:val="18"/>
          <w:szCs w:val="18"/>
        </w:rPr>
      </w:pPr>
      <w:r w:rsidRPr="000C7CFA">
        <w:rPr>
          <w:rFonts w:ascii="Verdana" w:eastAsia="BatangChe" w:hAnsi="Verdana" w:cs="Times New Roman"/>
          <w:sz w:val="18"/>
          <w:szCs w:val="18"/>
        </w:rPr>
        <w:lastRenderedPageBreak/>
        <w:t xml:space="preserve">Another possible way to consider the BCF data is in terms of the fugacity ratio. The fugacity ratio for a BCF can be derived approximately using the following approach (Gobas </w:t>
      </w:r>
      <w:r w:rsidRPr="000C7CFA">
        <w:rPr>
          <w:rFonts w:ascii="Verdana" w:eastAsia="BatangChe" w:hAnsi="Verdana" w:cs="Times New Roman"/>
          <w:i/>
          <w:sz w:val="18"/>
          <w:szCs w:val="18"/>
        </w:rPr>
        <w:t>et al</w:t>
      </w:r>
      <w:r w:rsidRPr="000C7CFA">
        <w:rPr>
          <w:rFonts w:ascii="Verdana" w:eastAsia="BatangChe" w:hAnsi="Verdana" w:cs="Times New Roman"/>
          <w:sz w:val="18"/>
          <w:szCs w:val="18"/>
        </w:rPr>
        <w:t>., 2015).</w:t>
      </w:r>
    </w:p>
    <w:p w14:paraId="77A10317" w14:textId="77777777" w:rsidR="00FC2B2F" w:rsidRPr="000C7CFA" w:rsidRDefault="00FC2B2F" w:rsidP="00FC2B2F">
      <w:pPr>
        <w:pStyle w:val="NoSpacing"/>
        <w:jc w:val="both"/>
        <w:rPr>
          <w:rFonts w:ascii="Verdana" w:eastAsia="BatangChe" w:hAnsi="Verdana" w:cs="Times New Roman"/>
          <w:sz w:val="18"/>
          <w:szCs w:val="18"/>
        </w:rPr>
      </w:pPr>
    </w:p>
    <w:p w14:paraId="7700795F" w14:textId="77777777" w:rsidR="00FC2B2F" w:rsidRPr="000C7CFA" w:rsidRDefault="00FC2B2F" w:rsidP="00DC3658">
      <w:pPr>
        <w:pStyle w:val="NoSpacing"/>
        <w:numPr>
          <w:ilvl w:val="0"/>
          <w:numId w:val="18"/>
        </w:numPr>
        <w:ind w:left="426" w:right="350"/>
        <w:jc w:val="both"/>
        <w:rPr>
          <w:rFonts w:ascii="Verdana" w:eastAsia="BatangChe" w:hAnsi="Verdana" w:cs="Times New Roman"/>
          <w:sz w:val="18"/>
          <w:szCs w:val="18"/>
        </w:rPr>
      </w:pPr>
      <w:r w:rsidRPr="000C7CFA">
        <w:rPr>
          <w:rFonts w:ascii="Verdana" w:eastAsia="BatangChe" w:hAnsi="Verdana" w:cs="Times New Roman"/>
          <w:sz w:val="18"/>
          <w:szCs w:val="18"/>
        </w:rPr>
        <w:t>The fugacity of a chemical in the water phase f</w:t>
      </w:r>
      <w:r w:rsidRPr="000C7CFA">
        <w:rPr>
          <w:rFonts w:ascii="Verdana" w:eastAsia="BatangChe" w:hAnsi="Verdana" w:cs="Times New Roman"/>
          <w:sz w:val="18"/>
          <w:szCs w:val="18"/>
          <w:vertAlign w:val="subscript"/>
        </w:rPr>
        <w:t xml:space="preserve">W </w:t>
      </w:r>
      <w:r w:rsidRPr="000C7CFA">
        <w:rPr>
          <w:rFonts w:ascii="Verdana" w:eastAsia="BatangChe" w:hAnsi="Verdana" w:cs="Times New Roman"/>
          <w:sz w:val="18"/>
          <w:szCs w:val="18"/>
        </w:rPr>
        <w:t>= C</w:t>
      </w:r>
      <w:r w:rsidRPr="000C7CFA">
        <w:rPr>
          <w:rFonts w:ascii="Verdana" w:eastAsia="BatangChe" w:hAnsi="Verdana" w:cs="Times New Roman"/>
          <w:sz w:val="18"/>
          <w:szCs w:val="18"/>
          <w:vertAlign w:val="subscript"/>
        </w:rPr>
        <w:t>W</w:t>
      </w:r>
      <w:r w:rsidRPr="000C7CFA">
        <w:rPr>
          <w:rFonts w:ascii="Verdana" w:eastAsia="BatangChe" w:hAnsi="Verdana" w:cs="Times New Roman"/>
          <w:sz w:val="18"/>
          <w:szCs w:val="18"/>
        </w:rPr>
        <w:t>/Z</w:t>
      </w:r>
      <w:r w:rsidRPr="000C7CFA">
        <w:rPr>
          <w:rFonts w:ascii="Verdana" w:eastAsia="BatangChe" w:hAnsi="Verdana" w:cs="Times New Roman"/>
          <w:sz w:val="18"/>
          <w:szCs w:val="18"/>
          <w:vertAlign w:val="subscript"/>
        </w:rPr>
        <w:t>W</w:t>
      </w:r>
      <w:r w:rsidRPr="000C7CFA">
        <w:rPr>
          <w:rFonts w:ascii="Verdana" w:eastAsia="BatangChe" w:hAnsi="Verdana" w:cs="Times New Roman"/>
          <w:sz w:val="18"/>
          <w:szCs w:val="18"/>
        </w:rPr>
        <w:t>, where C</w:t>
      </w:r>
      <w:r w:rsidRPr="000C7CFA">
        <w:rPr>
          <w:rFonts w:ascii="Verdana" w:eastAsia="BatangChe" w:hAnsi="Verdana" w:cs="Times New Roman"/>
          <w:sz w:val="18"/>
          <w:szCs w:val="18"/>
          <w:vertAlign w:val="subscript"/>
        </w:rPr>
        <w:t>W</w:t>
      </w:r>
      <w:r w:rsidRPr="000C7CFA">
        <w:rPr>
          <w:rFonts w:ascii="Verdana" w:eastAsia="BatangChe" w:hAnsi="Verdana" w:cs="Times New Roman"/>
          <w:sz w:val="18"/>
          <w:szCs w:val="18"/>
        </w:rPr>
        <w:t xml:space="preserve"> is the concentration in water (mol m</w:t>
      </w:r>
      <w:r w:rsidRPr="000C7CFA">
        <w:rPr>
          <w:rFonts w:ascii="Verdana" w:eastAsia="BatangChe" w:hAnsi="Verdana" w:cs="Times New Roman"/>
          <w:sz w:val="18"/>
          <w:szCs w:val="18"/>
          <w:vertAlign w:val="superscript"/>
        </w:rPr>
        <w:t>-3</w:t>
      </w:r>
      <w:r w:rsidRPr="000C7CFA">
        <w:rPr>
          <w:rFonts w:ascii="Verdana" w:eastAsia="BatangChe" w:hAnsi="Verdana" w:cs="Times New Roman"/>
          <w:sz w:val="18"/>
          <w:szCs w:val="18"/>
        </w:rPr>
        <w:t>) and Z</w:t>
      </w:r>
      <w:r w:rsidRPr="000C7CFA">
        <w:rPr>
          <w:rFonts w:ascii="Verdana" w:eastAsia="BatangChe" w:hAnsi="Verdana" w:cs="Times New Roman"/>
          <w:sz w:val="18"/>
          <w:szCs w:val="18"/>
          <w:vertAlign w:val="subscript"/>
        </w:rPr>
        <w:t xml:space="preserve">w </w:t>
      </w:r>
      <w:r w:rsidRPr="000C7CFA">
        <w:rPr>
          <w:rFonts w:ascii="Verdana" w:eastAsia="BatangChe" w:hAnsi="Verdana" w:cs="Times New Roman"/>
          <w:sz w:val="18"/>
          <w:szCs w:val="18"/>
        </w:rPr>
        <w:t>is the fugacity capacity of the water (mol m</w:t>
      </w:r>
      <w:r w:rsidRPr="000C7CFA">
        <w:rPr>
          <w:rFonts w:ascii="Verdana" w:eastAsia="BatangChe" w:hAnsi="Verdana" w:cs="Times New Roman"/>
          <w:sz w:val="18"/>
          <w:szCs w:val="18"/>
          <w:vertAlign w:val="superscript"/>
        </w:rPr>
        <w:t>–3</w:t>
      </w:r>
      <w:r w:rsidRPr="000C7CFA">
        <w:rPr>
          <w:rFonts w:ascii="Verdana" w:eastAsia="BatangChe" w:hAnsi="Verdana" w:cs="Times New Roman"/>
          <w:sz w:val="18"/>
          <w:szCs w:val="18"/>
        </w:rPr>
        <w:t xml:space="preserve"> Pa</w:t>
      </w:r>
      <w:r w:rsidRPr="000C7CFA">
        <w:rPr>
          <w:rFonts w:ascii="Verdana" w:eastAsia="BatangChe" w:hAnsi="Verdana" w:cs="Times New Roman"/>
          <w:sz w:val="18"/>
          <w:szCs w:val="18"/>
          <w:vertAlign w:val="superscript"/>
        </w:rPr>
        <w:t>–1</w:t>
      </w:r>
      <w:r w:rsidRPr="000C7CFA">
        <w:rPr>
          <w:rFonts w:ascii="Verdana" w:eastAsia="BatangChe" w:hAnsi="Verdana" w:cs="Times New Roman"/>
          <w:sz w:val="18"/>
          <w:szCs w:val="18"/>
        </w:rPr>
        <w:t>). The value of f</w:t>
      </w:r>
      <w:r w:rsidRPr="000C7CFA">
        <w:rPr>
          <w:rFonts w:ascii="Verdana" w:eastAsia="BatangChe" w:hAnsi="Verdana" w:cs="Times New Roman"/>
          <w:sz w:val="18"/>
          <w:szCs w:val="18"/>
          <w:vertAlign w:val="subscript"/>
        </w:rPr>
        <w:t>w</w:t>
      </w:r>
      <w:r w:rsidRPr="000C7CFA">
        <w:rPr>
          <w:rFonts w:ascii="Verdana" w:eastAsia="BatangChe" w:hAnsi="Verdana" w:cs="Times New Roman"/>
          <w:sz w:val="18"/>
          <w:szCs w:val="18"/>
        </w:rPr>
        <w:t xml:space="preserve"> has units of Pa.</w:t>
      </w:r>
    </w:p>
    <w:p w14:paraId="683D20A1" w14:textId="77777777" w:rsidR="00FC2B2F" w:rsidRPr="000C7CFA" w:rsidRDefault="00FC2B2F" w:rsidP="00580132">
      <w:pPr>
        <w:pStyle w:val="NoSpacing"/>
        <w:ind w:left="426" w:right="350"/>
        <w:jc w:val="both"/>
        <w:rPr>
          <w:rFonts w:ascii="Verdana" w:eastAsia="BatangChe" w:hAnsi="Verdana" w:cs="Times New Roman"/>
          <w:sz w:val="18"/>
          <w:szCs w:val="18"/>
        </w:rPr>
      </w:pPr>
    </w:p>
    <w:p w14:paraId="0C19A8B8" w14:textId="77777777" w:rsidR="00FC2B2F" w:rsidRPr="000C7CFA" w:rsidRDefault="00FC2B2F" w:rsidP="00DC3658">
      <w:pPr>
        <w:pStyle w:val="NoSpacing"/>
        <w:numPr>
          <w:ilvl w:val="0"/>
          <w:numId w:val="18"/>
        </w:numPr>
        <w:ind w:left="426" w:right="350"/>
        <w:jc w:val="both"/>
        <w:rPr>
          <w:rFonts w:ascii="Verdana" w:eastAsia="BatangChe" w:hAnsi="Verdana" w:cs="Times New Roman"/>
          <w:sz w:val="18"/>
          <w:szCs w:val="18"/>
        </w:rPr>
      </w:pPr>
      <w:r w:rsidRPr="000C7CFA">
        <w:rPr>
          <w:rFonts w:ascii="Verdana" w:eastAsia="BatangChe" w:hAnsi="Verdana" w:cs="Times New Roman"/>
          <w:sz w:val="18"/>
          <w:szCs w:val="18"/>
        </w:rPr>
        <w:t>The fugacity of a chemical in the lipid phase of biota f</w:t>
      </w:r>
      <w:r w:rsidRPr="000C7CFA">
        <w:rPr>
          <w:rFonts w:ascii="Verdana" w:eastAsia="BatangChe" w:hAnsi="Verdana" w:cs="Times New Roman"/>
          <w:sz w:val="18"/>
          <w:szCs w:val="18"/>
          <w:vertAlign w:val="subscript"/>
        </w:rPr>
        <w:t>L</w:t>
      </w:r>
      <w:r w:rsidRPr="000C7CFA">
        <w:rPr>
          <w:rFonts w:ascii="Verdana" w:eastAsia="BatangChe" w:hAnsi="Verdana" w:cs="Times New Roman"/>
          <w:sz w:val="18"/>
          <w:szCs w:val="18"/>
        </w:rPr>
        <w:t xml:space="preserve"> = C</w:t>
      </w:r>
      <w:r w:rsidRPr="000C7CFA">
        <w:rPr>
          <w:rFonts w:ascii="Verdana" w:eastAsia="BatangChe" w:hAnsi="Verdana" w:cs="Times New Roman"/>
          <w:sz w:val="18"/>
          <w:szCs w:val="18"/>
          <w:vertAlign w:val="subscript"/>
        </w:rPr>
        <w:t>L</w:t>
      </w:r>
      <w:r w:rsidRPr="000C7CFA">
        <w:rPr>
          <w:rFonts w:ascii="Verdana" w:eastAsia="BatangChe" w:hAnsi="Verdana" w:cs="Times New Roman"/>
          <w:sz w:val="18"/>
          <w:szCs w:val="18"/>
        </w:rPr>
        <w:t>/Z</w:t>
      </w:r>
      <w:r w:rsidRPr="000C7CFA">
        <w:rPr>
          <w:rFonts w:ascii="Verdana" w:eastAsia="BatangChe" w:hAnsi="Verdana" w:cs="Times New Roman"/>
          <w:sz w:val="18"/>
          <w:szCs w:val="18"/>
          <w:vertAlign w:val="subscript"/>
        </w:rPr>
        <w:t>L</w:t>
      </w:r>
      <w:r w:rsidRPr="000C7CFA">
        <w:rPr>
          <w:rFonts w:ascii="Verdana" w:eastAsia="BatangChe" w:hAnsi="Verdana" w:cs="Times New Roman"/>
          <w:sz w:val="18"/>
          <w:szCs w:val="18"/>
        </w:rPr>
        <w:t>, where C</w:t>
      </w:r>
      <w:r w:rsidRPr="000C7CFA">
        <w:rPr>
          <w:rFonts w:ascii="Verdana" w:eastAsia="BatangChe" w:hAnsi="Verdana" w:cs="Times New Roman"/>
          <w:sz w:val="18"/>
          <w:szCs w:val="18"/>
          <w:vertAlign w:val="subscript"/>
        </w:rPr>
        <w:t>L</w:t>
      </w:r>
      <w:r w:rsidRPr="000C7CFA">
        <w:rPr>
          <w:rFonts w:ascii="Verdana" w:eastAsia="BatangChe" w:hAnsi="Verdana" w:cs="Times New Roman"/>
          <w:sz w:val="18"/>
          <w:szCs w:val="18"/>
        </w:rPr>
        <w:t xml:space="preserve"> is the concentration in lipid (mol m</w:t>
      </w:r>
      <w:r w:rsidRPr="000C7CFA">
        <w:rPr>
          <w:rFonts w:ascii="Verdana" w:eastAsia="BatangChe" w:hAnsi="Verdana" w:cs="Times New Roman"/>
          <w:sz w:val="18"/>
          <w:szCs w:val="18"/>
          <w:vertAlign w:val="superscript"/>
        </w:rPr>
        <w:t>–3</w:t>
      </w:r>
      <w:r w:rsidRPr="000C7CFA">
        <w:rPr>
          <w:rFonts w:ascii="Verdana" w:eastAsia="BatangChe" w:hAnsi="Verdana" w:cs="Times New Roman"/>
          <w:sz w:val="18"/>
          <w:szCs w:val="18"/>
        </w:rPr>
        <w:t>) and Z</w:t>
      </w:r>
      <w:r w:rsidRPr="000C7CFA">
        <w:rPr>
          <w:rFonts w:ascii="Verdana" w:eastAsia="BatangChe" w:hAnsi="Verdana" w:cs="Times New Roman"/>
          <w:sz w:val="18"/>
          <w:szCs w:val="18"/>
          <w:vertAlign w:val="subscript"/>
        </w:rPr>
        <w:t>L</w:t>
      </w:r>
      <w:r w:rsidRPr="000C7CFA">
        <w:rPr>
          <w:rFonts w:ascii="Verdana" w:eastAsia="BatangChe" w:hAnsi="Verdana" w:cs="Times New Roman"/>
          <w:sz w:val="18"/>
          <w:szCs w:val="18"/>
        </w:rPr>
        <w:t xml:space="preserve"> is the fugacity capacity of the lipid phase (mol m</w:t>
      </w:r>
      <w:r w:rsidRPr="000C7CFA">
        <w:rPr>
          <w:rFonts w:ascii="Verdana" w:eastAsia="BatangChe" w:hAnsi="Verdana" w:cs="Times New Roman"/>
          <w:sz w:val="18"/>
          <w:szCs w:val="18"/>
          <w:vertAlign w:val="superscript"/>
        </w:rPr>
        <w:t>–3</w:t>
      </w:r>
      <w:r w:rsidRPr="000C7CFA">
        <w:rPr>
          <w:rFonts w:ascii="Verdana" w:eastAsia="BatangChe" w:hAnsi="Verdana" w:cs="Times New Roman"/>
          <w:sz w:val="18"/>
          <w:szCs w:val="18"/>
        </w:rPr>
        <w:t xml:space="preserve"> Pa</w:t>
      </w:r>
      <w:r w:rsidRPr="000C7CFA">
        <w:rPr>
          <w:rFonts w:ascii="Verdana" w:eastAsia="BatangChe" w:hAnsi="Verdana" w:cs="Times New Roman"/>
          <w:sz w:val="18"/>
          <w:szCs w:val="18"/>
          <w:vertAlign w:val="superscript"/>
        </w:rPr>
        <w:t>–1</w:t>
      </w:r>
      <w:r w:rsidRPr="000C7CFA">
        <w:rPr>
          <w:rFonts w:ascii="Verdana" w:eastAsia="BatangChe" w:hAnsi="Verdana" w:cs="Times New Roman"/>
          <w:sz w:val="18"/>
          <w:szCs w:val="18"/>
        </w:rPr>
        <w:t>). The value of f</w:t>
      </w:r>
      <w:r w:rsidRPr="000C7CFA">
        <w:rPr>
          <w:rFonts w:ascii="Verdana" w:eastAsia="BatangChe" w:hAnsi="Verdana" w:cs="Times New Roman"/>
          <w:sz w:val="18"/>
          <w:szCs w:val="18"/>
          <w:vertAlign w:val="subscript"/>
        </w:rPr>
        <w:t>L</w:t>
      </w:r>
      <w:r w:rsidRPr="000C7CFA">
        <w:rPr>
          <w:rFonts w:ascii="Verdana" w:eastAsia="BatangChe" w:hAnsi="Verdana" w:cs="Times New Roman"/>
          <w:sz w:val="18"/>
          <w:szCs w:val="18"/>
        </w:rPr>
        <w:t xml:space="preserve"> has units of Pa.</w:t>
      </w:r>
    </w:p>
    <w:p w14:paraId="4F6A415B" w14:textId="77777777" w:rsidR="00FC2B2F" w:rsidRPr="000C7CFA" w:rsidRDefault="00FC2B2F" w:rsidP="00580132">
      <w:pPr>
        <w:pStyle w:val="NoSpacing"/>
        <w:ind w:left="426" w:right="350"/>
        <w:jc w:val="both"/>
        <w:rPr>
          <w:rFonts w:ascii="Verdana" w:eastAsia="BatangChe" w:hAnsi="Verdana" w:cs="Times New Roman"/>
          <w:sz w:val="18"/>
          <w:szCs w:val="18"/>
        </w:rPr>
      </w:pPr>
    </w:p>
    <w:p w14:paraId="3A5A27D6" w14:textId="77777777" w:rsidR="00FC2B2F" w:rsidRPr="000C7CFA" w:rsidRDefault="00FC2B2F" w:rsidP="00DC3658">
      <w:pPr>
        <w:pStyle w:val="NoSpacing"/>
        <w:numPr>
          <w:ilvl w:val="0"/>
          <w:numId w:val="18"/>
        </w:numPr>
        <w:ind w:left="426" w:right="350"/>
        <w:jc w:val="both"/>
        <w:rPr>
          <w:rFonts w:ascii="Verdana" w:eastAsia="BatangChe" w:hAnsi="Verdana" w:cs="Times New Roman"/>
          <w:sz w:val="18"/>
          <w:szCs w:val="18"/>
        </w:rPr>
      </w:pPr>
      <w:r w:rsidRPr="000C7CFA">
        <w:rPr>
          <w:rFonts w:ascii="Verdana" w:eastAsia="BatangChe" w:hAnsi="Verdana" w:cs="Times New Roman"/>
          <w:sz w:val="18"/>
          <w:szCs w:val="18"/>
        </w:rPr>
        <w:t>The fugacity capacity of lipid is related to the fugacity capacity of water by the following equation: Z</w:t>
      </w:r>
      <w:r w:rsidRPr="000C7CFA">
        <w:rPr>
          <w:rFonts w:ascii="Verdana" w:eastAsia="BatangChe" w:hAnsi="Verdana" w:cs="Times New Roman"/>
          <w:sz w:val="18"/>
          <w:szCs w:val="18"/>
          <w:vertAlign w:val="subscript"/>
        </w:rPr>
        <w:t>L</w:t>
      </w:r>
      <w:r w:rsidRPr="000C7CFA">
        <w:rPr>
          <w:rFonts w:ascii="Verdana" w:eastAsia="BatangChe" w:hAnsi="Verdana" w:cs="Times New Roman"/>
          <w:sz w:val="18"/>
          <w:szCs w:val="18"/>
        </w:rPr>
        <w:t xml:space="preserve"> = K</w:t>
      </w:r>
      <w:r w:rsidRPr="000C7CFA">
        <w:rPr>
          <w:rFonts w:ascii="Verdana" w:eastAsia="BatangChe" w:hAnsi="Verdana" w:cs="Times New Roman"/>
          <w:sz w:val="18"/>
          <w:szCs w:val="18"/>
          <w:vertAlign w:val="subscript"/>
        </w:rPr>
        <w:t>LW</w:t>
      </w:r>
      <w:r w:rsidRPr="000C7CFA">
        <w:rPr>
          <w:rFonts w:ascii="Verdana" w:eastAsia="BatangChe" w:hAnsi="Verdana" w:cs="Times New Roman"/>
          <w:sz w:val="18"/>
          <w:szCs w:val="18"/>
        </w:rPr>
        <w:t xml:space="preserve"> × Z</w:t>
      </w:r>
      <w:r w:rsidRPr="000C7CFA">
        <w:rPr>
          <w:rFonts w:ascii="Verdana" w:eastAsia="BatangChe" w:hAnsi="Verdana" w:cs="Times New Roman"/>
          <w:sz w:val="18"/>
          <w:szCs w:val="18"/>
          <w:vertAlign w:val="subscript"/>
        </w:rPr>
        <w:t>w</w:t>
      </w:r>
      <w:r w:rsidRPr="000C7CFA">
        <w:rPr>
          <w:rFonts w:ascii="Verdana" w:eastAsia="BatangChe" w:hAnsi="Verdana" w:cs="Times New Roman"/>
          <w:sz w:val="18"/>
          <w:szCs w:val="18"/>
        </w:rPr>
        <w:t>, where K</w:t>
      </w:r>
      <w:r w:rsidRPr="000C7CFA">
        <w:rPr>
          <w:rFonts w:ascii="Verdana" w:eastAsia="BatangChe" w:hAnsi="Verdana" w:cs="Times New Roman"/>
          <w:sz w:val="18"/>
          <w:szCs w:val="18"/>
          <w:vertAlign w:val="subscript"/>
        </w:rPr>
        <w:t xml:space="preserve">LW </w:t>
      </w:r>
      <w:r w:rsidRPr="000C7CFA">
        <w:rPr>
          <w:rFonts w:ascii="Verdana" w:eastAsia="BatangChe" w:hAnsi="Verdana" w:cs="Times New Roman"/>
          <w:sz w:val="18"/>
          <w:szCs w:val="18"/>
        </w:rPr>
        <w:t>is the water-lipid partition coefficient (dimensionless).</w:t>
      </w:r>
    </w:p>
    <w:p w14:paraId="2FB7062C" w14:textId="77777777" w:rsidR="00FC2B2F" w:rsidRPr="000C7CFA" w:rsidRDefault="00FC2B2F" w:rsidP="00580132">
      <w:pPr>
        <w:pStyle w:val="NoSpacing"/>
        <w:ind w:left="426" w:right="350"/>
        <w:jc w:val="both"/>
        <w:rPr>
          <w:rFonts w:ascii="Verdana" w:eastAsia="BatangChe" w:hAnsi="Verdana" w:cs="Times New Roman"/>
          <w:sz w:val="18"/>
          <w:szCs w:val="18"/>
        </w:rPr>
      </w:pPr>
    </w:p>
    <w:p w14:paraId="1B74A020" w14:textId="24062B9A" w:rsidR="00FC2B2F" w:rsidRPr="000C7CFA" w:rsidRDefault="00FC2B2F" w:rsidP="00DC3658">
      <w:pPr>
        <w:pStyle w:val="NoSpacing"/>
        <w:numPr>
          <w:ilvl w:val="0"/>
          <w:numId w:val="18"/>
        </w:numPr>
        <w:ind w:left="426" w:right="350"/>
        <w:jc w:val="both"/>
        <w:rPr>
          <w:rFonts w:ascii="Verdana" w:eastAsia="BatangChe" w:hAnsi="Verdana" w:cs="Times New Roman"/>
          <w:sz w:val="18"/>
          <w:szCs w:val="18"/>
        </w:rPr>
      </w:pPr>
      <w:r w:rsidRPr="000C7CFA">
        <w:rPr>
          <w:rFonts w:ascii="Verdana" w:eastAsia="BatangChe" w:hAnsi="Verdana" w:cs="Times New Roman"/>
          <w:sz w:val="18"/>
          <w:szCs w:val="18"/>
        </w:rPr>
        <w:t>Assuming that the K</w:t>
      </w:r>
      <w:r w:rsidRPr="000C7CFA">
        <w:rPr>
          <w:rFonts w:ascii="Verdana" w:eastAsia="BatangChe" w:hAnsi="Verdana" w:cs="Times New Roman"/>
          <w:sz w:val="18"/>
          <w:szCs w:val="18"/>
          <w:vertAlign w:val="subscript"/>
        </w:rPr>
        <w:t>LW</w:t>
      </w:r>
      <w:r w:rsidRPr="000C7CFA">
        <w:rPr>
          <w:rFonts w:ascii="Verdana" w:eastAsia="BatangChe" w:hAnsi="Verdana" w:cs="Times New Roman"/>
          <w:sz w:val="18"/>
          <w:szCs w:val="18"/>
        </w:rPr>
        <w:t xml:space="preserve"> can be approximated to the octanol-water partition coefficient</w:t>
      </w:r>
      <w:r w:rsidR="00580132" w:rsidRPr="000C7CFA">
        <w:rPr>
          <w:rFonts w:ascii="Verdana" w:eastAsia="BatangChe" w:hAnsi="Verdana" w:cs="Times New Roman"/>
          <w:sz w:val="18"/>
          <w:szCs w:val="18"/>
        </w:rPr>
        <w:t xml:space="preserve"> (K</w:t>
      </w:r>
      <w:r w:rsidR="00580132" w:rsidRPr="000C7CFA">
        <w:rPr>
          <w:rFonts w:ascii="Verdana" w:eastAsia="BatangChe" w:hAnsi="Verdana" w:cs="Times New Roman"/>
          <w:sz w:val="18"/>
          <w:szCs w:val="18"/>
          <w:vertAlign w:val="subscript"/>
        </w:rPr>
        <w:t>OW</w:t>
      </w:r>
      <w:r w:rsidR="00580132" w:rsidRPr="000C7CFA">
        <w:rPr>
          <w:rFonts w:ascii="Verdana" w:eastAsia="BatangChe" w:hAnsi="Verdana" w:cs="Times New Roman"/>
          <w:sz w:val="18"/>
          <w:szCs w:val="18"/>
        </w:rPr>
        <w:t>)</w:t>
      </w:r>
      <w:r w:rsidRPr="000C7CFA">
        <w:rPr>
          <w:rFonts w:ascii="Verdana" w:eastAsia="BatangChe" w:hAnsi="Verdana" w:cs="Times New Roman"/>
          <w:sz w:val="18"/>
          <w:szCs w:val="18"/>
        </w:rPr>
        <w:t>, then Z</w:t>
      </w:r>
      <w:r w:rsidRPr="000C7CFA">
        <w:rPr>
          <w:rFonts w:ascii="Verdana" w:eastAsia="BatangChe" w:hAnsi="Verdana" w:cs="Times New Roman"/>
          <w:sz w:val="18"/>
          <w:szCs w:val="18"/>
          <w:vertAlign w:val="subscript"/>
        </w:rPr>
        <w:t>L</w:t>
      </w:r>
      <w:r w:rsidRPr="000C7CFA">
        <w:rPr>
          <w:rFonts w:ascii="Verdana" w:eastAsia="BatangChe" w:hAnsi="Verdana" w:cs="Times New Roman"/>
          <w:sz w:val="18"/>
          <w:szCs w:val="18"/>
        </w:rPr>
        <w:t xml:space="preserve"> approximates to K</w:t>
      </w:r>
      <w:r w:rsidRPr="000C7CFA">
        <w:rPr>
          <w:rFonts w:ascii="Verdana" w:eastAsia="BatangChe" w:hAnsi="Verdana" w:cs="Times New Roman"/>
          <w:sz w:val="18"/>
          <w:szCs w:val="18"/>
          <w:vertAlign w:val="subscript"/>
        </w:rPr>
        <w:t xml:space="preserve">OW </w:t>
      </w:r>
      <w:r w:rsidRPr="000C7CFA">
        <w:rPr>
          <w:rFonts w:ascii="Verdana" w:eastAsia="BatangChe" w:hAnsi="Verdana" w:cs="Times New Roman"/>
          <w:sz w:val="18"/>
          <w:szCs w:val="18"/>
        </w:rPr>
        <w:t>× Z</w:t>
      </w:r>
      <w:r w:rsidRPr="000C7CFA">
        <w:rPr>
          <w:rFonts w:ascii="Verdana" w:eastAsia="BatangChe" w:hAnsi="Verdana" w:cs="Times New Roman"/>
          <w:sz w:val="18"/>
          <w:szCs w:val="18"/>
          <w:vertAlign w:val="subscript"/>
        </w:rPr>
        <w:t xml:space="preserve">W </w:t>
      </w:r>
      <w:r w:rsidRPr="000C7CFA">
        <w:rPr>
          <w:rFonts w:ascii="Verdana" w:eastAsia="BatangChe" w:hAnsi="Verdana" w:cs="Times New Roman"/>
          <w:sz w:val="18"/>
          <w:szCs w:val="18"/>
        </w:rPr>
        <w:t>and hence f</w:t>
      </w:r>
      <w:r w:rsidRPr="000C7CFA">
        <w:rPr>
          <w:rFonts w:ascii="Verdana" w:eastAsia="BatangChe" w:hAnsi="Verdana" w:cs="Times New Roman"/>
          <w:sz w:val="18"/>
          <w:szCs w:val="18"/>
          <w:vertAlign w:val="subscript"/>
        </w:rPr>
        <w:t xml:space="preserve">L </w:t>
      </w:r>
      <w:r w:rsidRPr="000C7CFA">
        <w:rPr>
          <w:rFonts w:ascii="Verdana" w:eastAsia="BatangChe" w:hAnsi="Verdana" w:cs="Times New Roman"/>
          <w:sz w:val="18"/>
          <w:szCs w:val="18"/>
        </w:rPr>
        <w:t>approximates to C</w:t>
      </w:r>
      <w:r w:rsidRPr="000C7CFA">
        <w:rPr>
          <w:rFonts w:ascii="Verdana" w:eastAsia="BatangChe" w:hAnsi="Verdana" w:cs="Times New Roman"/>
          <w:sz w:val="18"/>
          <w:szCs w:val="18"/>
          <w:vertAlign w:val="subscript"/>
        </w:rPr>
        <w:t>L</w:t>
      </w:r>
      <w:proofErr w:type="gramStart"/>
      <w:r w:rsidRPr="000C7CFA">
        <w:rPr>
          <w:rFonts w:ascii="Verdana" w:eastAsia="BatangChe" w:hAnsi="Verdana" w:cs="Times New Roman"/>
          <w:sz w:val="18"/>
          <w:szCs w:val="18"/>
        </w:rPr>
        <w:t>/(</w:t>
      </w:r>
      <w:proofErr w:type="gramEnd"/>
      <w:r w:rsidR="00580132" w:rsidRPr="000C7CFA">
        <w:rPr>
          <w:rFonts w:ascii="Verdana" w:eastAsia="BatangChe" w:hAnsi="Verdana" w:cs="Times New Roman"/>
          <w:sz w:val="18"/>
          <w:szCs w:val="18"/>
        </w:rPr>
        <w:t>K</w:t>
      </w:r>
      <w:r w:rsidR="00580132" w:rsidRPr="000C7CFA">
        <w:rPr>
          <w:rFonts w:ascii="Verdana" w:eastAsia="BatangChe" w:hAnsi="Verdana" w:cs="Times New Roman"/>
          <w:sz w:val="18"/>
          <w:szCs w:val="18"/>
          <w:vertAlign w:val="subscript"/>
        </w:rPr>
        <w:t>OW</w:t>
      </w:r>
      <w:r w:rsidR="00580132" w:rsidRPr="000C7CFA">
        <w:rPr>
          <w:rFonts w:ascii="Verdana" w:eastAsia="BatangChe" w:hAnsi="Verdana" w:cs="Times New Roman"/>
          <w:sz w:val="18"/>
          <w:szCs w:val="18"/>
        </w:rPr>
        <w:t xml:space="preserve"> </w:t>
      </w:r>
      <w:r w:rsidRPr="000C7CFA">
        <w:rPr>
          <w:rFonts w:ascii="Verdana" w:eastAsia="BatangChe" w:hAnsi="Verdana" w:cs="Times New Roman"/>
          <w:sz w:val="18"/>
          <w:szCs w:val="18"/>
        </w:rPr>
        <w:t>× Z</w:t>
      </w:r>
      <w:r w:rsidRPr="000C7CFA">
        <w:rPr>
          <w:rFonts w:ascii="Verdana" w:eastAsia="BatangChe" w:hAnsi="Verdana" w:cs="Times New Roman"/>
          <w:sz w:val="18"/>
          <w:szCs w:val="18"/>
          <w:vertAlign w:val="subscript"/>
        </w:rPr>
        <w:t>W</w:t>
      </w:r>
      <w:r w:rsidRPr="000C7CFA">
        <w:rPr>
          <w:rFonts w:ascii="Verdana" w:eastAsia="BatangChe" w:hAnsi="Verdana" w:cs="Times New Roman"/>
          <w:sz w:val="18"/>
          <w:szCs w:val="18"/>
        </w:rPr>
        <w:t>).</w:t>
      </w:r>
    </w:p>
    <w:p w14:paraId="642FB2CE" w14:textId="77777777" w:rsidR="00FC2B2F" w:rsidRPr="000C7CFA" w:rsidRDefault="00FC2B2F" w:rsidP="00580132">
      <w:pPr>
        <w:pStyle w:val="NoSpacing"/>
        <w:ind w:left="426" w:right="350"/>
        <w:jc w:val="both"/>
        <w:rPr>
          <w:rFonts w:ascii="Verdana" w:eastAsia="BatangChe" w:hAnsi="Verdana" w:cs="Times New Roman"/>
          <w:sz w:val="18"/>
          <w:szCs w:val="18"/>
        </w:rPr>
      </w:pPr>
    </w:p>
    <w:p w14:paraId="14EB781B" w14:textId="77777777" w:rsidR="00FC2B2F" w:rsidRPr="000C7CFA" w:rsidRDefault="00FC2B2F" w:rsidP="00DC3658">
      <w:pPr>
        <w:pStyle w:val="NoSpacing"/>
        <w:numPr>
          <w:ilvl w:val="0"/>
          <w:numId w:val="18"/>
        </w:numPr>
        <w:ind w:left="426" w:right="350"/>
        <w:jc w:val="both"/>
        <w:rPr>
          <w:rFonts w:ascii="Verdana" w:eastAsia="BatangChe" w:hAnsi="Verdana" w:cs="Times New Roman"/>
          <w:sz w:val="18"/>
          <w:szCs w:val="18"/>
        </w:rPr>
      </w:pPr>
      <w:r w:rsidRPr="000C7CFA">
        <w:rPr>
          <w:rFonts w:ascii="Verdana" w:eastAsia="BatangChe" w:hAnsi="Verdana" w:cs="Times New Roman"/>
          <w:sz w:val="18"/>
          <w:szCs w:val="18"/>
        </w:rPr>
        <w:t>The fugacity ratio for the concentration in fish lipids/concentration in water is therefore f</w:t>
      </w:r>
      <w:r w:rsidRPr="000C7CFA">
        <w:rPr>
          <w:rFonts w:ascii="Verdana" w:eastAsia="BatangChe" w:hAnsi="Verdana" w:cs="Times New Roman"/>
          <w:sz w:val="18"/>
          <w:szCs w:val="18"/>
          <w:vertAlign w:val="subscript"/>
        </w:rPr>
        <w:t>L</w:t>
      </w:r>
      <w:r w:rsidRPr="000C7CFA">
        <w:rPr>
          <w:rFonts w:ascii="Verdana" w:eastAsia="BatangChe" w:hAnsi="Verdana" w:cs="Times New Roman"/>
          <w:sz w:val="18"/>
          <w:szCs w:val="18"/>
        </w:rPr>
        <w:t>/f</w:t>
      </w:r>
      <w:r w:rsidRPr="000C7CFA">
        <w:rPr>
          <w:rFonts w:ascii="Verdana" w:eastAsia="BatangChe" w:hAnsi="Verdana" w:cs="Times New Roman"/>
          <w:sz w:val="18"/>
          <w:szCs w:val="18"/>
          <w:vertAlign w:val="subscript"/>
        </w:rPr>
        <w:t>W</w:t>
      </w:r>
      <w:r w:rsidRPr="000C7CFA">
        <w:rPr>
          <w:rFonts w:ascii="Verdana" w:eastAsia="BatangChe" w:hAnsi="Verdana" w:cs="Times New Roman"/>
          <w:sz w:val="18"/>
          <w:szCs w:val="18"/>
        </w:rPr>
        <w:t xml:space="preserve"> = C</w:t>
      </w:r>
      <w:r w:rsidRPr="000C7CFA">
        <w:rPr>
          <w:rFonts w:ascii="Verdana" w:eastAsia="BatangChe" w:hAnsi="Verdana" w:cs="Times New Roman"/>
          <w:sz w:val="18"/>
          <w:szCs w:val="18"/>
          <w:vertAlign w:val="subscript"/>
        </w:rPr>
        <w:t>L</w:t>
      </w:r>
      <w:r w:rsidRPr="000C7CFA">
        <w:rPr>
          <w:rFonts w:ascii="Verdana" w:eastAsia="BatangChe" w:hAnsi="Verdana" w:cs="Times New Roman"/>
          <w:sz w:val="18"/>
          <w:szCs w:val="18"/>
        </w:rPr>
        <w:t>/C</w:t>
      </w:r>
      <w:r w:rsidRPr="000C7CFA">
        <w:rPr>
          <w:rFonts w:ascii="Verdana" w:eastAsia="BatangChe" w:hAnsi="Verdana" w:cs="Times New Roman"/>
          <w:sz w:val="18"/>
          <w:szCs w:val="18"/>
          <w:vertAlign w:val="subscript"/>
        </w:rPr>
        <w:t>W</w:t>
      </w:r>
      <w:r w:rsidRPr="000C7CFA">
        <w:rPr>
          <w:rFonts w:ascii="Verdana" w:eastAsia="BatangChe" w:hAnsi="Verdana" w:cs="Times New Roman"/>
          <w:sz w:val="18"/>
          <w:szCs w:val="18"/>
        </w:rPr>
        <w:t>×</w:t>
      </w:r>
      <w:r w:rsidR="00580132" w:rsidRPr="000C7CFA">
        <w:rPr>
          <w:rFonts w:ascii="Verdana" w:eastAsia="BatangChe" w:hAnsi="Verdana" w:cs="Times New Roman"/>
          <w:sz w:val="18"/>
          <w:szCs w:val="18"/>
        </w:rPr>
        <w:t xml:space="preserve"> K</w:t>
      </w:r>
      <w:r w:rsidR="00580132" w:rsidRPr="000C7CFA">
        <w:rPr>
          <w:rFonts w:ascii="Verdana" w:eastAsia="BatangChe" w:hAnsi="Verdana" w:cs="Times New Roman"/>
          <w:sz w:val="18"/>
          <w:szCs w:val="18"/>
          <w:vertAlign w:val="subscript"/>
        </w:rPr>
        <w:t>OW</w:t>
      </w:r>
      <w:r w:rsidRPr="000C7CFA">
        <w:rPr>
          <w:rFonts w:ascii="Verdana" w:eastAsia="BatangChe" w:hAnsi="Verdana" w:cs="Times New Roman"/>
          <w:sz w:val="18"/>
          <w:szCs w:val="18"/>
        </w:rPr>
        <w:t>.</w:t>
      </w:r>
    </w:p>
    <w:p w14:paraId="286B7389" w14:textId="77777777" w:rsidR="00FC2B2F" w:rsidRPr="000C7CFA" w:rsidRDefault="00FC2B2F" w:rsidP="00580132">
      <w:pPr>
        <w:pStyle w:val="NoSpacing"/>
        <w:ind w:left="426" w:right="350"/>
        <w:jc w:val="both"/>
        <w:rPr>
          <w:rFonts w:ascii="Verdana" w:eastAsia="BatangChe" w:hAnsi="Verdana" w:cs="Times New Roman"/>
          <w:sz w:val="18"/>
          <w:szCs w:val="18"/>
        </w:rPr>
      </w:pPr>
    </w:p>
    <w:p w14:paraId="3D3C0C70" w14:textId="2F783F31" w:rsidR="00FC2B2F" w:rsidRPr="000C7CFA" w:rsidRDefault="00FC2B2F" w:rsidP="00DC3658">
      <w:pPr>
        <w:pStyle w:val="NoSpacing"/>
        <w:numPr>
          <w:ilvl w:val="0"/>
          <w:numId w:val="18"/>
        </w:numPr>
        <w:ind w:left="426" w:right="350"/>
        <w:jc w:val="both"/>
        <w:rPr>
          <w:rFonts w:ascii="Verdana" w:eastAsia="BatangChe" w:hAnsi="Verdana" w:cs="Times New Roman"/>
          <w:sz w:val="18"/>
          <w:szCs w:val="18"/>
        </w:rPr>
      </w:pPr>
      <w:r w:rsidRPr="000C7CFA">
        <w:rPr>
          <w:rFonts w:ascii="Verdana" w:eastAsia="BatangChe" w:hAnsi="Verdana" w:cs="Times New Roman"/>
          <w:sz w:val="18"/>
          <w:szCs w:val="18"/>
        </w:rPr>
        <w:t>In order to conver</w:t>
      </w:r>
      <w:r w:rsidR="00580132" w:rsidRPr="000C7CFA">
        <w:rPr>
          <w:rFonts w:ascii="Verdana" w:eastAsia="BatangChe" w:hAnsi="Verdana" w:cs="Times New Roman"/>
          <w:sz w:val="18"/>
          <w:szCs w:val="18"/>
        </w:rPr>
        <w:t>t</w:t>
      </w:r>
      <w:r w:rsidRPr="000C7CFA">
        <w:rPr>
          <w:rFonts w:ascii="Verdana" w:eastAsia="BatangChe" w:hAnsi="Verdana" w:cs="Times New Roman"/>
          <w:sz w:val="18"/>
          <w:szCs w:val="18"/>
        </w:rPr>
        <w:t xml:space="preserve"> the concentrations in fish from a) volume based units to the mass based units used for the BCF and b) from lipid </w:t>
      </w:r>
      <w:r w:rsidR="00A11FA5" w:rsidRPr="000C7CFA">
        <w:rPr>
          <w:rFonts w:ascii="Verdana" w:eastAsia="BatangChe" w:hAnsi="Verdana" w:cs="Times New Roman"/>
          <w:sz w:val="18"/>
          <w:szCs w:val="18"/>
        </w:rPr>
        <w:t>concentrations</w:t>
      </w:r>
      <w:r w:rsidRPr="000C7CFA">
        <w:rPr>
          <w:rFonts w:ascii="Verdana" w:eastAsia="BatangChe" w:hAnsi="Verdana" w:cs="Times New Roman"/>
          <w:sz w:val="18"/>
          <w:szCs w:val="18"/>
        </w:rPr>
        <w:t xml:space="preserve"> to whole fish concentrations, it is necessary to use the density of lipid (taken to be 900 kg m</w:t>
      </w:r>
      <w:r w:rsidRPr="000C7CFA">
        <w:rPr>
          <w:rFonts w:ascii="Verdana" w:eastAsia="BatangChe" w:hAnsi="Verdana" w:cs="Times New Roman"/>
          <w:sz w:val="18"/>
          <w:szCs w:val="18"/>
          <w:vertAlign w:val="superscript"/>
        </w:rPr>
        <w:t>-3</w:t>
      </w:r>
      <w:r w:rsidRPr="000C7CFA">
        <w:rPr>
          <w:rFonts w:ascii="Verdana" w:eastAsia="BatangChe" w:hAnsi="Verdana" w:cs="Times New Roman"/>
          <w:sz w:val="18"/>
          <w:szCs w:val="18"/>
        </w:rPr>
        <w:t>) and the lipid fraction of the biota. Taking these into account</w:t>
      </w:r>
      <w:r w:rsidR="00580132" w:rsidRPr="000C7CFA">
        <w:rPr>
          <w:rFonts w:ascii="Verdana" w:eastAsia="BatangChe" w:hAnsi="Verdana" w:cs="Times New Roman"/>
          <w:sz w:val="18"/>
          <w:szCs w:val="18"/>
        </w:rPr>
        <w:t>,</w:t>
      </w:r>
      <w:r w:rsidRPr="000C7CFA">
        <w:rPr>
          <w:rFonts w:ascii="Verdana" w:eastAsia="BatangChe" w:hAnsi="Verdana" w:cs="Times New Roman"/>
          <w:sz w:val="18"/>
          <w:szCs w:val="18"/>
        </w:rPr>
        <w:t xml:space="preserve"> the fugacity ratio can be written as follows</w:t>
      </w:r>
      <w:r w:rsidR="00580132" w:rsidRPr="000C7CFA">
        <w:rPr>
          <w:rFonts w:ascii="Verdana" w:eastAsia="BatangChe" w:hAnsi="Verdana" w:cs="Times New Roman"/>
          <w:sz w:val="18"/>
          <w:szCs w:val="18"/>
        </w:rPr>
        <w:t>:</w:t>
      </w:r>
    </w:p>
    <w:p w14:paraId="43B5EAF8" w14:textId="77777777" w:rsidR="00FC2B2F" w:rsidRPr="000C7CFA" w:rsidRDefault="00FC2B2F" w:rsidP="00FC2B2F">
      <w:pPr>
        <w:pStyle w:val="NoSpacing"/>
        <w:ind w:right="-46"/>
        <w:jc w:val="both"/>
        <w:rPr>
          <w:rFonts w:ascii="Verdana" w:eastAsia="BatangChe" w:hAnsi="Verdana" w:cs="Times New Roman"/>
          <w:sz w:val="18"/>
          <w:szCs w:val="18"/>
        </w:rPr>
      </w:pPr>
    </w:p>
    <w:p w14:paraId="35041478" w14:textId="0E7A6C4C" w:rsidR="00FC2B2F" w:rsidRPr="000C7CFA" w:rsidRDefault="00FC2B2F" w:rsidP="00DC3658">
      <w:pPr>
        <w:pStyle w:val="NoSpacing"/>
        <w:numPr>
          <w:ilvl w:val="1"/>
          <w:numId w:val="18"/>
        </w:numPr>
        <w:tabs>
          <w:tab w:val="left" w:pos="851"/>
        </w:tabs>
        <w:ind w:left="1701" w:right="917" w:hanging="1210"/>
        <w:jc w:val="both"/>
        <w:rPr>
          <w:rFonts w:ascii="Verdana" w:eastAsia="BatangChe" w:hAnsi="Verdana" w:cs="Times New Roman"/>
          <w:sz w:val="18"/>
          <w:szCs w:val="18"/>
        </w:rPr>
      </w:pPr>
      <w:r w:rsidRPr="000C7CFA">
        <w:rPr>
          <w:rFonts w:ascii="Verdana" w:eastAsia="BatangChe" w:hAnsi="Verdana" w:cs="Times New Roman"/>
          <w:sz w:val="18"/>
          <w:szCs w:val="18"/>
        </w:rPr>
        <w:t>f</w:t>
      </w:r>
      <w:r w:rsidRPr="000C7CFA">
        <w:rPr>
          <w:rFonts w:ascii="Verdana" w:eastAsia="BatangChe" w:hAnsi="Verdana" w:cs="Times New Roman"/>
          <w:sz w:val="18"/>
          <w:szCs w:val="18"/>
          <w:vertAlign w:val="subscript"/>
        </w:rPr>
        <w:t>L</w:t>
      </w:r>
      <w:r w:rsidRPr="000C7CFA">
        <w:rPr>
          <w:rFonts w:ascii="Verdana" w:eastAsia="BatangChe" w:hAnsi="Verdana" w:cs="Times New Roman"/>
          <w:sz w:val="18"/>
          <w:szCs w:val="18"/>
        </w:rPr>
        <w:t>/f</w:t>
      </w:r>
      <w:r w:rsidRPr="000C7CFA">
        <w:rPr>
          <w:rFonts w:ascii="Verdana" w:eastAsia="BatangChe" w:hAnsi="Verdana" w:cs="Times New Roman"/>
          <w:sz w:val="18"/>
          <w:szCs w:val="18"/>
          <w:vertAlign w:val="subscript"/>
        </w:rPr>
        <w:t>W</w:t>
      </w:r>
      <w:r w:rsidRPr="000C7CFA">
        <w:rPr>
          <w:rFonts w:ascii="Verdana" w:eastAsia="BatangChe" w:hAnsi="Verdana" w:cs="Times New Roman"/>
          <w:sz w:val="18"/>
          <w:szCs w:val="18"/>
        </w:rPr>
        <w:t xml:space="preserve"> = Concentration in fish (mg/kg </w:t>
      </w:r>
      <w:r w:rsidR="0047043A" w:rsidRPr="000C7CFA">
        <w:rPr>
          <w:rFonts w:ascii="Verdana" w:eastAsia="BatangChe" w:hAnsi="Verdana" w:cs="Times New Roman"/>
          <w:sz w:val="18"/>
          <w:szCs w:val="18"/>
        </w:rPr>
        <w:t>ww</w:t>
      </w:r>
      <w:r w:rsidRPr="000C7CFA">
        <w:rPr>
          <w:rFonts w:ascii="Verdana" w:eastAsia="BatangChe" w:hAnsi="Verdana" w:cs="Times New Roman"/>
          <w:sz w:val="18"/>
          <w:szCs w:val="18"/>
        </w:rPr>
        <w:t>) × density of lipid (0.9 kg</w:t>
      </w:r>
      <w:r w:rsidR="00580132" w:rsidRPr="000C7CFA">
        <w:rPr>
          <w:rFonts w:ascii="Verdana" w:eastAsia="BatangChe" w:hAnsi="Verdana" w:cs="Times New Roman"/>
          <w:sz w:val="18"/>
          <w:szCs w:val="18"/>
        </w:rPr>
        <w:t>/L</w:t>
      </w:r>
      <w:r w:rsidRPr="000C7CFA">
        <w:rPr>
          <w:rFonts w:ascii="Verdana" w:eastAsia="BatangChe" w:hAnsi="Verdana" w:cs="Times New Roman"/>
          <w:sz w:val="18"/>
          <w:szCs w:val="18"/>
        </w:rPr>
        <w:t>)/(Concentration in water (mg/</w:t>
      </w:r>
      <w:r w:rsidR="00580132" w:rsidRPr="000C7CFA">
        <w:rPr>
          <w:rFonts w:ascii="Verdana" w:eastAsia="BatangChe" w:hAnsi="Verdana" w:cs="Times New Roman"/>
          <w:sz w:val="18"/>
          <w:szCs w:val="18"/>
        </w:rPr>
        <w:t>L</w:t>
      </w:r>
      <w:r w:rsidRPr="000C7CFA">
        <w:rPr>
          <w:rFonts w:ascii="Verdana" w:eastAsia="BatangChe" w:hAnsi="Verdana" w:cs="Times New Roman"/>
          <w:sz w:val="18"/>
          <w:szCs w:val="18"/>
        </w:rPr>
        <w:t>) × fraction</w:t>
      </w:r>
      <w:r w:rsidR="00580132" w:rsidRPr="000C7CFA">
        <w:rPr>
          <w:rFonts w:ascii="Verdana" w:eastAsia="BatangChe" w:hAnsi="Verdana" w:cs="Times New Roman"/>
          <w:sz w:val="18"/>
          <w:szCs w:val="18"/>
        </w:rPr>
        <w:t xml:space="preserve"> of</w:t>
      </w:r>
      <w:r w:rsidRPr="000C7CFA">
        <w:rPr>
          <w:rFonts w:ascii="Verdana" w:eastAsia="BatangChe" w:hAnsi="Verdana" w:cs="Times New Roman"/>
          <w:sz w:val="18"/>
          <w:szCs w:val="18"/>
        </w:rPr>
        <w:t xml:space="preserve"> lipids in fish × K</w:t>
      </w:r>
      <w:r w:rsidR="00580132" w:rsidRPr="000C7CFA">
        <w:rPr>
          <w:rFonts w:ascii="Verdana" w:eastAsia="BatangChe" w:hAnsi="Verdana" w:cs="Times New Roman"/>
          <w:sz w:val="18"/>
          <w:szCs w:val="18"/>
          <w:vertAlign w:val="subscript"/>
        </w:rPr>
        <w:t>OW</w:t>
      </w:r>
      <w:r w:rsidRPr="000C7CFA">
        <w:rPr>
          <w:rFonts w:ascii="Verdana" w:eastAsia="BatangChe" w:hAnsi="Verdana" w:cs="Times New Roman"/>
          <w:sz w:val="18"/>
          <w:szCs w:val="18"/>
        </w:rPr>
        <w:t>)</w:t>
      </w:r>
    </w:p>
    <w:p w14:paraId="78921A67" w14:textId="77777777" w:rsidR="00FC2B2F" w:rsidRPr="000C7CFA" w:rsidRDefault="00FC2B2F" w:rsidP="00580132">
      <w:pPr>
        <w:pStyle w:val="NoSpacing"/>
        <w:ind w:left="851" w:right="917"/>
        <w:jc w:val="both"/>
        <w:rPr>
          <w:rFonts w:ascii="Verdana" w:eastAsia="BatangChe" w:hAnsi="Verdana" w:cs="Times New Roman"/>
          <w:sz w:val="18"/>
          <w:szCs w:val="18"/>
        </w:rPr>
      </w:pPr>
    </w:p>
    <w:p w14:paraId="180BE751" w14:textId="3EF67521" w:rsidR="00FC2B2F" w:rsidRPr="000C7CFA" w:rsidRDefault="00FC2B2F" w:rsidP="00DC3658">
      <w:pPr>
        <w:pStyle w:val="NoSpacing"/>
        <w:numPr>
          <w:ilvl w:val="1"/>
          <w:numId w:val="18"/>
        </w:numPr>
        <w:ind w:left="851" w:right="917"/>
        <w:jc w:val="both"/>
        <w:rPr>
          <w:rFonts w:ascii="Verdana" w:eastAsia="BatangChe" w:hAnsi="Verdana" w:cs="Times New Roman"/>
          <w:sz w:val="18"/>
          <w:szCs w:val="18"/>
        </w:rPr>
      </w:pPr>
      <w:r w:rsidRPr="000C7CFA">
        <w:rPr>
          <w:rFonts w:ascii="Verdana" w:eastAsia="BatangChe" w:hAnsi="Verdana" w:cs="Times New Roman"/>
          <w:sz w:val="18"/>
          <w:szCs w:val="18"/>
        </w:rPr>
        <w:t>As the concentration in fish/concentration in water is equivalent to the BCF, the fugacity ratio corresponding to the BCF value can be estimated as BCF × 0.9</w:t>
      </w:r>
      <w:proofErr w:type="gramStart"/>
      <w:r w:rsidRPr="000C7CFA">
        <w:rPr>
          <w:rFonts w:ascii="Verdana" w:eastAsia="BatangChe" w:hAnsi="Verdana" w:cs="Times New Roman"/>
          <w:sz w:val="18"/>
          <w:szCs w:val="18"/>
        </w:rPr>
        <w:t>/(</w:t>
      </w:r>
      <w:proofErr w:type="gramEnd"/>
      <w:r w:rsidRPr="000C7CFA">
        <w:rPr>
          <w:rFonts w:ascii="Verdana" w:eastAsia="BatangChe" w:hAnsi="Verdana" w:cs="Times New Roman"/>
          <w:sz w:val="18"/>
          <w:szCs w:val="18"/>
        </w:rPr>
        <w:t>fraction</w:t>
      </w:r>
      <w:r w:rsidR="00580132" w:rsidRPr="000C7CFA">
        <w:rPr>
          <w:rFonts w:ascii="Verdana" w:eastAsia="BatangChe" w:hAnsi="Verdana" w:cs="Times New Roman"/>
          <w:sz w:val="18"/>
          <w:szCs w:val="18"/>
        </w:rPr>
        <w:t xml:space="preserve"> of</w:t>
      </w:r>
      <w:r w:rsidRPr="000C7CFA">
        <w:rPr>
          <w:rFonts w:ascii="Verdana" w:eastAsia="BatangChe" w:hAnsi="Verdana" w:cs="Times New Roman"/>
          <w:sz w:val="18"/>
          <w:szCs w:val="18"/>
        </w:rPr>
        <w:t xml:space="preserve"> lipids in fish × </w:t>
      </w:r>
      <w:r w:rsidR="00580132" w:rsidRPr="000C7CFA">
        <w:rPr>
          <w:rFonts w:ascii="Verdana" w:eastAsia="BatangChe" w:hAnsi="Verdana" w:cs="Times New Roman"/>
          <w:sz w:val="18"/>
          <w:szCs w:val="18"/>
        </w:rPr>
        <w:t>K</w:t>
      </w:r>
      <w:r w:rsidR="00580132" w:rsidRPr="000C7CFA">
        <w:rPr>
          <w:rFonts w:ascii="Verdana" w:eastAsia="BatangChe" w:hAnsi="Verdana" w:cs="Times New Roman"/>
          <w:sz w:val="18"/>
          <w:szCs w:val="18"/>
          <w:vertAlign w:val="subscript"/>
        </w:rPr>
        <w:t>OW</w:t>
      </w:r>
      <w:r w:rsidRPr="000C7CFA">
        <w:rPr>
          <w:rFonts w:ascii="Verdana" w:eastAsia="BatangChe" w:hAnsi="Verdana" w:cs="Times New Roman"/>
          <w:sz w:val="18"/>
          <w:szCs w:val="18"/>
        </w:rPr>
        <w:t>). The fugacity ratios estimated for the benchmark chemicals are summarised in the Table. As the perfluoro</w:t>
      </w:r>
      <w:r w:rsidR="00580132" w:rsidRPr="000C7CFA">
        <w:rPr>
          <w:rFonts w:ascii="Verdana" w:eastAsia="BatangChe" w:hAnsi="Verdana" w:cs="Times New Roman"/>
          <w:sz w:val="18"/>
          <w:szCs w:val="18"/>
        </w:rPr>
        <w:t>carboxylic</w:t>
      </w:r>
      <w:r w:rsidRPr="000C7CFA">
        <w:rPr>
          <w:rFonts w:ascii="Verdana" w:eastAsia="BatangChe" w:hAnsi="Verdana" w:cs="Times New Roman"/>
          <w:sz w:val="18"/>
          <w:szCs w:val="18"/>
        </w:rPr>
        <w:t xml:space="preserve"> acid compounds are thought not to partition into lipids, this calculation is not appropriate for these substances. Where no lipid content for the fish is given a lipid content of </w:t>
      </w:r>
      <w:r w:rsidR="00AF7606" w:rsidRPr="000C7CFA">
        <w:rPr>
          <w:rFonts w:ascii="Verdana" w:eastAsia="BatangChe" w:hAnsi="Verdana" w:cs="Times New Roman"/>
          <w:sz w:val="18"/>
          <w:szCs w:val="18"/>
        </w:rPr>
        <w:t>5 %</w:t>
      </w:r>
      <w:r w:rsidRPr="000C7CFA">
        <w:rPr>
          <w:rFonts w:ascii="Verdana" w:eastAsia="BatangChe" w:hAnsi="Verdana" w:cs="Times New Roman"/>
          <w:sz w:val="18"/>
          <w:szCs w:val="18"/>
        </w:rPr>
        <w:t xml:space="preserve"> has been assumed for the calculation.</w:t>
      </w:r>
    </w:p>
    <w:p w14:paraId="1BB5D8AF" w14:textId="77777777" w:rsidR="00FC2B2F" w:rsidRPr="000C7CFA" w:rsidRDefault="00FC2B2F" w:rsidP="00FC2B2F">
      <w:pPr>
        <w:pStyle w:val="ListParagraph"/>
        <w:rPr>
          <w:rFonts w:ascii="Verdana" w:eastAsia="BatangChe" w:hAnsi="Verdana"/>
          <w:sz w:val="18"/>
          <w:szCs w:val="18"/>
        </w:rPr>
      </w:pPr>
    </w:p>
    <w:p w14:paraId="2A466547" w14:textId="77777777" w:rsidR="00FC2B2F" w:rsidRPr="000C7CFA" w:rsidRDefault="00FC2B2F" w:rsidP="00FC2B2F">
      <w:pPr>
        <w:pStyle w:val="NoSpacing"/>
        <w:ind w:right="-46"/>
        <w:jc w:val="both"/>
        <w:rPr>
          <w:rFonts w:ascii="Verdana" w:eastAsia="BatangChe" w:hAnsi="Verdana" w:cs="Times New Roman"/>
          <w:sz w:val="18"/>
          <w:szCs w:val="18"/>
        </w:rPr>
      </w:pPr>
      <w:r w:rsidRPr="000C7CFA">
        <w:rPr>
          <w:rFonts w:ascii="Verdana" w:eastAsia="BatangChe" w:hAnsi="Verdana" w:cs="Times New Roman"/>
          <w:sz w:val="18"/>
          <w:szCs w:val="18"/>
        </w:rPr>
        <w:t>As with the concentration comparisons, the fugacity ratios also show a high variability (three orders of magnitude).</w:t>
      </w:r>
    </w:p>
    <w:p w14:paraId="69A81501" w14:textId="77777777" w:rsidR="00FC2B2F" w:rsidRPr="000C7CFA" w:rsidRDefault="00FC2B2F" w:rsidP="00713D6A">
      <w:pPr>
        <w:jc w:val="both"/>
        <w:rPr>
          <w:rFonts w:ascii="Verdana" w:eastAsia="BatangChe" w:hAnsi="Verdana"/>
          <w:sz w:val="18"/>
          <w:szCs w:val="18"/>
        </w:rPr>
      </w:pPr>
    </w:p>
    <w:p w14:paraId="703ABAC0" w14:textId="77777777" w:rsidR="008A1E24" w:rsidRPr="000C7CFA" w:rsidRDefault="00824FCF" w:rsidP="00713D6A">
      <w:pPr>
        <w:jc w:val="both"/>
        <w:rPr>
          <w:rFonts w:ascii="Verdana" w:eastAsia="BatangChe" w:hAnsi="Verdana"/>
          <w:sz w:val="18"/>
          <w:szCs w:val="18"/>
        </w:rPr>
      </w:pPr>
      <w:r w:rsidRPr="000C7CFA">
        <w:rPr>
          <w:rFonts w:ascii="Verdana" w:eastAsia="BatangChe" w:hAnsi="Verdana"/>
          <w:sz w:val="18"/>
          <w:szCs w:val="18"/>
        </w:rPr>
        <w:t>Th</w:t>
      </w:r>
      <w:r w:rsidR="00FC2B2F" w:rsidRPr="000C7CFA">
        <w:rPr>
          <w:rFonts w:ascii="Verdana" w:eastAsia="BatangChe" w:hAnsi="Verdana"/>
          <w:sz w:val="18"/>
          <w:szCs w:val="18"/>
        </w:rPr>
        <w:t>e</w:t>
      </w:r>
      <w:r w:rsidRPr="000C7CFA">
        <w:rPr>
          <w:rFonts w:ascii="Verdana" w:eastAsia="BatangChe" w:hAnsi="Verdana"/>
          <w:sz w:val="18"/>
          <w:szCs w:val="18"/>
        </w:rPr>
        <w:t xml:space="preserve"> high variability in molar concentration </w:t>
      </w:r>
      <w:r w:rsidR="009F12C9" w:rsidRPr="000C7CFA">
        <w:rPr>
          <w:rFonts w:ascii="Verdana" w:eastAsia="BatangChe" w:hAnsi="Verdana"/>
          <w:sz w:val="18"/>
          <w:szCs w:val="18"/>
        </w:rPr>
        <w:t xml:space="preserve">(four orders of magnitude) </w:t>
      </w:r>
      <w:r w:rsidRPr="000C7CFA">
        <w:rPr>
          <w:rFonts w:ascii="Verdana" w:eastAsia="BatangChe" w:hAnsi="Verdana"/>
          <w:sz w:val="18"/>
          <w:szCs w:val="18"/>
        </w:rPr>
        <w:t xml:space="preserve">raises an important issue about the use of BCF alone for assessing bioaccumulation potential. In terms of the PBT concept, bioaccumulation concerns are linked to the potential for a substance to reach a toxic threshold in species that have not been tested in the laboratory. This is related to the number of molecules of a xenobiotic within an organism (available to exert toxicity), and so both water solubility and molecular weight are important considerations alongside the BCF, since it is the molar concentration of a substance in fish tissue that is most relevant. This </w:t>
      </w:r>
      <w:r w:rsidR="009F12C9" w:rsidRPr="000C7CFA">
        <w:rPr>
          <w:rFonts w:ascii="Verdana" w:eastAsia="BatangChe" w:hAnsi="Verdana"/>
          <w:sz w:val="18"/>
          <w:szCs w:val="18"/>
        </w:rPr>
        <w:t>ha</w:t>
      </w:r>
      <w:r w:rsidRPr="000C7CFA">
        <w:rPr>
          <w:rFonts w:ascii="Verdana" w:eastAsia="BatangChe" w:hAnsi="Verdana"/>
          <w:sz w:val="18"/>
          <w:szCs w:val="18"/>
        </w:rPr>
        <w:t>s not</w:t>
      </w:r>
      <w:r w:rsidR="009F12C9" w:rsidRPr="000C7CFA">
        <w:rPr>
          <w:rFonts w:ascii="Verdana" w:eastAsia="BatangChe" w:hAnsi="Verdana"/>
          <w:sz w:val="18"/>
          <w:szCs w:val="18"/>
        </w:rPr>
        <w:t xml:space="preserve"> been</w:t>
      </w:r>
      <w:r w:rsidRPr="000C7CFA">
        <w:rPr>
          <w:rFonts w:ascii="Verdana" w:eastAsia="BatangChe" w:hAnsi="Verdana"/>
          <w:sz w:val="18"/>
          <w:szCs w:val="18"/>
        </w:rPr>
        <w:t xml:space="preserve"> routinely considered in PBT assessments</w:t>
      </w:r>
      <w:r w:rsidR="009F12C9" w:rsidRPr="000C7CFA">
        <w:rPr>
          <w:rFonts w:ascii="Verdana" w:eastAsia="BatangChe" w:hAnsi="Verdana"/>
          <w:sz w:val="18"/>
          <w:szCs w:val="18"/>
        </w:rPr>
        <w:t xml:space="preserve"> in the EU up to now</w:t>
      </w:r>
      <w:r w:rsidRPr="000C7CFA">
        <w:rPr>
          <w:rFonts w:ascii="Verdana" w:eastAsia="BatangChe" w:hAnsi="Verdana"/>
          <w:sz w:val="18"/>
          <w:szCs w:val="18"/>
        </w:rPr>
        <w:t xml:space="preserve">. </w:t>
      </w:r>
    </w:p>
    <w:p w14:paraId="181B4D77" w14:textId="77777777" w:rsidR="00BE2D38" w:rsidRPr="000C7CFA" w:rsidRDefault="00BE2D38" w:rsidP="00BE2D38">
      <w:pPr>
        <w:pStyle w:val="NoSpacing"/>
        <w:jc w:val="both"/>
        <w:rPr>
          <w:rFonts w:ascii="Verdana" w:eastAsia="BatangChe" w:hAnsi="Verdana" w:cs="Times New Roman"/>
          <w:sz w:val="18"/>
          <w:szCs w:val="18"/>
        </w:rPr>
      </w:pPr>
      <w:r w:rsidRPr="000C7CFA">
        <w:rPr>
          <w:rFonts w:ascii="Verdana" w:eastAsia="BatangChe" w:hAnsi="Verdana" w:cs="Times New Roman"/>
          <w:sz w:val="18"/>
          <w:szCs w:val="18"/>
        </w:rPr>
        <w:lastRenderedPageBreak/>
        <w:t>The WSKOW program within EPISuite (U.S. EPA, 2012) uses the following equation to relate water solubility to the K</w:t>
      </w:r>
      <w:r w:rsidRPr="000C7CFA">
        <w:rPr>
          <w:rFonts w:ascii="Verdana" w:eastAsia="BatangChe" w:hAnsi="Verdana" w:cs="Times New Roman"/>
          <w:sz w:val="18"/>
          <w:szCs w:val="18"/>
          <w:vertAlign w:val="subscript"/>
        </w:rPr>
        <w:t>OW</w:t>
      </w:r>
      <w:r w:rsidRPr="000C7CFA">
        <w:rPr>
          <w:rFonts w:ascii="Verdana" w:eastAsia="BatangChe" w:hAnsi="Verdana" w:cs="Times New Roman"/>
          <w:sz w:val="18"/>
          <w:szCs w:val="18"/>
        </w:rPr>
        <w:t>:</w:t>
      </w:r>
    </w:p>
    <w:p w14:paraId="6A778F7E" w14:textId="77777777" w:rsidR="00BE2D38" w:rsidRPr="000C7CFA" w:rsidRDefault="00BE2D38" w:rsidP="00BE2D38">
      <w:pPr>
        <w:pStyle w:val="NoSpacing"/>
        <w:jc w:val="both"/>
        <w:rPr>
          <w:rFonts w:ascii="Verdana" w:eastAsia="BatangChe" w:hAnsi="Verdana" w:cs="Times New Roman"/>
          <w:sz w:val="18"/>
          <w:szCs w:val="18"/>
        </w:rPr>
      </w:pPr>
    </w:p>
    <w:p w14:paraId="07C8B6A2" w14:textId="77777777" w:rsidR="00BE2D38" w:rsidRPr="000C7CFA" w:rsidRDefault="00BE2D38" w:rsidP="00BE2D38">
      <w:pPr>
        <w:pStyle w:val="NoSpacing"/>
        <w:ind w:left="720" w:firstLine="720"/>
        <w:jc w:val="both"/>
        <w:rPr>
          <w:rFonts w:ascii="Verdana" w:eastAsia="BatangChe" w:hAnsi="Verdana" w:cs="Times New Roman"/>
          <w:sz w:val="18"/>
          <w:szCs w:val="18"/>
        </w:rPr>
      </w:pPr>
      <w:proofErr w:type="gramStart"/>
      <w:r w:rsidRPr="000C7CFA">
        <w:rPr>
          <w:rFonts w:ascii="Verdana" w:eastAsia="BatangChe" w:hAnsi="Verdana" w:cs="Times New Roman"/>
          <w:sz w:val="18"/>
          <w:szCs w:val="18"/>
        </w:rPr>
        <w:t>log</w:t>
      </w:r>
      <w:proofErr w:type="gramEnd"/>
      <w:r w:rsidRPr="000C7CFA">
        <w:rPr>
          <w:rFonts w:ascii="Verdana" w:eastAsia="BatangChe" w:hAnsi="Verdana" w:cs="Times New Roman"/>
          <w:sz w:val="18"/>
          <w:szCs w:val="18"/>
        </w:rPr>
        <w:t xml:space="preserve"> S = 0.693 – 0.0092 (MP – 25) – 0.96 log K</w:t>
      </w:r>
      <w:r w:rsidRPr="000C7CFA">
        <w:rPr>
          <w:rFonts w:ascii="Verdana" w:eastAsia="BatangChe" w:hAnsi="Verdana" w:cs="Times New Roman"/>
          <w:sz w:val="18"/>
          <w:szCs w:val="18"/>
          <w:vertAlign w:val="subscript"/>
        </w:rPr>
        <w:t>OW</w:t>
      </w:r>
    </w:p>
    <w:p w14:paraId="3A1320DF" w14:textId="77777777" w:rsidR="00BE2D38" w:rsidRPr="000C7CFA" w:rsidRDefault="00BE2D38" w:rsidP="00BE2D38">
      <w:pPr>
        <w:pStyle w:val="NoSpacing"/>
        <w:jc w:val="both"/>
        <w:rPr>
          <w:rFonts w:ascii="Verdana" w:eastAsia="BatangChe" w:hAnsi="Verdana" w:cs="Times New Roman"/>
          <w:sz w:val="18"/>
          <w:szCs w:val="18"/>
        </w:rPr>
      </w:pPr>
    </w:p>
    <w:p w14:paraId="0AE0D173" w14:textId="77777777" w:rsidR="00BE2D38" w:rsidRPr="000C7CFA" w:rsidRDefault="00BE2D38" w:rsidP="00BE2D38">
      <w:pPr>
        <w:pStyle w:val="NoSpacing"/>
        <w:ind w:firstLine="720"/>
        <w:jc w:val="both"/>
        <w:rPr>
          <w:rFonts w:ascii="Verdana" w:eastAsia="BatangChe" w:hAnsi="Verdana" w:cs="Times New Roman"/>
          <w:sz w:val="18"/>
          <w:szCs w:val="18"/>
        </w:rPr>
      </w:pPr>
      <w:proofErr w:type="gramStart"/>
      <w:r w:rsidRPr="000C7CFA">
        <w:rPr>
          <w:rFonts w:ascii="Verdana" w:eastAsia="BatangChe" w:hAnsi="Verdana" w:cs="Times New Roman"/>
          <w:sz w:val="18"/>
          <w:szCs w:val="18"/>
        </w:rPr>
        <w:t>where</w:t>
      </w:r>
      <w:proofErr w:type="gramEnd"/>
      <w:r w:rsidRPr="000C7CFA">
        <w:rPr>
          <w:rFonts w:ascii="Verdana" w:eastAsia="BatangChe" w:hAnsi="Verdana" w:cs="Times New Roman"/>
          <w:sz w:val="18"/>
          <w:szCs w:val="18"/>
        </w:rPr>
        <w:t xml:space="preserve"> S = solubility in moles/L; MP = melting point in °C</w:t>
      </w:r>
    </w:p>
    <w:p w14:paraId="6DCFD25C" w14:textId="77777777" w:rsidR="008A1E24" w:rsidRPr="000C7CFA" w:rsidRDefault="008A1E24" w:rsidP="003B0E94">
      <w:pPr>
        <w:pStyle w:val="NoSpacing"/>
        <w:jc w:val="both"/>
        <w:rPr>
          <w:rFonts w:ascii="Verdana" w:eastAsia="BatangChe" w:hAnsi="Verdana" w:cs="Times New Roman"/>
          <w:sz w:val="18"/>
          <w:szCs w:val="18"/>
        </w:rPr>
      </w:pPr>
    </w:p>
    <w:p w14:paraId="58C60C5B" w14:textId="41666CAF" w:rsidR="00BE2D38" w:rsidRPr="000C7CFA" w:rsidRDefault="00BE2D38" w:rsidP="00713D6A">
      <w:pPr>
        <w:jc w:val="both"/>
        <w:rPr>
          <w:rFonts w:ascii="Verdana" w:eastAsia="BatangChe" w:hAnsi="Verdana"/>
          <w:sz w:val="18"/>
          <w:szCs w:val="18"/>
        </w:rPr>
      </w:pPr>
      <w:r w:rsidRPr="000C7CFA">
        <w:rPr>
          <w:rFonts w:ascii="Verdana" w:eastAsia="BatangChe" w:hAnsi="Verdana"/>
          <w:sz w:val="18"/>
          <w:szCs w:val="18"/>
        </w:rPr>
        <w:t>This clearly shows that water solubility (as a molar concentration) generally declines with increasing log K</w:t>
      </w:r>
      <w:r w:rsidRPr="000C7CFA">
        <w:rPr>
          <w:rFonts w:ascii="Verdana" w:eastAsia="BatangChe" w:hAnsi="Verdana"/>
          <w:sz w:val="18"/>
          <w:szCs w:val="18"/>
          <w:vertAlign w:val="subscript"/>
        </w:rPr>
        <w:t>OW</w:t>
      </w:r>
      <w:r w:rsidRPr="000C7CFA">
        <w:rPr>
          <w:rFonts w:ascii="Verdana" w:eastAsia="BatangChe" w:hAnsi="Verdana"/>
          <w:sz w:val="18"/>
          <w:szCs w:val="18"/>
        </w:rPr>
        <w:t>. So, whilst an increase in log K</w:t>
      </w:r>
      <w:r w:rsidRPr="000C7CFA">
        <w:rPr>
          <w:rFonts w:ascii="Verdana" w:eastAsia="BatangChe" w:hAnsi="Verdana"/>
          <w:sz w:val="18"/>
          <w:szCs w:val="18"/>
          <w:vertAlign w:val="subscript"/>
        </w:rPr>
        <w:t>OW</w:t>
      </w:r>
      <w:r w:rsidRPr="000C7CFA">
        <w:rPr>
          <w:rFonts w:ascii="Verdana" w:eastAsia="BatangChe" w:hAnsi="Verdana"/>
          <w:sz w:val="18"/>
          <w:szCs w:val="18"/>
        </w:rPr>
        <w:t xml:space="preserve"> correlates with an increase in BCF, the equivalent molar fish concentrations (C</w:t>
      </w:r>
      <w:r w:rsidRPr="000C7CFA">
        <w:rPr>
          <w:rFonts w:ascii="Verdana" w:eastAsia="BatangChe" w:hAnsi="Verdana"/>
          <w:sz w:val="18"/>
          <w:szCs w:val="18"/>
          <w:vertAlign w:val="subscript"/>
        </w:rPr>
        <w:t>fish</w:t>
      </w:r>
      <w:r w:rsidRPr="000C7CFA">
        <w:rPr>
          <w:rFonts w:ascii="Verdana" w:eastAsia="BatangChe" w:hAnsi="Verdana"/>
          <w:sz w:val="18"/>
          <w:szCs w:val="18"/>
        </w:rPr>
        <w:t>) will not necessarily increase in line with this. In fact, C</w:t>
      </w:r>
      <w:r w:rsidRPr="000C7CFA">
        <w:rPr>
          <w:rFonts w:ascii="Verdana" w:eastAsia="BatangChe" w:hAnsi="Verdana"/>
          <w:sz w:val="18"/>
          <w:szCs w:val="18"/>
          <w:vertAlign w:val="subscript"/>
        </w:rPr>
        <w:t xml:space="preserve">fish </w:t>
      </w:r>
      <w:r w:rsidRPr="000C7CFA">
        <w:rPr>
          <w:rFonts w:ascii="Verdana" w:eastAsia="BatangChe" w:hAnsi="Verdana"/>
          <w:sz w:val="18"/>
          <w:szCs w:val="18"/>
        </w:rPr>
        <w:t xml:space="preserve">can be higher for more soluble substances with a </w:t>
      </w:r>
      <w:r w:rsidR="003B0E94" w:rsidRPr="000C7CFA">
        <w:rPr>
          <w:rFonts w:ascii="Verdana" w:eastAsia="BatangChe" w:hAnsi="Verdana"/>
          <w:sz w:val="18"/>
          <w:szCs w:val="18"/>
        </w:rPr>
        <w:t xml:space="preserve">low log </w:t>
      </w:r>
      <w:r w:rsidRPr="000C7CFA">
        <w:rPr>
          <w:rFonts w:ascii="Verdana" w:eastAsia="BatangChe" w:hAnsi="Verdana"/>
          <w:sz w:val="18"/>
          <w:szCs w:val="18"/>
        </w:rPr>
        <w:t>K</w:t>
      </w:r>
      <w:r w:rsidRPr="000C7CFA">
        <w:rPr>
          <w:rFonts w:ascii="Verdana" w:eastAsia="BatangChe" w:hAnsi="Verdana"/>
          <w:sz w:val="18"/>
          <w:szCs w:val="18"/>
          <w:vertAlign w:val="subscript"/>
        </w:rPr>
        <w:t>OW</w:t>
      </w:r>
      <w:r w:rsidRPr="000C7CFA">
        <w:rPr>
          <w:rFonts w:ascii="Verdana" w:eastAsia="BatangChe" w:hAnsi="Verdana"/>
          <w:sz w:val="18"/>
          <w:szCs w:val="18"/>
        </w:rPr>
        <w:t xml:space="preserve">/BCF </w:t>
      </w:r>
      <w:r w:rsidR="003B0E94" w:rsidRPr="000C7CFA">
        <w:rPr>
          <w:rFonts w:ascii="Verdana" w:eastAsia="BatangChe" w:hAnsi="Verdana"/>
          <w:sz w:val="18"/>
          <w:szCs w:val="18"/>
        </w:rPr>
        <w:t>value</w:t>
      </w:r>
      <w:r w:rsidRPr="000C7CFA">
        <w:rPr>
          <w:rFonts w:ascii="Verdana" w:eastAsia="BatangChe" w:hAnsi="Verdana"/>
          <w:sz w:val="18"/>
          <w:szCs w:val="18"/>
        </w:rPr>
        <w:t xml:space="preserve"> than poorly soluble ones with a high K</w:t>
      </w:r>
      <w:r w:rsidRPr="000C7CFA">
        <w:rPr>
          <w:rFonts w:ascii="Verdana" w:eastAsia="BatangChe" w:hAnsi="Verdana"/>
          <w:sz w:val="18"/>
          <w:szCs w:val="18"/>
          <w:vertAlign w:val="subscript"/>
        </w:rPr>
        <w:t>OW</w:t>
      </w:r>
      <w:r w:rsidRPr="000C7CFA">
        <w:rPr>
          <w:rFonts w:ascii="Verdana" w:eastAsia="BatangChe" w:hAnsi="Verdana"/>
          <w:sz w:val="18"/>
          <w:szCs w:val="18"/>
        </w:rPr>
        <w:t>/BCF.</w:t>
      </w:r>
      <w:r w:rsidR="003B0E94" w:rsidRPr="000C7CFA">
        <w:rPr>
          <w:rFonts w:ascii="Verdana" w:eastAsia="BatangChe" w:hAnsi="Verdana"/>
          <w:sz w:val="18"/>
          <w:szCs w:val="18"/>
        </w:rPr>
        <w:t xml:space="preserve"> </w:t>
      </w:r>
      <w:r w:rsidRPr="000C7CFA">
        <w:rPr>
          <w:rFonts w:ascii="Verdana" w:eastAsia="BatangChe" w:hAnsi="Verdana"/>
          <w:sz w:val="18"/>
          <w:szCs w:val="18"/>
        </w:rPr>
        <w:t>It is beyond the scope of this report to consider the implications of this in detail using experimental data for actual substances</w:t>
      </w:r>
      <w:r w:rsidR="00580132" w:rsidRPr="000C7CFA">
        <w:rPr>
          <w:rFonts w:ascii="Verdana" w:eastAsia="BatangChe" w:hAnsi="Verdana"/>
          <w:sz w:val="18"/>
          <w:szCs w:val="18"/>
        </w:rPr>
        <w:t>, but a couple of examples for substances that are not considered to be bioaccumulative illustrate the point. The BCF value for ethylbenzene (CAS no. 100-41-4) has been estimated to be around 91 L/kg (EC, 2007). The water solubility of ethylbenzene is 160 mg/L and so it can be estimat</w:t>
      </w:r>
      <w:r w:rsidR="002D4EB9" w:rsidRPr="000C7CFA">
        <w:rPr>
          <w:rFonts w:ascii="Verdana" w:eastAsia="BatangChe" w:hAnsi="Verdana"/>
          <w:sz w:val="18"/>
          <w:szCs w:val="18"/>
        </w:rPr>
        <w:t>ed that concentrations up to 14 </w:t>
      </w:r>
      <w:r w:rsidR="00580132" w:rsidRPr="000C7CFA">
        <w:rPr>
          <w:rFonts w:ascii="Verdana" w:eastAsia="BatangChe" w:hAnsi="Verdana"/>
          <w:sz w:val="18"/>
          <w:szCs w:val="18"/>
        </w:rPr>
        <w:t xml:space="preserve">560 mg/kg ww (137 mmol/kg ww) could theoretically be obtained in </w:t>
      </w:r>
      <w:r w:rsidR="00D97EEA" w:rsidRPr="000C7CFA">
        <w:rPr>
          <w:rFonts w:ascii="Verdana" w:eastAsia="BatangChe" w:hAnsi="Verdana"/>
          <w:sz w:val="18"/>
          <w:szCs w:val="18"/>
        </w:rPr>
        <w:t xml:space="preserve">aquatic </w:t>
      </w:r>
      <w:r w:rsidR="00580132" w:rsidRPr="000C7CFA">
        <w:rPr>
          <w:rFonts w:ascii="Verdana" w:eastAsia="BatangChe" w:hAnsi="Verdana"/>
          <w:sz w:val="18"/>
          <w:szCs w:val="18"/>
        </w:rPr>
        <w:t xml:space="preserve">organisms. Similarly cumene (CAS no. 98-82-8) has </w:t>
      </w:r>
      <w:r w:rsidR="00D97EEA" w:rsidRPr="000C7CFA">
        <w:rPr>
          <w:rFonts w:ascii="Verdana" w:eastAsia="BatangChe" w:hAnsi="Verdana"/>
          <w:sz w:val="18"/>
          <w:szCs w:val="18"/>
        </w:rPr>
        <w:t>a calculated BCF of 208 </w:t>
      </w:r>
      <w:r w:rsidR="00580132" w:rsidRPr="000C7CFA">
        <w:rPr>
          <w:rFonts w:ascii="Verdana" w:eastAsia="BatangChe" w:hAnsi="Verdana"/>
          <w:sz w:val="18"/>
          <w:szCs w:val="18"/>
        </w:rPr>
        <w:t>L/kg (and a poorly reported experimental BCF of 35.5</w:t>
      </w:r>
      <w:r w:rsidR="00D97EEA" w:rsidRPr="000C7CFA">
        <w:rPr>
          <w:rFonts w:ascii="Verdana" w:eastAsia="BatangChe" w:hAnsi="Verdana"/>
          <w:sz w:val="18"/>
          <w:szCs w:val="18"/>
        </w:rPr>
        <w:t xml:space="preserve"> L/kg</w:t>
      </w:r>
      <w:r w:rsidR="00580132" w:rsidRPr="000C7CFA">
        <w:rPr>
          <w:rFonts w:ascii="Verdana" w:eastAsia="BatangChe" w:hAnsi="Verdana"/>
          <w:sz w:val="18"/>
          <w:szCs w:val="18"/>
        </w:rPr>
        <w:t>) (</w:t>
      </w:r>
      <w:r w:rsidR="00CE1AE6" w:rsidRPr="000C7CFA">
        <w:rPr>
          <w:rFonts w:ascii="Verdana" w:eastAsia="BatangChe" w:hAnsi="Verdana"/>
          <w:sz w:val="18"/>
          <w:szCs w:val="18"/>
        </w:rPr>
        <w:t>EC</w:t>
      </w:r>
      <w:r w:rsidR="00580132" w:rsidRPr="000C7CFA">
        <w:rPr>
          <w:rFonts w:ascii="Verdana" w:eastAsia="BatangChe" w:hAnsi="Verdana"/>
          <w:sz w:val="18"/>
          <w:szCs w:val="18"/>
        </w:rPr>
        <w:t>, 2001</w:t>
      </w:r>
      <w:r w:rsidR="00CE1AE6" w:rsidRPr="000C7CFA">
        <w:rPr>
          <w:rFonts w:ascii="Verdana" w:eastAsia="BatangChe" w:hAnsi="Verdana"/>
          <w:sz w:val="18"/>
          <w:szCs w:val="18"/>
        </w:rPr>
        <w:t>b</w:t>
      </w:r>
      <w:r w:rsidR="00580132" w:rsidRPr="000C7CFA">
        <w:rPr>
          <w:rFonts w:ascii="Verdana" w:eastAsia="BatangChe" w:hAnsi="Verdana"/>
          <w:sz w:val="18"/>
          <w:szCs w:val="18"/>
        </w:rPr>
        <w:t>). The water solubility of cumene is 50 mg/L and so fish c</w:t>
      </w:r>
      <w:r w:rsidR="002D4EB9" w:rsidRPr="000C7CFA">
        <w:rPr>
          <w:rFonts w:ascii="Verdana" w:eastAsia="BatangChe" w:hAnsi="Verdana"/>
          <w:sz w:val="18"/>
          <w:szCs w:val="18"/>
        </w:rPr>
        <w:t xml:space="preserve">oncentrations of up to </w:t>
      </w:r>
      <w:r w:rsidR="00A11FA5" w:rsidRPr="000C7CFA">
        <w:rPr>
          <w:rFonts w:ascii="Verdana" w:eastAsia="BatangChe" w:hAnsi="Verdana"/>
          <w:sz w:val="18"/>
          <w:szCs w:val="18"/>
        </w:rPr>
        <w:t>around</w:t>
      </w:r>
      <w:r w:rsidR="002D4EB9" w:rsidRPr="000C7CFA">
        <w:rPr>
          <w:rFonts w:ascii="Verdana" w:eastAsia="BatangChe" w:hAnsi="Verdana"/>
          <w:sz w:val="18"/>
          <w:szCs w:val="18"/>
        </w:rPr>
        <w:t xml:space="preserve"> 10 </w:t>
      </w:r>
      <w:r w:rsidR="00580132" w:rsidRPr="000C7CFA">
        <w:rPr>
          <w:rFonts w:ascii="Verdana" w:eastAsia="BatangChe" w:hAnsi="Verdana"/>
          <w:sz w:val="18"/>
          <w:szCs w:val="18"/>
        </w:rPr>
        <w:t>400 mg/kg ww (82 mmol/kg www). These values are well in excess of the values calculated above for the substances with BCF values &gt;5</w:t>
      </w:r>
      <w:r w:rsidR="002D4EB9" w:rsidRPr="000C7CFA">
        <w:rPr>
          <w:rFonts w:ascii="Verdana" w:eastAsia="BatangChe" w:hAnsi="Verdana"/>
          <w:sz w:val="18"/>
          <w:szCs w:val="18"/>
        </w:rPr>
        <w:t> </w:t>
      </w:r>
      <w:r w:rsidR="00580132" w:rsidRPr="000C7CFA">
        <w:rPr>
          <w:rFonts w:ascii="Verdana" w:eastAsia="BatangChe" w:hAnsi="Verdana"/>
          <w:sz w:val="18"/>
          <w:szCs w:val="18"/>
        </w:rPr>
        <w:t>000 L/kg. Similarly using the log K</w:t>
      </w:r>
      <w:r w:rsidR="00580132" w:rsidRPr="000C7CFA">
        <w:rPr>
          <w:rFonts w:ascii="Verdana" w:eastAsia="BatangChe" w:hAnsi="Verdana"/>
          <w:sz w:val="18"/>
          <w:szCs w:val="18"/>
          <w:vertAlign w:val="subscript"/>
        </w:rPr>
        <w:t>OW</w:t>
      </w:r>
      <w:r w:rsidR="00580132" w:rsidRPr="000C7CFA">
        <w:rPr>
          <w:rFonts w:ascii="Verdana" w:eastAsia="BatangChe" w:hAnsi="Verdana"/>
          <w:sz w:val="18"/>
          <w:szCs w:val="18"/>
        </w:rPr>
        <w:t xml:space="preserve"> values of ethylbenzene (3.13) and cumene (3.55), it is possible to estimate the approximate fugacity ratio corresponding to the BCF (assuming the BCF values refer to fish with </w:t>
      </w:r>
      <w:r w:rsidR="00AF7606" w:rsidRPr="000C7CFA">
        <w:rPr>
          <w:rFonts w:ascii="Verdana" w:eastAsia="BatangChe" w:hAnsi="Verdana"/>
          <w:sz w:val="18"/>
          <w:szCs w:val="18"/>
        </w:rPr>
        <w:t>5 %</w:t>
      </w:r>
      <w:r w:rsidR="00580132" w:rsidRPr="000C7CFA">
        <w:rPr>
          <w:rFonts w:ascii="Verdana" w:eastAsia="BatangChe" w:hAnsi="Verdana"/>
          <w:sz w:val="18"/>
          <w:szCs w:val="18"/>
        </w:rPr>
        <w:t xml:space="preserve"> lipid contents). These are 1.2 for ethylbenzene and 1.1 for cumene (i.e. values very close to 1) and are again within the range of the fugacity ratios estimated for the bioaccumulative chemicals in the Table above.</w:t>
      </w:r>
    </w:p>
    <w:p w14:paraId="2339EA2D" w14:textId="4DDD62FC" w:rsidR="00BF7F09" w:rsidRPr="000C7CFA" w:rsidRDefault="007C6488" w:rsidP="00BF7F09">
      <w:pPr>
        <w:spacing w:before="120"/>
        <w:jc w:val="both"/>
        <w:rPr>
          <w:rFonts w:ascii="Verdana" w:hAnsi="Verdana"/>
          <w:sz w:val="18"/>
          <w:szCs w:val="18"/>
        </w:rPr>
      </w:pPr>
      <w:r w:rsidRPr="000C7CFA">
        <w:rPr>
          <w:rFonts w:ascii="Verdana" w:eastAsia="BatangChe" w:hAnsi="Verdana"/>
          <w:sz w:val="18"/>
          <w:szCs w:val="18"/>
        </w:rPr>
        <w:t>A measure of bioaccumulation that</w:t>
      </w:r>
      <w:r w:rsidR="0021774D" w:rsidRPr="000C7CFA">
        <w:rPr>
          <w:rFonts w:ascii="Verdana" w:eastAsia="BatangChe" w:hAnsi="Verdana"/>
          <w:sz w:val="18"/>
          <w:szCs w:val="18"/>
        </w:rPr>
        <w:t xml:space="preserve"> takes account of molar concentrations and</w:t>
      </w:r>
      <w:r w:rsidRPr="000C7CFA">
        <w:rPr>
          <w:rFonts w:ascii="Verdana" w:eastAsia="BatangChe" w:hAnsi="Verdana"/>
          <w:sz w:val="18"/>
          <w:szCs w:val="18"/>
        </w:rPr>
        <w:t xml:space="preserve"> is less dependent on exposure routes </w:t>
      </w:r>
      <w:r w:rsidR="0021774D" w:rsidRPr="000C7CFA">
        <w:rPr>
          <w:rFonts w:ascii="Verdana" w:eastAsia="BatangChe" w:hAnsi="Verdana"/>
          <w:sz w:val="18"/>
          <w:szCs w:val="18"/>
        </w:rPr>
        <w:t>(</w:t>
      </w:r>
      <w:r w:rsidRPr="000C7CFA">
        <w:rPr>
          <w:rFonts w:ascii="Verdana" w:eastAsia="BatangChe" w:hAnsi="Verdana"/>
          <w:sz w:val="18"/>
          <w:szCs w:val="18"/>
        </w:rPr>
        <w:t>and</w:t>
      </w:r>
      <w:r w:rsidR="0021774D" w:rsidRPr="000C7CFA">
        <w:rPr>
          <w:rFonts w:ascii="Verdana" w:eastAsia="BatangChe" w:hAnsi="Verdana"/>
          <w:sz w:val="18"/>
          <w:szCs w:val="18"/>
        </w:rPr>
        <w:t xml:space="preserve"> ideally</w:t>
      </w:r>
      <w:r w:rsidRPr="000C7CFA">
        <w:rPr>
          <w:rFonts w:ascii="Verdana" w:eastAsia="BatangChe" w:hAnsi="Verdana"/>
          <w:sz w:val="18"/>
          <w:szCs w:val="18"/>
        </w:rPr>
        <w:t xml:space="preserve"> can be used with monitoring data</w:t>
      </w:r>
      <w:r w:rsidR="0021774D" w:rsidRPr="000C7CFA">
        <w:rPr>
          <w:rFonts w:ascii="Verdana" w:eastAsia="BatangChe" w:hAnsi="Verdana"/>
          <w:sz w:val="18"/>
          <w:szCs w:val="18"/>
        </w:rPr>
        <w:t>)</w:t>
      </w:r>
      <w:r w:rsidRPr="000C7CFA">
        <w:rPr>
          <w:rFonts w:ascii="Verdana" w:eastAsia="BatangChe" w:hAnsi="Verdana"/>
          <w:sz w:val="18"/>
          <w:szCs w:val="18"/>
        </w:rPr>
        <w:t xml:space="preserve"> </w:t>
      </w:r>
      <w:r w:rsidR="0021774D" w:rsidRPr="000C7CFA">
        <w:rPr>
          <w:rFonts w:ascii="Verdana" w:eastAsia="BatangChe" w:hAnsi="Verdana"/>
          <w:sz w:val="18"/>
          <w:szCs w:val="18"/>
        </w:rPr>
        <w:t>w</w:t>
      </w:r>
      <w:r w:rsidRPr="000C7CFA">
        <w:rPr>
          <w:rFonts w:ascii="Verdana" w:eastAsia="BatangChe" w:hAnsi="Verdana"/>
          <w:sz w:val="18"/>
          <w:szCs w:val="18"/>
        </w:rPr>
        <w:t>ould be useful. In th</w:t>
      </w:r>
      <w:r w:rsidR="008B0C2E" w:rsidRPr="000C7CFA">
        <w:rPr>
          <w:rFonts w:ascii="Verdana" w:eastAsia="BatangChe" w:hAnsi="Verdana"/>
          <w:sz w:val="18"/>
          <w:szCs w:val="18"/>
        </w:rPr>
        <w:t>e REACH PBT Guidance (ECHA, 2017</w:t>
      </w:r>
      <w:r w:rsidR="00E619AB" w:rsidRPr="000C7CFA">
        <w:rPr>
          <w:rFonts w:ascii="Verdana" w:eastAsia="BatangChe" w:hAnsi="Verdana"/>
          <w:sz w:val="18"/>
          <w:szCs w:val="18"/>
        </w:rPr>
        <w:t>a</w:t>
      </w:r>
      <w:r w:rsidRPr="000C7CFA">
        <w:rPr>
          <w:rFonts w:ascii="Verdana" w:eastAsia="BatangChe" w:hAnsi="Verdana"/>
          <w:sz w:val="18"/>
          <w:szCs w:val="18"/>
        </w:rPr>
        <w:t xml:space="preserve">), </w:t>
      </w:r>
      <w:r w:rsidR="00BF6F00" w:rsidRPr="000C7CFA">
        <w:rPr>
          <w:rFonts w:ascii="Verdana" w:eastAsia="BatangChe" w:hAnsi="Verdana"/>
          <w:sz w:val="18"/>
          <w:szCs w:val="18"/>
        </w:rPr>
        <w:t>a</w:t>
      </w:r>
      <w:r w:rsidRPr="000C7CFA">
        <w:rPr>
          <w:rFonts w:ascii="Verdana" w:eastAsia="BatangChe" w:hAnsi="Verdana"/>
          <w:sz w:val="18"/>
          <w:szCs w:val="18"/>
        </w:rPr>
        <w:t xml:space="preserve"> value </w:t>
      </w:r>
      <w:r w:rsidR="00C14AB5" w:rsidRPr="000C7CFA">
        <w:rPr>
          <w:rFonts w:ascii="Verdana" w:eastAsia="BatangChe" w:hAnsi="Verdana"/>
          <w:sz w:val="18"/>
          <w:szCs w:val="18"/>
        </w:rPr>
        <w:t>of</w:t>
      </w:r>
      <w:r w:rsidRPr="000C7CFA">
        <w:rPr>
          <w:rFonts w:ascii="Verdana" w:eastAsia="BatangChe" w:hAnsi="Verdana"/>
          <w:sz w:val="18"/>
          <w:szCs w:val="18"/>
        </w:rPr>
        <w:t xml:space="preserve"> 0.001 mmol/kg ww [0.02 mmol/kg lipid (</w:t>
      </w:r>
      <w:r w:rsidR="00A11FA5" w:rsidRPr="000C7CFA">
        <w:rPr>
          <w:rFonts w:ascii="Verdana" w:eastAsia="BatangChe" w:hAnsi="Verdana"/>
          <w:sz w:val="18"/>
          <w:szCs w:val="18"/>
        </w:rPr>
        <w:t>normalized</w:t>
      </w:r>
      <w:r w:rsidRPr="000C7CFA">
        <w:rPr>
          <w:rFonts w:ascii="Verdana" w:eastAsia="BatangChe" w:hAnsi="Verdana"/>
          <w:sz w:val="18"/>
          <w:szCs w:val="18"/>
        </w:rPr>
        <w:t xml:space="preserve"> to a lipid content of </w:t>
      </w:r>
      <w:r w:rsidR="00AF7606" w:rsidRPr="000C7CFA">
        <w:rPr>
          <w:rFonts w:ascii="Verdana" w:eastAsia="BatangChe" w:hAnsi="Verdana"/>
          <w:sz w:val="18"/>
          <w:szCs w:val="18"/>
        </w:rPr>
        <w:t>5 %</w:t>
      </w:r>
      <w:r w:rsidRPr="000C7CFA">
        <w:rPr>
          <w:rFonts w:ascii="Verdana" w:eastAsia="BatangChe" w:hAnsi="Verdana"/>
          <w:sz w:val="18"/>
          <w:szCs w:val="18"/>
        </w:rPr>
        <w:t>)]</w:t>
      </w:r>
      <w:r w:rsidR="00BF6F00" w:rsidRPr="000C7CFA">
        <w:rPr>
          <w:rFonts w:ascii="Verdana" w:eastAsia="BatangChe" w:hAnsi="Verdana"/>
          <w:sz w:val="18"/>
          <w:szCs w:val="18"/>
        </w:rPr>
        <w:t xml:space="preserve"> </w:t>
      </w:r>
      <w:r w:rsidR="0021774D" w:rsidRPr="000C7CFA">
        <w:rPr>
          <w:rFonts w:ascii="Verdana" w:eastAsia="BatangChe" w:hAnsi="Verdana"/>
          <w:sz w:val="18"/>
          <w:szCs w:val="18"/>
        </w:rPr>
        <w:t>has been</w:t>
      </w:r>
      <w:r w:rsidR="00BF6F00" w:rsidRPr="000C7CFA">
        <w:rPr>
          <w:rFonts w:ascii="Verdana" w:eastAsia="BatangChe" w:hAnsi="Verdana"/>
          <w:sz w:val="18"/>
          <w:szCs w:val="18"/>
        </w:rPr>
        <w:t xml:space="preserve"> </w:t>
      </w:r>
      <w:r w:rsidR="00C14AB5" w:rsidRPr="000C7CFA">
        <w:rPr>
          <w:rFonts w:ascii="Verdana" w:eastAsia="BatangChe" w:hAnsi="Verdana"/>
          <w:sz w:val="18"/>
          <w:szCs w:val="18"/>
        </w:rPr>
        <w:t xml:space="preserve">selected </w:t>
      </w:r>
      <w:r w:rsidR="00BF6F00" w:rsidRPr="000C7CFA">
        <w:rPr>
          <w:rFonts w:ascii="Verdana" w:eastAsia="BatangChe" w:hAnsi="Verdana"/>
          <w:sz w:val="18"/>
          <w:szCs w:val="18"/>
        </w:rPr>
        <w:t>as a level of accumulation that is unlikely to lead to high body burdens (this relationship is derived from considerations related to critical body burdens</w:t>
      </w:r>
      <w:r w:rsidR="00BF7F09" w:rsidRPr="000C7CFA">
        <w:rPr>
          <w:rFonts w:ascii="Verdana" w:eastAsia="BatangChe" w:hAnsi="Verdana"/>
          <w:sz w:val="18"/>
          <w:szCs w:val="18"/>
        </w:rPr>
        <w:t xml:space="preserve"> (CBB) associated with baseline narcosis</w:t>
      </w:r>
      <w:r w:rsidR="00BF6F00" w:rsidRPr="000C7CFA">
        <w:rPr>
          <w:rFonts w:ascii="Verdana" w:eastAsia="BatangChe" w:hAnsi="Verdana"/>
          <w:sz w:val="18"/>
          <w:szCs w:val="18"/>
        </w:rPr>
        <w:t>, as described in Appendix R.11-1 of the guidance). Th</w:t>
      </w:r>
      <w:r w:rsidRPr="000C7CFA">
        <w:rPr>
          <w:rFonts w:ascii="Verdana" w:eastAsia="BatangChe" w:hAnsi="Verdana"/>
          <w:sz w:val="18"/>
          <w:szCs w:val="18"/>
        </w:rPr>
        <w:t>is is divided by a factor of 10 to account for species differences and organ versus body differences.</w:t>
      </w:r>
      <w:r w:rsidR="00BF7F09" w:rsidRPr="000C7CFA">
        <w:rPr>
          <w:rFonts w:ascii="Verdana" w:eastAsia="BatangChe" w:hAnsi="Verdana"/>
          <w:sz w:val="18"/>
          <w:szCs w:val="18"/>
        </w:rPr>
        <w:t xml:space="preserve"> </w:t>
      </w:r>
      <w:r w:rsidR="00BF7F09" w:rsidRPr="000C7CFA">
        <w:rPr>
          <w:rFonts w:ascii="Verdana" w:hAnsi="Verdana"/>
          <w:sz w:val="18"/>
          <w:szCs w:val="18"/>
        </w:rPr>
        <w:t>Whilst the CBB concept is usually interpreted as being linked to quantitative risk assessment, it is an existing indicator of a certain level of concern within PBT assessment.</w:t>
      </w:r>
    </w:p>
    <w:p w14:paraId="418EB5D9" w14:textId="77777777" w:rsidR="00713D6A" w:rsidRPr="000C7CFA" w:rsidRDefault="007C6488" w:rsidP="00713D6A">
      <w:pPr>
        <w:jc w:val="both"/>
        <w:rPr>
          <w:rFonts w:ascii="Verdana" w:eastAsia="BatangChe" w:hAnsi="Verdana"/>
          <w:sz w:val="18"/>
          <w:szCs w:val="18"/>
        </w:rPr>
      </w:pPr>
      <w:r w:rsidRPr="000C7CFA">
        <w:rPr>
          <w:rFonts w:ascii="Verdana" w:eastAsia="BatangChe" w:hAnsi="Verdana"/>
          <w:sz w:val="18"/>
          <w:szCs w:val="18"/>
        </w:rPr>
        <w:t xml:space="preserve">In the case of Dechlorane Plus (with a molecular weight of 653.73 g/mol), this </w:t>
      </w:r>
      <w:r w:rsidR="00FB4FDB" w:rsidRPr="000C7CFA">
        <w:rPr>
          <w:rFonts w:ascii="Verdana" w:eastAsia="BatangChe" w:hAnsi="Verdana"/>
          <w:sz w:val="18"/>
          <w:szCs w:val="18"/>
        </w:rPr>
        <w:t>“</w:t>
      </w:r>
      <w:r w:rsidRPr="000C7CFA">
        <w:rPr>
          <w:rFonts w:ascii="Verdana" w:eastAsia="BatangChe" w:hAnsi="Verdana"/>
          <w:sz w:val="18"/>
          <w:szCs w:val="18"/>
        </w:rPr>
        <w:t>critical concentration</w:t>
      </w:r>
      <w:r w:rsidR="00FB4FDB" w:rsidRPr="000C7CFA">
        <w:rPr>
          <w:rFonts w:ascii="Verdana" w:eastAsia="BatangChe" w:hAnsi="Verdana"/>
          <w:sz w:val="18"/>
          <w:szCs w:val="18"/>
        </w:rPr>
        <w:t>”</w:t>
      </w:r>
      <w:r w:rsidRPr="000C7CFA">
        <w:rPr>
          <w:rFonts w:ascii="Verdana" w:eastAsia="BatangChe" w:hAnsi="Verdana"/>
          <w:sz w:val="18"/>
          <w:szCs w:val="18"/>
        </w:rPr>
        <w:t xml:space="preserve"> is equivalent to </w:t>
      </w:r>
      <w:r w:rsidR="00FB4FDB" w:rsidRPr="000C7CFA">
        <w:rPr>
          <w:rFonts w:ascii="Verdana" w:eastAsia="BatangChe" w:hAnsi="Verdana"/>
          <w:sz w:val="18"/>
          <w:szCs w:val="18"/>
        </w:rPr>
        <w:t xml:space="preserve">0.65 mg/kg ww </w:t>
      </w:r>
      <w:r w:rsidR="00206CF6" w:rsidRPr="000C7CFA">
        <w:rPr>
          <w:rFonts w:ascii="Verdana" w:eastAsia="BatangChe" w:hAnsi="Verdana"/>
          <w:sz w:val="18"/>
          <w:szCs w:val="18"/>
        </w:rPr>
        <w:t>[</w:t>
      </w:r>
      <w:r w:rsidRPr="000C7CFA">
        <w:rPr>
          <w:rFonts w:ascii="Verdana" w:eastAsia="BatangChe" w:hAnsi="Verdana"/>
          <w:sz w:val="18"/>
          <w:szCs w:val="18"/>
        </w:rPr>
        <w:t xml:space="preserve">13 mg/kg </w:t>
      </w:r>
      <w:proofErr w:type="gramStart"/>
      <w:r w:rsidRPr="000C7CFA">
        <w:rPr>
          <w:rFonts w:ascii="Verdana" w:eastAsia="BatangChe" w:hAnsi="Verdana"/>
          <w:sz w:val="18"/>
          <w:szCs w:val="18"/>
        </w:rPr>
        <w:t>lw</w:t>
      </w:r>
      <w:proofErr w:type="gramEnd"/>
      <w:r w:rsidR="00206CF6" w:rsidRPr="000C7CFA">
        <w:rPr>
          <w:rFonts w:ascii="Verdana" w:eastAsia="BatangChe" w:hAnsi="Verdana"/>
          <w:sz w:val="18"/>
          <w:szCs w:val="18"/>
        </w:rPr>
        <w:t>]</w:t>
      </w:r>
      <w:r w:rsidR="00BF6F00" w:rsidRPr="000C7CFA">
        <w:rPr>
          <w:rFonts w:ascii="Verdana" w:eastAsia="BatangChe" w:hAnsi="Verdana"/>
          <w:sz w:val="18"/>
          <w:szCs w:val="18"/>
        </w:rPr>
        <w:t xml:space="preserve"> (without the additional factor of 10), or 0.065 mg/kg ww </w:t>
      </w:r>
      <w:r w:rsidR="00206CF6" w:rsidRPr="000C7CFA">
        <w:rPr>
          <w:rFonts w:ascii="Verdana" w:eastAsia="BatangChe" w:hAnsi="Verdana"/>
          <w:sz w:val="18"/>
          <w:szCs w:val="18"/>
        </w:rPr>
        <w:t>[</w:t>
      </w:r>
      <w:r w:rsidR="00BF6F00" w:rsidRPr="000C7CFA">
        <w:rPr>
          <w:rFonts w:ascii="Verdana" w:eastAsia="BatangChe" w:hAnsi="Verdana"/>
          <w:sz w:val="18"/>
          <w:szCs w:val="18"/>
        </w:rPr>
        <w:t>1</w:t>
      </w:r>
      <w:r w:rsidR="00FB4FDB" w:rsidRPr="000C7CFA">
        <w:rPr>
          <w:rFonts w:ascii="Verdana" w:eastAsia="BatangChe" w:hAnsi="Verdana"/>
          <w:sz w:val="18"/>
          <w:szCs w:val="18"/>
        </w:rPr>
        <w:t>.</w:t>
      </w:r>
      <w:r w:rsidR="00BF6F00" w:rsidRPr="000C7CFA">
        <w:rPr>
          <w:rFonts w:ascii="Verdana" w:eastAsia="BatangChe" w:hAnsi="Verdana"/>
          <w:sz w:val="18"/>
          <w:szCs w:val="18"/>
        </w:rPr>
        <w:t>3 mg/kg lw</w:t>
      </w:r>
      <w:r w:rsidR="00206CF6" w:rsidRPr="000C7CFA">
        <w:rPr>
          <w:rFonts w:ascii="Verdana" w:eastAsia="BatangChe" w:hAnsi="Verdana"/>
          <w:sz w:val="18"/>
          <w:szCs w:val="18"/>
        </w:rPr>
        <w:t>]</w:t>
      </w:r>
      <w:r w:rsidR="00BF6F00" w:rsidRPr="000C7CFA">
        <w:rPr>
          <w:rFonts w:ascii="Verdana" w:eastAsia="BatangChe" w:hAnsi="Verdana"/>
          <w:sz w:val="18"/>
          <w:szCs w:val="18"/>
        </w:rPr>
        <w:t xml:space="preserve"> (with the additional factor of 10). </w:t>
      </w:r>
    </w:p>
    <w:p w14:paraId="1AE30DD7" w14:textId="5C1501F1" w:rsidR="007C6488" w:rsidRPr="000C7CFA" w:rsidRDefault="00BF6F00" w:rsidP="007C6488">
      <w:pPr>
        <w:pStyle w:val="NoSpacing"/>
        <w:jc w:val="both"/>
        <w:rPr>
          <w:rFonts w:ascii="Verdana" w:eastAsia="BatangChe" w:hAnsi="Verdana" w:cs="Times New Roman"/>
          <w:sz w:val="18"/>
          <w:szCs w:val="18"/>
        </w:rPr>
      </w:pPr>
      <w:r w:rsidRPr="000C7CFA">
        <w:rPr>
          <w:rFonts w:ascii="Verdana" w:eastAsia="BatangChe" w:hAnsi="Verdana" w:cs="Times New Roman"/>
          <w:sz w:val="18"/>
          <w:szCs w:val="18"/>
        </w:rPr>
        <w:t>As described in Section 3.4 of the</w:t>
      </w:r>
      <w:r w:rsidR="00FC761E" w:rsidRPr="000C7CFA">
        <w:rPr>
          <w:rFonts w:ascii="Verdana" w:eastAsia="BatangChe" w:hAnsi="Verdana" w:cs="Times New Roman"/>
          <w:sz w:val="18"/>
          <w:szCs w:val="18"/>
        </w:rPr>
        <w:t xml:space="preserve"> main</w:t>
      </w:r>
      <w:r w:rsidRPr="000C7CFA">
        <w:rPr>
          <w:rFonts w:ascii="Verdana" w:eastAsia="BatangChe" w:hAnsi="Verdana" w:cs="Times New Roman"/>
          <w:sz w:val="18"/>
          <w:szCs w:val="18"/>
        </w:rPr>
        <w:t xml:space="preserve"> report, the following maximum concentrations have been reported </w:t>
      </w:r>
      <w:r w:rsidR="00206CF6" w:rsidRPr="000C7CFA">
        <w:rPr>
          <w:rFonts w:ascii="Verdana" w:eastAsia="BatangChe" w:hAnsi="Verdana" w:cs="Times New Roman"/>
          <w:sz w:val="18"/>
          <w:szCs w:val="18"/>
        </w:rPr>
        <w:t>for</w:t>
      </w:r>
      <w:r w:rsidRPr="000C7CFA">
        <w:rPr>
          <w:rFonts w:ascii="Verdana" w:eastAsia="BatangChe" w:hAnsi="Verdana" w:cs="Times New Roman"/>
          <w:sz w:val="18"/>
          <w:szCs w:val="18"/>
        </w:rPr>
        <w:t xml:space="preserve"> environmental biota samples:</w:t>
      </w:r>
    </w:p>
    <w:p w14:paraId="1396B9F0" w14:textId="77777777" w:rsidR="00BF6F00" w:rsidRPr="000C7CFA" w:rsidRDefault="00BF6F00" w:rsidP="007C6488">
      <w:pPr>
        <w:pStyle w:val="NoSpacing"/>
        <w:jc w:val="both"/>
        <w:rPr>
          <w:rFonts w:ascii="Verdana" w:eastAsia="BatangChe" w:hAnsi="Verdana" w:cs="Times New Roman"/>
          <w:sz w:val="18"/>
          <w:szCs w:val="18"/>
        </w:rPr>
      </w:pPr>
    </w:p>
    <w:p w14:paraId="1867F4F2" w14:textId="77777777" w:rsidR="00BF6F00" w:rsidRPr="000C7CFA" w:rsidRDefault="00C14AB5" w:rsidP="00DC3658">
      <w:pPr>
        <w:pStyle w:val="ListParagraph"/>
        <w:numPr>
          <w:ilvl w:val="0"/>
          <w:numId w:val="17"/>
        </w:numPr>
        <w:rPr>
          <w:rFonts w:ascii="Verdana" w:hAnsi="Verdana"/>
          <w:sz w:val="18"/>
          <w:szCs w:val="18"/>
        </w:rPr>
      </w:pPr>
      <w:r w:rsidRPr="000C7CFA">
        <w:rPr>
          <w:rFonts w:ascii="Verdana" w:hAnsi="Verdana"/>
          <w:sz w:val="18"/>
          <w:szCs w:val="18"/>
        </w:rPr>
        <w:t>~</w:t>
      </w:r>
      <w:r w:rsidR="00BF6F00" w:rsidRPr="000C7CFA">
        <w:rPr>
          <w:rFonts w:ascii="Verdana" w:hAnsi="Verdana"/>
          <w:sz w:val="18"/>
          <w:szCs w:val="18"/>
        </w:rPr>
        <w:t>1 mg/kg ww [</w:t>
      </w:r>
      <w:r w:rsidRPr="000C7CFA">
        <w:rPr>
          <w:rFonts w:ascii="Verdana" w:hAnsi="Verdana"/>
          <w:sz w:val="18"/>
          <w:szCs w:val="18"/>
        </w:rPr>
        <w:t>~</w:t>
      </w:r>
      <w:r w:rsidR="00BF6F00" w:rsidRPr="000C7CFA">
        <w:rPr>
          <w:rFonts w:ascii="Verdana" w:hAnsi="Verdana"/>
          <w:sz w:val="18"/>
          <w:szCs w:val="18"/>
        </w:rPr>
        <w:t>9</w:t>
      </w:r>
      <w:r w:rsidRPr="000C7CFA">
        <w:rPr>
          <w:rFonts w:ascii="Verdana" w:hAnsi="Verdana"/>
          <w:sz w:val="18"/>
          <w:szCs w:val="18"/>
        </w:rPr>
        <w:t>5</w:t>
      </w:r>
      <w:r w:rsidR="00BF6F00" w:rsidRPr="000C7CFA">
        <w:rPr>
          <w:rFonts w:ascii="Verdana" w:hAnsi="Verdana"/>
          <w:sz w:val="18"/>
          <w:szCs w:val="18"/>
        </w:rPr>
        <w:t xml:space="preserve"> mg/kg lw] in fish muscle (Wang </w:t>
      </w:r>
      <w:r w:rsidR="00BF6F00" w:rsidRPr="000C7CFA">
        <w:rPr>
          <w:rFonts w:ascii="Verdana" w:hAnsi="Verdana"/>
          <w:i/>
          <w:sz w:val="18"/>
          <w:szCs w:val="18"/>
        </w:rPr>
        <w:t>et al</w:t>
      </w:r>
      <w:r w:rsidR="00BF6F00" w:rsidRPr="000C7CFA">
        <w:rPr>
          <w:rFonts w:ascii="Verdana" w:hAnsi="Verdana"/>
          <w:sz w:val="18"/>
          <w:szCs w:val="18"/>
        </w:rPr>
        <w:t>., 2015);</w:t>
      </w:r>
    </w:p>
    <w:p w14:paraId="672CA9B3" w14:textId="77777777" w:rsidR="00FB4FDB" w:rsidRPr="000C7CFA" w:rsidRDefault="00713D6A" w:rsidP="00DC3658">
      <w:pPr>
        <w:pStyle w:val="ListParagraph"/>
        <w:numPr>
          <w:ilvl w:val="0"/>
          <w:numId w:val="17"/>
        </w:numPr>
        <w:rPr>
          <w:rFonts w:ascii="Verdana" w:hAnsi="Verdana"/>
          <w:color w:val="1F497D"/>
          <w:sz w:val="18"/>
          <w:szCs w:val="18"/>
        </w:rPr>
      </w:pPr>
      <w:r w:rsidRPr="000C7CFA">
        <w:rPr>
          <w:rFonts w:ascii="Verdana" w:hAnsi="Verdana"/>
          <w:sz w:val="18"/>
          <w:szCs w:val="18"/>
          <w:lang w:eastAsia="en-GB"/>
        </w:rPr>
        <w:t>~</w:t>
      </w:r>
      <w:r w:rsidR="00FB4FDB" w:rsidRPr="000C7CFA">
        <w:rPr>
          <w:rFonts w:ascii="Verdana" w:hAnsi="Verdana"/>
          <w:sz w:val="18"/>
          <w:szCs w:val="18"/>
          <w:lang w:eastAsia="en-GB"/>
        </w:rPr>
        <w:t>1 mg/kg ww [</w:t>
      </w:r>
      <w:r w:rsidRPr="000C7CFA">
        <w:rPr>
          <w:rFonts w:ascii="Verdana" w:hAnsi="Verdana"/>
          <w:sz w:val="18"/>
          <w:szCs w:val="18"/>
          <w:lang w:eastAsia="en-GB"/>
        </w:rPr>
        <w:t>~</w:t>
      </w:r>
      <w:r w:rsidR="00FB4FDB" w:rsidRPr="000C7CFA">
        <w:rPr>
          <w:rFonts w:ascii="Verdana" w:hAnsi="Verdana"/>
          <w:sz w:val="18"/>
          <w:szCs w:val="18"/>
          <w:lang w:eastAsia="en-GB"/>
        </w:rPr>
        <w:t>7 mg/kg lw</w:t>
      </w:r>
      <w:r w:rsidR="00BF6F00" w:rsidRPr="000C7CFA">
        <w:rPr>
          <w:rFonts w:ascii="Verdana" w:hAnsi="Verdana"/>
          <w:sz w:val="18"/>
          <w:szCs w:val="18"/>
          <w:lang w:eastAsia="en-GB"/>
        </w:rPr>
        <w:t xml:space="preserve">] in terrestrial bird eggs (Zheng </w:t>
      </w:r>
      <w:r w:rsidR="00BF6F00" w:rsidRPr="000C7CFA">
        <w:rPr>
          <w:rFonts w:ascii="Verdana" w:hAnsi="Verdana"/>
          <w:i/>
          <w:sz w:val="18"/>
          <w:szCs w:val="18"/>
          <w:lang w:eastAsia="en-GB"/>
        </w:rPr>
        <w:t>et al</w:t>
      </w:r>
      <w:r w:rsidR="00BF6F00" w:rsidRPr="000C7CFA">
        <w:rPr>
          <w:rFonts w:ascii="Verdana" w:hAnsi="Verdana"/>
          <w:sz w:val="18"/>
          <w:szCs w:val="18"/>
          <w:lang w:eastAsia="en-GB"/>
        </w:rPr>
        <w:t>., 2014b)</w:t>
      </w:r>
      <w:r w:rsidR="00FB4FDB" w:rsidRPr="000C7CFA">
        <w:rPr>
          <w:rFonts w:ascii="Verdana" w:hAnsi="Verdana"/>
          <w:sz w:val="18"/>
          <w:szCs w:val="18"/>
          <w:lang w:eastAsia="en-GB"/>
        </w:rPr>
        <w:t>;</w:t>
      </w:r>
    </w:p>
    <w:p w14:paraId="3777244D" w14:textId="77777777" w:rsidR="00BF6F00" w:rsidRPr="000C7CFA" w:rsidRDefault="00FB4FDB" w:rsidP="00DC3658">
      <w:pPr>
        <w:pStyle w:val="ListParagraph"/>
        <w:numPr>
          <w:ilvl w:val="0"/>
          <w:numId w:val="17"/>
        </w:numPr>
        <w:rPr>
          <w:rFonts w:ascii="Verdana" w:hAnsi="Verdana"/>
          <w:color w:val="1F497D"/>
          <w:sz w:val="18"/>
          <w:szCs w:val="18"/>
        </w:rPr>
      </w:pPr>
      <w:r w:rsidRPr="000C7CFA">
        <w:rPr>
          <w:rFonts w:ascii="Verdana" w:hAnsi="Verdana"/>
          <w:color w:val="000000"/>
          <w:sz w:val="18"/>
          <w:szCs w:val="18"/>
        </w:rPr>
        <w:t>~0.5 mg/kg ww [</w:t>
      </w:r>
      <w:r w:rsidR="00713D6A" w:rsidRPr="000C7CFA">
        <w:rPr>
          <w:rFonts w:ascii="Verdana" w:hAnsi="Verdana"/>
          <w:color w:val="000000"/>
          <w:sz w:val="18"/>
          <w:szCs w:val="18"/>
        </w:rPr>
        <w:t>~</w:t>
      </w:r>
      <w:r w:rsidR="00BF6F00" w:rsidRPr="000C7CFA">
        <w:rPr>
          <w:rFonts w:ascii="Verdana" w:hAnsi="Verdana"/>
          <w:color w:val="000000"/>
          <w:sz w:val="18"/>
          <w:szCs w:val="18"/>
        </w:rPr>
        <w:t>3.8 mg/kg lw</w:t>
      </w:r>
      <w:r w:rsidRPr="000C7CFA">
        <w:rPr>
          <w:rFonts w:ascii="Verdana" w:hAnsi="Verdana"/>
          <w:color w:val="000000"/>
          <w:sz w:val="18"/>
          <w:szCs w:val="18"/>
        </w:rPr>
        <w:t>] in</w:t>
      </w:r>
      <w:r w:rsidRPr="000C7CFA">
        <w:rPr>
          <w:rFonts w:ascii="Verdana" w:hAnsi="Verdana"/>
          <w:sz w:val="18"/>
          <w:szCs w:val="18"/>
        </w:rPr>
        <w:t xml:space="preserve"> terrestrial bird liver and muscle (Sun </w:t>
      </w:r>
      <w:r w:rsidRPr="000C7CFA">
        <w:rPr>
          <w:rFonts w:ascii="Verdana" w:hAnsi="Verdana"/>
          <w:i/>
          <w:sz w:val="18"/>
          <w:szCs w:val="18"/>
        </w:rPr>
        <w:t>et al</w:t>
      </w:r>
      <w:r w:rsidRPr="000C7CFA">
        <w:rPr>
          <w:rFonts w:ascii="Verdana" w:hAnsi="Verdana"/>
          <w:sz w:val="18"/>
          <w:szCs w:val="18"/>
        </w:rPr>
        <w:t xml:space="preserve">., 2012; Chen </w:t>
      </w:r>
      <w:r w:rsidRPr="000C7CFA">
        <w:rPr>
          <w:rFonts w:ascii="Verdana" w:hAnsi="Verdana"/>
          <w:i/>
          <w:sz w:val="18"/>
          <w:szCs w:val="18"/>
        </w:rPr>
        <w:t>et al</w:t>
      </w:r>
      <w:r w:rsidRPr="000C7CFA">
        <w:rPr>
          <w:rFonts w:ascii="Verdana" w:hAnsi="Verdana"/>
          <w:sz w:val="18"/>
          <w:szCs w:val="18"/>
        </w:rPr>
        <w:t>., 2013b);</w:t>
      </w:r>
    </w:p>
    <w:p w14:paraId="70B86381" w14:textId="77777777" w:rsidR="00FB4FDB" w:rsidRPr="000C7CFA" w:rsidRDefault="00C14AB5" w:rsidP="00DC3658">
      <w:pPr>
        <w:pStyle w:val="ListParagraph"/>
        <w:numPr>
          <w:ilvl w:val="0"/>
          <w:numId w:val="17"/>
        </w:numPr>
        <w:spacing w:after="0"/>
        <w:ind w:left="765" w:hanging="357"/>
        <w:rPr>
          <w:rFonts w:ascii="Verdana" w:eastAsia="Times New Roman" w:hAnsi="Verdana"/>
          <w:sz w:val="18"/>
          <w:szCs w:val="18"/>
          <w:lang w:val="en-CA" w:eastAsia="en-GB"/>
        </w:rPr>
      </w:pPr>
      <w:r w:rsidRPr="000C7CFA">
        <w:rPr>
          <w:rFonts w:ascii="Verdana" w:hAnsi="Verdana"/>
          <w:sz w:val="18"/>
          <w:szCs w:val="18"/>
          <w:lang w:val="en-CA" w:eastAsia="en-GB"/>
        </w:rPr>
        <w:t>~</w:t>
      </w:r>
      <w:r w:rsidR="00FB4FDB" w:rsidRPr="000C7CFA">
        <w:rPr>
          <w:rFonts w:ascii="Verdana" w:hAnsi="Verdana"/>
          <w:sz w:val="18"/>
          <w:szCs w:val="18"/>
          <w:lang w:val="en-CA" w:eastAsia="en-GB"/>
        </w:rPr>
        <w:t xml:space="preserve">3 mg/kg </w:t>
      </w:r>
      <w:proofErr w:type="gramStart"/>
      <w:r w:rsidR="00FB4FDB" w:rsidRPr="000C7CFA">
        <w:rPr>
          <w:rFonts w:ascii="Verdana" w:hAnsi="Verdana"/>
          <w:sz w:val="18"/>
          <w:szCs w:val="18"/>
          <w:lang w:val="en-CA" w:eastAsia="en-GB"/>
        </w:rPr>
        <w:t>lw</w:t>
      </w:r>
      <w:proofErr w:type="gramEnd"/>
      <w:r w:rsidR="00FB4FDB" w:rsidRPr="000C7CFA">
        <w:rPr>
          <w:rFonts w:ascii="Verdana" w:hAnsi="Verdana"/>
          <w:sz w:val="18"/>
          <w:szCs w:val="18"/>
          <w:lang w:val="en-CA" w:eastAsia="en-GB"/>
        </w:rPr>
        <w:t xml:space="preserve"> in human blood (Zhang </w:t>
      </w:r>
      <w:r w:rsidR="00FB4FDB" w:rsidRPr="000C7CFA">
        <w:rPr>
          <w:rFonts w:ascii="Verdana" w:hAnsi="Verdana"/>
          <w:i/>
          <w:sz w:val="18"/>
          <w:szCs w:val="18"/>
          <w:lang w:val="en-CA" w:eastAsia="en-GB"/>
        </w:rPr>
        <w:t>et al</w:t>
      </w:r>
      <w:r w:rsidR="00FB4FDB" w:rsidRPr="000C7CFA">
        <w:rPr>
          <w:rFonts w:ascii="Verdana" w:hAnsi="Verdana"/>
          <w:sz w:val="18"/>
          <w:szCs w:val="18"/>
          <w:lang w:val="en-CA" w:eastAsia="en-GB"/>
        </w:rPr>
        <w:t>., 2013).</w:t>
      </w:r>
    </w:p>
    <w:p w14:paraId="6CCE3B47" w14:textId="77777777" w:rsidR="00DF46A5" w:rsidRPr="000C7CFA" w:rsidRDefault="00DF46A5" w:rsidP="00DF46A5">
      <w:pPr>
        <w:pStyle w:val="NoSpacing"/>
        <w:rPr>
          <w:rFonts w:ascii="Verdana" w:eastAsia="BatangChe" w:hAnsi="Verdana" w:cs="Times New Roman"/>
          <w:sz w:val="18"/>
          <w:szCs w:val="18"/>
        </w:rPr>
      </w:pPr>
    </w:p>
    <w:p w14:paraId="3EC516E4" w14:textId="741C7C96" w:rsidR="00352E3E" w:rsidRPr="000C7CFA" w:rsidRDefault="0021774D" w:rsidP="0021774D">
      <w:pPr>
        <w:jc w:val="both"/>
        <w:rPr>
          <w:rFonts w:ascii="Verdana" w:hAnsi="Verdana"/>
          <w:sz w:val="18"/>
          <w:szCs w:val="18"/>
        </w:rPr>
      </w:pPr>
      <w:r w:rsidRPr="000C7CFA">
        <w:rPr>
          <w:rFonts w:ascii="Verdana" w:hAnsi="Verdana"/>
          <w:color w:val="000000"/>
          <w:sz w:val="18"/>
          <w:szCs w:val="18"/>
        </w:rPr>
        <w:lastRenderedPageBreak/>
        <w:t>In addition, a conc</w:t>
      </w:r>
      <w:r w:rsidR="002D4EB9" w:rsidRPr="000C7CFA">
        <w:rPr>
          <w:rFonts w:ascii="Verdana" w:hAnsi="Verdana"/>
          <w:color w:val="000000"/>
          <w:sz w:val="18"/>
          <w:szCs w:val="18"/>
        </w:rPr>
        <w:t>entration of ~1 </w:t>
      </w:r>
      <w:r w:rsidRPr="000C7CFA">
        <w:rPr>
          <w:rFonts w:ascii="Verdana" w:hAnsi="Verdana"/>
          <w:color w:val="000000"/>
          <w:sz w:val="18"/>
          <w:szCs w:val="18"/>
        </w:rPr>
        <w:t xml:space="preserve">000 mg/kg lw in </w:t>
      </w:r>
      <w:r w:rsidRPr="000C7CFA">
        <w:rPr>
          <w:rFonts w:ascii="Verdana" w:hAnsi="Verdana"/>
          <w:sz w:val="18"/>
          <w:szCs w:val="18"/>
        </w:rPr>
        <w:t xml:space="preserve">liver in Brown Rats </w:t>
      </w:r>
      <w:r w:rsidRPr="000C7CFA">
        <w:rPr>
          <w:rFonts w:ascii="Verdana" w:hAnsi="Verdana"/>
          <w:i/>
          <w:sz w:val="18"/>
          <w:szCs w:val="18"/>
        </w:rPr>
        <w:t>Rattus norvegicus</w:t>
      </w:r>
      <w:r w:rsidRPr="000C7CFA">
        <w:rPr>
          <w:rFonts w:ascii="Verdana" w:hAnsi="Verdana"/>
          <w:sz w:val="18"/>
          <w:szCs w:val="18"/>
        </w:rPr>
        <w:t xml:space="preserve"> was achieved under laboratory conditions when dosed at 100 mg/kg/d via oral gavage for 90 days</w:t>
      </w:r>
      <w:r w:rsidR="00352E3E" w:rsidRPr="000C7CFA">
        <w:rPr>
          <w:rFonts w:ascii="Verdana" w:hAnsi="Verdana"/>
          <w:sz w:val="18"/>
          <w:szCs w:val="18"/>
        </w:rPr>
        <w:t xml:space="preserve"> (Li </w:t>
      </w:r>
      <w:r w:rsidR="00352E3E" w:rsidRPr="000C7CFA">
        <w:rPr>
          <w:rFonts w:ascii="Verdana" w:hAnsi="Verdana"/>
          <w:i/>
          <w:sz w:val="18"/>
          <w:szCs w:val="18"/>
        </w:rPr>
        <w:t>et al</w:t>
      </w:r>
      <w:r w:rsidR="00352E3E" w:rsidRPr="000C7CFA">
        <w:rPr>
          <w:rFonts w:ascii="Verdana" w:hAnsi="Verdana"/>
          <w:sz w:val="18"/>
          <w:szCs w:val="18"/>
        </w:rPr>
        <w:t xml:space="preserve">., 2013a; similar findings have been made by Li </w:t>
      </w:r>
      <w:r w:rsidR="00352E3E" w:rsidRPr="000C7CFA">
        <w:rPr>
          <w:rFonts w:ascii="Verdana" w:hAnsi="Verdana"/>
          <w:i/>
          <w:sz w:val="18"/>
          <w:szCs w:val="18"/>
        </w:rPr>
        <w:t>et al</w:t>
      </w:r>
      <w:r w:rsidR="00352E3E" w:rsidRPr="000C7CFA">
        <w:rPr>
          <w:rFonts w:ascii="Verdana" w:hAnsi="Verdana"/>
          <w:sz w:val="18"/>
          <w:szCs w:val="18"/>
        </w:rPr>
        <w:t xml:space="preserve">. (2013a) for Common Quail </w:t>
      </w:r>
      <w:r w:rsidR="00352E3E" w:rsidRPr="000C7CFA">
        <w:rPr>
          <w:rFonts w:ascii="Verdana" w:hAnsi="Verdana"/>
          <w:i/>
          <w:sz w:val="18"/>
          <w:szCs w:val="18"/>
        </w:rPr>
        <w:t>Coturnix coturnix</w:t>
      </w:r>
      <w:r w:rsidR="00352E3E" w:rsidRPr="000C7CFA">
        <w:rPr>
          <w:rFonts w:ascii="Verdana" w:hAnsi="Verdana"/>
          <w:sz w:val="18"/>
          <w:szCs w:val="18"/>
        </w:rPr>
        <w:t>)</w:t>
      </w:r>
      <w:r w:rsidRPr="000C7CFA">
        <w:rPr>
          <w:rFonts w:ascii="Verdana" w:hAnsi="Verdana"/>
          <w:sz w:val="18"/>
          <w:szCs w:val="18"/>
        </w:rPr>
        <w:t xml:space="preserve">. </w:t>
      </w:r>
      <w:r w:rsidR="00352E3E" w:rsidRPr="000C7CFA">
        <w:rPr>
          <w:rFonts w:ascii="Verdana" w:hAnsi="Verdana"/>
          <w:color w:val="000000"/>
          <w:sz w:val="18"/>
          <w:szCs w:val="18"/>
        </w:rPr>
        <w:t>None</w:t>
      </w:r>
      <w:r w:rsidR="00352E3E" w:rsidRPr="000C7CFA">
        <w:rPr>
          <w:rFonts w:ascii="Verdana" w:hAnsi="Verdana"/>
          <w:sz w:val="18"/>
          <w:szCs w:val="18"/>
        </w:rPr>
        <w:t xml:space="preserve"> of the available laboratory fish studies using aqueous exposure are valid and they are confounded by variable exposure concentrations and potential ingestion of particulates and the substance adsorbed to food. Nevertheless, (non-steady state) concentrations</w:t>
      </w:r>
      <w:r w:rsidR="00352E3E" w:rsidRPr="000C7CFA">
        <w:rPr>
          <w:rFonts w:ascii="Verdana" w:eastAsiaTheme="minorHAnsi" w:hAnsi="Verdana"/>
          <w:sz w:val="18"/>
          <w:szCs w:val="18"/>
        </w:rPr>
        <w:t xml:space="preserve"> up to </w:t>
      </w:r>
      <w:r w:rsidR="00352E3E" w:rsidRPr="000C7CFA">
        <w:rPr>
          <w:rFonts w:ascii="Verdana" w:hAnsi="Verdana"/>
          <w:sz w:val="18"/>
          <w:szCs w:val="18"/>
        </w:rPr>
        <w:t xml:space="preserve">8.78 mg/kg ww were observed in Bluegill Sunfish </w:t>
      </w:r>
      <w:r w:rsidR="00352E3E" w:rsidRPr="000C7CFA">
        <w:rPr>
          <w:rFonts w:ascii="Verdana" w:hAnsi="Verdana"/>
          <w:i/>
          <w:sz w:val="18"/>
          <w:szCs w:val="18"/>
        </w:rPr>
        <w:t>Lepomis macrochirus</w:t>
      </w:r>
      <w:r w:rsidR="00352E3E" w:rsidRPr="000C7CFA">
        <w:rPr>
          <w:rFonts w:ascii="Verdana" w:hAnsi="Verdana"/>
          <w:sz w:val="18"/>
          <w:szCs w:val="18"/>
        </w:rPr>
        <w:t xml:space="preserve"> (Boudreau and Rausina, 1973).</w:t>
      </w:r>
    </w:p>
    <w:p w14:paraId="2A0C0BA9" w14:textId="04AD3348" w:rsidR="0021774D" w:rsidRPr="000C7CFA" w:rsidRDefault="0021774D" w:rsidP="0021774D">
      <w:pPr>
        <w:jc w:val="both"/>
        <w:rPr>
          <w:rFonts w:ascii="Verdana" w:hAnsi="Verdana"/>
          <w:sz w:val="18"/>
          <w:szCs w:val="18"/>
          <w:lang w:val="en-CA" w:eastAsia="en-GB"/>
        </w:rPr>
      </w:pPr>
      <w:r w:rsidRPr="000C7CFA">
        <w:rPr>
          <w:rFonts w:ascii="Verdana" w:hAnsi="Verdana"/>
          <w:sz w:val="18"/>
          <w:szCs w:val="18"/>
        </w:rPr>
        <w:t xml:space="preserve">Some of these concentrations exceed the critical concentration without the factor of 10, and all exceed the critical concentration with the factor of 10. The accumulation in rat liver exceeds the highest critical concentration by a factor of </w:t>
      </w:r>
      <w:r w:rsidR="00206CF6" w:rsidRPr="000C7CFA">
        <w:rPr>
          <w:rFonts w:ascii="Verdana" w:hAnsi="Verdana"/>
          <w:sz w:val="18"/>
          <w:szCs w:val="18"/>
        </w:rPr>
        <w:t xml:space="preserve">around </w:t>
      </w:r>
      <w:r w:rsidRPr="000C7CFA">
        <w:rPr>
          <w:rFonts w:ascii="Verdana" w:hAnsi="Verdana"/>
          <w:sz w:val="18"/>
          <w:szCs w:val="18"/>
        </w:rPr>
        <w:t>7</w:t>
      </w:r>
      <w:r w:rsidR="00206CF6" w:rsidRPr="000C7CFA">
        <w:rPr>
          <w:rFonts w:ascii="Verdana" w:hAnsi="Verdana"/>
          <w:sz w:val="18"/>
          <w:szCs w:val="18"/>
        </w:rPr>
        <w:t>5</w:t>
      </w:r>
      <w:r w:rsidRPr="000C7CFA">
        <w:rPr>
          <w:rFonts w:ascii="Verdana" w:hAnsi="Verdana"/>
          <w:sz w:val="18"/>
          <w:szCs w:val="18"/>
        </w:rPr>
        <w:t>. On this basis, Dechlorane Plus can clearly achieve c</w:t>
      </w:r>
      <w:r w:rsidR="00BF7F09" w:rsidRPr="000C7CFA">
        <w:rPr>
          <w:rFonts w:ascii="Verdana" w:hAnsi="Verdana"/>
          <w:sz w:val="18"/>
          <w:szCs w:val="18"/>
        </w:rPr>
        <w:t xml:space="preserve">oncentrations in biota that may induce narcotic toxicity, and so are </w:t>
      </w:r>
      <w:r w:rsidRPr="000C7CFA">
        <w:rPr>
          <w:rFonts w:ascii="Verdana" w:hAnsi="Verdana"/>
          <w:sz w:val="18"/>
          <w:szCs w:val="18"/>
        </w:rPr>
        <w:t xml:space="preserve">of concern in a bioaccumulation context. </w:t>
      </w:r>
    </w:p>
    <w:p w14:paraId="2B281C47" w14:textId="76BF745F" w:rsidR="0021774D" w:rsidRPr="000C7CFA" w:rsidRDefault="0021774D" w:rsidP="0021774D">
      <w:pPr>
        <w:pStyle w:val="NoSpacing"/>
        <w:jc w:val="both"/>
        <w:rPr>
          <w:rFonts w:ascii="Verdana" w:eastAsia="BatangChe" w:hAnsi="Verdana" w:cs="Times New Roman"/>
          <w:sz w:val="18"/>
          <w:szCs w:val="18"/>
        </w:rPr>
      </w:pPr>
      <w:r w:rsidRPr="000C7CFA">
        <w:rPr>
          <w:rFonts w:ascii="Verdana" w:eastAsia="BatangChe" w:hAnsi="Verdana" w:cs="Times New Roman"/>
          <w:sz w:val="18"/>
          <w:szCs w:val="18"/>
        </w:rPr>
        <w:t xml:space="preserve">Depuration half-life is related to the amount of time needed for an organism to clear a chemical once exposure stops – the longer this is, the more likely it might be that an adverse effect could occur. </w:t>
      </w:r>
      <w:r w:rsidR="00D62310" w:rsidRPr="000C7CFA">
        <w:rPr>
          <w:rFonts w:ascii="Verdana" w:eastAsia="BatangChe" w:hAnsi="Verdana" w:cs="Times New Roman"/>
          <w:sz w:val="18"/>
          <w:szCs w:val="18"/>
        </w:rPr>
        <w:t>For comparison, the depuration half-lives in fish for the benchmark substances included in the Table above (where available in the source document</w:t>
      </w:r>
      <w:r w:rsidR="00D62310" w:rsidRPr="000C7CFA">
        <w:rPr>
          <w:rStyle w:val="FootnoteReference"/>
          <w:rFonts w:ascii="Verdana" w:eastAsia="BatangChe" w:hAnsi="Verdana" w:cs="Times New Roman"/>
          <w:sz w:val="18"/>
          <w:szCs w:val="18"/>
        </w:rPr>
        <w:footnoteReference w:id="50"/>
      </w:r>
      <w:r w:rsidR="00D62310" w:rsidRPr="000C7CFA">
        <w:rPr>
          <w:rFonts w:ascii="Verdana" w:eastAsia="BatangChe" w:hAnsi="Verdana" w:cs="Times New Roman"/>
          <w:sz w:val="18"/>
          <w:szCs w:val="18"/>
        </w:rPr>
        <w:t>) indicate that, with one notable exception (musk xylene), substances with high BCF values generally have relatively long depuration half-lives in at least one species, i.e. generally 20 days or above. The depuration half-life for Dechlorane Plus in fish is around</w:t>
      </w:r>
      <w:r w:rsidR="00D62310" w:rsidRPr="000C7CFA">
        <w:rPr>
          <w:rFonts w:ascii="Verdana" w:hAnsi="Verdana"/>
          <w:sz w:val="18"/>
          <w:szCs w:val="18"/>
        </w:rPr>
        <w:t xml:space="preserve"> </w:t>
      </w:r>
      <w:r w:rsidR="00D62310" w:rsidRPr="000C7CFA">
        <w:rPr>
          <w:rFonts w:ascii="Verdana" w:eastAsia="BatangChe" w:hAnsi="Verdana" w:cs="Times New Roman"/>
          <w:sz w:val="18"/>
          <w:szCs w:val="18"/>
        </w:rPr>
        <w:t xml:space="preserve">30-40 days for the anti- isomer and </w:t>
      </w:r>
      <w:r w:rsidR="004068CE" w:rsidRPr="000C7CFA">
        <w:rPr>
          <w:rFonts w:ascii="Verdana" w:eastAsia="BatangChe" w:hAnsi="Verdana" w:cs="Times New Roman"/>
          <w:sz w:val="18"/>
          <w:szCs w:val="18"/>
        </w:rPr>
        <w:t>5</w:t>
      </w:r>
      <w:r w:rsidR="00D62310" w:rsidRPr="000C7CFA">
        <w:rPr>
          <w:rFonts w:ascii="Verdana" w:eastAsia="BatangChe" w:hAnsi="Verdana" w:cs="Times New Roman"/>
          <w:sz w:val="18"/>
          <w:szCs w:val="18"/>
        </w:rPr>
        <w:t>0-</w:t>
      </w:r>
      <w:r w:rsidR="004068CE" w:rsidRPr="000C7CFA">
        <w:rPr>
          <w:rFonts w:ascii="Verdana" w:eastAsia="BatangChe" w:hAnsi="Verdana" w:cs="Times New Roman"/>
          <w:sz w:val="18"/>
          <w:szCs w:val="18"/>
        </w:rPr>
        <w:t>7</w:t>
      </w:r>
      <w:r w:rsidR="00D62310" w:rsidRPr="000C7CFA">
        <w:rPr>
          <w:rFonts w:ascii="Verdana" w:eastAsia="BatangChe" w:hAnsi="Verdana" w:cs="Times New Roman"/>
          <w:sz w:val="18"/>
          <w:szCs w:val="18"/>
        </w:rPr>
        <w:t>0 days for the syn- isomer, and so these values are consistent with other substances that are known to be very bioaccumulative. The long depuration half-life for Dechlorane Plus is therefore a</w:t>
      </w:r>
      <w:r w:rsidR="00D97EEA" w:rsidRPr="000C7CFA">
        <w:rPr>
          <w:rFonts w:ascii="Verdana" w:eastAsia="BatangChe" w:hAnsi="Verdana" w:cs="Times New Roman"/>
          <w:sz w:val="18"/>
          <w:szCs w:val="18"/>
        </w:rPr>
        <w:t xml:space="preserve"> good</w:t>
      </w:r>
      <w:r w:rsidR="00D62310" w:rsidRPr="000C7CFA">
        <w:rPr>
          <w:rFonts w:ascii="Verdana" w:eastAsia="BatangChe" w:hAnsi="Verdana" w:cs="Times New Roman"/>
          <w:sz w:val="18"/>
          <w:szCs w:val="18"/>
        </w:rPr>
        <w:t xml:space="preserve"> indicator of a very bioaccumulative substance.  </w:t>
      </w:r>
    </w:p>
    <w:p w14:paraId="186E6123" w14:textId="77777777" w:rsidR="0051029E" w:rsidRPr="000C7CFA" w:rsidRDefault="0051029E" w:rsidP="00DF46A5">
      <w:pPr>
        <w:pStyle w:val="BodyText"/>
        <w:ind w:right="-46"/>
        <w:rPr>
          <w:rFonts w:ascii="Verdana" w:hAnsi="Verdana"/>
          <w:sz w:val="18"/>
          <w:szCs w:val="18"/>
        </w:rPr>
        <w:sectPr w:rsidR="0051029E" w:rsidRPr="000C7CFA" w:rsidSect="00DF46A5">
          <w:pgSz w:w="16838" w:h="11906" w:orient="landscape" w:code="9"/>
          <w:pgMar w:top="1797" w:right="1440" w:bottom="1797" w:left="1440" w:header="709" w:footer="709" w:gutter="0"/>
          <w:cols w:space="708"/>
          <w:docGrid w:linePitch="360"/>
        </w:sectPr>
      </w:pPr>
    </w:p>
    <w:p w14:paraId="62F185A7" w14:textId="6071EDF3" w:rsidR="0006795F" w:rsidRPr="000C7CFA" w:rsidRDefault="00A62E29" w:rsidP="00A62E29">
      <w:pPr>
        <w:pStyle w:val="Heading1"/>
        <w:numPr>
          <w:ilvl w:val="0"/>
          <w:numId w:val="0"/>
        </w:numPr>
        <w:tabs>
          <w:tab w:val="clear" w:pos="839"/>
          <w:tab w:val="left" w:pos="1843"/>
        </w:tabs>
        <w:ind w:left="1843" w:hanging="1843"/>
        <w:rPr>
          <w:rFonts w:ascii="Verdana" w:hAnsi="Verdana"/>
          <w:sz w:val="18"/>
          <w:szCs w:val="18"/>
        </w:rPr>
      </w:pPr>
      <w:bookmarkStart w:id="154" w:name="_Toc491862806"/>
      <w:bookmarkStart w:id="155" w:name="_Toc488136527"/>
      <w:r w:rsidRPr="000C7CFA">
        <w:rPr>
          <w:rFonts w:ascii="Verdana" w:hAnsi="Verdana"/>
          <w:sz w:val="18"/>
          <w:szCs w:val="18"/>
        </w:rPr>
        <w:lastRenderedPageBreak/>
        <w:t xml:space="preserve">Appendix </w:t>
      </w:r>
      <w:r w:rsidR="00FB3AD7" w:rsidRPr="000C7CFA">
        <w:rPr>
          <w:rFonts w:ascii="Verdana" w:hAnsi="Verdana"/>
          <w:sz w:val="18"/>
          <w:szCs w:val="18"/>
        </w:rPr>
        <w:t>7</w:t>
      </w:r>
      <w:r w:rsidRPr="000C7CFA">
        <w:rPr>
          <w:rFonts w:ascii="Verdana" w:hAnsi="Verdana"/>
          <w:sz w:val="18"/>
          <w:szCs w:val="18"/>
        </w:rPr>
        <w:tab/>
      </w:r>
      <w:r w:rsidR="00935B48" w:rsidRPr="000C7CFA">
        <w:rPr>
          <w:rFonts w:ascii="Verdana" w:hAnsi="Verdana"/>
          <w:sz w:val="18"/>
          <w:szCs w:val="18"/>
        </w:rPr>
        <w:t>B</w:t>
      </w:r>
      <w:r w:rsidR="0006795F" w:rsidRPr="000C7CFA">
        <w:rPr>
          <w:rFonts w:ascii="Verdana" w:hAnsi="Verdana"/>
          <w:sz w:val="18"/>
          <w:szCs w:val="18"/>
        </w:rPr>
        <w:t xml:space="preserve">enchmarking </w:t>
      </w:r>
      <w:r w:rsidR="00E626D2" w:rsidRPr="000C7CFA">
        <w:rPr>
          <w:rFonts w:ascii="Verdana" w:hAnsi="Verdana"/>
          <w:sz w:val="18"/>
          <w:szCs w:val="18"/>
        </w:rPr>
        <w:t xml:space="preserve">of bioaccumulation </w:t>
      </w:r>
      <w:r w:rsidR="0006795F" w:rsidRPr="000C7CFA">
        <w:rPr>
          <w:rFonts w:ascii="Verdana" w:hAnsi="Verdana"/>
          <w:sz w:val="18"/>
          <w:szCs w:val="18"/>
        </w:rPr>
        <w:t>using</w:t>
      </w:r>
      <w:r w:rsidR="00E626D2" w:rsidRPr="000C7CFA">
        <w:rPr>
          <w:rFonts w:ascii="Verdana" w:hAnsi="Verdana"/>
          <w:sz w:val="18"/>
          <w:szCs w:val="18"/>
        </w:rPr>
        <w:t xml:space="preserve"> Polychlorobiphenyls (</w:t>
      </w:r>
      <w:r w:rsidR="007F6A05" w:rsidRPr="000C7CFA">
        <w:rPr>
          <w:rFonts w:ascii="Verdana" w:hAnsi="Verdana"/>
          <w:sz w:val="18"/>
          <w:szCs w:val="18"/>
        </w:rPr>
        <w:t>PCB</w:t>
      </w:r>
      <w:r w:rsidR="007F6A05" w:rsidRPr="000C7CFA">
        <w:rPr>
          <w:rFonts w:ascii="Verdana" w:hAnsi="Verdana"/>
          <w:caps w:val="0"/>
          <w:sz w:val="18"/>
          <w:szCs w:val="18"/>
        </w:rPr>
        <w:t>s</w:t>
      </w:r>
      <w:r w:rsidR="00E626D2" w:rsidRPr="000C7CFA">
        <w:rPr>
          <w:rFonts w:ascii="Verdana" w:hAnsi="Verdana"/>
          <w:sz w:val="18"/>
          <w:szCs w:val="18"/>
        </w:rPr>
        <w:t>)</w:t>
      </w:r>
      <w:bookmarkEnd w:id="154"/>
    </w:p>
    <w:p w14:paraId="4449AF69" w14:textId="77777777" w:rsidR="0006795F" w:rsidRPr="000C7CFA" w:rsidRDefault="0006795F">
      <w:pPr>
        <w:spacing w:after="0"/>
        <w:rPr>
          <w:rFonts w:ascii="Verdana" w:hAnsi="Verdana"/>
          <w:sz w:val="18"/>
          <w:szCs w:val="18"/>
        </w:rPr>
      </w:pPr>
    </w:p>
    <w:p w14:paraId="7DD4BA72" w14:textId="07198602" w:rsidR="0006795F" w:rsidRPr="000C7CFA" w:rsidRDefault="0006795F" w:rsidP="00E626D2">
      <w:pPr>
        <w:spacing w:after="0"/>
        <w:jc w:val="both"/>
        <w:rPr>
          <w:rFonts w:ascii="Verdana" w:hAnsi="Verdana"/>
          <w:sz w:val="18"/>
          <w:szCs w:val="18"/>
        </w:rPr>
      </w:pPr>
      <w:r w:rsidRPr="000C7CFA">
        <w:rPr>
          <w:rFonts w:ascii="Verdana" w:hAnsi="Verdana"/>
          <w:sz w:val="18"/>
          <w:szCs w:val="18"/>
        </w:rPr>
        <w:t>The fish bioaccumulation data summarised in the WHO assessment of PCBs (WHO, 1993)</w:t>
      </w:r>
      <w:r w:rsidRPr="000C7CFA">
        <w:rPr>
          <w:rStyle w:val="FootnoteReference"/>
          <w:rFonts w:ascii="Verdana" w:hAnsi="Verdana"/>
          <w:sz w:val="18"/>
          <w:szCs w:val="18"/>
        </w:rPr>
        <w:footnoteReference w:id="51"/>
      </w:r>
      <w:r w:rsidRPr="000C7CFA">
        <w:rPr>
          <w:rFonts w:ascii="Verdana" w:hAnsi="Verdana"/>
          <w:sz w:val="18"/>
          <w:szCs w:val="18"/>
        </w:rPr>
        <w:t xml:space="preserve"> </w:t>
      </w:r>
      <w:r w:rsidR="00E626D2" w:rsidRPr="000C7CFA">
        <w:rPr>
          <w:rFonts w:ascii="Verdana" w:hAnsi="Verdana"/>
          <w:sz w:val="18"/>
          <w:szCs w:val="18"/>
        </w:rPr>
        <w:t>has been considered. T</w:t>
      </w:r>
      <w:r w:rsidRPr="000C7CFA">
        <w:rPr>
          <w:rFonts w:ascii="Verdana" w:hAnsi="Verdana"/>
          <w:sz w:val="18"/>
          <w:szCs w:val="18"/>
        </w:rPr>
        <w:t>able</w:t>
      </w:r>
      <w:r w:rsidR="00E626D2" w:rsidRPr="000C7CFA">
        <w:rPr>
          <w:rFonts w:ascii="Verdana" w:hAnsi="Verdana"/>
          <w:sz w:val="18"/>
          <w:szCs w:val="18"/>
        </w:rPr>
        <w:t xml:space="preserve"> 6</w:t>
      </w:r>
      <w:r w:rsidRPr="000C7CFA">
        <w:rPr>
          <w:rFonts w:ascii="Verdana" w:hAnsi="Verdana"/>
          <w:sz w:val="18"/>
          <w:szCs w:val="18"/>
        </w:rPr>
        <w:t xml:space="preserve"> summarises the section focussing on studies which provide numerical values for uptake or </w:t>
      </w:r>
      <w:r w:rsidR="00E626D2" w:rsidRPr="000C7CFA">
        <w:rPr>
          <w:rFonts w:ascii="Verdana" w:hAnsi="Verdana"/>
          <w:sz w:val="18"/>
          <w:szCs w:val="18"/>
        </w:rPr>
        <w:t xml:space="preserve">depuration </w:t>
      </w:r>
      <w:r w:rsidRPr="000C7CFA">
        <w:rPr>
          <w:rFonts w:ascii="Verdana" w:hAnsi="Verdana"/>
          <w:sz w:val="18"/>
          <w:szCs w:val="18"/>
        </w:rPr>
        <w:t>half-life</w:t>
      </w:r>
      <w:r w:rsidRPr="000C7CFA">
        <w:rPr>
          <w:rStyle w:val="FootnoteReference"/>
          <w:rFonts w:ascii="Verdana" w:hAnsi="Verdana"/>
          <w:sz w:val="18"/>
          <w:szCs w:val="18"/>
        </w:rPr>
        <w:footnoteReference w:id="52"/>
      </w:r>
      <w:r w:rsidRPr="000C7CFA">
        <w:rPr>
          <w:rFonts w:ascii="Verdana" w:hAnsi="Verdana"/>
          <w:sz w:val="18"/>
          <w:szCs w:val="18"/>
        </w:rPr>
        <w:t xml:space="preserve">. The data cover a range of PCBs and hence chlorination level, which affects bioaccumulation. The data are mainly for the commercial products, which are a mixture of homologues and congeners. This </w:t>
      </w:r>
      <w:r w:rsidR="00E626D2" w:rsidRPr="000C7CFA">
        <w:rPr>
          <w:rFonts w:ascii="Verdana" w:hAnsi="Verdana"/>
          <w:sz w:val="18"/>
          <w:szCs w:val="18"/>
        </w:rPr>
        <w:t xml:space="preserve">complicates </w:t>
      </w:r>
      <w:r w:rsidRPr="000C7CFA">
        <w:rPr>
          <w:rFonts w:ascii="Verdana" w:hAnsi="Verdana"/>
          <w:sz w:val="18"/>
          <w:szCs w:val="18"/>
        </w:rPr>
        <w:t xml:space="preserve">interpretation of BCF values for </w:t>
      </w:r>
      <w:r w:rsidR="00E626D2" w:rsidRPr="000C7CFA">
        <w:rPr>
          <w:rFonts w:ascii="Verdana" w:hAnsi="Verdana"/>
          <w:sz w:val="18"/>
          <w:szCs w:val="18"/>
        </w:rPr>
        <w:t>specific</w:t>
      </w:r>
      <w:r w:rsidRPr="000C7CFA">
        <w:rPr>
          <w:rFonts w:ascii="Verdana" w:hAnsi="Verdana"/>
          <w:sz w:val="18"/>
          <w:szCs w:val="18"/>
        </w:rPr>
        <w:t xml:space="preserve"> congener</w:t>
      </w:r>
      <w:r w:rsidR="00E626D2" w:rsidRPr="000C7CFA">
        <w:rPr>
          <w:rFonts w:ascii="Verdana" w:hAnsi="Verdana"/>
          <w:sz w:val="18"/>
          <w:szCs w:val="18"/>
        </w:rPr>
        <w:t>s</w:t>
      </w:r>
      <w:r w:rsidRPr="000C7CFA">
        <w:rPr>
          <w:rFonts w:ascii="Verdana" w:hAnsi="Verdana"/>
          <w:sz w:val="18"/>
          <w:szCs w:val="18"/>
        </w:rPr>
        <w:t>.</w:t>
      </w:r>
    </w:p>
    <w:p w14:paraId="39BDDC8C" w14:textId="77777777" w:rsidR="0006795F" w:rsidRPr="000C7CFA" w:rsidRDefault="0006795F" w:rsidP="0006795F">
      <w:pPr>
        <w:spacing w:after="0"/>
        <w:rPr>
          <w:rFonts w:ascii="Verdana" w:hAnsi="Verdana"/>
          <w:sz w:val="18"/>
          <w:szCs w:val="18"/>
        </w:rPr>
      </w:pPr>
    </w:p>
    <w:p w14:paraId="7AD6818F" w14:textId="295E4255" w:rsidR="0006795F" w:rsidRPr="000C7CFA" w:rsidRDefault="00B56732" w:rsidP="00B56732">
      <w:pPr>
        <w:pStyle w:val="TableHeading"/>
        <w:rPr>
          <w:rFonts w:ascii="Verdana" w:hAnsi="Verdana"/>
          <w:sz w:val="18"/>
          <w:szCs w:val="18"/>
        </w:rPr>
      </w:pPr>
      <w:bookmarkStart w:id="156" w:name="_Toc489434274"/>
      <w:r w:rsidRPr="000C7CFA">
        <w:rPr>
          <w:rFonts w:ascii="Verdana" w:hAnsi="Verdana"/>
          <w:sz w:val="18"/>
          <w:szCs w:val="18"/>
        </w:rPr>
        <w:t xml:space="preserve">Table </w:t>
      </w:r>
      <w:r w:rsidRPr="000C7CFA">
        <w:rPr>
          <w:rFonts w:ascii="Verdana" w:hAnsi="Verdana"/>
          <w:sz w:val="18"/>
          <w:szCs w:val="18"/>
        </w:rPr>
        <w:fldChar w:fldCharType="begin"/>
      </w:r>
      <w:r w:rsidRPr="000C7CFA">
        <w:rPr>
          <w:rFonts w:ascii="Verdana" w:hAnsi="Verdana"/>
          <w:sz w:val="18"/>
          <w:szCs w:val="18"/>
        </w:rPr>
        <w:instrText xml:space="preserve"> SEQ Table \* ARABIC </w:instrText>
      </w:r>
      <w:r w:rsidRPr="000C7CFA">
        <w:rPr>
          <w:rFonts w:ascii="Verdana" w:hAnsi="Verdana"/>
          <w:sz w:val="18"/>
          <w:szCs w:val="18"/>
        </w:rPr>
        <w:fldChar w:fldCharType="separate"/>
      </w:r>
      <w:r w:rsidR="00BA2885" w:rsidRPr="000C7CFA">
        <w:rPr>
          <w:rFonts w:ascii="Verdana" w:hAnsi="Verdana"/>
          <w:noProof/>
          <w:sz w:val="18"/>
          <w:szCs w:val="18"/>
        </w:rPr>
        <w:t>6</w:t>
      </w:r>
      <w:r w:rsidRPr="000C7CFA">
        <w:rPr>
          <w:rFonts w:ascii="Verdana" w:hAnsi="Verdana"/>
          <w:sz w:val="18"/>
          <w:szCs w:val="18"/>
        </w:rPr>
        <w:fldChar w:fldCharType="end"/>
      </w:r>
      <w:r w:rsidRPr="000C7CFA">
        <w:rPr>
          <w:rFonts w:ascii="Verdana" w:hAnsi="Verdana"/>
          <w:sz w:val="18"/>
          <w:szCs w:val="18"/>
        </w:rPr>
        <w:t>: Summary of fish bioaccumulation data from WHO (1993) where uptake or depuration data are available</w:t>
      </w:r>
      <w:bookmarkEnd w:id="156"/>
    </w:p>
    <w:tbl>
      <w:tblPr>
        <w:tblStyle w:val="TableGrid"/>
        <w:tblW w:w="0" w:type="auto"/>
        <w:tblLook w:val="04A0" w:firstRow="1" w:lastRow="0" w:firstColumn="1" w:lastColumn="0" w:noHBand="0" w:noVBand="1"/>
      </w:tblPr>
      <w:tblGrid>
        <w:gridCol w:w="1723"/>
        <w:gridCol w:w="1372"/>
        <w:gridCol w:w="2120"/>
        <w:gridCol w:w="1617"/>
        <w:gridCol w:w="1470"/>
      </w:tblGrid>
      <w:tr w:rsidR="0006795F" w:rsidRPr="000C7CFA" w14:paraId="456069DD" w14:textId="77777777" w:rsidTr="00E626D2">
        <w:trPr>
          <w:tblHeader/>
        </w:trPr>
        <w:tc>
          <w:tcPr>
            <w:tcW w:w="1723" w:type="dxa"/>
            <w:vAlign w:val="center"/>
          </w:tcPr>
          <w:p w14:paraId="12353786" w14:textId="4847A23D" w:rsidR="0006795F" w:rsidRPr="000C7CFA" w:rsidRDefault="00E626D2" w:rsidP="00E626D2">
            <w:pPr>
              <w:spacing w:after="0"/>
              <w:jc w:val="center"/>
              <w:rPr>
                <w:rFonts w:ascii="Verdana" w:hAnsi="Verdana"/>
                <w:b/>
                <w:sz w:val="18"/>
                <w:szCs w:val="18"/>
              </w:rPr>
            </w:pPr>
            <w:r w:rsidRPr="000C7CFA">
              <w:rPr>
                <w:rFonts w:ascii="Verdana" w:hAnsi="Verdana"/>
                <w:b/>
                <w:sz w:val="18"/>
                <w:szCs w:val="18"/>
              </w:rPr>
              <w:t>S</w:t>
            </w:r>
            <w:r w:rsidR="0006795F" w:rsidRPr="000C7CFA">
              <w:rPr>
                <w:rFonts w:ascii="Verdana" w:hAnsi="Verdana"/>
                <w:b/>
                <w:sz w:val="18"/>
                <w:szCs w:val="18"/>
              </w:rPr>
              <w:t>pecies</w:t>
            </w:r>
          </w:p>
        </w:tc>
        <w:tc>
          <w:tcPr>
            <w:tcW w:w="1372" w:type="dxa"/>
            <w:vAlign w:val="center"/>
          </w:tcPr>
          <w:p w14:paraId="1E9FCACD" w14:textId="77777777" w:rsidR="0006795F" w:rsidRPr="000C7CFA" w:rsidRDefault="0006795F" w:rsidP="00E626D2">
            <w:pPr>
              <w:spacing w:after="0"/>
              <w:jc w:val="center"/>
              <w:rPr>
                <w:rFonts w:ascii="Verdana" w:hAnsi="Verdana"/>
                <w:b/>
                <w:sz w:val="18"/>
                <w:szCs w:val="18"/>
              </w:rPr>
            </w:pPr>
            <w:r w:rsidRPr="000C7CFA">
              <w:rPr>
                <w:rFonts w:ascii="Verdana" w:hAnsi="Verdana"/>
                <w:b/>
                <w:sz w:val="18"/>
                <w:szCs w:val="18"/>
              </w:rPr>
              <w:t>Time to achieve steady-state</w:t>
            </w:r>
          </w:p>
        </w:tc>
        <w:tc>
          <w:tcPr>
            <w:tcW w:w="2120" w:type="dxa"/>
            <w:vAlign w:val="center"/>
          </w:tcPr>
          <w:p w14:paraId="7333DA02" w14:textId="37662E46" w:rsidR="0006795F" w:rsidRPr="000C7CFA" w:rsidRDefault="000C0809" w:rsidP="00E626D2">
            <w:pPr>
              <w:spacing w:after="0"/>
              <w:jc w:val="center"/>
              <w:rPr>
                <w:rFonts w:ascii="Verdana" w:hAnsi="Verdana"/>
                <w:b/>
                <w:sz w:val="18"/>
                <w:szCs w:val="18"/>
              </w:rPr>
            </w:pPr>
            <w:r w:rsidRPr="000C7CFA">
              <w:rPr>
                <w:rFonts w:ascii="Verdana" w:hAnsi="Verdana"/>
                <w:b/>
                <w:sz w:val="18"/>
                <w:szCs w:val="18"/>
              </w:rPr>
              <w:t>Depuration h</w:t>
            </w:r>
            <w:r w:rsidR="0006795F" w:rsidRPr="000C7CFA">
              <w:rPr>
                <w:rFonts w:ascii="Verdana" w:hAnsi="Verdana"/>
                <w:b/>
                <w:sz w:val="18"/>
                <w:szCs w:val="18"/>
              </w:rPr>
              <w:t>alf-life information</w:t>
            </w:r>
          </w:p>
        </w:tc>
        <w:tc>
          <w:tcPr>
            <w:tcW w:w="1617" w:type="dxa"/>
            <w:vAlign w:val="center"/>
          </w:tcPr>
          <w:p w14:paraId="273F8021" w14:textId="77777777" w:rsidR="0006795F" w:rsidRPr="000C7CFA" w:rsidRDefault="0006795F" w:rsidP="00E626D2">
            <w:pPr>
              <w:spacing w:after="0"/>
              <w:jc w:val="center"/>
              <w:rPr>
                <w:rFonts w:ascii="Verdana" w:hAnsi="Verdana"/>
                <w:b/>
                <w:sz w:val="18"/>
                <w:szCs w:val="18"/>
              </w:rPr>
            </w:pPr>
            <w:r w:rsidRPr="000C7CFA">
              <w:rPr>
                <w:rFonts w:ascii="Verdana" w:hAnsi="Verdana"/>
                <w:b/>
                <w:sz w:val="18"/>
                <w:szCs w:val="18"/>
              </w:rPr>
              <w:t>Comment</w:t>
            </w:r>
          </w:p>
        </w:tc>
        <w:tc>
          <w:tcPr>
            <w:tcW w:w="1470" w:type="dxa"/>
            <w:vAlign w:val="center"/>
          </w:tcPr>
          <w:p w14:paraId="4A234023" w14:textId="77777777" w:rsidR="0006795F" w:rsidRPr="000C7CFA" w:rsidRDefault="0006795F" w:rsidP="00E626D2">
            <w:pPr>
              <w:spacing w:after="0"/>
              <w:jc w:val="center"/>
              <w:rPr>
                <w:rFonts w:ascii="Verdana" w:hAnsi="Verdana"/>
                <w:b/>
                <w:sz w:val="18"/>
                <w:szCs w:val="18"/>
              </w:rPr>
            </w:pPr>
            <w:r w:rsidRPr="000C7CFA">
              <w:rPr>
                <w:rFonts w:ascii="Verdana" w:hAnsi="Verdana"/>
                <w:b/>
                <w:sz w:val="18"/>
                <w:szCs w:val="18"/>
              </w:rPr>
              <w:t>Reference</w:t>
            </w:r>
          </w:p>
        </w:tc>
      </w:tr>
      <w:tr w:rsidR="0006795F" w:rsidRPr="000C7CFA" w14:paraId="06504C4C" w14:textId="77777777" w:rsidTr="00E626D2">
        <w:tc>
          <w:tcPr>
            <w:tcW w:w="1723" w:type="dxa"/>
          </w:tcPr>
          <w:p w14:paraId="1ECA1363" w14:textId="2A8741F6" w:rsidR="0006795F" w:rsidRPr="000C7CFA" w:rsidRDefault="0006795F" w:rsidP="00E6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rPr>
            </w:pPr>
            <w:r w:rsidRPr="000C7CFA">
              <w:rPr>
                <w:rFonts w:ascii="Verdana" w:hAnsi="Verdana"/>
                <w:sz w:val="18"/>
                <w:szCs w:val="18"/>
              </w:rPr>
              <w:t xml:space="preserve">Sheepshead </w:t>
            </w:r>
            <w:r w:rsidR="00E626D2" w:rsidRPr="000C7CFA">
              <w:rPr>
                <w:rFonts w:ascii="Verdana" w:hAnsi="Verdana"/>
                <w:sz w:val="18"/>
                <w:szCs w:val="18"/>
              </w:rPr>
              <w:t>M</w:t>
            </w:r>
            <w:r w:rsidRPr="000C7CFA">
              <w:rPr>
                <w:rFonts w:ascii="Verdana" w:hAnsi="Verdana"/>
                <w:sz w:val="18"/>
                <w:szCs w:val="18"/>
              </w:rPr>
              <w:t xml:space="preserve">innow </w:t>
            </w:r>
            <w:r w:rsidR="00681022" w:rsidRPr="000C7CFA">
              <w:rPr>
                <w:rFonts w:ascii="Verdana" w:hAnsi="Verdana"/>
                <w:sz w:val="18"/>
                <w:szCs w:val="18"/>
              </w:rPr>
              <w:t>(</w:t>
            </w:r>
            <w:r w:rsidRPr="000C7CFA">
              <w:rPr>
                <w:rFonts w:ascii="Verdana" w:hAnsi="Verdana"/>
                <w:i/>
                <w:sz w:val="18"/>
                <w:szCs w:val="18"/>
              </w:rPr>
              <w:t>Cyprinodon variegatus</w:t>
            </w:r>
            <w:r w:rsidR="00681022" w:rsidRPr="000C7CFA">
              <w:rPr>
                <w:rFonts w:ascii="Verdana" w:hAnsi="Verdana"/>
                <w:i/>
                <w:sz w:val="18"/>
                <w:szCs w:val="18"/>
              </w:rPr>
              <w:t>)</w:t>
            </w:r>
          </w:p>
        </w:tc>
        <w:tc>
          <w:tcPr>
            <w:tcW w:w="1372" w:type="dxa"/>
          </w:tcPr>
          <w:p w14:paraId="4956771C" w14:textId="77777777" w:rsidR="0006795F" w:rsidRPr="000C7CFA" w:rsidRDefault="0006795F" w:rsidP="00E626D2">
            <w:pPr>
              <w:spacing w:after="0"/>
              <w:rPr>
                <w:rFonts w:ascii="Verdana" w:hAnsi="Verdana"/>
                <w:sz w:val="18"/>
                <w:szCs w:val="18"/>
              </w:rPr>
            </w:pPr>
            <w:r w:rsidRPr="000C7CFA">
              <w:rPr>
                <w:rFonts w:ascii="Verdana" w:hAnsi="Verdana"/>
                <w:sz w:val="18"/>
                <w:szCs w:val="18"/>
              </w:rPr>
              <w:t>100 days</w:t>
            </w:r>
          </w:p>
        </w:tc>
        <w:tc>
          <w:tcPr>
            <w:tcW w:w="2120" w:type="dxa"/>
          </w:tcPr>
          <w:p w14:paraId="15244537" w14:textId="77777777" w:rsidR="0006795F" w:rsidRPr="000C7CFA" w:rsidRDefault="0006795F" w:rsidP="00E626D2">
            <w:pPr>
              <w:spacing w:after="0"/>
              <w:rPr>
                <w:rFonts w:ascii="Verdana" w:hAnsi="Verdana"/>
                <w:sz w:val="18"/>
                <w:szCs w:val="18"/>
              </w:rPr>
            </w:pPr>
            <w:r w:rsidRPr="000C7CFA">
              <w:rPr>
                <w:rFonts w:ascii="Verdana" w:hAnsi="Verdana"/>
                <w:sz w:val="18"/>
                <w:szCs w:val="18"/>
              </w:rPr>
              <w:t xml:space="preserve">18% loss of Arochlor 1248 in 28 days; </w:t>
            </w:r>
          </w:p>
          <w:p w14:paraId="2B8012DE" w14:textId="77777777" w:rsidR="0006795F" w:rsidRPr="000C7CFA" w:rsidRDefault="0006795F" w:rsidP="00E626D2">
            <w:pPr>
              <w:spacing w:after="0"/>
              <w:rPr>
                <w:rFonts w:ascii="Verdana" w:hAnsi="Verdana"/>
                <w:sz w:val="18"/>
                <w:szCs w:val="18"/>
              </w:rPr>
            </w:pPr>
            <w:r w:rsidRPr="000C7CFA">
              <w:rPr>
                <w:rFonts w:ascii="Verdana" w:hAnsi="Verdana"/>
                <w:sz w:val="18"/>
                <w:szCs w:val="18"/>
              </w:rPr>
              <w:t>15% of Arochlor 1260 in 42 days</w:t>
            </w:r>
          </w:p>
        </w:tc>
        <w:tc>
          <w:tcPr>
            <w:tcW w:w="1617" w:type="dxa"/>
          </w:tcPr>
          <w:p w14:paraId="6B6097DA" w14:textId="77777777" w:rsidR="0006795F" w:rsidRPr="000C7CFA" w:rsidRDefault="0006795F" w:rsidP="00E626D2">
            <w:pPr>
              <w:spacing w:after="0"/>
              <w:rPr>
                <w:rFonts w:ascii="Verdana" w:hAnsi="Verdana"/>
                <w:sz w:val="18"/>
                <w:szCs w:val="18"/>
              </w:rPr>
            </w:pPr>
            <w:r w:rsidRPr="000C7CFA">
              <w:rPr>
                <w:rFonts w:ascii="Verdana" w:hAnsi="Verdana"/>
                <w:sz w:val="18"/>
                <w:szCs w:val="18"/>
              </w:rPr>
              <w:t xml:space="preserve">Arochlor 1248 and 1260 </w:t>
            </w:r>
          </w:p>
        </w:tc>
        <w:tc>
          <w:tcPr>
            <w:tcW w:w="1470" w:type="dxa"/>
          </w:tcPr>
          <w:p w14:paraId="73AE71CA" w14:textId="7F27EA0E" w:rsidR="0006795F" w:rsidRPr="000C7CFA" w:rsidRDefault="0006795F" w:rsidP="00E626D2">
            <w:pPr>
              <w:spacing w:after="0"/>
              <w:rPr>
                <w:rFonts w:ascii="Verdana" w:hAnsi="Verdana"/>
                <w:sz w:val="18"/>
                <w:szCs w:val="18"/>
              </w:rPr>
            </w:pPr>
            <w:r w:rsidRPr="000C7CFA">
              <w:rPr>
                <w:rFonts w:ascii="Verdana" w:hAnsi="Verdana"/>
                <w:sz w:val="18"/>
                <w:szCs w:val="18"/>
              </w:rPr>
              <w:t xml:space="preserve">Hansen </w:t>
            </w:r>
            <w:r w:rsidRPr="000C7CFA">
              <w:rPr>
                <w:rFonts w:ascii="Verdana" w:hAnsi="Verdana"/>
                <w:i/>
                <w:sz w:val="18"/>
                <w:szCs w:val="18"/>
              </w:rPr>
              <w:t>et al</w:t>
            </w:r>
            <w:r w:rsidR="00E626D2" w:rsidRPr="000C7CFA">
              <w:rPr>
                <w:rFonts w:ascii="Verdana" w:hAnsi="Verdana"/>
                <w:i/>
                <w:sz w:val="18"/>
                <w:szCs w:val="18"/>
              </w:rPr>
              <w:t>.</w:t>
            </w:r>
            <w:r w:rsidRPr="000C7CFA">
              <w:rPr>
                <w:rFonts w:ascii="Verdana" w:hAnsi="Verdana"/>
                <w:sz w:val="18"/>
                <w:szCs w:val="18"/>
              </w:rPr>
              <w:t xml:space="preserve"> (1975)</w:t>
            </w:r>
          </w:p>
        </w:tc>
      </w:tr>
      <w:tr w:rsidR="0006795F" w:rsidRPr="000C7CFA" w14:paraId="563F9087" w14:textId="77777777" w:rsidTr="00E626D2">
        <w:tc>
          <w:tcPr>
            <w:tcW w:w="1723" w:type="dxa"/>
          </w:tcPr>
          <w:p w14:paraId="518BA11A" w14:textId="169ADF2F" w:rsidR="0006795F" w:rsidRPr="000C7CFA" w:rsidRDefault="00E626D2" w:rsidP="00E6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rPr>
            </w:pPr>
            <w:r w:rsidRPr="000C7CFA">
              <w:rPr>
                <w:rFonts w:ascii="Verdana" w:hAnsi="Verdana"/>
                <w:sz w:val="18"/>
                <w:szCs w:val="18"/>
              </w:rPr>
              <w:t>Cape S</w:t>
            </w:r>
            <w:r w:rsidR="0006795F" w:rsidRPr="000C7CFA">
              <w:rPr>
                <w:rFonts w:ascii="Verdana" w:hAnsi="Verdana"/>
                <w:sz w:val="18"/>
                <w:szCs w:val="18"/>
              </w:rPr>
              <w:t>tumpnose (</w:t>
            </w:r>
            <w:r w:rsidR="0006795F" w:rsidRPr="000C7CFA">
              <w:rPr>
                <w:rFonts w:ascii="Verdana" w:hAnsi="Verdana"/>
                <w:i/>
                <w:sz w:val="18"/>
                <w:szCs w:val="18"/>
              </w:rPr>
              <w:t>Rhabdosargus holubi</w:t>
            </w:r>
            <w:r w:rsidR="0006795F" w:rsidRPr="000C7CFA">
              <w:rPr>
                <w:rFonts w:ascii="Verdana" w:hAnsi="Verdana"/>
                <w:sz w:val="18"/>
                <w:szCs w:val="18"/>
              </w:rPr>
              <w:t>)</w:t>
            </w:r>
          </w:p>
        </w:tc>
        <w:tc>
          <w:tcPr>
            <w:tcW w:w="1372" w:type="dxa"/>
          </w:tcPr>
          <w:p w14:paraId="74B043B3" w14:textId="77777777" w:rsidR="0006795F" w:rsidRPr="000C7CFA" w:rsidRDefault="0006795F" w:rsidP="00E626D2">
            <w:pPr>
              <w:spacing w:after="0"/>
              <w:rPr>
                <w:rFonts w:ascii="Verdana" w:hAnsi="Verdana"/>
                <w:sz w:val="18"/>
                <w:szCs w:val="18"/>
              </w:rPr>
            </w:pPr>
            <w:r w:rsidRPr="000C7CFA">
              <w:rPr>
                <w:rFonts w:ascii="Verdana" w:hAnsi="Verdana"/>
                <w:sz w:val="18"/>
                <w:szCs w:val="18"/>
              </w:rPr>
              <w:t>90 days</w:t>
            </w:r>
          </w:p>
        </w:tc>
        <w:tc>
          <w:tcPr>
            <w:tcW w:w="2120" w:type="dxa"/>
          </w:tcPr>
          <w:p w14:paraId="29222164" w14:textId="77777777" w:rsidR="0006795F" w:rsidRPr="000C7CFA" w:rsidRDefault="0006795F" w:rsidP="00E626D2">
            <w:pPr>
              <w:spacing w:after="0"/>
              <w:rPr>
                <w:rFonts w:ascii="Verdana" w:hAnsi="Verdana"/>
                <w:sz w:val="18"/>
                <w:szCs w:val="18"/>
              </w:rPr>
            </w:pPr>
            <w:r w:rsidRPr="000C7CFA">
              <w:rPr>
                <w:rFonts w:ascii="Verdana" w:hAnsi="Verdana"/>
                <w:sz w:val="18"/>
                <w:szCs w:val="18"/>
              </w:rPr>
              <w:t>50 days</w:t>
            </w:r>
          </w:p>
        </w:tc>
        <w:tc>
          <w:tcPr>
            <w:tcW w:w="1617" w:type="dxa"/>
          </w:tcPr>
          <w:p w14:paraId="1D67BA71" w14:textId="77777777" w:rsidR="0006795F" w:rsidRPr="000C7CFA" w:rsidRDefault="0006795F" w:rsidP="00E626D2">
            <w:pPr>
              <w:spacing w:after="0"/>
              <w:rPr>
                <w:rFonts w:ascii="Verdana" w:hAnsi="Verdana"/>
                <w:sz w:val="18"/>
                <w:szCs w:val="18"/>
              </w:rPr>
            </w:pPr>
            <w:r w:rsidRPr="000C7CFA">
              <w:rPr>
                <w:rFonts w:ascii="Verdana" w:hAnsi="Verdana"/>
                <w:sz w:val="18"/>
                <w:szCs w:val="18"/>
              </w:rPr>
              <w:t>Arochlor 1260</w:t>
            </w:r>
          </w:p>
        </w:tc>
        <w:tc>
          <w:tcPr>
            <w:tcW w:w="1470" w:type="dxa"/>
          </w:tcPr>
          <w:p w14:paraId="2F6854F9" w14:textId="77777777" w:rsidR="0006795F" w:rsidRPr="000C7CFA" w:rsidRDefault="0006795F" w:rsidP="00E6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rPr>
            </w:pPr>
            <w:r w:rsidRPr="000C7CFA">
              <w:rPr>
                <w:rFonts w:ascii="Verdana" w:hAnsi="Verdana"/>
                <w:sz w:val="18"/>
                <w:szCs w:val="18"/>
              </w:rPr>
              <w:t xml:space="preserve">De Kock &amp; Lord (1988) </w:t>
            </w:r>
          </w:p>
          <w:p w14:paraId="509098B7" w14:textId="77777777" w:rsidR="0006795F" w:rsidRPr="000C7CFA" w:rsidRDefault="0006795F" w:rsidP="00E626D2">
            <w:pPr>
              <w:spacing w:after="0"/>
              <w:rPr>
                <w:rFonts w:ascii="Verdana" w:hAnsi="Verdana"/>
                <w:sz w:val="18"/>
                <w:szCs w:val="18"/>
              </w:rPr>
            </w:pPr>
          </w:p>
        </w:tc>
      </w:tr>
      <w:tr w:rsidR="0006795F" w:rsidRPr="000C7CFA" w14:paraId="134E4CA7" w14:textId="77777777" w:rsidTr="00E626D2">
        <w:tc>
          <w:tcPr>
            <w:tcW w:w="1723" w:type="dxa"/>
          </w:tcPr>
          <w:p w14:paraId="5F986208" w14:textId="77777777" w:rsidR="0006795F" w:rsidRPr="000C7CFA" w:rsidRDefault="0006795F" w:rsidP="00E626D2">
            <w:pPr>
              <w:spacing w:after="0"/>
              <w:rPr>
                <w:rFonts w:ascii="Verdana" w:hAnsi="Verdana"/>
                <w:sz w:val="18"/>
                <w:szCs w:val="18"/>
              </w:rPr>
            </w:pPr>
            <w:r w:rsidRPr="000C7CFA">
              <w:rPr>
                <w:rFonts w:ascii="Verdana" w:hAnsi="Verdana"/>
                <w:sz w:val="18"/>
                <w:szCs w:val="18"/>
              </w:rPr>
              <w:t>Goldfish (</w:t>
            </w:r>
            <w:r w:rsidRPr="000C7CFA">
              <w:rPr>
                <w:rFonts w:ascii="Verdana" w:hAnsi="Verdana"/>
                <w:i/>
                <w:sz w:val="18"/>
                <w:szCs w:val="18"/>
              </w:rPr>
              <w:t>Carassius auratus</w:t>
            </w:r>
            <w:r w:rsidRPr="000C7CFA">
              <w:rPr>
                <w:rFonts w:ascii="Verdana" w:hAnsi="Verdana"/>
                <w:sz w:val="18"/>
                <w:szCs w:val="18"/>
              </w:rPr>
              <w:t>)</w:t>
            </w:r>
          </w:p>
        </w:tc>
        <w:tc>
          <w:tcPr>
            <w:tcW w:w="1372" w:type="dxa"/>
          </w:tcPr>
          <w:p w14:paraId="73F5C8AF" w14:textId="77777777" w:rsidR="0006795F" w:rsidRPr="000C7CFA" w:rsidRDefault="0006795F" w:rsidP="00E626D2">
            <w:pPr>
              <w:spacing w:after="0"/>
              <w:rPr>
                <w:rFonts w:ascii="Verdana" w:hAnsi="Verdana"/>
                <w:sz w:val="18"/>
                <w:szCs w:val="18"/>
              </w:rPr>
            </w:pPr>
            <w:r w:rsidRPr="000C7CFA">
              <w:rPr>
                <w:rFonts w:ascii="Verdana" w:hAnsi="Verdana"/>
                <w:sz w:val="18"/>
                <w:szCs w:val="18"/>
              </w:rPr>
              <w:t>Not achieved in 18 days exposure</w:t>
            </w:r>
          </w:p>
        </w:tc>
        <w:tc>
          <w:tcPr>
            <w:tcW w:w="2120" w:type="dxa"/>
          </w:tcPr>
          <w:p w14:paraId="3720E47A" w14:textId="77777777" w:rsidR="0006795F" w:rsidRPr="000C7CFA" w:rsidRDefault="0006795F" w:rsidP="00E626D2">
            <w:pPr>
              <w:spacing w:after="0"/>
              <w:rPr>
                <w:rFonts w:ascii="Verdana" w:hAnsi="Verdana"/>
                <w:sz w:val="18"/>
                <w:szCs w:val="18"/>
              </w:rPr>
            </w:pPr>
            <w:r w:rsidRPr="000C7CFA">
              <w:rPr>
                <w:rFonts w:ascii="Verdana" w:hAnsi="Verdana"/>
                <w:sz w:val="18"/>
                <w:szCs w:val="18"/>
              </w:rPr>
              <w:t>13 days. 15 mg/kg still present after 70 days</w:t>
            </w:r>
          </w:p>
        </w:tc>
        <w:tc>
          <w:tcPr>
            <w:tcW w:w="1617" w:type="dxa"/>
          </w:tcPr>
          <w:p w14:paraId="03E9DC63" w14:textId="77777777" w:rsidR="0006795F" w:rsidRPr="000C7CFA" w:rsidRDefault="0006795F" w:rsidP="00E626D2">
            <w:pPr>
              <w:spacing w:after="0"/>
              <w:rPr>
                <w:rFonts w:ascii="Verdana" w:hAnsi="Verdana"/>
                <w:sz w:val="18"/>
                <w:szCs w:val="18"/>
              </w:rPr>
            </w:pPr>
            <w:r w:rsidRPr="000C7CFA">
              <w:rPr>
                <w:rFonts w:ascii="Verdana" w:hAnsi="Verdana"/>
                <w:sz w:val="18"/>
                <w:szCs w:val="18"/>
              </w:rPr>
              <w:t>Clophen a50</w:t>
            </w:r>
          </w:p>
        </w:tc>
        <w:tc>
          <w:tcPr>
            <w:tcW w:w="1470" w:type="dxa"/>
          </w:tcPr>
          <w:p w14:paraId="3DB8810E" w14:textId="77777777" w:rsidR="0006795F" w:rsidRPr="000C7CFA" w:rsidRDefault="0006795F" w:rsidP="00E6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rPr>
            </w:pPr>
            <w:r w:rsidRPr="000C7CFA">
              <w:rPr>
                <w:rFonts w:ascii="Verdana" w:hAnsi="Verdana"/>
                <w:sz w:val="18"/>
                <w:szCs w:val="18"/>
              </w:rPr>
              <w:t>(Hattula &amp; Karlog, 1973)</w:t>
            </w:r>
          </w:p>
          <w:p w14:paraId="6A3BCDAD" w14:textId="77777777" w:rsidR="0006795F" w:rsidRPr="000C7CFA" w:rsidRDefault="0006795F" w:rsidP="00E626D2">
            <w:pPr>
              <w:spacing w:after="0"/>
              <w:jc w:val="center"/>
              <w:rPr>
                <w:rFonts w:ascii="Verdana" w:hAnsi="Verdana"/>
                <w:sz w:val="18"/>
                <w:szCs w:val="18"/>
              </w:rPr>
            </w:pPr>
          </w:p>
        </w:tc>
      </w:tr>
      <w:tr w:rsidR="0006795F" w:rsidRPr="000C7CFA" w14:paraId="25AC1B28" w14:textId="77777777" w:rsidTr="00E626D2">
        <w:tc>
          <w:tcPr>
            <w:tcW w:w="1723" w:type="dxa"/>
          </w:tcPr>
          <w:p w14:paraId="3DDF5E3D" w14:textId="77777777" w:rsidR="0006795F" w:rsidRPr="000C7CFA" w:rsidRDefault="0006795F" w:rsidP="00E626D2">
            <w:pPr>
              <w:spacing w:after="0"/>
              <w:rPr>
                <w:rFonts w:ascii="Verdana" w:hAnsi="Verdana"/>
                <w:sz w:val="18"/>
                <w:szCs w:val="18"/>
              </w:rPr>
            </w:pPr>
            <w:r w:rsidRPr="000C7CFA">
              <w:rPr>
                <w:rFonts w:ascii="Verdana" w:hAnsi="Verdana"/>
                <w:sz w:val="18"/>
                <w:szCs w:val="18"/>
              </w:rPr>
              <w:t>Spot (</w:t>
            </w:r>
            <w:r w:rsidRPr="000C7CFA">
              <w:rPr>
                <w:rFonts w:ascii="Verdana" w:hAnsi="Verdana"/>
                <w:i/>
                <w:sz w:val="18"/>
                <w:szCs w:val="18"/>
              </w:rPr>
              <w:t>Leiostomus xanthurus</w:t>
            </w:r>
          </w:p>
        </w:tc>
        <w:tc>
          <w:tcPr>
            <w:tcW w:w="1372" w:type="dxa"/>
          </w:tcPr>
          <w:p w14:paraId="3D2F0D26" w14:textId="77777777" w:rsidR="0006795F" w:rsidRPr="000C7CFA" w:rsidRDefault="0006795F" w:rsidP="00E626D2">
            <w:pPr>
              <w:spacing w:after="0"/>
              <w:rPr>
                <w:rFonts w:ascii="Verdana" w:hAnsi="Verdana"/>
                <w:sz w:val="18"/>
                <w:szCs w:val="18"/>
              </w:rPr>
            </w:pPr>
            <w:r w:rsidRPr="000C7CFA">
              <w:rPr>
                <w:rFonts w:ascii="Verdana" w:hAnsi="Verdana"/>
                <w:sz w:val="18"/>
                <w:szCs w:val="18"/>
              </w:rPr>
              <w:t xml:space="preserve">14-28 days </w:t>
            </w:r>
          </w:p>
        </w:tc>
        <w:tc>
          <w:tcPr>
            <w:tcW w:w="2120" w:type="dxa"/>
          </w:tcPr>
          <w:p w14:paraId="51182D1E" w14:textId="77777777" w:rsidR="0006795F" w:rsidRPr="000C7CFA" w:rsidRDefault="0006795F" w:rsidP="00E626D2">
            <w:pPr>
              <w:spacing w:after="0"/>
              <w:rPr>
                <w:rFonts w:ascii="Verdana" w:hAnsi="Verdana"/>
                <w:sz w:val="18"/>
                <w:szCs w:val="18"/>
              </w:rPr>
            </w:pPr>
            <w:r w:rsidRPr="000C7CFA">
              <w:rPr>
                <w:rFonts w:ascii="Verdana" w:hAnsi="Verdana"/>
                <w:sz w:val="18"/>
                <w:szCs w:val="18"/>
              </w:rPr>
              <w:t>Concentrations decreased by 73% in 84 days</w:t>
            </w:r>
          </w:p>
        </w:tc>
        <w:tc>
          <w:tcPr>
            <w:tcW w:w="1617" w:type="dxa"/>
          </w:tcPr>
          <w:p w14:paraId="2787A839" w14:textId="77777777" w:rsidR="0006795F" w:rsidRPr="000C7CFA" w:rsidRDefault="0006795F" w:rsidP="00E626D2">
            <w:pPr>
              <w:spacing w:after="0"/>
              <w:rPr>
                <w:rFonts w:ascii="Verdana" w:hAnsi="Verdana"/>
                <w:sz w:val="18"/>
                <w:szCs w:val="18"/>
              </w:rPr>
            </w:pPr>
            <w:r w:rsidRPr="000C7CFA">
              <w:rPr>
                <w:rFonts w:ascii="Verdana" w:hAnsi="Verdana"/>
                <w:sz w:val="18"/>
                <w:szCs w:val="18"/>
              </w:rPr>
              <w:t>Arochlor 1254</w:t>
            </w:r>
          </w:p>
        </w:tc>
        <w:tc>
          <w:tcPr>
            <w:tcW w:w="1470" w:type="dxa"/>
          </w:tcPr>
          <w:p w14:paraId="1A4D61C2" w14:textId="77777777" w:rsidR="0006795F" w:rsidRPr="000C7CFA" w:rsidRDefault="0006795F" w:rsidP="00E626D2">
            <w:pPr>
              <w:spacing w:after="0"/>
              <w:rPr>
                <w:rFonts w:ascii="Verdana" w:hAnsi="Verdana"/>
                <w:sz w:val="18"/>
                <w:szCs w:val="18"/>
              </w:rPr>
            </w:pPr>
            <w:r w:rsidRPr="000C7CFA">
              <w:rPr>
                <w:rFonts w:ascii="Verdana" w:hAnsi="Verdana"/>
                <w:sz w:val="18"/>
                <w:szCs w:val="18"/>
              </w:rPr>
              <w:t xml:space="preserve">Hansen </w:t>
            </w:r>
            <w:r w:rsidRPr="000C7CFA">
              <w:rPr>
                <w:rFonts w:ascii="Verdana" w:hAnsi="Verdana"/>
                <w:i/>
                <w:sz w:val="18"/>
                <w:szCs w:val="18"/>
              </w:rPr>
              <w:t>et al</w:t>
            </w:r>
            <w:r w:rsidRPr="000C7CFA">
              <w:rPr>
                <w:rFonts w:ascii="Verdana" w:hAnsi="Verdana"/>
                <w:sz w:val="18"/>
                <w:szCs w:val="18"/>
              </w:rPr>
              <w:t xml:space="preserve">. (1971) </w:t>
            </w:r>
          </w:p>
        </w:tc>
      </w:tr>
      <w:tr w:rsidR="00E626D2" w:rsidRPr="000C7CFA" w14:paraId="636D5C21" w14:textId="77777777" w:rsidTr="00E626D2">
        <w:tc>
          <w:tcPr>
            <w:tcW w:w="1723" w:type="dxa"/>
            <w:vMerge w:val="restart"/>
          </w:tcPr>
          <w:p w14:paraId="569A928A" w14:textId="5ADD006E" w:rsidR="00E626D2" w:rsidRPr="000C7CFA" w:rsidRDefault="00E626D2" w:rsidP="00E6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rPr>
            </w:pPr>
            <w:r w:rsidRPr="000C7CFA">
              <w:rPr>
                <w:rFonts w:ascii="Verdana" w:hAnsi="Verdana"/>
                <w:sz w:val="18"/>
                <w:szCs w:val="18"/>
              </w:rPr>
              <w:t>Rainbow Trout  (</w:t>
            </w:r>
            <w:r w:rsidRPr="000C7CFA">
              <w:rPr>
                <w:rFonts w:ascii="Verdana" w:hAnsi="Verdana"/>
                <w:i/>
                <w:sz w:val="18"/>
                <w:szCs w:val="18"/>
              </w:rPr>
              <w:t>Oncorhynchus mykiss</w:t>
            </w:r>
            <w:r w:rsidRPr="000C7CFA">
              <w:rPr>
                <w:rFonts w:ascii="Verdana" w:hAnsi="Verdana"/>
                <w:sz w:val="18"/>
                <w:szCs w:val="18"/>
              </w:rPr>
              <w:t>)</w:t>
            </w:r>
          </w:p>
        </w:tc>
        <w:tc>
          <w:tcPr>
            <w:tcW w:w="1372" w:type="dxa"/>
          </w:tcPr>
          <w:p w14:paraId="02F49D24" w14:textId="77777777" w:rsidR="00E626D2" w:rsidRPr="000C7CFA" w:rsidRDefault="00E626D2" w:rsidP="00E626D2">
            <w:pPr>
              <w:spacing w:after="0"/>
              <w:jc w:val="center"/>
              <w:rPr>
                <w:rFonts w:ascii="Verdana" w:hAnsi="Verdana"/>
                <w:sz w:val="18"/>
                <w:szCs w:val="18"/>
              </w:rPr>
            </w:pPr>
            <w:r w:rsidRPr="000C7CFA">
              <w:rPr>
                <w:rFonts w:ascii="Verdana" w:hAnsi="Verdana"/>
                <w:sz w:val="18"/>
                <w:szCs w:val="18"/>
              </w:rPr>
              <w:t>-</w:t>
            </w:r>
          </w:p>
        </w:tc>
        <w:tc>
          <w:tcPr>
            <w:tcW w:w="2120" w:type="dxa"/>
          </w:tcPr>
          <w:p w14:paraId="7D3D1BDB" w14:textId="77777777" w:rsidR="00E626D2" w:rsidRPr="000C7CFA" w:rsidRDefault="00E626D2" w:rsidP="00E626D2">
            <w:pPr>
              <w:spacing w:after="0"/>
              <w:rPr>
                <w:rFonts w:ascii="Verdana" w:hAnsi="Verdana"/>
                <w:sz w:val="18"/>
                <w:szCs w:val="18"/>
              </w:rPr>
            </w:pPr>
            <w:r w:rsidRPr="000C7CFA">
              <w:rPr>
                <w:rFonts w:ascii="Verdana" w:hAnsi="Verdana"/>
                <w:sz w:val="18"/>
                <w:szCs w:val="18"/>
              </w:rPr>
              <w:t>After 10 weeks reduction of 50% in liver, 100% in gills and 0% in muscle</w:t>
            </w:r>
          </w:p>
        </w:tc>
        <w:tc>
          <w:tcPr>
            <w:tcW w:w="1617" w:type="dxa"/>
          </w:tcPr>
          <w:p w14:paraId="2C62A017" w14:textId="77777777" w:rsidR="00E626D2" w:rsidRPr="000C7CFA" w:rsidRDefault="00E626D2" w:rsidP="00E626D2">
            <w:pPr>
              <w:spacing w:after="0"/>
              <w:rPr>
                <w:rFonts w:ascii="Verdana" w:hAnsi="Verdana"/>
                <w:sz w:val="18"/>
                <w:szCs w:val="18"/>
              </w:rPr>
            </w:pPr>
            <w:r w:rsidRPr="000C7CFA">
              <w:rPr>
                <w:rFonts w:ascii="Verdana" w:hAnsi="Verdana"/>
                <w:sz w:val="18"/>
                <w:szCs w:val="18"/>
              </w:rPr>
              <w:t>Clophen (unspecified)</w:t>
            </w:r>
          </w:p>
        </w:tc>
        <w:tc>
          <w:tcPr>
            <w:tcW w:w="1470" w:type="dxa"/>
          </w:tcPr>
          <w:p w14:paraId="5EA462C1" w14:textId="77777777" w:rsidR="00E626D2" w:rsidRPr="000C7CFA" w:rsidRDefault="00E626D2" w:rsidP="00E6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rPr>
            </w:pPr>
            <w:r w:rsidRPr="000C7CFA">
              <w:rPr>
                <w:rFonts w:ascii="Verdana" w:hAnsi="Verdana"/>
                <w:sz w:val="18"/>
                <w:szCs w:val="18"/>
              </w:rPr>
              <w:t>Braun &amp; Meyhofer (1977)</w:t>
            </w:r>
          </w:p>
        </w:tc>
      </w:tr>
      <w:tr w:rsidR="00E626D2" w:rsidRPr="000C7CFA" w14:paraId="69A79414" w14:textId="77777777" w:rsidTr="00E626D2">
        <w:trPr>
          <w:cantSplit/>
        </w:trPr>
        <w:tc>
          <w:tcPr>
            <w:tcW w:w="1723" w:type="dxa"/>
            <w:vMerge/>
          </w:tcPr>
          <w:p w14:paraId="75744BE8" w14:textId="06E2B1DC" w:rsidR="00E626D2" w:rsidRPr="000C7CFA" w:rsidRDefault="00E626D2" w:rsidP="00E626D2">
            <w:pPr>
              <w:spacing w:after="0"/>
              <w:rPr>
                <w:rFonts w:ascii="Verdana" w:hAnsi="Verdana"/>
                <w:sz w:val="18"/>
                <w:szCs w:val="18"/>
              </w:rPr>
            </w:pPr>
          </w:p>
        </w:tc>
        <w:tc>
          <w:tcPr>
            <w:tcW w:w="1372" w:type="dxa"/>
          </w:tcPr>
          <w:p w14:paraId="0990EF08" w14:textId="744A9DDD" w:rsidR="00E626D2" w:rsidRPr="000C7CFA" w:rsidRDefault="00E626D2" w:rsidP="00E626D2">
            <w:pPr>
              <w:spacing w:after="0"/>
              <w:jc w:val="center"/>
              <w:rPr>
                <w:rFonts w:ascii="Verdana" w:hAnsi="Verdana"/>
                <w:sz w:val="18"/>
                <w:szCs w:val="18"/>
              </w:rPr>
            </w:pPr>
            <w:r w:rsidRPr="000C7CFA">
              <w:rPr>
                <w:rFonts w:ascii="Verdana" w:hAnsi="Verdana"/>
                <w:sz w:val="18"/>
                <w:szCs w:val="18"/>
              </w:rPr>
              <w:t>-</w:t>
            </w:r>
          </w:p>
        </w:tc>
        <w:tc>
          <w:tcPr>
            <w:tcW w:w="2120" w:type="dxa"/>
          </w:tcPr>
          <w:p w14:paraId="182EC12D" w14:textId="77777777" w:rsidR="00E626D2" w:rsidRPr="000C7CFA" w:rsidRDefault="00E626D2" w:rsidP="00E626D2">
            <w:pPr>
              <w:spacing w:after="0"/>
              <w:rPr>
                <w:rFonts w:ascii="Verdana" w:hAnsi="Verdana"/>
                <w:sz w:val="18"/>
                <w:szCs w:val="18"/>
              </w:rPr>
            </w:pPr>
            <w:r w:rsidRPr="000C7CFA">
              <w:rPr>
                <w:rFonts w:ascii="Verdana" w:hAnsi="Verdana"/>
                <w:sz w:val="18"/>
                <w:szCs w:val="18"/>
              </w:rPr>
              <w:t>30% loss in 2 weeks, further 6% loss in 126 days (equivalent to t1/2 of 1.6 days and 2.66 years)</w:t>
            </w:r>
          </w:p>
        </w:tc>
        <w:tc>
          <w:tcPr>
            <w:tcW w:w="1617" w:type="dxa"/>
          </w:tcPr>
          <w:p w14:paraId="54B5A8D3" w14:textId="77777777" w:rsidR="00E626D2" w:rsidRPr="000C7CFA" w:rsidRDefault="00E626D2" w:rsidP="00E626D2">
            <w:pPr>
              <w:spacing w:after="0"/>
              <w:rPr>
                <w:rFonts w:ascii="Verdana" w:hAnsi="Verdana"/>
                <w:sz w:val="18"/>
                <w:szCs w:val="18"/>
              </w:rPr>
            </w:pPr>
            <w:r w:rsidRPr="000C7CFA">
              <w:rPr>
                <w:rFonts w:ascii="Verdana" w:hAnsi="Verdana"/>
                <w:sz w:val="18"/>
                <w:szCs w:val="18"/>
              </w:rPr>
              <w:t>Biphasic elimination observed.</w:t>
            </w:r>
          </w:p>
          <w:p w14:paraId="581A7972" w14:textId="0D7B2150" w:rsidR="00E626D2" w:rsidRPr="000C7CFA" w:rsidRDefault="000C0809" w:rsidP="00E626D2">
            <w:pPr>
              <w:spacing w:after="0"/>
              <w:rPr>
                <w:rFonts w:ascii="Verdana" w:hAnsi="Verdana"/>
                <w:sz w:val="18"/>
                <w:szCs w:val="18"/>
              </w:rPr>
            </w:pPr>
            <w:r w:rsidRPr="000C7CFA">
              <w:rPr>
                <w:rFonts w:ascii="Verdana" w:hAnsi="Verdana"/>
                <w:sz w:val="18"/>
                <w:szCs w:val="18"/>
              </w:rPr>
              <w:t>PCB-</w:t>
            </w:r>
            <w:r w:rsidR="00E626D2" w:rsidRPr="000C7CFA">
              <w:rPr>
                <w:rFonts w:ascii="Verdana" w:hAnsi="Verdana"/>
                <w:sz w:val="18"/>
                <w:szCs w:val="18"/>
              </w:rPr>
              <w:t>52</w:t>
            </w:r>
          </w:p>
        </w:tc>
        <w:tc>
          <w:tcPr>
            <w:tcW w:w="1470" w:type="dxa"/>
          </w:tcPr>
          <w:p w14:paraId="0AB1FF9B" w14:textId="77777777" w:rsidR="00E626D2" w:rsidRPr="000C7CFA" w:rsidRDefault="00E626D2" w:rsidP="00E6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rPr>
            </w:pPr>
            <w:r w:rsidRPr="000C7CFA">
              <w:rPr>
                <w:rFonts w:ascii="Verdana" w:hAnsi="Verdana"/>
                <w:sz w:val="18"/>
                <w:szCs w:val="18"/>
              </w:rPr>
              <w:t xml:space="preserve">Guiney </w:t>
            </w:r>
            <w:r w:rsidRPr="000C7CFA">
              <w:rPr>
                <w:rFonts w:ascii="Verdana" w:hAnsi="Verdana"/>
                <w:i/>
                <w:sz w:val="18"/>
                <w:szCs w:val="18"/>
              </w:rPr>
              <w:t>et al</w:t>
            </w:r>
            <w:r w:rsidRPr="000C7CFA">
              <w:rPr>
                <w:rFonts w:ascii="Verdana" w:hAnsi="Verdana"/>
                <w:sz w:val="18"/>
                <w:szCs w:val="18"/>
              </w:rPr>
              <w:t>. (1977)</w:t>
            </w:r>
          </w:p>
        </w:tc>
      </w:tr>
      <w:tr w:rsidR="0006795F" w:rsidRPr="000C7CFA" w14:paraId="2ED182AC" w14:textId="77777777" w:rsidTr="00E626D2">
        <w:tc>
          <w:tcPr>
            <w:tcW w:w="1723" w:type="dxa"/>
          </w:tcPr>
          <w:p w14:paraId="5CE8BB00" w14:textId="57CFDB0A" w:rsidR="0006795F" w:rsidRPr="000C7CFA" w:rsidRDefault="00E626D2" w:rsidP="00E626D2">
            <w:pPr>
              <w:spacing w:after="0"/>
              <w:rPr>
                <w:rFonts w:ascii="Verdana" w:hAnsi="Verdana"/>
                <w:sz w:val="18"/>
                <w:szCs w:val="18"/>
              </w:rPr>
            </w:pPr>
            <w:r w:rsidRPr="000C7CFA">
              <w:rPr>
                <w:rFonts w:ascii="Verdana" w:hAnsi="Verdana"/>
                <w:sz w:val="18"/>
                <w:szCs w:val="18"/>
              </w:rPr>
              <w:t>Coho S</w:t>
            </w:r>
            <w:r w:rsidR="0006795F" w:rsidRPr="000C7CFA">
              <w:rPr>
                <w:rFonts w:ascii="Verdana" w:hAnsi="Verdana"/>
                <w:sz w:val="18"/>
                <w:szCs w:val="18"/>
              </w:rPr>
              <w:t>almon (</w:t>
            </w:r>
            <w:r w:rsidR="0006795F" w:rsidRPr="000C7CFA">
              <w:rPr>
                <w:rFonts w:ascii="Verdana" w:hAnsi="Verdana"/>
                <w:i/>
                <w:sz w:val="18"/>
                <w:szCs w:val="18"/>
              </w:rPr>
              <w:t>Oncorhynchus kisutch</w:t>
            </w:r>
            <w:r w:rsidR="0006795F" w:rsidRPr="000C7CFA">
              <w:rPr>
                <w:rFonts w:ascii="Verdana" w:hAnsi="Verdana"/>
                <w:sz w:val="18"/>
                <w:szCs w:val="18"/>
              </w:rPr>
              <w:t>)</w:t>
            </w:r>
          </w:p>
        </w:tc>
        <w:tc>
          <w:tcPr>
            <w:tcW w:w="1372" w:type="dxa"/>
          </w:tcPr>
          <w:p w14:paraId="675AD2E1" w14:textId="77777777" w:rsidR="0006795F" w:rsidRPr="000C7CFA" w:rsidRDefault="0006795F" w:rsidP="00E626D2">
            <w:pPr>
              <w:spacing w:after="0"/>
              <w:rPr>
                <w:rFonts w:ascii="Verdana" w:hAnsi="Verdana"/>
                <w:sz w:val="18"/>
                <w:szCs w:val="18"/>
              </w:rPr>
            </w:pPr>
            <w:r w:rsidRPr="000C7CFA">
              <w:rPr>
                <w:rFonts w:ascii="Verdana" w:hAnsi="Verdana"/>
                <w:sz w:val="18"/>
                <w:szCs w:val="18"/>
              </w:rPr>
              <w:t>112 – 200 days (depending on conc.)</w:t>
            </w:r>
          </w:p>
        </w:tc>
        <w:tc>
          <w:tcPr>
            <w:tcW w:w="2120" w:type="dxa"/>
          </w:tcPr>
          <w:p w14:paraId="2258E073" w14:textId="77777777" w:rsidR="0006795F" w:rsidRPr="000C7CFA" w:rsidRDefault="0006795F" w:rsidP="00E626D2">
            <w:pPr>
              <w:spacing w:after="0"/>
              <w:rPr>
                <w:rFonts w:ascii="Verdana" w:hAnsi="Verdana"/>
                <w:sz w:val="18"/>
                <w:szCs w:val="18"/>
              </w:rPr>
            </w:pPr>
          </w:p>
        </w:tc>
        <w:tc>
          <w:tcPr>
            <w:tcW w:w="1617" w:type="dxa"/>
          </w:tcPr>
          <w:p w14:paraId="46A76608" w14:textId="77777777" w:rsidR="0006795F" w:rsidRPr="000C7CFA" w:rsidRDefault="0006795F" w:rsidP="00E626D2">
            <w:pPr>
              <w:spacing w:after="0"/>
              <w:rPr>
                <w:rFonts w:ascii="Verdana" w:hAnsi="Verdana"/>
                <w:sz w:val="18"/>
                <w:szCs w:val="18"/>
              </w:rPr>
            </w:pPr>
            <w:r w:rsidRPr="000C7CFA">
              <w:rPr>
                <w:rFonts w:ascii="Verdana" w:hAnsi="Verdana"/>
                <w:sz w:val="18"/>
                <w:szCs w:val="18"/>
              </w:rPr>
              <w:t>Dietary exposure. Arochlor 1254</w:t>
            </w:r>
          </w:p>
        </w:tc>
        <w:tc>
          <w:tcPr>
            <w:tcW w:w="1470" w:type="dxa"/>
          </w:tcPr>
          <w:p w14:paraId="1F021AF9" w14:textId="77777777" w:rsidR="0006795F" w:rsidRPr="000C7CFA" w:rsidRDefault="0006795F" w:rsidP="00E626D2">
            <w:pPr>
              <w:spacing w:after="0"/>
              <w:rPr>
                <w:rFonts w:ascii="Verdana" w:hAnsi="Verdana"/>
                <w:sz w:val="18"/>
                <w:szCs w:val="18"/>
              </w:rPr>
            </w:pPr>
            <w:r w:rsidRPr="000C7CFA">
              <w:rPr>
                <w:rFonts w:ascii="Verdana" w:hAnsi="Verdana"/>
                <w:sz w:val="18"/>
                <w:szCs w:val="18"/>
              </w:rPr>
              <w:t xml:space="preserve">Mayer </w:t>
            </w:r>
            <w:r w:rsidRPr="000C7CFA">
              <w:rPr>
                <w:rFonts w:ascii="Verdana" w:hAnsi="Verdana"/>
                <w:i/>
                <w:sz w:val="18"/>
                <w:szCs w:val="18"/>
              </w:rPr>
              <w:t>et al</w:t>
            </w:r>
            <w:r w:rsidRPr="000C7CFA">
              <w:rPr>
                <w:rFonts w:ascii="Verdana" w:hAnsi="Verdana"/>
                <w:sz w:val="18"/>
                <w:szCs w:val="18"/>
              </w:rPr>
              <w:t>. (1977)</w:t>
            </w:r>
          </w:p>
        </w:tc>
      </w:tr>
      <w:tr w:rsidR="0006795F" w:rsidRPr="000C7CFA" w14:paraId="59B2D9D4" w14:textId="77777777" w:rsidTr="000C0809">
        <w:trPr>
          <w:cantSplit/>
        </w:trPr>
        <w:tc>
          <w:tcPr>
            <w:tcW w:w="1723" w:type="dxa"/>
          </w:tcPr>
          <w:p w14:paraId="368ECD83" w14:textId="74D2A4F0" w:rsidR="0006795F" w:rsidRPr="000C7CFA" w:rsidRDefault="00E626D2" w:rsidP="00E6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rPr>
            </w:pPr>
            <w:r w:rsidRPr="000C7CFA">
              <w:rPr>
                <w:rFonts w:ascii="Verdana" w:hAnsi="Verdana"/>
                <w:sz w:val="18"/>
                <w:szCs w:val="18"/>
              </w:rPr>
              <w:lastRenderedPageBreak/>
              <w:t>Channel C</w:t>
            </w:r>
            <w:r w:rsidR="0006795F" w:rsidRPr="000C7CFA">
              <w:rPr>
                <w:rFonts w:ascii="Verdana" w:hAnsi="Verdana"/>
                <w:sz w:val="18"/>
                <w:szCs w:val="18"/>
              </w:rPr>
              <w:t>atfish (</w:t>
            </w:r>
            <w:r w:rsidR="0006795F" w:rsidRPr="000C7CFA">
              <w:rPr>
                <w:rFonts w:ascii="Verdana" w:hAnsi="Verdana"/>
                <w:i/>
                <w:sz w:val="18"/>
                <w:szCs w:val="18"/>
              </w:rPr>
              <w:t>Ictalurus punctatus</w:t>
            </w:r>
            <w:r w:rsidR="0006795F" w:rsidRPr="000C7CFA">
              <w:rPr>
                <w:rFonts w:ascii="Verdana" w:hAnsi="Verdana"/>
                <w:sz w:val="18"/>
                <w:szCs w:val="18"/>
              </w:rPr>
              <w:t>)</w:t>
            </w:r>
          </w:p>
        </w:tc>
        <w:tc>
          <w:tcPr>
            <w:tcW w:w="1372" w:type="dxa"/>
          </w:tcPr>
          <w:p w14:paraId="1F6EE9F1" w14:textId="29A36DA3" w:rsidR="0006795F" w:rsidRPr="000C7CFA" w:rsidRDefault="0006795F" w:rsidP="00E626D2">
            <w:pPr>
              <w:spacing w:after="0"/>
              <w:rPr>
                <w:rFonts w:ascii="Verdana" w:hAnsi="Verdana"/>
                <w:sz w:val="18"/>
                <w:szCs w:val="18"/>
              </w:rPr>
            </w:pPr>
            <w:r w:rsidRPr="000C7CFA">
              <w:rPr>
                <w:rFonts w:ascii="Verdana" w:hAnsi="Verdana"/>
                <w:sz w:val="18"/>
                <w:szCs w:val="18"/>
              </w:rPr>
              <w:t xml:space="preserve">150 days (lower conc, </w:t>
            </w:r>
            <w:r w:rsidR="000C0809" w:rsidRPr="000C7CFA">
              <w:rPr>
                <w:rFonts w:ascii="Verdana" w:hAnsi="Verdana"/>
                <w:sz w:val="18"/>
                <w:szCs w:val="18"/>
              </w:rPr>
              <w:t xml:space="preserve">Arochlor </w:t>
            </w:r>
            <w:r w:rsidRPr="000C7CFA">
              <w:rPr>
                <w:rFonts w:ascii="Verdana" w:hAnsi="Verdana"/>
                <w:sz w:val="18"/>
                <w:szCs w:val="18"/>
              </w:rPr>
              <w:t>1232);</w:t>
            </w:r>
          </w:p>
          <w:p w14:paraId="7D1183BC" w14:textId="77777777" w:rsidR="0006795F" w:rsidRPr="000C7CFA" w:rsidRDefault="0006795F" w:rsidP="00E626D2">
            <w:pPr>
              <w:spacing w:after="0"/>
              <w:rPr>
                <w:rFonts w:ascii="Verdana" w:hAnsi="Verdana"/>
                <w:sz w:val="18"/>
                <w:szCs w:val="18"/>
              </w:rPr>
            </w:pPr>
            <w:r w:rsidRPr="000C7CFA">
              <w:rPr>
                <w:rFonts w:ascii="Verdana" w:hAnsi="Verdana"/>
                <w:sz w:val="18"/>
                <w:szCs w:val="18"/>
              </w:rPr>
              <w:t>&gt;150 days (all other exposures)</w:t>
            </w:r>
          </w:p>
        </w:tc>
        <w:tc>
          <w:tcPr>
            <w:tcW w:w="2120" w:type="dxa"/>
          </w:tcPr>
          <w:p w14:paraId="23F7C48D" w14:textId="77777777" w:rsidR="0006795F" w:rsidRPr="000C7CFA" w:rsidRDefault="0006795F" w:rsidP="00E626D2">
            <w:pPr>
              <w:spacing w:after="0"/>
              <w:rPr>
                <w:rFonts w:ascii="Verdana" w:hAnsi="Verdana"/>
                <w:sz w:val="18"/>
                <w:szCs w:val="18"/>
              </w:rPr>
            </w:pPr>
          </w:p>
        </w:tc>
        <w:tc>
          <w:tcPr>
            <w:tcW w:w="1617" w:type="dxa"/>
          </w:tcPr>
          <w:p w14:paraId="733C156F" w14:textId="77777777" w:rsidR="0006795F" w:rsidRPr="000C7CFA" w:rsidRDefault="0006795F" w:rsidP="00E6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erdana" w:hAnsi="Verdana"/>
                <w:sz w:val="18"/>
                <w:szCs w:val="18"/>
              </w:rPr>
            </w:pPr>
            <w:r w:rsidRPr="000C7CFA">
              <w:rPr>
                <w:rFonts w:ascii="Verdana" w:hAnsi="Verdana"/>
                <w:sz w:val="18"/>
                <w:szCs w:val="18"/>
              </w:rPr>
              <w:t>Dietary exposure. Arochlor 1232, 1248, 1254, and 1260</w:t>
            </w:r>
          </w:p>
        </w:tc>
        <w:tc>
          <w:tcPr>
            <w:tcW w:w="1470" w:type="dxa"/>
          </w:tcPr>
          <w:p w14:paraId="630F36B6" w14:textId="77777777" w:rsidR="0006795F" w:rsidRPr="000C7CFA" w:rsidRDefault="0006795F" w:rsidP="00E626D2">
            <w:pPr>
              <w:spacing w:after="0"/>
              <w:rPr>
                <w:rFonts w:ascii="Verdana" w:hAnsi="Verdana"/>
                <w:sz w:val="18"/>
                <w:szCs w:val="18"/>
              </w:rPr>
            </w:pPr>
            <w:r w:rsidRPr="000C7CFA">
              <w:rPr>
                <w:rFonts w:ascii="Verdana" w:hAnsi="Verdana"/>
                <w:sz w:val="18"/>
                <w:szCs w:val="18"/>
              </w:rPr>
              <w:t xml:space="preserve">Mayer </w:t>
            </w:r>
            <w:r w:rsidRPr="000C7CFA">
              <w:rPr>
                <w:rFonts w:ascii="Verdana" w:hAnsi="Verdana"/>
                <w:i/>
                <w:sz w:val="18"/>
                <w:szCs w:val="18"/>
              </w:rPr>
              <w:t>et al</w:t>
            </w:r>
            <w:r w:rsidRPr="000C7CFA">
              <w:rPr>
                <w:rFonts w:ascii="Verdana" w:hAnsi="Verdana"/>
                <w:sz w:val="18"/>
                <w:szCs w:val="18"/>
              </w:rPr>
              <w:t>. (1977)</w:t>
            </w:r>
          </w:p>
        </w:tc>
      </w:tr>
      <w:tr w:rsidR="0006795F" w:rsidRPr="000C7CFA" w14:paraId="6F0EDEA0" w14:textId="77777777" w:rsidTr="00E626D2">
        <w:tc>
          <w:tcPr>
            <w:tcW w:w="1723" w:type="dxa"/>
          </w:tcPr>
          <w:p w14:paraId="3D5B8191" w14:textId="60DCA88B" w:rsidR="0006795F" w:rsidRPr="000C7CFA" w:rsidRDefault="0006795F" w:rsidP="00E626D2">
            <w:pPr>
              <w:spacing w:after="0"/>
              <w:rPr>
                <w:rFonts w:ascii="Verdana" w:hAnsi="Verdana"/>
                <w:sz w:val="18"/>
                <w:szCs w:val="18"/>
              </w:rPr>
            </w:pPr>
            <w:r w:rsidRPr="000C7CFA">
              <w:rPr>
                <w:rFonts w:ascii="Verdana" w:hAnsi="Verdana"/>
                <w:sz w:val="18"/>
                <w:szCs w:val="18"/>
              </w:rPr>
              <w:t xml:space="preserve">Atlantic </w:t>
            </w:r>
            <w:r w:rsidR="00E626D2" w:rsidRPr="000C7CFA">
              <w:rPr>
                <w:rFonts w:ascii="Verdana" w:hAnsi="Verdana"/>
                <w:sz w:val="18"/>
                <w:szCs w:val="18"/>
              </w:rPr>
              <w:t>S</w:t>
            </w:r>
            <w:r w:rsidRPr="000C7CFA">
              <w:rPr>
                <w:rFonts w:ascii="Verdana" w:hAnsi="Verdana"/>
                <w:sz w:val="18"/>
                <w:szCs w:val="18"/>
              </w:rPr>
              <w:t>almon (</w:t>
            </w:r>
            <w:r w:rsidRPr="000C7CFA">
              <w:rPr>
                <w:rFonts w:ascii="Verdana" w:hAnsi="Verdana"/>
                <w:i/>
                <w:sz w:val="18"/>
                <w:szCs w:val="18"/>
              </w:rPr>
              <w:t>Salmo salar</w:t>
            </w:r>
            <w:r w:rsidRPr="000C7CFA">
              <w:rPr>
                <w:rFonts w:ascii="Verdana" w:hAnsi="Verdana"/>
                <w:sz w:val="18"/>
                <w:szCs w:val="18"/>
              </w:rPr>
              <w:t xml:space="preserve">) </w:t>
            </w:r>
          </w:p>
        </w:tc>
        <w:tc>
          <w:tcPr>
            <w:tcW w:w="1372" w:type="dxa"/>
          </w:tcPr>
          <w:p w14:paraId="7A867290" w14:textId="77777777" w:rsidR="0006795F" w:rsidRPr="000C7CFA" w:rsidRDefault="0006795F" w:rsidP="00E626D2">
            <w:pPr>
              <w:spacing w:after="0"/>
              <w:rPr>
                <w:rFonts w:ascii="Verdana" w:hAnsi="Verdana"/>
                <w:sz w:val="18"/>
                <w:szCs w:val="18"/>
              </w:rPr>
            </w:pPr>
            <w:r w:rsidRPr="000C7CFA">
              <w:rPr>
                <w:rFonts w:ascii="Verdana" w:hAnsi="Verdana"/>
                <w:sz w:val="18"/>
                <w:szCs w:val="18"/>
              </w:rPr>
              <w:t>30 days (lower conc), &gt;200 days (higher conc)</w:t>
            </w:r>
          </w:p>
        </w:tc>
        <w:tc>
          <w:tcPr>
            <w:tcW w:w="2120" w:type="dxa"/>
          </w:tcPr>
          <w:p w14:paraId="12E5E4D1" w14:textId="77777777" w:rsidR="0006795F" w:rsidRPr="000C7CFA" w:rsidRDefault="0006795F" w:rsidP="00E626D2">
            <w:pPr>
              <w:spacing w:after="0"/>
              <w:rPr>
                <w:rFonts w:ascii="Verdana" w:hAnsi="Verdana"/>
                <w:sz w:val="18"/>
                <w:szCs w:val="18"/>
              </w:rPr>
            </w:pPr>
          </w:p>
        </w:tc>
        <w:tc>
          <w:tcPr>
            <w:tcW w:w="1617" w:type="dxa"/>
          </w:tcPr>
          <w:p w14:paraId="1887EBFD" w14:textId="77777777" w:rsidR="0006795F" w:rsidRPr="000C7CFA" w:rsidRDefault="0006795F" w:rsidP="00E626D2">
            <w:pPr>
              <w:spacing w:after="0"/>
              <w:rPr>
                <w:rFonts w:ascii="Verdana" w:hAnsi="Verdana"/>
                <w:sz w:val="18"/>
                <w:szCs w:val="18"/>
              </w:rPr>
            </w:pPr>
            <w:r w:rsidRPr="000C7CFA">
              <w:rPr>
                <w:rFonts w:ascii="Verdana" w:hAnsi="Verdana"/>
                <w:sz w:val="18"/>
                <w:szCs w:val="18"/>
              </w:rPr>
              <w:t>Dietary exposure. Arochlor 1254</w:t>
            </w:r>
          </w:p>
        </w:tc>
        <w:tc>
          <w:tcPr>
            <w:tcW w:w="1470" w:type="dxa"/>
          </w:tcPr>
          <w:p w14:paraId="3174F605" w14:textId="77777777" w:rsidR="0006795F" w:rsidRPr="000C7CFA" w:rsidRDefault="0006795F" w:rsidP="00E626D2">
            <w:pPr>
              <w:spacing w:after="0"/>
              <w:rPr>
                <w:rFonts w:ascii="Verdana" w:hAnsi="Verdana"/>
                <w:sz w:val="18"/>
                <w:szCs w:val="18"/>
              </w:rPr>
            </w:pPr>
            <w:r w:rsidRPr="000C7CFA">
              <w:rPr>
                <w:rFonts w:ascii="Verdana" w:hAnsi="Verdana"/>
                <w:sz w:val="18"/>
                <w:szCs w:val="18"/>
              </w:rPr>
              <w:t>Zitko (1974)</w:t>
            </w:r>
          </w:p>
        </w:tc>
      </w:tr>
    </w:tbl>
    <w:p w14:paraId="43C2C6C5" w14:textId="77777777" w:rsidR="0006795F" w:rsidRPr="000C7CFA" w:rsidRDefault="0006795F" w:rsidP="0006795F">
      <w:pPr>
        <w:spacing w:after="0"/>
        <w:rPr>
          <w:rFonts w:ascii="Verdana" w:hAnsi="Verdana"/>
          <w:sz w:val="18"/>
          <w:szCs w:val="18"/>
        </w:rPr>
      </w:pPr>
    </w:p>
    <w:p w14:paraId="22503A3A" w14:textId="77777777" w:rsidR="0006795F" w:rsidRPr="000C7CFA" w:rsidRDefault="0006795F" w:rsidP="0006795F">
      <w:pPr>
        <w:spacing w:after="0"/>
        <w:rPr>
          <w:rFonts w:ascii="Verdana" w:hAnsi="Verdana"/>
          <w:sz w:val="18"/>
          <w:szCs w:val="18"/>
        </w:rPr>
      </w:pPr>
    </w:p>
    <w:p w14:paraId="49D63398" w14:textId="77777777" w:rsidR="0006795F" w:rsidRPr="000C7CFA" w:rsidRDefault="0006795F" w:rsidP="00E626D2">
      <w:pPr>
        <w:spacing w:after="0"/>
        <w:jc w:val="both"/>
        <w:rPr>
          <w:rFonts w:ascii="Verdana" w:hAnsi="Verdana"/>
          <w:sz w:val="18"/>
          <w:szCs w:val="18"/>
        </w:rPr>
      </w:pPr>
      <w:r w:rsidRPr="000C7CFA">
        <w:rPr>
          <w:rFonts w:ascii="Verdana" w:hAnsi="Verdana"/>
          <w:sz w:val="18"/>
          <w:szCs w:val="18"/>
        </w:rPr>
        <w:t>It can be seen that the shortest time to steady state is 14 days, but often steady state took 100 days or more to attain. Half-lives, where available, are a minimum of 13 days. In some instances, bi-phasic elimination is also suggested, with the first stage being considerably more rapid than the second.</w:t>
      </w:r>
    </w:p>
    <w:p w14:paraId="64DAAE28" w14:textId="77777777" w:rsidR="0006795F" w:rsidRPr="000C7CFA" w:rsidRDefault="0006795F" w:rsidP="00E626D2">
      <w:pPr>
        <w:spacing w:after="0"/>
        <w:jc w:val="both"/>
        <w:rPr>
          <w:rFonts w:ascii="Verdana" w:hAnsi="Verdana"/>
          <w:sz w:val="18"/>
          <w:szCs w:val="18"/>
        </w:rPr>
      </w:pPr>
    </w:p>
    <w:p w14:paraId="39862224" w14:textId="33503013" w:rsidR="0006795F" w:rsidRPr="000C7CFA" w:rsidRDefault="0006795F" w:rsidP="00E626D2">
      <w:pPr>
        <w:spacing w:after="0"/>
        <w:jc w:val="both"/>
        <w:rPr>
          <w:rFonts w:ascii="Verdana" w:hAnsi="Verdana"/>
          <w:sz w:val="18"/>
          <w:szCs w:val="18"/>
        </w:rPr>
      </w:pPr>
      <w:r w:rsidRPr="000C7CFA">
        <w:rPr>
          <w:rFonts w:ascii="Verdana" w:hAnsi="Verdana"/>
          <w:sz w:val="18"/>
          <w:szCs w:val="18"/>
        </w:rPr>
        <w:t>The IPCS (1995)</w:t>
      </w:r>
      <w:r w:rsidRPr="000C7CFA">
        <w:rPr>
          <w:rStyle w:val="FootnoteReference"/>
          <w:rFonts w:ascii="Verdana" w:hAnsi="Verdana"/>
          <w:sz w:val="18"/>
          <w:szCs w:val="18"/>
        </w:rPr>
        <w:footnoteReference w:id="53"/>
      </w:r>
      <w:r w:rsidRPr="000C7CFA">
        <w:rPr>
          <w:rFonts w:ascii="Verdana" w:hAnsi="Verdana"/>
          <w:sz w:val="18"/>
          <w:szCs w:val="18"/>
        </w:rPr>
        <w:t xml:space="preserve"> </w:t>
      </w:r>
      <w:r w:rsidR="00E626D2" w:rsidRPr="000C7CFA">
        <w:rPr>
          <w:rFonts w:ascii="Verdana" w:hAnsi="Verdana"/>
          <w:sz w:val="18"/>
          <w:szCs w:val="18"/>
        </w:rPr>
        <w:t>review of</w:t>
      </w:r>
      <w:r w:rsidRPr="000C7CFA">
        <w:rPr>
          <w:rFonts w:ascii="Verdana" w:hAnsi="Verdana"/>
          <w:sz w:val="18"/>
          <w:szCs w:val="18"/>
        </w:rPr>
        <w:t xml:space="preserve"> the POPs cites the following fish aqueous BCF values for PCBs:</w:t>
      </w:r>
    </w:p>
    <w:p w14:paraId="69D88356" w14:textId="6678B98D" w:rsidR="0006795F" w:rsidRPr="000C7CFA" w:rsidRDefault="00E626D2" w:rsidP="000C0809">
      <w:pPr>
        <w:pStyle w:val="ListParagraph"/>
        <w:numPr>
          <w:ilvl w:val="0"/>
          <w:numId w:val="26"/>
        </w:numPr>
        <w:tabs>
          <w:tab w:val="left" w:pos="284"/>
        </w:tabs>
        <w:spacing w:after="0"/>
        <w:ind w:left="284" w:hanging="284"/>
        <w:jc w:val="both"/>
        <w:rPr>
          <w:rFonts w:ascii="Verdana" w:hAnsi="Verdana"/>
          <w:sz w:val="18"/>
          <w:szCs w:val="18"/>
        </w:rPr>
      </w:pPr>
      <w:r w:rsidRPr="000C7CFA">
        <w:rPr>
          <w:rFonts w:ascii="Verdana" w:hAnsi="Verdana"/>
          <w:sz w:val="18"/>
          <w:szCs w:val="18"/>
        </w:rPr>
        <w:t xml:space="preserve">Arochlor 1260: BCF = 120 </w:t>
      </w:r>
      <w:r w:rsidR="0006795F" w:rsidRPr="000C7CFA">
        <w:rPr>
          <w:rFonts w:ascii="Verdana" w:hAnsi="Verdana"/>
          <w:sz w:val="18"/>
          <w:szCs w:val="18"/>
        </w:rPr>
        <w:t>000 – 270</w:t>
      </w:r>
      <w:r w:rsidRPr="000C7CFA">
        <w:rPr>
          <w:rFonts w:ascii="Verdana" w:hAnsi="Verdana"/>
          <w:sz w:val="18"/>
          <w:szCs w:val="18"/>
        </w:rPr>
        <w:t xml:space="preserve"> </w:t>
      </w:r>
      <w:r w:rsidR="0006795F" w:rsidRPr="000C7CFA">
        <w:rPr>
          <w:rFonts w:ascii="Verdana" w:hAnsi="Verdana"/>
          <w:sz w:val="18"/>
          <w:szCs w:val="18"/>
        </w:rPr>
        <w:t xml:space="preserve">000 (Fathead </w:t>
      </w:r>
      <w:r w:rsidRPr="000C7CFA">
        <w:rPr>
          <w:rFonts w:ascii="Verdana" w:hAnsi="Verdana"/>
          <w:sz w:val="18"/>
          <w:szCs w:val="18"/>
        </w:rPr>
        <w:t>M</w:t>
      </w:r>
      <w:r w:rsidR="0006795F" w:rsidRPr="000C7CFA">
        <w:rPr>
          <w:rFonts w:ascii="Verdana" w:hAnsi="Verdana"/>
          <w:sz w:val="18"/>
          <w:szCs w:val="18"/>
        </w:rPr>
        <w:t xml:space="preserve">innows, DeFoe </w:t>
      </w:r>
      <w:r w:rsidR="0006795F" w:rsidRPr="000C7CFA">
        <w:rPr>
          <w:rFonts w:ascii="Verdana" w:hAnsi="Verdana"/>
          <w:i/>
          <w:sz w:val="18"/>
          <w:szCs w:val="18"/>
        </w:rPr>
        <w:t>et al</w:t>
      </w:r>
      <w:r w:rsidR="0006795F" w:rsidRPr="000C7CFA">
        <w:rPr>
          <w:rFonts w:ascii="Verdana" w:hAnsi="Verdana"/>
          <w:sz w:val="18"/>
          <w:szCs w:val="18"/>
        </w:rPr>
        <w:t>., 1978)</w:t>
      </w:r>
    </w:p>
    <w:p w14:paraId="3233664A" w14:textId="40455064" w:rsidR="0006795F" w:rsidRPr="000C7CFA" w:rsidRDefault="000C0809" w:rsidP="000C0809">
      <w:pPr>
        <w:pStyle w:val="ListParagraph"/>
        <w:numPr>
          <w:ilvl w:val="0"/>
          <w:numId w:val="26"/>
        </w:numPr>
        <w:tabs>
          <w:tab w:val="left" w:pos="284"/>
        </w:tabs>
        <w:spacing w:after="0"/>
        <w:ind w:left="284" w:hanging="284"/>
        <w:jc w:val="both"/>
        <w:rPr>
          <w:rFonts w:ascii="Verdana" w:hAnsi="Verdana"/>
          <w:sz w:val="18"/>
          <w:szCs w:val="18"/>
        </w:rPr>
      </w:pPr>
      <w:r w:rsidRPr="000C7CFA">
        <w:rPr>
          <w:rFonts w:ascii="Verdana" w:hAnsi="Verdana"/>
          <w:sz w:val="18"/>
          <w:szCs w:val="18"/>
        </w:rPr>
        <w:t>A</w:t>
      </w:r>
      <w:r w:rsidR="00E626D2" w:rsidRPr="000C7CFA">
        <w:rPr>
          <w:rFonts w:ascii="Verdana" w:hAnsi="Verdana"/>
          <w:sz w:val="18"/>
          <w:szCs w:val="18"/>
        </w:rPr>
        <w:t xml:space="preserve">rochlor 1254: BCF = 61 </w:t>
      </w:r>
      <w:r w:rsidRPr="000C7CFA">
        <w:rPr>
          <w:rFonts w:ascii="Verdana" w:hAnsi="Verdana"/>
          <w:sz w:val="18"/>
          <w:szCs w:val="18"/>
        </w:rPr>
        <w:t>190 (Channel C</w:t>
      </w:r>
      <w:r w:rsidR="0006795F" w:rsidRPr="000C7CFA">
        <w:rPr>
          <w:rFonts w:ascii="Verdana" w:hAnsi="Verdana"/>
          <w:sz w:val="18"/>
          <w:szCs w:val="18"/>
        </w:rPr>
        <w:t xml:space="preserve">atfish, Mayer </w:t>
      </w:r>
      <w:r w:rsidR="0006795F" w:rsidRPr="000C7CFA">
        <w:rPr>
          <w:rFonts w:ascii="Verdana" w:hAnsi="Verdana"/>
          <w:i/>
          <w:sz w:val="18"/>
          <w:szCs w:val="18"/>
        </w:rPr>
        <w:t>et al</w:t>
      </w:r>
      <w:r w:rsidR="0006795F" w:rsidRPr="000C7CFA">
        <w:rPr>
          <w:rFonts w:ascii="Verdana" w:hAnsi="Verdana"/>
          <w:sz w:val="18"/>
          <w:szCs w:val="18"/>
        </w:rPr>
        <w:t>., 1977)</w:t>
      </w:r>
    </w:p>
    <w:p w14:paraId="3458199C" w14:textId="77777777" w:rsidR="0006795F" w:rsidRPr="000C7CFA" w:rsidRDefault="0006795F" w:rsidP="00E626D2">
      <w:pPr>
        <w:spacing w:after="0"/>
        <w:jc w:val="both"/>
        <w:rPr>
          <w:rFonts w:ascii="Verdana" w:hAnsi="Verdana"/>
          <w:sz w:val="18"/>
          <w:szCs w:val="18"/>
        </w:rPr>
      </w:pPr>
    </w:p>
    <w:p w14:paraId="78E7FBDF" w14:textId="1FF8847C" w:rsidR="0006795F" w:rsidRPr="000C7CFA" w:rsidRDefault="0006795F" w:rsidP="00E626D2">
      <w:pPr>
        <w:spacing w:after="0"/>
        <w:jc w:val="both"/>
        <w:rPr>
          <w:rFonts w:ascii="Verdana" w:hAnsi="Verdana"/>
          <w:sz w:val="18"/>
          <w:szCs w:val="18"/>
        </w:rPr>
      </w:pPr>
      <w:r w:rsidRPr="000C7CFA">
        <w:rPr>
          <w:rFonts w:ascii="Verdana" w:hAnsi="Verdana"/>
          <w:sz w:val="18"/>
          <w:szCs w:val="18"/>
        </w:rPr>
        <w:t xml:space="preserve">In the recent SVHC support document for </w:t>
      </w:r>
      <w:r w:rsidR="000C0809" w:rsidRPr="000C7CFA">
        <w:rPr>
          <w:rFonts w:ascii="Verdana" w:hAnsi="Verdana"/>
          <w:sz w:val="18"/>
          <w:szCs w:val="18"/>
        </w:rPr>
        <w:t>perfluorohexanesulfonate (</w:t>
      </w:r>
      <w:r w:rsidRPr="000C7CFA">
        <w:rPr>
          <w:rFonts w:ascii="Verdana" w:hAnsi="Verdana"/>
          <w:sz w:val="18"/>
          <w:szCs w:val="18"/>
        </w:rPr>
        <w:t>PFHxS</w:t>
      </w:r>
      <w:r w:rsidR="000C0809" w:rsidRPr="000C7CFA">
        <w:rPr>
          <w:rFonts w:ascii="Verdana" w:hAnsi="Verdana"/>
          <w:sz w:val="18"/>
          <w:szCs w:val="18"/>
        </w:rPr>
        <w:t>)</w:t>
      </w:r>
      <w:r w:rsidRPr="000C7CFA">
        <w:rPr>
          <w:rFonts w:ascii="Verdana" w:hAnsi="Verdana"/>
          <w:sz w:val="18"/>
          <w:szCs w:val="18"/>
        </w:rPr>
        <w:t xml:space="preserve"> the following BCF values are cited for PCBs:</w:t>
      </w:r>
      <w:r w:rsidR="000C0809" w:rsidRPr="000C7CFA">
        <w:rPr>
          <w:rFonts w:ascii="Verdana" w:hAnsi="Verdana"/>
          <w:sz w:val="18"/>
          <w:szCs w:val="18"/>
        </w:rPr>
        <w:t xml:space="preserve"> PCB-</w:t>
      </w:r>
      <w:r w:rsidRPr="000C7CFA">
        <w:rPr>
          <w:rFonts w:ascii="Verdana" w:hAnsi="Verdana"/>
          <w:sz w:val="18"/>
          <w:szCs w:val="18"/>
        </w:rPr>
        <w:t>52 (2,2',5,5'-</w:t>
      </w:r>
      <w:r w:rsidR="000C0809" w:rsidRPr="000C7CFA">
        <w:rPr>
          <w:rFonts w:ascii="Verdana" w:hAnsi="Verdana"/>
          <w:sz w:val="18"/>
          <w:szCs w:val="18"/>
        </w:rPr>
        <w:t>t</w:t>
      </w:r>
      <w:r w:rsidRPr="000C7CFA">
        <w:rPr>
          <w:rFonts w:ascii="Verdana" w:hAnsi="Verdana"/>
          <w:sz w:val="18"/>
          <w:szCs w:val="18"/>
        </w:rPr>
        <w:t>etrachlorobipheny</w:t>
      </w:r>
      <w:r w:rsidR="000C0809" w:rsidRPr="000C7CFA">
        <w:rPr>
          <w:rFonts w:ascii="Verdana" w:hAnsi="Verdana"/>
          <w:sz w:val="18"/>
          <w:szCs w:val="18"/>
        </w:rPr>
        <w:t>l, log BCF = 4.84 – 4.9) and PCB-</w:t>
      </w:r>
      <w:r w:rsidRPr="000C7CFA">
        <w:rPr>
          <w:rFonts w:ascii="Verdana" w:hAnsi="Verdana"/>
          <w:sz w:val="18"/>
          <w:szCs w:val="18"/>
        </w:rPr>
        <w:t>153 (2,2´,4,4´,5,5´-hexachlorobiphenyl) log BCF = 5.0</w:t>
      </w:r>
      <w:r w:rsidR="000C0809" w:rsidRPr="000C7CFA">
        <w:rPr>
          <w:rFonts w:ascii="Verdana" w:hAnsi="Verdana"/>
          <w:sz w:val="18"/>
          <w:szCs w:val="18"/>
        </w:rPr>
        <w:t xml:space="preserve"> –</w:t>
      </w:r>
      <w:r w:rsidRPr="000C7CFA">
        <w:rPr>
          <w:rFonts w:ascii="Verdana" w:hAnsi="Verdana"/>
          <w:sz w:val="18"/>
          <w:szCs w:val="18"/>
        </w:rPr>
        <w:t xml:space="preserve"> 5.3). The most comparable commercial products appear to be Arochlor 1248 or 1254 as these contain significant amounts of the tetra</w:t>
      </w:r>
      <w:r w:rsidR="000C0809" w:rsidRPr="000C7CFA">
        <w:rPr>
          <w:rFonts w:ascii="Verdana" w:hAnsi="Verdana"/>
          <w:sz w:val="18"/>
          <w:szCs w:val="18"/>
        </w:rPr>
        <w:t>-</w:t>
      </w:r>
      <w:r w:rsidRPr="000C7CFA">
        <w:rPr>
          <w:rFonts w:ascii="Verdana" w:hAnsi="Verdana"/>
          <w:sz w:val="18"/>
          <w:szCs w:val="18"/>
        </w:rPr>
        <w:t xml:space="preserve"> and penta</w:t>
      </w:r>
      <w:r w:rsidR="000C0809" w:rsidRPr="000C7CFA">
        <w:rPr>
          <w:rFonts w:ascii="Verdana" w:hAnsi="Verdana"/>
          <w:sz w:val="18"/>
          <w:szCs w:val="18"/>
        </w:rPr>
        <w:t>-</w:t>
      </w:r>
      <w:r w:rsidRPr="000C7CFA">
        <w:rPr>
          <w:rFonts w:ascii="Verdana" w:hAnsi="Verdana"/>
          <w:sz w:val="18"/>
          <w:szCs w:val="18"/>
        </w:rPr>
        <w:t xml:space="preserve"> homologues</w:t>
      </w:r>
      <w:r w:rsidRPr="000C7CFA">
        <w:rPr>
          <w:rStyle w:val="FootnoteReference"/>
          <w:rFonts w:ascii="Verdana" w:hAnsi="Verdana"/>
          <w:sz w:val="18"/>
          <w:szCs w:val="18"/>
        </w:rPr>
        <w:footnoteReference w:id="54"/>
      </w:r>
      <w:r w:rsidRPr="000C7CFA">
        <w:rPr>
          <w:rFonts w:ascii="Verdana" w:hAnsi="Verdana"/>
          <w:sz w:val="18"/>
          <w:szCs w:val="18"/>
        </w:rPr>
        <w:t>.</w:t>
      </w:r>
    </w:p>
    <w:p w14:paraId="22D398D2" w14:textId="77777777" w:rsidR="0006795F" w:rsidRPr="000C7CFA" w:rsidRDefault="0006795F" w:rsidP="00E626D2">
      <w:pPr>
        <w:spacing w:after="0"/>
        <w:jc w:val="both"/>
        <w:rPr>
          <w:rFonts w:ascii="Verdana" w:hAnsi="Verdana"/>
          <w:sz w:val="18"/>
          <w:szCs w:val="18"/>
        </w:rPr>
      </w:pPr>
    </w:p>
    <w:p w14:paraId="76B695CA" w14:textId="390479B6" w:rsidR="0006795F" w:rsidRPr="000C7CFA" w:rsidRDefault="0006795F" w:rsidP="00E626D2">
      <w:pPr>
        <w:spacing w:after="0"/>
        <w:jc w:val="both"/>
        <w:rPr>
          <w:rFonts w:ascii="Verdana" w:hAnsi="Verdana"/>
          <w:sz w:val="18"/>
          <w:szCs w:val="18"/>
        </w:rPr>
      </w:pPr>
      <w:r w:rsidRPr="000C7CFA">
        <w:rPr>
          <w:rFonts w:ascii="Verdana" w:hAnsi="Verdana"/>
          <w:sz w:val="18"/>
          <w:szCs w:val="18"/>
        </w:rPr>
        <w:t>In summary, measured BCF values significantly exceed 5</w:t>
      </w:r>
      <w:r w:rsidR="000C0809" w:rsidRPr="000C7CFA">
        <w:rPr>
          <w:rFonts w:ascii="Verdana" w:hAnsi="Verdana"/>
          <w:sz w:val="18"/>
          <w:szCs w:val="18"/>
        </w:rPr>
        <w:t xml:space="preserve"> </w:t>
      </w:r>
      <w:r w:rsidRPr="000C7CFA">
        <w:rPr>
          <w:rFonts w:ascii="Verdana" w:hAnsi="Verdana"/>
          <w:sz w:val="18"/>
          <w:szCs w:val="18"/>
        </w:rPr>
        <w:t xml:space="preserve">000 </w:t>
      </w:r>
      <w:r w:rsidR="000C0809" w:rsidRPr="000C7CFA">
        <w:rPr>
          <w:rFonts w:ascii="Verdana" w:hAnsi="Verdana"/>
          <w:sz w:val="18"/>
          <w:szCs w:val="18"/>
        </w:rPr>
        <w:t xml:space="preserve">L/kg </w:t>
      </w:r>
      <w:r w:rsidRPr="000C7CFA">
        <w:rPr>
          <w:rFonts w:ascii="Verdana" w:hAnsi="Verdana"/>
          <w:sz w:val="18"/>
          <w:szCs w:val="18"/>
        </w:rPr>
        <w:t>for Arochlor 1260, 1254 and most likely 1248</w:t>
      </w:r>
      <w:r w:rsidRPr="000C7CFA">
        <w:rPr>
          <w:rStyle w:val="FootnoteReference"/>
          <w:rFonts w:ascii="Verdana" w:hAnsi="Verdana"/>
          <w:sz w:val="18"/>
          <w:szCs w:val="18"/>
        </w:rPr>
        <w:footnoteReference w:id="55"/>
      </w:r>
      <w:r w:rsidRPr="000C7CFA">
        <w:rPr>
          <w:rFonts w:ascii="Verdana" w:hAnsi="Verdana"/>
          <w:sz w:val="18"/>
          <w:szCs w:val="18"/>
        </w:rPr>
        <w:t>. Therefore the data in the above table (for time to reach steady state and depuration half-life) provide a degree of benchmarking for substances with BCF values above 5</w:t>
      </w:r>
      <w:r w:rsidR="000C0809" w:rsidRPr="000C7CFA">
        <w:rPr>
          <w:rFonts w:ascii="Verdana" w:hAnsi="Verdana"/>
          <w:sz w:val="18"/>
          <w:szCs w:val="18"/>
        </w:rPr>
        <w:t xml:space="preserve"> </w:t>
      </w:r>
      <w:r w:rsidRPr="000C7CFA">
        <w:rPr>
          <w:rFonts w:ascii="Verdana" w:hAnsi="Verdana"/>
          <w:sz w:val="18"/>
          <w:szCs w:val="18"/>
        </w:rPr>
        <w:t>000</w:t>
      </w:r>
      <w:r w:rsidR="000C0809" w:rsidRPr="000C7CFA">
        <w:rPr>
          <w:rFonts w:ascii="Verdana" w:hAnsi="Verdana"/>
          <w:sz w:val="18"/>
          <w:szCs w:val="18"/>
        </w:rPr>
        <w:t xml:space="preserve"> L/kg</w:t>
      </w:r>
      <w:r w:rsidRPr="000C7CFA">
        <w:rPr>
          <w:rFonts w:ascii="Verdana" w:hAnsi="Verdana"/>
          <w:sz w:val="18"/>
          <w:szCs w:val="18"/>
        </w:rPr>
        <w:t>.</w:t>
      </w:r>
    </w:p>
    <w:p w14:paraId="32DB50C9" w14:textId="77777777" w:rsidR="0006795F" w:rsidRPr="000C7CFA" w:rsidRDefault="0006795F" w:rsidP="00E626D2">
      <w:pPr>
        <w:spacing w:after="0"/>
        <w:jc w:val="both"/>
        <w:rPr>
          <w:rFonts w:ascii="Verdana" w:hAnsi="Verdana"/>
          <w:sz w:val="18"/>
          <w:szCs w:val="18"/>
        </w:rPr>
      </w:pPr>
    </w:p>
    <w:p w14:paraId="559D6948" w14:textId="77777777" w:rsidR="0006795F" w:rsidRPr="000C7CFA" w:rsidRDefault="0006795F" w:rsidP="00E626D2">
      <w:pPr>
        <w:spacing w:after="0"/>
        <w:jc w:val="both"/>
        <w:rPr>
          <w:rFonts w:ascii="Verdana" w:hAnsi="Verdana"/>
          <w:sz w:val="18"/>
          <w:szCs w:val="18"/>
        </w:rPr>
      </w:pPr>
      <w:r w:rsidRPr="000C7CFA">
        <w:rPr>
          <w:rFonts w:ascii="Verdana" w:hAnsi="Verdana"/>
          <w:sz w:val="18"/>
          <w:szCs w:val="18"/>
        </w:rPr>
        <w:t>IPCS (1995) reports the following physico-chemical properties for the relevant PCB homologues:</w:t>
      </w:r>
    </w:p>
    <w:p w14:paraId="70336083" w14:textId="6A92B8D9" w:rsidR="00D3168D" w:rsidRPr="000C7CFA" w:rsidRDefault="0006795F" w:rsidP="00233970">
      <w:pPr>
        <w:pStyle w:val="ListParagraph"/>
        <w:numPr>
          <w:ilvl w:val="0"/>
          <w:numId w:val="26"/>
        </w:numPr>
        <w:tabs>
          <w:tab w:val="left" w:pos="284"/>
        </w:tabs>
        <w:spacing w:after="0"/>
        <w:ind w:left="284" w:hanging="284"/>
        <w:jc w:val="both"/>
        <w:rPr>
          <w:rFonts w:ascii="Verdana" w:hAnsi="Verdana"/>
          <w:sz w:val="18"/>
          <w:szCs w:val="18"/>
        </w:rPr>
      </w:pPr>
      <w:r w:rsidRPr="000C7CFA">
        <w:rPr>
          <w:rFonts w:ascii="Verdana" w:hAnsi="Verdana"/>
          <w:sz w:val="18"/>
          <w:szCs w:val="18"/>
        </w:rPr>
        <w:t>Tetrachlorobiphenyl</w:t>
      </w:r>
      <w:r w:rsidR="000C0809" w:rsidRPr="000C7CFA">
        <w:rPr>
          <w:rFonts w:ascii="Verdana" w:hAnsi="Verdana"/>
          <w:sz w:val="18"/>
          <w:szCs w:val="18"/>
        </w:rPr>
        <w:t>: MW =</w:t>
      </w:r>
      <w:r w:rsidRPr="000C7CFA">
        <w:rPr>
          <w:rFonts w:ascii="Verdana" w:hAnsi="Verdana"/>
          <w:sz w:val="18"/>
          <w:szCs w:val="18"/>
        </w:rPr>
        <w:t xml:space="preserve"> 292.0</w:t>
      </w:r>
      <w:r w:rsidR="000C0809" w:rsidRPr="000C7CFA">
        <w:rPr>
          <w:rFonts w:ascii="Verdana" w:hAnsi="Verdana"/>
          <w:sz w:val="18"/>
          <w:szCs w:val="18"/>
        </w:rPr>
        <w:t xml:space="preserve"> g/mol</w:t>
      </w:r>
      <w:r w:rsidRPr="000C7CFA">
        <w:rPr>
          <w:rFonts w:ascii="Verdana" w:hAnsi="Verdana"/>
          <w:sz w:val="18"/>
          <w:szCs w:val="18"/>
        </w:rPr>
        <w:t>, water solubility</w:t>
      </w:r>
      <w:r w:rsidR="000C0809" w:rsidRPr="000C7CFA">
        <w:rPr>
          <w:rFonts w:ascii="Verdana" w:hAnsi="Verdana"/>
          <w:sz w:val="18"/>
          <w:szCs w:val="18"/>
        </w:rPr>
        <w:t xml:space="preserve"> = 0.002 mg/</w:t>
      </w:r>
      <w:r w:rsidR="00D3168D" w:rsidRPr="000C7CFA">
        <w:rPr>
          <w:rFonts w:ascii="Verdana" w:hAnsi="Verdana"/>
          <w:sz w:val="18"/>
          <w:szCs w:val="18"/>
        </w:rPr>
        <w:t>L</w:t>
      </w:r>
      <w:r w:rsidR="000C0809" w:rsidRPr="000C7CFA">
        <w:rPr>
          <w:rFonts w:ascii="Verdana" w:hAnsi="Verdana"/>
          <w:sz w:val="18"/>
          <w:szCs w:val="18"/>
        </w:rPr>
        <w:t>, log K</w:t>
      </w:r>
      <w:r w:rsidR="000C0809" w:rsidRPr="000C7CFA">
        <w:rPr>
          <w:rFonts w:ascii="Verdana" w:hAnsi="Verdana"/>
          <w:sz w:val="18"/>
          <w:szCs w:val="18"/>
          <w:vertAlign w:val="subscript"/>
        </w:rPr>
        <w:t>OW</w:t>
      </w:r>
      <w:r w:rsidR="000C0809" w:rsidRPr="000C7CFA">
        <w:rPr>
          <w:rFonts w:ascii="Verdana" w:hAnsi="Verdana"/>
          <w:sz w:val="18"/>
          <w:szCs w:val="18"/>
        </w:rPr>
        <w:t xml:space="preserve"> =</w:t>
      </w:r>
      <w:r w:rsidRPr="000C7CFA">
        <w:rPr>
          <w:rFonts w:ascii="Verdana" w:hAnsi="Verdana"/>
          <w:sz w:val="18"/>
          <w:szCs w:val="18"/>
        </w:rPr>
        <w:t xml:space="preserve"> 5.6-6.5</w:t>
      </w:r>
    </w:p>
    <w:p w14:paraId="26278DE4" w14:textId="5D9E4740" w:rsidR="00D3168D" w:rsidRPr="000C7CFA" w:rsidRDefault="0006795F" w:rsidP="00233970">
      <w:pPr>
        <w:pStyle w:val="ListParagraph"/>
        <w:numPr>
          <w:ilvl w:val="0"/>
          <w:numId w:val="26"/>
        </w:numPr>
        <w:tabs>
          <w:tab w:val="left" w:pos="284"/>
        </w:tabs>
        <w:spacing w:after="0"/>
        <w:ind w:left="284" w:hanging="284"/>
        <w:jc w:val="both"/>
        <w:rPr>
          <w:rFonts w:ascii="Verdana" w:hAnsi="Verdana"/>
          <w:sz w:val="18"/>
          <w:szCs w:val="18"/>
        </w:rPr>
      </w:pPr>
      <w:r w:rsidRPr="000C7CFA">
        <w:rPr>
          <w:rFonts w:ascii="Verdana" w:hAnsi="Verdana"/>
          <w:sz w:val="18"/>
          <w:szCs w:val="18"/>
        </w:rPr>
        <w:t>Pentachlorobiphenyl</w:t>
      </w:r>
      <w:r w:rsidR="00D3168D" w:rsidRPr="000C7CFA">
        <w:rPr>
          <w:rFonts w:ascii="Verdana" w:hAnsi="Verdana"/>
          <w:sz w:val="18"/>
          <w:szCs w:val="18"/>
        </w:rPr>
        <w:t>:</w:t>
      </w:r>
      <w:r w:rsidRPr="000C7CFA">
        <w:rPr>
          <w:rFonts w:ascii="Verdana" w:hAnsi="Verdana"/>
          <w:sz w:val="18"/>
          <w:szCs w:val="18"/>
        </w:rPr>
        <w:t xml:space="preserve"> M</w:t>
      </w:r>
      <w:r w:rsidR="00D3168D" w:rsidRPr="000C7CFA">
        <w:rPr>
          <w:rFonts w:ascii="Verdana" w:hAnsi="Verdana"/>
          <w:sz w:val="18"/>
          <w:szCs w:val="18"/>
        </w:rPr>
        <w:t>W =</w:t>
      </w:r>
      <w:r w:rsidRPr="000C7CFA">
        <w:rPr>
          <w:rFonts w:ascii="Verdana" w:hAnsi="Verdana"/>
          <w:sz w:val="18"/>
          <w:szCs w:val="18"/>
        </w:rPr>
        <w:t xml:space="preserve"> 326.4</w:t>
      </w:r>
      <w:r w:rsidR="00D3168D" w:rsidRPr="000C7CFA">
        <w:rPr>
          <w:rFonts w:ascii="Verdana" w:hAnsi="Verdana"/>
          <w:sz w:val="18"/>
          <w:szCs w:val="18"/>
        </w:rPr>
        <w:t xml:space="preserve"> g/mol</w:t>
      </w:r>
      <w:r w:rsidRPr="000C7CFA">
        <w:rPr>
          <w:rFonts w:ascii="Verdana" w:hAnsi="Verdana"/>
          <w:sz w:val="18"/>
          <w:szCs w:val="18"/>
        </w:rPr>
        <w:t>, water solubility</w:t>
      </w:r>
      <w:r w:rsidR="00D3168D" w:rsidRPr="000C7CFA">
        <w:rPr>
          <w:rFonts w:ascii="Verdana" w:hAnsi="Verdana"/>
          <w:sz w:val="18"/>
          <w:szCs w:val="18"/>
        </w:rPr>
        <w:t xml:space="preserve"> = 0.004-0.02 mg/L</w:t>
      </w:r>
      <w:r w:rsidRPr="000C7CFA">
        <w:rPr>
          <w:rFonts w:ascii="Verdana" w:hAnsi="Verdana"/>
          <w:sz w:val="18"/>
          <w:szCs w:val="18"/>
        </w:rPr>
        <w:t xml:space="preserve">, log </w:t>
      </w:r>
      <w:r w:rsidR="00D3168D" w:rsidRPr="000C7CFA">
        <w:rPr>
          <w:rFonts w:ascii="Verdana" w:hAnsi="Verdana"/>
          <w:sz w:val="18"/>
          <w:szCs w:val="18"/>
        </w:rPr>
        <w:t>K</w:t>
      </w:r>
      <w:r w:rsidR="00D3168D" w:rsidRPr="000C7CFA">
        <w:rPr>
          <w:rFonts w:ascii="Verdana" w:hAnsi="Verdana"/>
          <w:sz w:val="18"/>
          <w:szCs w:val="18"/>
          <w:vertAlign w:val="subscript"/>
        </w:rPr>
        <w:t>OW</w:t>
      </w:r>
      <w:r w:rsidRPr="000C7CFA">
        <w:rPr>
          <w:rFonts w:ascii="Verdana" w:hAnsi="Verdana"/>
          <w:sz w:val="18"/>
          <w:szCs w:val="18"/>
        </w:rPr>
        <w:t xml:space="preserve"> </w:t>
      </w:r>
      <w:r w:rsidR="00D3168D" w:rsidRPr="000C7CFA">
        <w:rPr>
          <w:rFonts w:ascii="Verdana" w:hAnsi="Verdana"/>
          <w:sz w:val="18"/>
          <w:szCs w:val="18"/>
        </w:rPr>
        <w:t xml:space="preserve">= </w:t>
      </w:r>
      <w:r w:rsidRPr="000C7CFA">
        <w:rPr>
          <w:rFonts w:ascii="Verdana" w:hAnsi="Verdana"/>
          <w:sz w:val="18"/>
          <w:szCs w:val="18"/>
        </w:rPr>
        <w:t>6.2-6.5</w:t>
      </w:r>
    </w:p>
    <w:p w14:paraId="75091DB8" w14:textId="7294D18A" w:rsidR="0006795F" w:rsidRPr="000C7CFA" w:rsidRDefault="0006795F" w:rsidP="00233970">
      <w:pPr>
        <w:pStyle w:val="ListParagraph"/>
        <w:numPr>
          <w:ilvl w:val="0"/>
          <w:numId w:val="26"/>
        </w:numPr>
        <w:tabs>
          <w:tab w:val="left" w:pos="284"/>
        </w:tabs>
        <w:spacing w:after="0"/>
        <w:ind w:left="284" w:hanging="284"/>
        <w:jc w:val="both"/>
        <w:rPr>
          <w:rFonts w:ascii="Verdana" w:hAnsi="Verdana"/>
          <w:sz w:val="18"/>
          <w:szCs w:val="18"/>
        </w:rPr>
      </w:pPr>
      <w:r w:rsidRPr="000C7CFA">
        <w:rPr>
          <w:rFonts w:ascii="Verdana" w:hAnsi="Verdana"/>
          <w:sz w:val="18"/>
          <w:szCs w:val="18"/>
        </w:rPr>
        <w:lastRenderedPageBreak/>
        <w:t>Hexachlorobiphenyl</w:t>
      </w:r>
      <w:r w:rsidR="00D3168D" w:rsidRPr="000C7CFA">
        <w:rPr>
          <w:rFonts w:ascii="Verdana" w:hAnsi="Verdana"/>
          <w:sz w:val="18"/>
          <w:szCs w:val="18"/>
        </w:rPr>
        <w:t>:</w:t>
      </w:r>
      <w:r w:rsidRPr="000C7CFA">
        <w:rPr>
          <w:rFonts w:ascii="Verdana" w:hAnsi="Verdana"/>
          <w:sz w:val="18"/>
          <w:szCs w:val="18"/>
        </w:rPr>
        <w:t xml:space="preserve"> M</w:t>
      </w:r>
      <w:r w:rsidR="00D3168D" w:rsidRPr="000C7CFA">
        <w:rPr>
          <w:rFonts w:ascii="Verdana" w:hAnsi="Verdana"/>
          <w:sz w:val="18"/>
          <w:szCs w:val="18"/>
        </w:rPr>
        <w:t>W =</w:t>
      </w:r>
      <w:r w:rsidRPr="000C7CFA">
        <w:rPr>
          <w:rFonts w:ascii="Verdana" w:hAnsi="Verdana"/>
          <w:sz w:val="18"/>
          <w:szCs w:val="18"/>
        </w:rPr>
        <w:t xml:space="preserve"> 360.9</w:t>
      </w:r>
      <w:r w:rsidR="00D3168D" w:rsidRPr="000C7CFA">
        <w:rPr>
          <w:rFonts w:ascii="Verdana" w:hAnsi="Verdana"/>
          <w:sz w:val="18"/>
          <w:szCs w:val="18"/>
        </w:rPr>
        <w:t xml:space="preserve"> g/mol</w:t>
      </w:r>
      <w:r w:rsidRPr="000C7CFA">
        <w:rPr>
          <w:rFonts w:ascii="Verdana" w:hAnsi="Verdana"/>
          <w:sz w:val="18"/>
          <w:szCs w:val="18"/>
        </w:rPr>
        <w:t>, water solubility</w:t>
      </w:r>
      <w:r w:rsidR="00D3168D" w:rsidRPr="000C7CFA">
        <w:rPr>
          <w:rFonts w:ascii="Verdana" w:hAnsi="Verdana"/>
          <w:sz w:val="18"/>
          <w:szCs w:val="18"/>
        </w:rPr>
        <w:t xml:space="preserve"> = 0.0004-0.0007 mg/L</w:t>
      </w:r>
      <w:r w:rsidRPr="000C7CFA">
        <w:rPr>
          <w:rFonts w:ascii="Verdana" w:hAnsi="Verdana"/>
          <w:sz w:val="18"/>
          <w:szCs w:val="18"/>
        </w:rPr>
        <w:t xml:space="preserve">, log </w:t>
      </w:r>
      <w:r w:rsidR="00D3168D" w:rsidRPr="000C7CFA">
        <w:rPr>
          <w:rFonts w:ascii="Verdana" w:hAnsi="Verdana"/>
          <w:sz w:val="18"/>
          <w:szCs w:val="18"/>
        </w:rPr>
        <w:t>K</w:t>
      </w:r>
      <w:r w:rsidR="00D3168D" w:rsidRPr="000C7CFA">
        <w:rPr>
          <w:rFonts w:ascii="Verdana" w:hAnsi="Verdana"/>
          <w:sz w:val="18"/>
          <w:szCs w:val="18"/>
          <w:vertAlign w:val="subscript"/>
        </w:rPr>
        <w:t>OW</w:t>
      </w:r>
      <w:r w:rsidR="00D3168D" w:rsidRPr="000C7CFA">
        <w:rPr>
          <w:rFonts w:ascii="Verdana" w:hAnsi="Verdana"/>
          <w:sz w:val="18"/>
          <w:szCs w:val="18"/>
        </w:rPr>
        <w:t xml:space="preserve"> =</w:t>
      </w:r>
      <w:r w:rsidRPr="000C7CFA">
        <w:rPr>
          <w:rFonts w:ascii="Verdana" w:hAnsi="Verdana"/>
          <w:sz w:val="18"/>
          <w:szCs w:val="18"/>
        </w:rPr>
        <w:t xml:space="preserve"> 6.7-7.3</w:t>
      </w:r>
    </w:p>
    <w:p w14:paraId="22B70411" w14:textId="77777777" w:rsidR="0006795F" w:rsidRPr="000C7CFA" w:rsidRDefault="0006795F" w:rsidP="00E626D2">
      <w:pPr>
        <w:spacing w:after="0"/>
        <w:jc w:val="both"/>
        <w:rPr>
          <w:rFonts w:ascii="Verdana" w:hAnsi="Verdana"/>
          <w:sz w:val="18"/>
          <w:szCs w:val="18"/>
        </w:rPr>
      </w:pPr>
    </w:p>
    <w:p w14:paraId="512BB771" w14:textId="05D067E1" w:rsidR="0006795F" w:rsidRPr="000C7CFA" w:rsidRDefault="00D3168D" w:rsidP="00E626D2">
      <w:pPr>
        <w:spacing w:after="0"/>
        <w:jc w:val="both"/>
        <w:rPr>
          <w:rFonts w:ascii="Verdana" w:hAnsi="Verdana"/>
          <w:b/>
          <w:caps/>
          <w:sz w:val="18"/>
          <w:szCs w:val="18"/>
          <w:lang w:val="en-GB"/>
        </w:rPr>
      </w:pPr>
      <w:r w:rsidRPr="000C7CFA">
        <w:rPr>
          <w:rFonts w:ascii="Verdana" w:hAnsi="Verdana"/>
          <w:sz w:val="18"/>
          <w:szCs w:val="18"/>
        </w:rPr>
        <w:t>C</w:t>
      </w:r>
      <w:r w:rsidR="0006795F" w:rsidRPr="000C7CFA">
        <w:rPr>
          <w:rFonts w:ascii="Verdana" w:hAnsi="Verdana"/>
          <w:sz w:val="18"/>
          <w:szCs w:val="18"/>
        </w:rPr>
        <w:t>ompared to Dechlorane Plus, the PCBs are smaller</w:t>
      </w:r>
      <w:r w:rsidRPr="000C7CFA">
        <w:rPr>
          <w:rFonts w:ascii="Verdana" w:hAnsi="Verdana"/>
          <w:sz w:val="18"/>
          <w:szCs w:val="18"/>
        </w:rPr>
        <w:t xml:space="preserve"> in</w:t>
      </w:r>
      <w:r w:rsidR="0006795F" w:rsidRPr="000C7CFA">
        <w:rPr>
          <w:rFonts w:ascii="Verdana" w:hAnsi="Verdana"/>
          <w:sz w:val="18"/>
          <w:szCs w:val="18"/>
        </w:rPr>
        <w:t xml:space="preserve"> size, more water soluble and have lower log </w:t>
      </w:r>
      <w:r w:rsidRPr="000C7CFA">
        <w:rPr>
          <w:rFonts w:ascii="Verdana" w:hAnsi="Verdana"/>
          <w:sz w:val="18"/>
          <w:szCs w:val="18"/>
        </w:rPr>
        <w:t>K</w:t>
      </w:r>
      <w:r w:rsidRPr="000C7CFA">
        <w:rPr>
          <w:rFonts w:ascii="Verdana" w:hAnsi="Verdana"/>
          <w:sz w:val="18"/>
          <w:szCs w:val="18"/>
          <w:vertAlign w:val="subscript"/>
        </w:rPr>
        <w:t>OW</w:t>
      </w:r>
      <w:r w:rsidRPr="000C7CFA">
        <w:rPr>
          <w:rFonts w:ascii="Verdana" w:hAnsi="Verdana"/>
          <w:sz w:val="18"/>
          <w:szCs w:val="18"/>
        </w:rPr>
        <w:t xml:space="preserve"> </w:t>
      </w:r>
      <w:r w:rsidR="0006795F" w:rsidRPr="000C7CFA">
        <w:rPr>
          <w:rFonts w:ascii="Verdana" w:hAnsi="Verdana"/>
          <w:sz w:val="18"/>
          <w:szCs w:val="18"/>
        </w:rPr>
        <w:t>values. Therefore the depuration rate constant values should not be directly read-across to provide an indication of exact BCF values, merely that the BCF values may exceed 5</w:t>
      </w:r>
      <w:r w:rsidRPr="000C7CFA">
        <w:rPr>
          <w:rFonts w:ascii="Verdana" w:hAnsi="Verdana"/>
          <w:sz w:val="18"/>
          <w:szCs w:val="18"/>
        </w:rPr>
        <w:t xml:space="preserve"> </w:t>
      </w:r>
      <w:r w:rsidR="0006795F" w:rsidRPr="000C7CFA">
        <w:rPr>
          <w:rFonts w:ascii="Verdana" w:hAnsi="Verdana"/>
          <w:sz w:val="18"/>
          <w:szCs w:val="18"/>
        </w:rPr>
        <w:t>000</w:t>
      </w:r>
      <w:r w:rsidRPr="000C7CFA">
        <w:rPr>
          <w:rFonts w:ascii="Verdana" w:hAnsi="Verdana"/>
          <w:sz w:val="18"/>
          <w:szCs w:val="18"/>
        </w:rPr>
        <w:t xml:space="preserve"> L/kg</w:t>
      </w:r>
      <w:r w:rsidR="0006795F" w:rsidRPr="000C7CFA">
        <w:rPr>
          <w:rFonts w:ascii="Verdana" w:hAnsi="Verdana"/>
          <w:sz w:val="18"/>
          <w:szCs w:val="18"/>
        </w:rPr>
        <w:t>.</w:t>
      </w:r>
      <w:r w:rsidR="0006795F" w:rsidRPr="000C7CFA">
        <w:rPr>
          <w:rFonts w:ascii="Verdana" w:hAnsi="Verdana"/>
          <w:sz w:val="18"/>
          <w:szCs w:val="18"/>
        </w:rPr>
        <w:br w:type="page"/>
      </w:r>
    </w:p>
    <w:p w14:paraId="4D7FB10E" w14:textId="4F4B79CA" w:rsidR="00A62E29" w:rsidRPr="000C7CFA" w:rsidRDefault="0006795F" w:rsidP="00A62E29">
      <w:pPr>
        <w:pStyle w:val="Heading1"/>
        <w:numPr>
          <w:ilvl w:val="0"/>
          <w:numId w:val="0"/>
        </w:numPr>
        <w:tabs>
          <w:tab w:val="clear" w:pos="839"/>
          <w:tab w:val="left" w:pos="1843"/>
        </w:tabs>
        <w:ind w:left="1843" w:hanging="1843"/>
        <w:rPr>
          <w:rFonts w:ascii="Verdana" w:hAnsi="Verdana"/>
          <w:sz w:val="18"/>
          <w:szCs w:val="18"/>
        </w:rPr>
      </w:pPr>
      <w:bookmarkStart w:id="157" w:name="_Toc491862807"/>
      <w:r w:rsidRPr="000C7CFA">
        <w:rPr>
          <w:rFonts w:ascii="Verdana" w:hAnsi="Verdana"/>
          <w:sz w:val="18"/>
          <w:szCs w:val="18"/>
        </w:rPr>
        <w:lastRenderedPageBreak/>
        <w:t xml:space="preserve">Appendix 8 </w:t>
      </w:r>
      <w:r w:rsidR="00A62E29" w:rsidRPr="000C7CFA">
        <w:rPr>
          <w:rFonts w:ascii="Verdana" w:hAnsi="Verdana"/>
          <w:sz w:val="18"/>
          <w:szCs w:val="18"/>
        </w:rPr>
        <w:t>Predicted aquatic toxicity of selected Dechlorane Plus analogues</w:t>
      </w:r>
      <w:bookmarkEnd w:id="155"/>
      <w:r w:rsidR="00A62E29" w:rsidRPr="000C7CFA">
        <w:rPr>
          <w:rFonts w:ascii="Verdana" w:hAnsi="Verdana"/>
          <w:sz w:val="18"/>
          <w:szCs w:val="18"/>
        </w:rPr>
        <w:t xml:space="preserve"> using EPISuite v4.11</w:t>
      </w:r>
      <w:bookmarkEnd w:id="157"/>
    </w:p>
    <w:p w14:paraId="36B853C8" w14:textId="77777777" w:rsidR="00A62E29" w:rsidRPr="000C7CFA" w:rsidRDefault="00A62E29" w:rsidP="00A62E29">
      <w:pPr>
        <w:jc w:val="both"/>
        <w:rPr>
          <w:rFonts w:ascii="Verdana" w:hAnsi="Verdana"/>
          <w:sz w:val="18"/>
          <w:szCs w:val="18"/>
        </w:rPr>
      </w:pPr>
      <w:r w:rsidRPr="000C7CFA">
        <w:rPr>
          <w:rFonts w:ascii="Verdana" w:hAnsi="Verdana"/>
          <w:sz w:val="18"/>
          <w:szCs w:val="18"/>
        </w:rPr>
        <w:t>The following table lists the four substances that are considered to be the closest structural analogues to Dechlorane Plus (as discussed in Section 1.4 of the main report). Where available, experimental data for physico-chemical endpoints (such as log K</w:t>
      </w:r>
      <w:r w:rsidRPr="000C7CFA">
        <w:rPr>
          <w:rFonts w:ascii="Verdana" w:hAnsi="Verdana"/>
          <w:sz w:val="18"/>
          <w:szCs w:val="18"/>
          <w:vertAlign w:val="subscript"/>
        </w:rPr>
        <w:t>OW</w:t>
      </w:r>
      <w:r w:rsidRPr="000C7CFA">
        <w:rPr>
          <w:rFonts w:ascii="Verdana" w:hAnsi="Verdana"/>
          <w:sz w:val="18"/>
          <w:szCs w:val="18"/>
        </w:rPr>
        <w:t>) have been used to generate predictions (this applies to chlordane and heptachlor). The ECOSAR model provides results for the vinyl/allyl halides class and the standard neutral organics class. Both are included for comparison. Predicted data are rounded to one or two significant figures.</w:t>
      </w:r>
    </w:p>
    <w:tbl>
      <w:tblPr>
        <w:tblStyle w:val="TableGrid"/>
        <w:tblW w:w="8789" w:type="dxa"/>
        <w:tblLayout w:type="fixed"/>
        <w:tblLook w:val="04A0" w:firstRow="1" w:lastRow="0" w:firstColumn="1" w:lastColumn="0" w:noHBand="0" w:noVBand="1"/>
      </w:tblPr>
      <w:tblGrid>
        <w:gridCol w:w="1276"/>
        <w:gridCol w:w="1985"/>
        <w:gridCol w:w="1417"/>
        <w:gridCol w:w="1418"/>
        <w:gridCol w:w="1417"/>
        <w:gridCol w:w="1276"/>
      </w:tblGrid>
      <w:tr w:rsidR="00A62E29" w:rsidRPr="000C7CFA" w14:paraId="325DBF66" w14:textId="77777777" w:rsidTr="00222120">
        <w:tc>
          <w:tcPr>
            <w:tcW w:w="3261" w:type="dxa"/>
            <w:gridSpan w:val="2"/>
            <w:tcBorders>
              <w:top w:val="nil"/>
              <w:left w:val="nil"/>
            </w:tcBorders>
          </w:tcPr>
          <w:p w14:paraId="5872F67F" w14:textId="77777777" w:rsidR="00A62E29" w:rsidRPr="000C7CFA" w:rsidRDefault="00A62E29" w:rsidP="00222120">
            <w:pPr>
              <w:rPr>
                <w:rFonts w:ascii="Verdana" w:hAnsi="Verdana"/>
                <w:b/>
                <w:sz w:val="18"/>
                <w:szCs w:val="18"/>
              </w:rPr>
            </w:pPr>
          </w:p>
        </w:tc>
        <w:tc>
          <w:tcPr>
            <w:tcW w:w="1417" w:type="dxa"/>
          </w:tcPr>
          <w:p w14:paraId="4D6753FB" w14:textId="77777777" w:rsidR="00A62E29" w:rsidRPr="000C7CFA" w:rsidRDefault="00A62E29" w:rsidP="00222120">
            <w:pPr>
              <w:jc w:val="center"/>
              <w:rPr>
                <w:rFonts w:ascii="Verdana" w:hAnsi="Verdana"/>
                <w:b/>
                <w:sz w:val="18"/>
                <w:szCs w:val="18"/>
              </w:rPr>
            </w:pPr>
            <w:r w:rsidRPr="000C7CFA">
              <w:rPr>
                <w:rFonts w:ascii="Verdana" w:hAnsi="Verdana"/>
                <w:b/>
                <w:sz w:val="18"/>
                <w:szCs w:val="18"/>
              </w:rPr>
              <w:t>Chlordane</w:t>
            </w:r>
          </w:p>
        </w:tc>
        <w:tc>
          <w:tcPr>
            <w:tcW w:w="1418" w:type="dxa"/>
          </w:tcPr>
          <w:p w14:paraId="100DA8F7" w14:textId="77777777" w:rsidR="00A62E29" w:rsidRPr="000C7CFA" w:rsidRDefault="00A62E29" w:rsidP="00222120">
            <w:pPr>
              <w:jc w:val="center"/>
              <w:rPr>
                <w:rFonts w:ascii="Verdana" w:hAnsi="Verdana"/>
                <w:b/>
                <w:sz w:val="18"/>
                <w:szCs w:val="18"/>
              </w:rPr>
            </w:pPr>
            <w:r w:rsidRPr="000C7CFA">
              <w:rPr>
                <w:rFonts w:ascii="Verdana" w:hAnsi="Verdana"/>
                <w:b/>
                <w:sz w:val="18"/>
                <w:szCs w:val="18"/>
              </w:rPr>
              <w:t>Heptachlor</w:t>
            </w:r>
          </w:p>
        </w:tc>
        <w:tc>
          <w:tcPr>
            <w:tcW w:w="1417" w:type="dxa"/>
          </w:tcPr>
          <w:p w14:paraId="7717CAF8" w14:textId="77777777" w:rsidR="00A62E29" w:rsidRPr="000C7CFA" w:rsidRDefault="00A62E29" w:rsidP="00222120">
            <w:pPr>
              <w:keepNext/>
              <w:jc w:val="center"/>
              <w:rPr>
                <w:rFonts w:ascii="Verdana" w:hAnsi="Verdana"/>
                <w:b/>
                <w:sz w:val="18"/>
                <w:szCs w:val="18"/>
              </w:rPr>
            </w:pPr>
            <w:r w:rsidRPr="000C7CFA">
              <w:rPr>
                <w:rFonts w:ascii="Verdana" w:hAnsi="Verdana"/>
                <w:b/>
                <w:sz w:val="18"/>
                <w:szCs w:val="18"/>
              </w:rPr>
              <w:t>Dechlorane 603</w:t>
            </w:r>
          </w:p>
        </w:tc>
        <w:tc>
          <w:tcPr>
            <w:tcW w:w="1276" w:type="dxa"/>
          </w:tcPr>
          <w:p w14:paraId="66D2719F" w14:textId="77777777" w:rsidR="00A62E29" w:rsidRPr="000C7CFA" w:rsidRDefault="00A62E29" w:rsidP="00222120">
            <w:pPr>
              <w:pStyle w:val="BodyText"/>
              <w:spacing w:after="0"/>
              <w:jc w:val="center"/>
              <w:rPr>
                <w:rFonts w:ascii="Verdana" w:hAnsi="Verdana"/>
                <w:b/>
                <w:bCs/>
                <w:sz w:val="18"/>
                <w:szCs w:val="18"/>
              </w:rPr>
            </w:pPr>
            <w:r w:rsidRPr="000C7CFA">
              <w:rPr>
                <w:rFonts w:ascii="Verdana" w:hAnsi="Verdana"/>
                <w:b/>
                <w:sz w:val="18"/>
                <w:szCs w:val="18"/>
              </w:rPr>
              <w:t>Chlordene Plus</w:t>
            </w:r>
          </w:p>
        </w:tc>
      </w:tr>
      <w:tr w:rsidR="00A62E29" w:rsidRPr="000C7CFA" w14:paraId="2DC96B2C" w14:textId="77777777" w:rsidTr="00222120">
        <w:trPr>
          <w:trHeight w:val="205"/>
        </w:trPr>
        <w:tc>
          <w:tcPr>
            <w:tcW w:w="3261" w:type="dxa"/>
            <w:gridSpan w:val="2"/>
          </w:tcPr>
          <w:p w14:paraId="51846F57" w14:textId="77777777" w:rsidR="00A62E29" w:rsidRPr="000C7CFA" w:rsidRDefault="00A62E29" w:rsidP="00222120">
            <w:pPr>
              <w:rPr>
                <w:rFonts w:ascii="Verdana" w:hAnsi="Verdana"/>
                <w:sz w:val="18"/>
                <w:szCs w:val="18"/>
              </w:rPr>
            </w:pPr>
            <w:r w:rsidRPr="000C7CFA">
              <w:rPr>
                <w:rFonts w:ascii="Verdana" w:hAnsi="Verdana"/>
                <w:b/>
                <w:bCs/>
                <w:sz w:val="18"/>
                <w:szCs w:val="18"/>
              </w:rPr>
              <w:t>Molecular weight, g/mole</w:t>
            </w:r>
          </w:p>
        </w:tc>
        <w:tc>
          <w:tcPr>
            <w:tcW w:w="1417" w:type="dxa"/>
          </w:tcPr>
          <w:p w14:paraId="60B03ACA" w14:textId="77777777" w:rsidR="00A62E29" w:rsidRPr="000C7CFA" w:rsidRDefault="00A62E29" w:rsidP="00222120">
            <w:pPr>
              <w:jc w:val="center"/>
              <w:rPr>
                <w:rFonts w:ascii="Verdana" w:hAnsi="Verdana"/>
                <w:b/>
                <w:sz w:val="18"/>
                <w:szCs w:val="18"/>
              </w:rPr>
            </w:pPr>
            <w:r w:rsidRPr="000C7CFA">
              <w:rPr>
                <w:rFonts w:ascii="Verdana" w:hAnsi="Verdana"/>
                <w:sz w:val="18"/>
                <w:szCs w:val="18"/>
              </w:rPr>
              <w:t>409.78</w:t>
            </w:r>
          </w:p>
        </w:tc>
        <w:tc>
          <w:tcPr>
            <w:tcW w:w="1418" w:type="dxa"/>
          </w:tcPr>
          <w:p w14:paraId="63CC3D95" w14:textId="77777777" w:rsidR="00A62E29" w:rsidRPr="000C7CFA" w:rsidRDefault="00A62E29" w:rsidP="00222120">
            <w:pPr>
              <w:jc w:val="center"/>
              <w:rPr>
                <w:rFonts w:ascii="Verdana" w:hAnsi="Verdana"/>
                <w:b/>
                <w:sz w:val="18"/>
                <w:szCs w:val="18"/>
              </w:rPr>
            </w:pPr>
            <w:r w:rsidRPr="000C7CFA">
              <w:rPr>
                <w:rFonts w:ascii="Verdana" w:hAnsi="Verdana"/>
                <w:sz w:val="18"/>
                <w:szCs w:val="18"/>
              </w:rPr>
              <w:t>373.32</w:t>
            </w:r>
          </w:p>
        </w:tc>
        <w:tc>
          <w:tcPr>
            <w:tcW w:w="1417" w:type="dxa"/>
          </w:tcPr>
          <w:p w14:paraId="2D63740B" w14:textId="77777777" w:rsidR="00A62E29" w:rsidRPr="000C7CFA" w:rsidRDefault="00A62E29" w:rsidP="00222120">
            <w:pPr>
              <w:jc w:val="center"/>
              <w:rPr>
                <w:rFonts w:ascii="Verdana" w:hAnsi="Verdana"/>
                <w:sz w:val="18"/>
                <w:szCs w:val="18"/>
              </w:rPr>
            </w:pPr>
            <w:r w:rsidRPr="000C7CFA">
              <w:rPr>
                <w:rFonts w:ascii="Verdana" w:hAnsi="Verdana"/>
                <w:sz w:val="18"/>
                <w:szCs w:val="18"/>
              </w:rPr>
              <w:t>637.69</w:t>
            </w:r>
          </w:p>
        </w:tc>
        <w:tc>
          <w:tcPr>
            <w:tcW w:w="1276" w:type="dxa"/>
          </w:tcPr>
          <w:p w14:paraId="5B678796" w14:textId="77777777" w:rsidR="00A62E29" w:rsidRPr="000C7CFA" w:rsidRDefault="00A62E29" w:rsidP="00222120">
            <w:pPr>
              <w:jc w:val="center"/>
              <w:rPr>
                <w:rFonts w:ascii="Verdana" w:hAnsi="Verdana"/>
                <w:sz w:val="18"/>
                <w:szCs w:val="18"/>
              </w:rPr>
            </w:pPr>
            <w:r w:rsidRPr="000C7CFA">
              <w:rPr>
                <w:rFonts w:ascii="Verdana" w:hAnsi="Verdana"/>
                <w:sz w:val="18"/>
                <w:szCs w:val="18"/>
              </w:rPr>
              <w:t>611.61</w:t>
            </w:r>
          </w:p>
        </w:tc>
      </w:tr>
      <w:tr w:rsidR="00A62E29" w:rsidRPr="000C7CFA" w14:paraId="5B0CF43A" w14:textId="77777777" w:rsidTr="00222120">
        <w:trPr>
          <w:trHeight w:val="180"/>
        </w:trPr>
        <w:tc>
          <w:tcPr>
            <w:tcW w:w="1276" w:type="dxa"/>
            <w:vMerge w:val="restart"/>
          </w:tcPr>
          <w:p w14:paraId="23213D1F" w14:textId="77777777" w:rsidR="00A62E29" w:rsidRPr="000C7CFA" w:rsidRDefault="00A62E29" w:rsidP="00222120">
            <w:pPr>
              <w:pStyle w:val="BodyText"/>
              <w:spacing w:after="0"/>
              <w:jc w:val="left"/>
              <w:rPr>
                <w:rFonts w:ascii="Verdana" w:hAnsi="Verdana"/>
                <w:b/>
                <w:bCs/>
                <w:sz w:val="18"/>
                <w:szCs w:val="18"/>
              </w:rPr>
            </w:pPr>
            <w:r w:rsidRPr="000C7CFA">
              <w:rPr>
                <w:rFonts w:ascii="Verdana" w:hAnsi="Verdana"/>
                <w:b/>
                <w:bCs/>
                <w:sz w:val="18"/>
                <w:szCs w:val="18"/>
              </w:rPr>
              <w:t xml:space="preserve">Water solubility, </w:t>
            </w:r>
            <w:r w:rsidRPr="000C7CFA">
              <w:rPr>
                <w:rFonts w:ascii="Verdana" w:hAnsi="Verdana"/>
                <w:b/>
                <w:sz w:val="18"/>
                <w:szCs w:val="18"/>
              </w:rPr>
              <w:t>mg/L at 25 °C</w:t>
            </w:r>
          </w:p>
        </w:tc>
        <w:tc>
          <w:tcPr>
            <w:tcW w:w="1985" w:type="dxa"/>
          </w:tcPr>
          <w:p w14:paraId="4D328256" w14:textId="77777777" w:rsidR="00A62E29" w:rsidRPr="000C7CFA" w:rsidRDefault="00A62E29" w:rsidP="00222120">
            <w:pPr>
              <w:rPr>
                <w:rFonts w:ascii="Verdana" w:hAnsi="Verdana"/>
                <w:sz w:val="18"/>
                <w:szCs w:val="18"/>
              </w:rPr>
            </w:pPr>
            <w:r w:rsidRPr="000C7CFA">
              <w:rPr>
                <w:rFonts w:ascii="Verdana" w:hAnsi="Verdana"/>
                <w:b/>
                <w:bCs/>
                <w:sz w:val="18"/>
                <w:szCs w:val="18"/>
              </w:rPr>
              <w:t>Experimental</w:t>
            </w:r>
          </w:p>
        </w:tc>
        <w:tc>
          <w:tcPr>
            <w:tcW w:w="1417" w:type="dxa"/>
          </w:tcPr>
          <w:p w14:paraId="25BF004D" w14:textId="77777777" w:rsidR="00A62E29" w:rsidRPr="000C7CFA" w:rsidRDefault="00A62E29" w:rsidP="00222120">
            <w:pPr>
              <w:jc w:val="center"/>
              <w:rPr>
                <w:rFonts w:ascii="Verdana" w:hAnsi="Verdana"/>
                <w:sz w:val="18"/>
                <w:szCs w:val="18"/>
              </w:rPr>
            </w:pPr>
            <w:r w:rsidRPr="000C7CFA">
              <w:rPr>
                <w:rFonts w:ascii="Verdana" w:hAnsi="Verdana"/>
                <w:sz w:val="18"/>
                <w:szCs w:val="18"/>
              </w:rPr>
              <w:t>0.056</w:t>
            </w:r>
          </w:p>
        </w:tc>
        <w:tc>
          <w:tcPr>
            <w:tcW w:w="1418" w:type="dxa"/>
          </w:tcPr>
          <w:p w14:paraId="2B7B4265" w14:textId="77777777" w:rsidR="00A62E29" w:rsidRPr="000C7CFA" w:rsidRDefault="00A62E29" w:rsidP="00222120">
            <w:pPr>
              <w:jc w:val="center"/>
              <w:rPr>
                <w:rFonts w:ascii="Verdana" w:hAnsi="Verdana"/>
                <w:sz w:val="18"/>
                <w:szCs w:val="18"/>
              </w:rPr>
            </w:pPr>
            <w:r w:rsidRPr="000C7CFA">
              <w:rPr>
                <w:rFonts w:ascii="Verdana" w:hAnsi="Verdana"/>
                <w:sz w:val="18"/>
                <w:szCs w:val="18"/>
              </w:rPr>
              <w:t>0.18</w:t>
            </w:r>
          </w:p>
        </w:tc>
        <w:tc>
          <w:tcPr>
            <w:tcW w:w="1417" w:type="dxa"/>
          </w:tcPr>
          <w:p w14:paraId="32AEEDEA" w14:textId="77777777" w:rsidR="00A62E29" w:rsidRPr="000C7CFA" w:rsidRDefault="00A62E29" w:rsidP="00222120">
            <w:pPr>
              <w:jc w:val="center"/>
              <w:rPr>
                <w:rFonts w:ascii="Verdana" w:hAnsi="Verdana"/>
                <w:bCs/>
                <w:sz w:val="18"/>
                <w:szCs w:val="18"/>
              </w:rPr>
            </w:pPr>
            <w:r w:rsidRPr="000C7CFA">
              <w:rPr>
                <w:rFonts w:ascii="Verdana" w:hAnsi="Verdana"/>
                <w:bCs/>
                <w:sz w:val="18"/>
                <w:szCs w:val="18"/>
              </w:rPr>
              <w:t>-</w:t>
            </w:r>
          </w:p>
        </w:tc>
        <w:tc>
          <w:tcPr>
            <w:tcW w:w="1276" w:type="dxa"/>
          </w:tcPr>
          <w:p w14:paraId="7BE9FFF2" w14:textId="77777777" w:rsidR="00A62E29" w:rsidRPr="000C7CFA" w:rsidRDefault="00A62E29" w:rsidP="00222120">
            <w:pPr>
              <w:jc w:val="center"/>
              <w:rPr>
                <w:rFonts w:ascii="Verdana" w:hAnsi="Verdana"/>
                <w:bCs/>
                <w:sz w:val="18"/>
                <w:szCs w:val="18"/>
              </w:rPr>
            </w:pPr>
            <w:r w:rsidRPr="000C7CFA">
              <w:rPr>
                <w:rFonts w:ascii="Verdana" w:hAnsi="Verdana"/>
                <w:bCs/>
                <w:sz w:val="18"/>
                <w:szCs w:val="18"/>
              </w:rPr>
              <w:t>-</w:t>
            </w:r>
          </w:p>
        </w:tc>
      </w:tr>
      <w:tr w:rsidR="00A62E29" w:rsidRPr="000C7CFA" w14:paraId="7034FA96" w14:textId="77777777" w:rsidTr="00222120">
        <w:tc>
          <w:tcPr>
            <w:tcW w:w="1276" w:type="dxa"/>
            <w:vMerge/>
          </w:tcPr>
          <w:p w14:paraId="1B024517" w14:textId="77777777" w:rsidR="00A62E29" w:rsidRPr="000C7CFA" w:rsidRDefault="00A62E29" w:rsidP="00222120">
            <w:pPr>
              <w:pStyle w:val="BodyText"/>
              <w:spacing w:after="0"/>
              <w:rPr>
                <w:rFonts w:ascii="Verdana" w:hAnsi="Verdana"/>
                <w:b/>
                <w:bCs/>
                <w:sz w:val="18"/>
                <w:szCs w:val="18"/>
              </w:rPr>
            </w:pPr>
          </w:p>
        </w:tc>
        <w:tc>
          <w:tcPr>
            <w:tcW w:w="1985" w:type="dxa"/>
          </w:tcPr>
          <w:p w14:paraId="41214C09" w14:textId="77777777" w:rsidR="00A62E29" w:rsidRPr="000C7CFA" w:rsidRDefault="00A62E29" w:rsidP="00222120">
            <w:pPr>
              <w:rPr>
                <w:rFonts w:ascii="Verdana" w:hAnsi="Verdana"/>
                <w:sz w:val="18"/>
                <w:szCs w:val="18"/>
              </w:rPr>
            </w:pPr>
            <w:r w:rsidRPr="000C7CFA">
              <w:rPr>
                <w:rFonts w:ascii="Verdana" w:hAnsi="Verdana"/>
                <w:b/>
                <w:bCs/>
                <w:sz w:val="18"/>
                <w:szCs w:val="18"/>
              </w:rPr>
              <w:t>WSKOW v1.42</w:t>
            </w:r>
          </w:p>
        </w:tc>
        <w:tc>
          <w:tcPr>
            <w:tcW w:w="1417" w:type="dxa"/>
          </w:tcPr>
          <w:p w14:paraId="356ED674" w14:textId="77777777" w:rsidR="00A62E29" w:rsidRPr="000C7CFA" w:rsidRDefault="00A62E29" w:rsidP="00222120">
            <w:pPr>
              <w:jc w:val="center"/>
              <w:rPr>
                <w:rFonts w:ascii="Verdana" w:hAnsi="Verdana"/>
                <w:sz w:val="18"/>
                <w:szCs w:val="18"/>
              </w:rPr>
            </w:pPr>
            <w:r w:rsidRPr="000C7CFA">
              <w:rPr>
                <w:rFonts w:ascii="Verdana" w:hAnsi="Verdana"/>
                <w:sz w:val="18"/>
                <w:szCs w:val="18"/>
              </w:rPr>
              <w:t>0.02</w:t>
            </w:r>
          </w:p>
        </w:tc>
        <w:tc>
          <w:tcPr>
            <w:tcW w:w="1418" w:type="dxa"/>
          </w:tcPr>
          <w:p w14:paraId="7825EA2B" w14:textId="77777777" w:rsidR="00A62E29" w:rsidRPr="000C7CFA" w:rsidRDefault="00A62E29" w:rsidP="00222120">
            <w:pPr>
              <w:jc w:val="center"/>
              <w:rPr>
                <w:rFonts w:ascii="Verdana" w:hAnsi="Verdana"/>
                <w:sz w:val="18"/>
                <w:szCs w:val="18"/>
              </w:rPr>
            </w:pPr>
            <w:r w:rsidRPr="000C7CFA">
              <w:rPr>
                <w:rFonts w:ascii="Verdana" w:hAnsi="Verdana"/>
                <w:sz w:val="18"/>
                <w:szCs w:val="18"/>
              </w:rPr>
              <w:t>0.04</w:t>
            </w:r>
          </w:p>
        </w:tc>
        <w:tc>
          <w:tcPr>
            <w:tcW w:w="1417" w:type="dxa"/>
          </w:tcPr>
          <w:p w14:paraId="61955F24" w14:textId="77777777" w:rsidR="00A62E29" w:rsidRPr="000C7CFA" w:rsidRDefault="00A62E29" w:rsidP="00222120">
            <w:pPr>
              <w:jc w:val="center"/>
              <w:rPr>
                <w:rFonts w:ascii="Verdana" w:hAnsi="Verdana"/>
                <w:bCs/>
                <w:sz w:val="18"/>
                <w:szCs w:val="18"/>
              </w:rPr>
            </w:pPr>
            <w:r w:rsidRPr="000C7CFA">
              <w:rPr>
                <w:rFonts w:ascii="Verdana" w:hAnsi="Verdana"/>
                <w:bCs/>
                <w:sz w:val="18"/>
                <w:szCs w:val="18"/>
              </w:rPr>
              <w:t>2E-8</w:t>
            </w:r>
          </w:p>
        </w:tc>
        <w:tc>
          <w:tcPr>
            <w:tcW w:w="1276" w:type="dxa"/>
          </w:tcPr>
          <w:p w14:paraId="3A6FDB18" w14:textId="77777777" w:rsidR="00A62E29" w:rsidRPr="000C7CFA" w:rsidRDefault="00A62E29" w:rsidP="00222120">
            <w:pPr>
              <w:jc w:val="center"/>
              <w:rPr>
                <w:rFonts w:ascii="Verdana" w:hAnsi="Verdana"/>
                <w:bCs/>
                <w:sz w:val="18"/>
                <w:szCs w:val="18"/>
              </w:rPr>
            </w:pPr>
            <w:r w:rsidRPr="000C7CFA">
              <w:rPr>
                <w:rFonts w:ascii="Verdana" w:hAnsi="Verdana"/>
                <w:bCs/>
                <w:sz w:val="18"/>
                <w:szCs w:val="18"/>
              </w:rPr>
              <w:t>6E-7</w:t>
            </w:r>
          </w:p>
        </w:tc>
      </w:tr>
      <w:tr w:rsidR="00A62E29" w:rsidRPr="000C7CFA" w14:paraId="1BFE9FF0" w14:textId="77777777" w:rsidTr="00222120">
        <w:tc>
          <w:tcPr>
            <w:tcW w:w="1276" w:type="dxa"/>
            <w:vMerge/>
          </w:tcPr>
          <w:p w14:paraId="3B7E48A6" w14:textId="77777777" w:rsidR="00A62E29" w:rsidRPr="000C7CFA" w:rsidRDefault="00A62E29" w:rsidP="00222120">
            <w:pPr>
              <w:pStyle w:val="BodyText"/>
              <w:spacing w:after="0"/>
              <w:rPr>
                <w:rFonts w:ascii="Verdana" w:hAnsi="Verdana"/>
                <w:b/>
                <w:bCs/>
                <w:sz w:val="18"/>
                <w:szCs w:val="18"/>
              </w:rPr>
            </w:pPr>
          </w:p>
        </w:tc>
        <w:tc>
          <w:tcPr>
            <w:tcW w:w="1985" w:type="dxa"/>
          </w:tcPr>
          <w:p w14:paraId="76B5E164" w14:textId="77777777" w:rsidR="00A62E29" w:rsidRPr="000C7CFA" w:rsidRDefault="00A62E29" w:rsidP="00222120">
            <w:pPr>
              <w:rPr>
                <w:rFonts w:ascii="Verdana" w:hAnsi="Verdana"/>
                <w:sz w:val="18"/>
                <w:szCs w:val="18"/>
              </w:rPr>
            </w:pPr>
            <w:r w:rsidRPr="000C7CFA">
              <w:rPr>
                <w:rFonts w:ascii="Verdana" w:hAnsi="Verdana"/>
                <w:b/>
                <w:bCs/>
                <w:sz w:val="18"/>
                <w:szCs w:val="18"/>
              </w:rPr>
              <w:t>WATERNT v1.01</w:t>
            </w:r>
          </w:p>
        </w:tc>
        <w:tc>
          <w:tcPr>
            <w:tcW w:w="1417" w:type="dxa"/>
          </w:tcPr>
          <w:p w14:paraId="3A94B868" w14:textId="77777777" w:rsidR="00A62E29" w:rsidRPr="000C7CFA" w:rsidRDefault="00A62E29" w:rsidP="00222120">
            <w:pPr>
              <w:jc w:val="center"/>
              <w:rPr>
                <w:rFonts w:ascii="Verdana" w:hAnsi="Verdana"/>
                <w:sz w:val="18"/>
                <w:szCs w:val="18"/>
              </w:rPr>
            </w:pPr>
            <w:r w:rsidRPr="000C7CFA">
              <w:rPr>
                <w:rFonts w:ascii="Verdana" w:hAnsi="Verdana"/>
                <w:sz w:val="18"/>
                <w:szCs w:val="18"/>
              </w:rPr>
              <w:t>0.004</w:t>
            </w:r>
          </w:p>
        </w:tc>
        <w:tc>
          <w:tcPr>
            <w:tcW w:w="1418" w:type="dxa"/>
          </w:tcPr>
          <w:p w14:paraId="76734A04" w14:textId="77777777" w:rsidR="00A62E29" w:rsidRPr="000C7CFA" w:rsidRDefault="00A62E29" w:rsidP="00222120">
            <w:pPr>
              <w:jc w:val="center"/>
              <w:rPr>
                <w:rFonts w:ascii="Verdana" w:hAnsi="Verdana"/>
                <w:sz w:val="18"/>
                <w:szCs w:val="18"/>
              </w:rPr>
            </w:pPr>
            <w:r w:rsidRPr="000C7CFA">
              <w:rPr>
                <w:rFonts w:ascii="Verdana" w:hAnsi="Verdana"/>
                <w:sz w:val="18"/>
                <w:szCs w:val="18"/>
              </w:rPr>
              <w:t>0.009</w:t>
            </w:r>
          </w:p>
        </w:tc>
        <w:tc>
          <w:tcPr>
            <w:tcW w:w="1417" w:type="dxa"/>
          </w:tcPr>
          <w:p w14:paraId="3FEB6C4C" w14:textId="77777777" w:rsidR="00A62E29" w:rsidRPr="000C7CFA" w:rsidRDefault="00A62E29" w:rsidP="00222120">
            <w:pPr>
              <w:jc w:val="center"/>
              <w:rPr>
                <w:rFonts w:ascii="Verdana" w:hAnsi="Verdana"/>
                <w:sz w:val="18"/>
                <w:szCs w:val="18"/>
              </w:rPr>
            </w:pPr>
            <w:r w:rsidRPr="000C7CFA">
              <w:rPr>
                <w:rFonts w:ascii="Verdana" w:hAnsi="Verdana"/>
                <w:sz w:val="18"/>
                <w:szCs w:val="18"/>
              </w:rPr>
              <w:t>6E-7</w:t>
            </w:r>
          </w:p>
        </w:tc>
        <w:tc>
          <w:tcPr>
            <w:tcW w:w="1276" w:type="dxa"/>
          </w:tcPr>
          <w:p w14:paraId="45A6685D" w14:textId="77777777" w:rsidR="00A62E29" w:rsidRPr="000C7CFA" w:rsidRDefault="00A62E29" w:rsidP="00222120">
            <w:pPr>
              <w:jc w:val="center"/>
              <w:rPr>
                <w:rFonts w:ascii="Verdana" w:hAnsi="Verdana"/>
                <w:bCs/>
                <w:sz w:val="18"/>
                <w:szCs w:val="18"/>
              </w:rPr>
            </w:pPr>
            <w:r w:rsidRPr="000C7CFA">
              <w:rPr>
                <w:rFonts w:ascii="Verdana" w:hAnsi="Verdana"/>
                <w:sz w:val="18"/>
                <w:szCs w:val="18"/>
              </w:rPr>
              <w:t>6E-7</w:t>
            </w:r>
          </w:p>
        </w:tc>
      </w:tr>
      <w:tr w:rsidR="00A62E29" w:rsidRPr="000C7CFA" w14:paraId="257483D8" w14:textId="77777777" w:rsidTr="00222120">
        <w:tc>
          <w:tcPr>
            <w:tcW w:w="1276" w:type="dxa"/>
            <w:vMerge w:val="restart"/>
          </w:tcPr>
          <w:p w14:paraId="124A8019" w14:textId="77777777" w:rsidR="00A62E29" w:rsidRPr="000C7CFA" w:rsidRDefault="00A62E29" w:rsidP="00222120">
            <w:pPr>
              <w:pStyle w:val="BodyText"/>
              <w:spacing w:after="0"/>
              <w:rPr>
                <w:rFonts w:ascii="Verdana" w:hAnsi="Verdana"/>
                <w:b/>
                <w:bCs/>
                <w:sz w:val="18"/>
                <w:szCs w:val="18"/>
              </w:rPr>
            </w:pPr>
            <w:r w:rsidRPr="000C7CFA">
              <w:rPr>
                <w:rFonts w:ascii="Verdana" w:hAnsi="Verdana"/>
                <w:b/>
                <w:bCs/>
                <w:sz w:val="18"/>
                <w:szCs w:val="18"/>
              </w:rPr>
              <w:t>Log K</w:t>
            </w:r>
            <w:r w:rsidRPr="000C7CFA">
              <w:rPr>
                <w:rFonts w:ascii="Verdana" w:hAnsi="Verdana"/>
                <w:b/>
                <w:bCs/>
                <w:sz w:val="18"/>
                <w:szCs w:val="18"/>
                <w:vertAlign w:val="subscript"/>
              </w:rPr>
              <w:t>OW</w:t>
            </w:r>
          </w:p>
        </w:tc>
        <w:tc>
          <w:tcPr>
            <w:tcW w:w="1985" w:type="dxa"/>
          </w:tcPr>
          <w:p w14:paraId="4F21049D" w14:textId="77777777" w:rsidR="00A62E29" w:rsidRPr="000C7CFA" w:rsidRDefault="00A62E29" w:rsidP="00222120">
            <w:pPr>
              <w:rPr>
                <w:rFonts w:ascii="Verdana" w:hAnsi="Verdana"/>
                <w:sz w:val="18"/>
                <w:szCs w:val="18"/>
              </w:rPr>
            </w:pPr>
            <w:r w:rsidRPr="000C7CFA">
              <w:rPr>
                <w:rFonts w:ascii="Verdana" w:hAnsi="Verdana"/>
                <w:b/>
                <w:bCs/>
                <w:sz w:val="18"/>
                <w:szCs w:val="18"/>
              </w:rPr>
              <w:t>Experimental</w:t>
            </w:r>
          </w:p>
        </w:tc>
        <w:tc>
          <w:tcPr>
            <w:tcW w:w="1417" w:type="dxa"/>
          </w:tcPr>
          <w:p w14:paraId="40BAEA74" w14:textId="77777777" w:rsidR="00A62E29" w:rsidRPr="000C7CFA" w:rsidRDefault="00A62E29" w:rsidP="00222120">
            <w:pPr>
              <w:jc w:val="center"/>
              <w:rPr>
                <w:rFonts w:ascii="Verdana" w:hAnsi="Verdana"/>
                <w:sz w:val="18"/>
                <w:szCs w:val="18"/>
              </w:rPr>
            </w:pPr>
            <w:r w:rsidRPr="000C7CFA">
              <w:rPr>
                <w:rFonts w:ascii="Verdana" w:hAnsi="Verdana"/>
                <w:sz w:val="18"/>
                <w:szCs w:val="18"/>
              </w:rPr>
              <w:t>6.1-6.2</w:t>
            </w:r>
          </w:p>
        </w:tc>
        <w:tc>
          <w:tcPr>
            <w:tcW w:w="1418" w:type="dxa"/>
          </w:tcPr>
          <w:p w14:paraId="5DC141CD" w14:textId="77777777" w:rsidR="00A62E29" w:rsidRPr="000C7CFA" w:rsidRDefault="00A62E29" w:rsidP="00222120">
            <w:pPr>
              <w:jc w:val="center"/>
              <w:rPr>
                <w:rFonts w:ascii="Verdana" w:hAnsi="Verdana"/>
                <w:sz w:val="18"/>
                <w:szCs w:val="18"/>
              </w:rPr>
            </w:pPr>
            <w:r w:rsidRPr="000C7CFA">
              <w:rPr>
                <w:rFonts w:ascii="Verdana" w:hAnsi="Verdana"/>
                <w:sz w:val="18"/>
                <w:szCs w:val="18"/>
              </w:rPr>
              <w:t>5.5-6.1</w:t>
            </w:r>
          </w:p>
        </w:tc>
        <w:tc>
          <w:tcPr>
            <w:tcW w:w="1417" w:type="dxa"/>
          </w:tcPr>
          <w:p w14:paraId="5A063142" w14:textId="77777777" w:rsidR="00A62E29" w:rsidRPr="000C7CFA" w:rsidRDefault="00A62E29" w:rsidP="00222120">
            <w:pPr>
              <w:jc w:val="center"/>
              <w:rPr>
                <w:rFonts w:ascii="Verdana" w:hAnsi="Verdana"/>
                <w:sz w:val="18"/>
                <w:szCs w:val="18"/>
              </w:rPr>
            </w:pPr>
            <w:r w:rsidRPr="000C7CFA">
              <w:rPr>
                <w:rFonts w:ascii="Verdana" w:hAnsi="Verdana"/>
                <w:sz w:val="18"/>
                <w:szCs w:val="18"/>
              </w:rPr>
              <w:t>-</w:t>
            </w:r>
          </w:p>
        </w:tc>
        <w:tc>
          <w:tcPr>
            <w:tcW w:w="1276" w:type="dxa"/>
          </w:tcPr>
          <w:p w14:paraId="3A9C9E5F" w14:textId="77777777" w:rsidR="00A62E29" w:rsidRPr="000C7CFA" w:rsidRDefault="00A62E29" w:rsidP="00222120">
            <w:pPr>
              <w:jc w:val="center"/>
              <w:rPr>
                <w:rFonts w:ascii="Verdana" w:hAnsi="Verdana"/>
                <w:sz w:val="18"/>
                <w:szCs w:val="18"/>
              </w:rPr>
            </w:pPr>
            <w:r w:rsidRPr="000C7CFA">
              <w:rPr>
                <w:rFonts w:ascii="Verdana" w:hAnsi="Verdana"/>
                <w:sz w:val="18"/>
                <w:szCs w:val="18"/>
              </w:rPr>
              <w:t>-</w:t>
            </w:r>
          </w:p>
        </w:tc>
      </w:tr>
      <w:tr w:rsidR="00A62E29" w:rsidRPr="000C7CFA" w14:paraId="3C81E159" w14:textId="77777777" w:rsidTr="00222120">
        <w:tc>
          <w:tcPr>
            <w:tcW w:w="1276" w:type="dxa"/>
            <w:vMerge/>
          </w:tcPr>
          <w:p w14:paraId="01F2CD70" w14:textId="77777777" w:rsidR="00A62E29" w:rsidRPr="000C7CFA" w:rsidRDefault="00A62E29" w:rsidP="00222120">
            <w:pPr>
              <w:pStyle w:val="BodyText"/>
              <w:spacing w:after="0"/>
              <w:rPr>
                <w:rFonts w:ascii="Verdana" w:hAnsi="Verdana"/>
                <w:b/>
                <w:bCs/>
                <w:sz w:val="18"/>
                <w:szCs w:val="18"/>
              </w:rPr>
            </w:pPr>
          </w:p>
        </w:tc>
        <w:tc>
          <w:tcPr>
            <w:tcW w:w="1985" w:type="dxa"/>
          </w:tcPr>
          <w:p w14:paraId="5ABFFE9A" w14:textId="77777777" w:rsidR="00A62E29" w:rsidRPr="000C7CFA" w:rsidRDefault="00A62E29" w:rsidP="00222120">
            <w:pPr>
              <w:rPr>
                <w:rFonts w:ascii="Verdana" w:hAnsi="Verdana"/>
                <w:sz w:val="18"/>
                <w:szCs w:val="18"/>
              </w:rPr>
            </w:pPr>
            <w:r w:rsidRPr="000C7CFA">
              <w:rPr>
                <w:rFonts w:ascii="Verdana" w:hAnsi="Verdana"/>
                <w:b/>
                <w:bCs/>
                <w:sz w:val="18"/>
                <w:szCs w:val="18"/>
              </w:rPr>
              <w:t>KOWIN v1.68</w:t>
            </w:r>
          </w:p>
        </w:tc>
        <w:tc>
          <w:tcPr>
            <w:tcW w:w="1417" w:type="dxa"/>
          </w:tcPr>
          <w:p w14:paraId="12974DA4" w14:textId="77777777" w:rsidR="00A62E29" w:rsidRPr="000C7CFA" w:rsidRDefault="00A62E29" w:rsidP="00222120">
            <w:pPr>
              <w:jc w:val="center"/>
              <w:rPr>
                <w:rFonts w:ascii="Verdana" w:hAnsi="Verdana"/>
                <w:sz w:val="18"/>
                <w:szCs w:val="18"/>
              </w:rPr>
            </w:pPr>
            <w:r w:rsidRPr="000C7CFA">
              <w:rPr>
                <w:rFonts w:ascii="Verdana" w:hAnsi="Verdana"/>
                <w:sz w:val="18"/>
                <w:szCs w:val="18"/>
              </w:rPr>
              <w:t>6.3</w:t>
            </w:r>
          </w:p>
        </w:tc>
        <w:tc>
          <w:tcPr>
            <w:tcW w:w="1418" w:type="dxa"/>
          </w:tcPr>
          <w:p w14:paraId="518A4214" w14:textId="77777777" w:rsidR="00A62E29" w:rsidRPr="000C7CFA" w:rsidRDefault="00A62E29" w:rsidP="00222120">
            <w:pPr>
              <w:jc w:val="center"/>
              <w:rPr>
                <w:rFonts w:ascii="Verdana" w:hAnsi="Verdana"/>
                <w:sz w:val="18"/>
                <w:szCs w:val="18"/>
              </w:rPr>
            </w:pPr>
            <w:r w:rsidRPr="000C7CFA">
              <w:rPr>
                <w:rFonts w:ascii="Verdana" w:hAnsi="Verdana"/>
                <w:sz w:val="18"/>
                <w:szCs w:val="18"/>
              </w:rPr>
              <w:t>5.9</w:t>
            </w:r>
          </w:p>
        </w:tc>
        <w:tc>
          <w:tcPr>
            <w:tcW w:w="1417" w:type="dxa"/>
          </w:tcPr>
          <w:p w14:paraId="4015C744" w14:textId="77777777" w:rsidR="00A62E29" w:rsidRPr="000C7CFA" w:rsidRDefault="00A62E29" w:rsidP="00222120">
            <w:pPr>
              <w:jc w:val="center"/>
              <w:rPr>
                <w:rFonts w:ascii="Verdana" w:hAnsi="Verdana"/>
                <w:bCs/>
                <w:sz w:val="18"/>
                <w:szCs w:val="18"/>
              </w:rPr>
            </w:pPr>
            <w:r w:rsidRPr="000C7CFA">
              <w:rPr>
                <w:rFonts w:ascii="Verdana" w:hAnsi="Verdana"/>
                <w:sz w:val="18"/>
                <w:szCs w:val="18"/>
              </w:rPr>
              <w:t>11.2</w:t>
            </w:r>
          </w:p>
        </w:tc>
        <w:tc>
          <w:tcPr>
            <w:tcW w:w="1276" w:type="dxa"/>
          </w:tcPr>
          <w:p w14:paraId="1E8A58EB" w14:textId="77777777" w:rsidR="00A62E29" w:rsidRPr="000C7CFA" w:rsidRDefault="00A62E29" w:rsidP="00222120">
            <w:pPr>
              <w:jc w:val="center"/>
              <w:rPr>
                <w:rFonts w:ascii="Verdana" w:hAnsi="Verdana"/>
                <w:bCs/>
                <w:sz w:val="18"/>
                <w:szCs w:val="18"/>
              </w:rPr>
            </w:pPr>
            <w:r w:rsidRPr="000C7CFA">
              <w:rPr>
                <w:rFonts w:ascii="Verdana" w:hAnsi="Verdana"/>
                <w:sz w:val="18"/>
                <w:szCs w:val="18"/>
              </w:rPr>
              <w:t>9.8</w:t>
            </w:r>
          </w:p>
        </w:tc>
      </w:tr>
      <w:tr w:rsidR="00A62E29" w:rsidRPr="000C7CFA" w14:paraId="3B136BC9" w14:textId="77777777" w:rsidTr="00222120">
        <w:tc>
          <w:tcPr>
            <w:tcW w:w="1276" w:type="dxa"/>
            <w:vMerge w:val="restart"/>
          </w:tcPr>
          <w:p w14:paraId="35DF3DBF" w14:textId="3D772EB0" w:rsidR="00A62E29" w:rsidRPr="000C7CFA" w:rsidRDefault="00A62E29" w:rsidP="00222120">
            <w:pPr>
              <w:pStyle w:val="BodyText"/>
              <w:spacing w:after="0"/>
              <w:rPr>
                <w:rFonts w:ascii="Verdana" w:hAnsi="Verdana"/>
                <w:b/>
                <w:bCs/>
                <w:sz w:val="18"/>
                <w:szCs w:val="18"/>
              </w:rPr>
            </w:pPr>
            <w:r w:rsidRPr="000C7CFA">
              <w:rPr>
                <w:rFonts w:ascii="Verdana" w:hAnsi="Verdana"/>
                <w:b/>
                <w:bCs/>
                <w:sz w:val="18"/>
                <w:szCs w:val="18"/>
              </w:rPr>
              <w:t>ECOSAR v1.11, vinyl/allyl halides</w:t>
            </w:r>
            <w:r w:rsidR="00277DDE" w:rsidRPr="000C7CFA">
              <w:rPr>
                <w:rStyle w:val="FootnoteReference"/>
                <w:rFonts w:ascii="Verdana" w:hAnsi="Verdana"/>
                <w:b/>
                <w:bCs/>
                <w:sz w:val="18"/>
                <w:szCs w:val="18"/>
              </w:rPr>
              <w:footnoteReference w:id="56"/>
            </w:r>
            <w:r w:rsidRPr="000C7CFA">
              <w:rPr>
                <w:rFonts w:ascii="Verdana" w:hAnsi="Verdana"/>
                <w:b/>
                <w:bCs/>
                <w:sz w:val="18"/>
                <w:szCs w:val="18"/>
              </w:rPr>
              <w:t>, mg/L</w:t>
            </w:r>
          </w:p>
        </w:tc>
        <w:tc>
          <w:tcPr>
            <w:tcW w:w="1985" w:type="dxa"/>
          </w:tcPr>
          <w:p w14:paraId="505092F1" w14:textId="77777777" w:rsidR="00A62E29" w:rsidRPr="000C7CFA" w:rsidRDefault="00A62E29" w:rsidP="00222120">
            <w:pPr>
              <w:rPr>
                <w:rFonts w:ascii="Verdana" w:hAnsi="Verdana"/>
                <w:sz w:val="18"/>
                <w:szCs w:val="18"/>
              </w:rPr>
            </w:pPr>
            <w:r w:rsidRPr="000C7CFA">
              <w:rPr>
                <w:rFonts w:ascii="Verdana" w:hAnsi="Verdana"/>
                <w:b/>
                <w:bCs/>
                <w:sz w:val="18"/>
                <w:szCs w:val="18"/>
              </w:rPr>
              <w:t>Fish 96-h LC</w:t>
            </w:r>
            <w:r w:rsidRPr="000C7CFA">
              <w:rPr>
                <w:rFonts w:ascii="Verdana" w:hAnsi="Verdana"/>
                <w:b/>
                <w:bCs/>
                <w:sz w:val="18"/>
                <w:szCs w:val="18"/>
                <w:vertAlign w:val="subscript"/>
              </w:rPr>
              <w:t>50</w:t>
            </w:r>
          </w:p>
        </w:tc>
        <w:tc>
          <w:tcPr>
            <w:tcW w:w="1417" w:type="dxa"/>
          </w:tcPr>
          <w:p w14:paraId="3E21F720" w14:textId="77777777" w:rsidR="00A62E29" w:rsidRPr="000C7CFA" w:rsidRDefault="00A62E29" w:rsidP="00222120">
            <w:pPr>
              <w:jc w:val="center"/>
              <w:rPr>
                <w:rFonts w:ascii="Verdana" w:hAnsi="Verdana"/>
                <w:sz w:val="18"/>
                <w:szCs w:val="18"/>
              </w:rPr>
            </w:pPr>
            <w:r w:rsidRPr="000C7CFA">
              <w:rPr>
                <w:rFonts w:ascii="Verdana" w:hAnsi="Verdana"/>
                <w:sz w:val="18"/>
                <w:szCs w:val="18"/>
              </w:rPr>
              <w:t>0.011</w:t>
            </w:r>
          </w:p>
        </w:tc>
        <w:tc>
          <w:tcPr>
            <w:tcW w:w="1418" w:type="dxa"/>
          </w:tcPr>
          <w:p w14:paraId="38125CB8" w14:textId="77777777" w:rsidR="00A62E29" w:rsidRPr="000C7CFA" w:rsidRDefault="00A62E29" w:rsidP="00222120">
            <w:pPr>
              <w:jc w:val="center"/>
              <w:rPr>
                <w:rFonts w:ascii="Verdana" w:hAnsi="Verdana"/>
                <w:sz w:val="18"/>
                <w:szCs w:val="18"/>
              </w:rPr>
            </w:pPr>
            <w:r w:rsidRPr="000C7CFA">
              <w:rPr>
                <w:rFonts w:ascii="Verdana" w:hAnsi="Verdana"/>
                <w:sz w:val="18"/>
                <w:szCs w:val="18"/>
              </w:rPr>
              <w:t>0.022</w:t>
            </w:r>
          </w:p>
        </w:tc>
        <w:tc>
          <w:tcPr>
            <w:tcW w:w="1417" w:type="dxa"/>
          </w:tcPr>
          <w:p w14:paraId="337BCD5F" w14:textId="77777777" w:rsidR="00A62E29" w:rsidRPr="000C7CFA" w:rsidRDefault="00A62E29" w:rsidP="00222120">
            <w:pPr>
              <w:jc w:val="center"/>
              <w:rPr>
                <w:rFonts w:ascii="Verdana" w:hAnsi="Verdana"/>
                <w:sz w:val="18"/>
                <w:szCs w:val="18"/>
              </w:rPr>
            </w:pPr>
            <w:r w:rsidRPr="000C7CFA">
              <w:rPr>
                <w:rFonts w:ascii="Verdana" w:hAnsi="Verdana"/>
                <w:sz w:val="18"/>
                <w:szCs w:val="18"/>
              </w:rPr>
              <w:t>5.3E-7*</w:t>
            </w:r>
          </w:p>
        </w:tc>
        <w:tc>
          <w:tcPr>
            <w:tcW w:w="1276" w:type="dxa"/>
          </w:tcPr>
          <w:p w14:paraId="2F8276C7" w14:textId="77777777" w:rsidR="00A62E29" w:rsidRPr="000C7CFA" w:rsidRDefault="00A62E29" w:rsidP="00222120">
            <w:pPr>
              <w:jc w:val="center"/>
              <w:rPr>
                <w:rFonts w:ascii="Verdana" w:hAnsi="Verdana"/>
                <w:sz w:val="18"/>
                <w:szCs w:val="18"/>
              </w:rPr>
            </w:pPr>
            <w:r w:rsidRPr="000C7CFA">
              <w:rPr>
                <w:rFonts w:ascii="Verdana" w:hAnsi="Verdana"/>
                <w:sz w:val="18"/>
                <w:szCs w:val="18"/>
              </w:rPr>
              <w:t>9.6E-6*</w:t>
            </w:r>
          </w:p>
        </w:tc>
      </w:tr>
      <w:tr w:rsidR="00A62E29" w:rsidRPr="000C7CFA" w14:paraId="59EB421E" w14:textId="77777777" w:rsidTr="00222120">
        <w:tc>
          <w:tcPr>
            <w:tcW w:w="1276" w:type="dxa"/>
            <w:vMerge/>
          </w:tcPr>
          <w:p w14:paraId="731AE066" w14:textId="77777777" w:rsidR="00A62E29" w:rsidRPr="000C7CFA" w:rsidRDefault="00A62E29" w:rsidP="00222120">
            <w:pPr>
              <w:pStyle w:val="BodyText"/>
              <w:spacing w:after="0"/>
              <w:rPr>
                <w:rFonts w:ascii="Verdana" w:hAnsi="Verdana"/>
                <w:b/>
                <w:bCs/>
                <w:sz w:val="18"/>
                <w:szCs w:val="18"/>
              </w:rPr>
            </w:pPr>
          </w:p>
        </w:tc>
        <w:tc>
          <w:tcPr>
            <w:tcW w:w="1985" w:type="dxa"/>
          </w:tcPr>
          <w:p w14:paraId="691F95D9" w14:textId="77777777" w:rsidR="00A62E29" w:rsidRPr="000C7CFA" w:rsidRDefault="00A62E29" w:rsidP="00222120">
            <w:pPr>
              <w:rPr>
                <w:rFonts w:ascii="Verdana" w:hAnsi="Verdana"/>
                <w:sz w:val="18"/>
                <w:szCs w:val="18"/>
              </w:rPr>
            </w:pPr>
            <w:r w:rsidRPr="000C7CFA">
              <w:rPr>
                <w:rFonts w:ascii="Verdana" w:hAnsi="Verdana"/>
                <w:b/>
                <w:bCs/>
                <w:sz w:val="18"/>
                <w:szCs w:val="18"/>
              </w:rPr>
              <w:t>Daphnid 48-h LC</w:t>
            </w:r>
            <w:r w:rsidRPr="000C7CFA">
              <w:rPr>
                <w:rFonts w:ascii="Verdana" w:hAnsi="Verdana"/>
                <w:b/>
                <w:bCs/>
                <w:sz w:val="18"/>
                <w:szCs w:val="18"/>
                <w:vertAlign w:val="subscript"/>
              </w:rPr>
              <w:t>50</w:t>
            </w:r>
          </w:p>
        </w:tc>
        <w:tc>
          <w:tcPr>
            <w:tcW w:w="1417" w:type="dxa"/>
          </w:tcPr>
          <w:p w14:paraId="7BC49C24" w14:textId="77777777" w:rsidR="00A62E29" w:rsidRPr="000C7CFA" w:rsidRDefault="00A62E29" w:rsidP="00222120">
            <w:pPr>
              <w:jc w:val="center"/>
              <w:rPr>
                <w:rFonts w:ascii="Verdana" w:hAnsi="Verdana"/>
                <w:sz w:val="18"/>
                <w:szCs w:val="18"/>
              </w:rPr>
            </w:pPr>
            <w:r w:rsidRPr="000C7CFA">
              <w:rPr>
                <w:rFonts w:ascii="Verdana" w:hAnsi="Verdana"/>
                <w:sz w:val="18"/>
                <w:szCs w:val="18"/>
              </w:rPr>
              <w:t>0.012</w:t>
            </w:r>
          </w:p>
        </w:tc>
        <w:tc>
          <w:tcPr>
            <w:tcW w:w="1418" w:type="dxa"/>
          </w:tcPr>
          <w:p w14:paraId="40A70A03" w14:textId="77777777" w:rsidR="00A62E29" w:rsidRPr="000C7CFA" w:rsidRDefault="00A62E29" w:rsidP="00222120">
            <w:pPr>
              <w:jc w:val="center"/>
              <w:rPr>
                <w:rFonts w:ascii="Verdana" w:hAnsi="Verdana"/>
                <w:sz w:val="18"/>
                <w:szCs w:val="18"/>
              </w:rPr>
            </w:pPr>
            <w:r w:rsidRPr="000C7CFA">
              <w:rPr>
                <w:rFonts w:ascii="Verdana" w:hAnsi="Verdana"/>
                <w:sz w:val="18"/>
                <w:szCs w:val="18"/>
              </w:rPr>
              <w:t>0.023</w:t>
            </w:r>
          </w:p>
        </w:tc>
        <w:tc>
          <w:tcPr>
            <w:tcW w:w="1417" w:type="dxa"/>
          </w:tcPr>
          <w:p w14:paraId="6337F585" w14:textId="77777777" w:rsidR="00A62E29" w:rsidRPr="000C7CFA" w:rsidRDefault="00A62E29" w:rsidP="00222120">
            <w:pPr>
              <w:jc w:val="center"/>
              <w:rPr>
                <w:rFonts w:ascii="Verdana" w:hAnsi="Verdana"/>
                <w:sz w:val="18"/>
                <w:szCs w:val="18"/>
              </w:rPr>
            </w:pPr>
            <w:r w:rsidRPr="000C7CFA">
              <w:rPr>
                <w:rFonts w:ascii="Verdana" w:hAnsi="Verdana"/>
                <w:sz w:val="18"/>
                <w:szCs w:val="18"/>
              </w:rPr>
              <w:t>8.0E-7*</w:t>
            </w:r>
          </w:p>
        </w:tc>
        <w:tc>
          <w:tcPr>
            <w:tcW w:w="1276" w:type="dxa"/>
          </w:tcPr>
          <w:p w14:paraId="74D2E6C0" w14:textId="77777777" w:rsidR="00A62E29" w:rsidRPr="000C7CFA" w:rsidRDefault="00A62E29" w:rsidP="00222120">
            <w:pPr>
              <w:jc w:val="center"/>
              <w:rPr>
                <w:rFonts w:ascii="Verdana" w:hAnsi="Verdana"/>
                <w:sz w:val="18"/>
                <w:szCs w:val="18"/>
              </w:rPr>
            </w:pPr>
            <w:r w:rsidRPr="000C7CFA">
              <w:rPr>
                <w:rFonts w:ascii="Verdana" w:hAnsi="Verdana"/>
                <w:sz w:val="18"/>
                <w:szCs w:val="18"/>
              </w:rPr>
              <w:t>1.3E-5*</w:t>
            </w:r>
          </w:p>
        </w:tc>
      </w:tr>
      <w:tr w:rsidR="00A62E29" w:rsidRPr="000C7CFA" w14:paraId="76352CA8" w14:textId="77777777" w:rsidTr="00222120">
        <w:tc>
          <w:tcPr>
            <w:tcW w:w="1276" w:type="dxa"/>
            <w:vMerge/>
          </w:tcPr>
          <w:p w14:paraId="3154682B" w14:textId="77777777" w:rsidR="00A62E29" w:rsidRPr="000C7CFA" w:rsidRDefault="00A62E29" w:rsidP="00222120">
            <w:pPr>
              <w:pStyle w:val="BodyText"/>
              <w:spacing w:after="0"/>
              <w:rPr>
                <w:rFonts w:ascii="Verdana" w:hAnsi="Verdana"/>
                <w:b/>
                <w:bCs/>
                <w:sz w:val="18"/>
                <w:szCs w:val="18"/>
              </w:rPr>
            </w:pPr>
          </w:p>
        </w:tc>
        <w:tc>
          <w:tcPr>
            <w:tcW w:w="1985" w:type="dxa"/>
          </w:tcPr>
          <w:p w14:paraId="0E2D0959" w14:textId="77777777" w:rsidR="00A62E29" w:rsidRPr="000C7CFA" w:rsidRDefault="00A62E29" w:rsidP="00222120">
            <w:pPr>
              <w:pStyle w:val="BodyText"/>
              <w:spacing w:after="0"/>
              <w:jc w:val="left"/>
              <w:rPr>
                <w:rFonts w:ascii="Verdana" w:hAnsi="Verdana"/>
                <w:sz w:val="18"/>
                <w:szCs w:val="18"/>
              </w:rPr>
            </w:pPr>
            <w:r w:rsidRPr="000C7CFA">
              <w:rPr>
                <w:rFonts w:ascii="Verdana" w:hAnsi="Verdana"/>
                <w:b/>
                <w:bCs/>
                <w:sz w:val="18"/>
                <w:szCs w:val="18"/>
              </w:rPr>
              <w:t>Algae 96-h EC</w:t>
            </w:r>
            <w:r w:rsidRPr="000C7CFA">
              <w:rPr>
                <w:rFonts w:ascii="Verdana" w:hAnsi="Verdana"/>
                <w:b/>
                <w:bCs/>
                <w:sz w:val="18"/>
                <w:szCs w:val="18"/>
                <w:vertAlign w:val="subscript"/>
              </w:rPr>
              <w:t>50</w:t>
            </w:r>
            <w:r w:rsidRPr="000C7CFA">
              <w:rPr>
                <w:rFonts w:ascii="Verdana" w:hAnsi="Verdana"/>
                <w:b/>
                <w:bCs/>
                <w:sz w:val="18"/>
                <w:szCs w:val="18"/>
              </w:rPr>
              <w:t xml:space="preserve"> </w:t>
            </w:r>
          </w:p>
        </w:tc>
        <w:tc>
          <w:tcPr>
            <w:tcW w:w="1417" w:type="dxa"/>
          </w:tcPr>
          <w:p w14:paraId="70CC58FF" w14:textId="29A20A56" w:rsidR="00A62E29" w:rsidRPr="000C7CFA" w:rsidRDefault="00A62E29" w:rsidP="00222120">
            <w:pPr>
              <w:jc w:val="center"/>
              <w:rPr>
                <w:rFonts w:ascii="Verdana" w:hAnsi="Verdana"/>
                <w:sz w:val="18"/>
                <w:szCs w:val="18"/>
              </w:rPr>
            </w:pPr>
            <w:r w:rsidRPr="000C7CFA">
              <w:rPr>
                <w:rFonts w:ascii="Verdana" w:hAnsi="Verdana"/>
                <w:sz w:val="18"/>
                <w:szCs w:val="18"/>
              </w:rPr>
              <w:t>0.056*</w:t>
            </w:r>
            <w:r w:rsidR="00240728" w:rsidRPr="000C7CFA">
              <w:rPr>
                <w:rFonts w:ascii="Verdana" w:hAnsi="Verdana"/>
                <w:sz w:val="18"/>
                <w:szCs w:val="18"/>
              </w:rPr>
              <w:t>^</w:t>
            </w:r>
          </w:p>
        </w:tc>
        <w:tc>
          <w:tcPr>
            <w:tcW w:w="1418" w:type="dxa"/>
          </w:tcPr>
          <w:p w14:paraId="6A7F1B48" w14:textId="48733E6A" w:rsidR="00A62E29" w:rsidRPr="000C7CFA" w:rsidRDefault="00A62E29" w:rsidP="00222120">
            <w:pPr>
              <w:jc w:val="center"/>
              <w:rPr>
                <w:rFonts w:ascii="Verdana" w:hAnsi="Verdana"/>
                <w:sz w:val="18"/>
                <w:szCs w:val="18"/>
              </w:rPr>
            </w:pPr>
            <w:r w:rsidRPr="000C7CFA">
              <w:rPr>
                <w:rFonts w:ascii="Verdana" w:hAnsi="Verdana"/>
                <w:sz w:val="18"/>
                <w:szCs w:val="18"/>
              </w:rPr>
              <w:t>0.10</w:t>
            </w:r>
            <w:r w:rsidR="00240728" w:rsidRPr="000C7CFA">
              <w:rPr>
                <w:rFonts w:ascii="Verdana" w:hAnsi="Verdana"/>
                <w:sz w:val="18"/>
                <w:szCs w:val="18"/>
              </w:rPr>
              <w:t>^</w:t>
            </w:r>
          </w:p>
        </w:tc>
        <w:tc>
          <w:tcPr>
            <w:tcW w:w="1417" w:type="dxa"/>
          </w:tcPr>
          <w:p w14:paraId="294681AF" w14:textId="082E32B1" w:rsidR="00A62E29" w:rsidRPr="000C7CFA" w:rsidRDefault="00A62E29" w:rsidP="00222120">
            <w:pPr>
              <w:jc w:val="center"/>
              <w:rPr>
                <w:rFonts w:ascii="Verdana" w:hAnsi="Verdana"/>
                <w:sz w:val="18"/>
                <w:szCs w:val="18"/>
              </w:rPr>
            </w:pPr>
            <w:r w:rsidRPr="000C7CFA">
              <w:rPr>
                <w:rFonts w:ascii="Verdana" w:hAnsi="Verdana"/>
                <w:sz w:val="18"/>
                <w:szCs w:val="18"/>
              </w:rPr>
              <w:t>1.6E-5*</w:t>
            </w:r>
            <w:r w:rsidR="00240728" w:rsidRPr="000C7CFA">
              <w:rPr>
                <w:rFonts w:ascii="Verdana" w:hAnsi="Verdana"/>
                <w:sz w:val="18"/>
                <w:szCs w:val="18"/>
              </w:rPr>
              <w:t>^</w:t>
            </w:r>
          </w:p>
        </w:tc>
        <w:tc>
          <w:tcPr>
            <w:tcW w:w="1276" w:type="dxa"/>
          </w:tcPr>
          <w:p w14:paraId="10E9D8F7" w14:textId="6F5B5D08" w:rsidR="00A62E29" w:rsidRPr="000C7CFA" w:rsidRDefault="00A62E29" w:rsidP="00222120">
            <w:pPr>
              <w:jc w:val="center"/>
              <w:rPr>
                <w:rFonts w:ascii="Verdana" w:hAnsi="Verdana"/>
                <w:sz w:val="18"/>
                <w:szCs w:val="18"/>
              </w:rPr>
            </w:pPr>
            <w:r w:rsidRPr="000C7CFA">
              <w:rPr>
                <w:rFonts w:ascii="Verdana" w:hAnsi="Verdana"/>
                <w:sz w:val="18"/>
                <w:szCs w:val="18"/>
              </w:rPr>
              <w:t>1.8E-4*</w:t>
            </w:r>
            <w:r w:rsidR="00240728" w:rsidRPr="000C7CFA">
              <w:rPr>
                <w:rFonts w:ascii="Verdana" w:hAnsi="Verdana"/>
                <w:sz w:val="18"/>
                <w:szCs w:val="18"/>
              </w:rPr>
              <w:t>^</w:t>
            </w:r>
          </w:p>
        </w:tc>
      </w:tr>
      <w:tr w:rsidR="00A62E29" w:rsidRPr="000C7CFA" w14:paraId="1BEA47BD" w14:textId="77777777" w:rsidTr="00222120">
        <w:tc>
          <w:tcPr>
            <w:tcW w:w="1276" w:type="dxa"/>
            <w:vMerge/>
          </w:tcPr>
          <w:p w14:paraId="70FF1A52" w14:textId="77777777" w:rsidR="00A62E29" w:rsidRPr="000C7CFA" w:rsidRDefault="00A62E29" w:rsidP="00222120">
            <w:pPr>
              <w:pStyle w:val="BodyText"/>
              <w:spacing w:after="0"/>
              <w:rPr>
                <w:rFonts w:ascii="Verdana" w:hAnsi="Verdana"/>
                <w:b/>
                <w:bCs/>
                <w:sz w:val="18"/>
                <w:szCs w:val="18"/>
              </w:rPr>
            </w:pPr>
          </w:p>
        </w:tc>
        <w:tc>
          <w:tcPr>
            <w:tcW w:w="1985" w:type="dxa"/>
          </w:tcPr>
          <w:p w14:paraId="05A1AE35" w14:textId="77777777" w:rsidR="00A62E29" w:rsidRPr="000C7CFA" w:rsidRDefault="00A62E29" w:rsidP="00222120">
            <w:pPr>
              <w:rPr>
                <w:rFonts w:ascii="Verdana" w:hAnsi="Verdana"/>
                <w:sz w:val="18"/>
                <w:szCs w:val="18"/>
              </w:rPr>
            </w:pPr>
            <w:r w:rsidRPr="000C7CFA">
              <w:rPr>
                <w:rFonts w:ascii="Verdana" w:hAnsi="Verdana"/>
                <w:b/>
                <w:bCs/>
                <w:sz w:val="18"/>
                <w:szCs w:val="18"/>
              </w:rPr>
              <w:t>Fish ChV</w:t>
            </w:r>
          </w:p>
        </w:tc>
        <w:tc>
          <w:tcPr>
            <w:tcW w:w="1417" w:type="dxa"/>
          </w:tcPr>
          <w:p w14:paraId="26A4E8D1" w14:textId="77777777" w:rsidR="00A62E29" w:rsidRPr="000C7CFA" w:rsidRDefault="00A62E29" w:rsidP="00222120">
            <w:pPr>
              <w:jc w:val="center"/>
              <w:rPr>
                <w:rFonts w:ascii="Verdana" w:hAnsi="Verdana"/>
                <w:sz w:val="18"/>
                <w:szCs w:val="18"/>
              </w:rPr>
            </w:pPr>
            <w:r w:rsidRPr="000C7CFA">
              <w:rPr>
                <w:rFonts w:ascii="Verdana" w:hAnsi="Verdana"/>
                <w:sz w:val="18"/>
                <w:szCs w:val="18"/>
              </w:rPr>
              <w:t>2.5E-4</w:t>
            </w:r>
          </w:p>
        </w:tc>
        <w:tc>
          <w:tcPr>
            <w:tcW w:w="1418" w:type="dxa"/>
          </w:tcPr>
          <w:p w14:paraId="1F84714B" w14:textId="77777777" w:rsidR="00A62E29" w:rsidRPr="000C7CFA" w:rsidRDefault="00A62E29" w:rsidP="00222120">
            <w:pPr>
              <w:jc w:val="center"/>
              <w:rPr>
                <w:rFonts w:ascii="Verdana" w:hAnsi="Verdana"/>
                <w:sz w:val="18"/>
                <w:szCs w:val="18"/>
              </w:rPr>
            </w:pPr>
            <w:r w:rsidRPr="000C7CFA">
              <w:rPr>
                <w:rFonts w:ascii="Verdana" w:hAnsi="Verdana"/>
                <w:sz w:val="18"/>
                <w:szCs w:val="18"/>
              </w:rPr>
              <w:t>6.9E-4</w:t>
            </w:r>
          </w:p>
        </w:tc>
        <w:tc>
          <w:tcPr>
            <w:tcW w:w="1417" w:type="dxa"/>
          </w:tcPr>
          <w:p w14:paraId="36FB1C25" w14:textId="77777777" w:rsidR="00A62E29" w:rsidRPr="000C7CFA" w:rsidRDefault="00A62E29" w:rsidP="00222120">
            <w:pPr>
              <w:jc w:val="center"/>
              <w:rPr>
                <w:rFonts w:ascii="Verdana" w:hAnsi="Verdana"/>
                <w:sz w:val="18"/>
                <w:szCs w:val="18"/>
              </w:rPr>
            </w:pPr>
            <w:r w:rsidRPr="000C7CFA">
              <w:rPr>
                <w:rFonts w:ascii="Verdana" w:hAnsi="Verdana"/>
                <w:sz w:val="18"/>
                <w:szCs w:val="18"/>
              </w:rPr>
              <w:t>4.4E-10</w:t>
            </w:r>
          </w:p>
        </w:tc>
        <w:tc>
          <w:tcPr>
            <w:tcW w:w="1276" w:type="dxa"/>
          </w:tcPr>
          <w:p w14:paraId="5A737F5F" w14:textId="77777777" w:rsidR="00A62E29" w:rsidRPr="000C7CFA" w:rsidRDefault="00A62E29" w:rsidP="00222120">
            <w:pPr>
              <w:jc w:val="center"/>
              <w:rPr>
                <w:rFonts w:ascii="Verdana" w:hAnsi="Verdana"/>
                <w:sz w:val="18"/>
                <w:szCs w:val="18"/>
              </w:rPr>
            </w:pPr>
            <w:r w:rsidRPr="000C7CFA">
              <w:rPr>
                <w:rFonts w:ascii="Verdana" w:hAnsi="Verdana"/>
                <w:sz w:val="18"/>
                <w:szCs w:val="18"/>
              </w:rPr>
              <w:t>2.1E-8</w:t>
            </w:r>
          </w:p>
        </w:tc>
      </w:tr>
      <w:tr w:rsidR="00A62E29" w:rsidRPr="000C7CFA" w14:paraId="4E9B5906" w14:textId="77777777" w:rsidTr="00222120">
        <w:tc>
          <w:tcPr>
            <w:tcW w:w="1276" w:type="dxa"/>
            <w:vMerge/>
          </w:tcPr>
          <w:p w14:paraId="05CEEA8A" w14:textId="77777777" w:rsidR="00A62E29" w:rsidRPr="000C7CFA" w:rsidRDefault="00A62E29" w:rsidP="00222120">
            <w:pPr>
              <w:pStyle w:val="BodyText"/>
              <w:spacing w:after="0"/>
              <w:rPr>
                <w:rFonts w:ascii="Verdana" w:hAnsi="Verdana"/>
                <w:b/>
                <w:bCs/>
                <w:sz w:val="18"/>
                <w:szCs w:val="18"/>
              </w:rPr>
            </w:pPr>
          </w:p>
        </w:tc>
        <w:tc>
          <w:tcPr>
            <w:tcW w:w="1985" w:type="dxa"/>
          </w:tcPr>
          <w:p w14:paraId="6E08718B" w14:textId="77777777" w:rsidR="00A62E29" w:rsidRPr="000C7CFA" w:rsidRDefault="00A62E29" w:rsidP="00222120">
            <w:pPr>
              <w:rPr>
                <w:rFonts w:ascii="Verdana" w:hAnsi="Verdana"/>
                <w:sz w:val="18"/>
                <w:szCs w:val="18"/>
              </w:rPr>
            </w:pPr>
            <w:r w:rsidRPr="000C7CFA">
              <w:rPr>
                <w:rFonts w:ascii="Verdana" w:hAnsi="Verdana"/>
                <w:b/>
                <w:bCs/>
                <w:sz w:val="18"/>
                <w:szCs w:val="18"/>
              </w:rPr>
              <w:t>Daphnid ChV</w:t>
            </w:r>
          </w:p>
        </w:tc>
        <w:tc>
          <w:tcPr>
            <w:tcW w:w="1417" w:type="dxa"/>
          </w:tcPr>
          <w:p w14:paraId="54F8D14A" w14:textId="77777777" w:rsidR="00A62E29" w:rsidRPr="000C7CFA" w:rsidRDefault="00A62E29" w:rsidP="00222120">
            <w:pPr>
              <w:jc w:val="center"/>
              <w:rPr>
                <w:rFonts w:ascii="Verdana" w:hAnsi="Verdana"/>
                <w:sz w:val="18"/>
                <w:szCs w:val="18"/>
              </w:rPr>
            </w:pPr>
            <w:r w:rsidRPr="000C7CFA">
              <w:rPr>
                <w:rFonts w:ascii="Verdana" w:hAnsi="Verdana"/>
                <w:sz w:val="18"/>
                <w:szCs w:val="18"/>
              </w:rPr>
              <w:t>0.016</w:t>
            </w:r>
          </w:p>
        </w:tc>
        <w:tc>
          <w:tcPr>
            <w:tcW w:w="1418" w:type="dxa"/>
          </w:tcPr>
          <w:p w14:paraId="6881DE05" w14:textId="77777777" w:rsidR="00A62E29" w:rsidRPr="000C7CFA" w:rsidRDefault="00A62E29" w:rsidP="00222120">
            <w:pPr>
              <w:jc w:val="center"/>
              <w:rPr>
                <w:rFonts w:ascii="Verdana" w:hAnsi="Verdana"/>
                <w:sz w:val="18"/>
                <w:szCs w:val="18"/>
              </w:rPr>
            </w:pPr>
            <w:r w:rsidRPr="000C7CFA">
              <w:rPr>
                <w:rFonts w:ascii="Verdana" w:hAnsi="Verdana"/>
                <w:sz w:val="18"/>
                <w:szCs w:val="18"/>
              </w:rPr>
              <w:t>0.02</w:t>
            </w:r>
          </w:p>
        </w:tc>
        <w:tc>
          <w:tcPr>
            <w:tcW w:w="1417" w:type="dxa"/>
          </w:tcPr>
          <w:p w14:paraId="592F535C" w14:textId="77777777" w:rsidR="00A62E29" w:rsidRPr="000C7CFA" w:rsidRDefault="00A62E29" w:rsidP="00222120">
            <w:pPr>
              <w:jc w:val="center"/>
              <w:rPr>
                <w:rFonts w:ascii="Verdana" w:hAnsi="Verdana"/>
                <w:sz w:val="18"/>
                <w:szCs w:val="18"/>
              </w:rPr>
            </w:pPr>
            <w:r w:rsidRPr="000C7CFA">
              <w:rPr>
                <w:rFonts w:ascii="Verdana" w:hAnsi="Verdana"/>
                <w:sz w:val="18"/>
                <w:szCs w:val="18"/>
              </w:rPr>
              <w:t>6.0E-4*</w:t>
            </w:r>
          </w:p>
        </w:tc>
        <w:tc>
          <w:tcPr>
            <w:tcW w:w="1276" w:type="dxa"/>
          </w:tcPr>
          <w:p w14:paraId="079DDFB2" w14:textId="77777777" w:rsidR="00A62E29" w:rsidRPr="000C7CFA" w:rsidRDefault="00A62E29" w:rsidP="00222120">
            <w:pPr>
              <w:jc w:val="center"/>
              <w:rPr>
                <w:rFonts w:ascii="Verdana" w:hAnsi="Verdana"/>
                <w:sz w:val="18"/>
                <w:szCs w:val="18"/>
              </w:rPr>
            </w:pPr>
            <w:r w:rsidRPr="000C7CFA">
              <w:rPr>
                <w:rFonts w:ascii="Verdana" w:hAnsi="Verdana"/>
                <w:sz w:val="18"/>
                <w:szCs w:val="18"/>
              </w:rPr>
              <w:t>0.0017*</w:t>
            </w:r>
          </w:p>
        </w:tc>
      </w:tr>
      <w:tr w:rsidR="00A62E29" w:rsidRPr="000C7CFA" w14:paraId="01033ABF" w14:textId="77777777" w:rsidTr="00222120">
        <w:tc>
          <w:tcPr>
            <w:tcW w:w="1276" w:type="dxa"/>
            <w:vMerge/>
          </w:tcPr>
          <w:p w14:paraId="38B31F36" w14:textId="77777777" w:rsidR="00A62E29" w:rsidRPr="000C7CFA" w:rsidRDefault="00A62E29" w:rsidP="00222120">
            <w:pPr>
              <w:pStyle w:val="BodyText"/>
              <w:spacing w:after="0"/>
              <w:rPr>
                <w:rFonts w:ascii="Verdana" w:hAnsi="Verdana"/>
                <w:b/>
                <w:bCs/>
                <w:sz w:val="18"/>
                <w:szCs w:val="18"/>
              </w:rPr>
            </w:pPr>
          </w:p>
        </w:tc>
        <w:tc>
          <w:tcPr>
            <w:tcW w:w="1985" w:type="dxa"/>
          </w:tcPr>
          <w:p w14:paraId="4AC120E6" w14:textId="77777777" w:rsidR="00A62E29" w:rsidRPr="000C7CFA" w:rsidRDefault="00A62E29" w:rsidP="00222120">
            <w:pPr>
              <w:rPr>
                <w:rFonts w:ascii="Verdana" w:hAnsi="Verdana"/>
                <w:sz w:val="18"/>
                <w:szCs w:val="18"/>
              </w:rPr>
            </w:pPr>
            <w:r w:rsidRPr="000C7CFA">
              <w:rPr>
                <w:rFonts w:ascii="Verdana" w:hAnsi="Verdana"/>
                <w:b/>
                <w:bCs/>
                <w:sz w:val="18"/>
                <w:szCs w:val="18"/>
              </w:rPr>
              <w:t>Algae ChV</w:t>
            </w:r>
          </w:p>
        </w:tc>
        <w:tc>
          <w:tcPr>
            <w:tcW w:w="1417" w:type="dxa"/>
          </w:tcPr>
          <w:p w14:paraId="6E17FFED" w14:textId="3EFE1DF9" w:rsidR="00A62E29" w:rsidRPr="000C7CFA" w:rsidRDefault="00A62E29" w:rsidP="00222120">
            <w:pPr>
              <w:jc w:val="center"/>
              <w:rPr>
                <w:rFonts w:ascii="Verdana" w:hAnsi="Verdana"/>
                <w:sz w:val="18"/>
                <w:szCs w:val="18"/>
              </w:rPr>
            </w:pPr>
            <w:r w:rsidRPr="000C7CFA">
              <w:rPr>
                <w:rFonts w:ascii="Verdana" w:hAnsi="Verdana"/>
                <w:sz w:val="18"/>
                <w:szCs w:val="18"/>
              </w:rPr>
              <w:t>0.084*</w:t>
            </w:r>
            <w:r w:rsidR="00240728" w:rsidRPr="000C7CFA">
              <w:rPr>
                <w:rFonts w:ascii="Verdana" w:hAnsi="Verdana"/>
                <w:sz w:val="18"/>
                <w:szCs w:val="18"/>
              </w:rPr>
              <w:t>^</w:t>
            </w:r>
          </w:p>
        </w:tc>
        <w:tc>
          <w:tcPr>
            <w:tcW w:w="1418" w:type="dxa"/>
          </w:tcPr>
          <w:p w14:paraId="29C22847" w14:textId="35D0B399" w:rsidR="00A62E29" w:rsidRPr="000C7CFA" w:rsidRDefault="00A62E29" w:rsidP="00222120">
            <w:pPr>
              <w:jc w:val="center"/>
              <w:rPr>
                <w:rFonts w:ascii="Verdana" w:hAnsi="Verdana"/>
                <w:sz w:val="18"/>
                <w:szCs w:val="18"/>
              </w:rPr>
            </w:pPr>
            <w:r w:rsidRPr="000C7CFA">
              <w:rPr>
                <w:rFonts w:ascii="Verdana" w:hAnsi="Verdana"/>
                <w:sz w:val="18"/>
                <w:szCs w:val="18"/>
              </w:rPr>
              <w:t>0.13</w:t>
            </w:r>
            <w:r w:rsidR="00240728" w:rsidRPr="000C7CFA">
              <w:rPr>
                <w:rFonts w:ascii="Verdana" w:hAnsi="Verdana"/>
                <w:sz w:val="18"/>
                <w:szCs w:val="18"/>
              </w:rPr>
              <w:t>^</w:t>
            </w:r>
          </w:p>
        </w:tc>
        <w:tc>
          <w:tcPr>
            <w:tcW w:w="1417" w:type="dxa"/>
          </w:tcPr>
          <w:p w14:paraId="188FE4F7" w14:textId="77777777" w:rsidR="00A62E29" w:rsidRPr="000C7CFA" w:rsidRDefault="00A62E29" w:rsidP="00222120">
            <w:pPr>
              <w:jc w:val="center"/>
              <w:rPr>
                <w:rFonts w:ascii="Verdana" w:hAnsi="Verdana"/>
                <w:sz w:val="18"/>
                <w:szCs w:val="18"/>
              </w:rPr>
            </w:pPr>
            <w:r w:rsidRPr="000C7CFA">
              <w:rPr>
                <w:rFonts w:ascii="Verdana" w:hAnsi="Verdana"/>
                <w:sz w:val="18"/>
                <w:szCs w:val="18"/>
              </w:rPr>
              <w:t>2.2E-4*^</w:t>
            </w:r>
          </w:p>
        </w:tc>
        <w:tc>
          <w:tcPr>
            <w:tcW w:w="1276" w:type="dxa"/>
          </w:tcPr>
          <w:p w14:paraId="634FA1E8" w14:textId="77777777" w:rsidR="00A62E29" w:rsidRPr="000C7CFA" w:rsidRDefault="00A62E29" w:rsidP="00222120">
            <w:pPr>
              <w:jc w:val="center"/>
              <w:rPr>
                <w:rFonts w:ascii="Verdana" w:hAnsi="Verdana"/>
                <w:sz w:val="18"/>
                <w:szCs w:val="18"/>
              </w:rPr>
            </w:pPr>
            <w:r w:rsidRPr="000C7CFA">
              <w:rPr>
                <w:rFonts w:ascii="Verdana" w:hAnsi="Verdana"/>
                <w:sz w:val="18"/>
                <w:szCs w:val="18"/>
              </w:rPr>
              <w:t>0.0013*^</w:t>
            </w:r>
          </w:p>
        </w:tc>
      </w:tr>
      <w:tr w:rsidR="00A62E29" w:rsidRPr="000C7CFA" w14:paraId="4BFBC188" w14:textId="77777777" w:rsidTr="00222120">
        <w:tc>
          <w:tcPr>
            <w:tcW w:w="1276" w:type="dxa"/>
            <w:vMerge w:val="restart"/>
          </w:tcPr>
          <w:p w14:paraId="73F14F5B" w14:textId="24D1C416" w:rsidR="00A62E29" w:rsidRPr="000C7CFA" w:rsidRDefault="00A62E29" w:rsidP="00222120">
            <w:pPr>
              <w:pStyle w:val="BodyText"/>
              <w:spacing w:after="0"/>
              <w:rPr>
                <w:rFonts w:ascii="Verdana" w:hAnsi="Verdana"/>
                <w:b/>
                <w:bCs/>
                <w:sz w:val="18"/>
                <w:szCs w:val="18"/>
              </w:rPr>
            </w:pPr>
            <w:r w:rsidRPr="000C7CFA">
              <w:rPr>
                <w:rFonts w:ascii="Verdana" w:hAnsi="Verdana"/>
                <w:b/>
                <w:bCs/>
                <w:sz w:val="18"/>
                <w:szCs w:val="18"/>
              </w:rPr>
              <w:t>ECOSAR v1.11, neutral organic</w:t>
            </w:r>
            <w:r w:rsidR="00277DDE" w:rsidRPr="000C7CFA">
              <w:rPr>
                <w:rStyle w:val="FootnoteReference"/>
                <w:rFonts w:ascii="Verdana" w:hAnsi="Verdana"/>
                <w:b/>
                <w:bCs/>
                <w:sz w:val="18"/>
                <w:szCs w:val="18"/>
              </w:rPr>
              <w:footnoteReference w:id="57"/>
            </w:r>
            <w:r w:rsidRPr="000C7CFA">
              <w:rPr>
                <w:rFonts w:ascii="Verdana" w:hAnsi="Verdana"/>
                <w:b/>
                <w:bCs/>
                <w:sz w:val="18"/>
                <w:szCs w:val="18"/>
              </w:rPr>
              <w:t>, mg/L</w:t>
            </w:r>
          </w:p>
          <w:p w14:paraId="0B7E4914" w14:textId="77777777" w:rsidR="00A62E29" w:rsidRPr="000C7CFA" w:rsidRDefault="00A62E29" w:rsidP="00222120">
            <w:pPr>
              <w:pStyle w:val="BodyText"/>
              <w:widowControl w:val="0"/>
              <w:spacing w:after="0"/>
              <w:jc w:val="left"/>
              <w:rPr>
                <w:rFonts w:ascii="Verdana" w:hAnsi="Verdana"/>
                <w:b/>
                <w:bCs/>
                <w:sz w:val="18"/>
                <w:szCs w:val="18"/>
              </w:rPr>
            </w:pPr>
            <w:r w:rsidRPr="000C7CFA">
              <w:rPr>
                <w:rFonts w:ascii="Verdana" w:hAnsi="Verdana"/>
                <w:b/>
                <w:bCs/>
                <w:sz w:val="18"/>
                <w:szCs w:val="18"/>
              </w:rPr>
              <w:br/>
            </w:r>
          </w:p>
        </w:tc>
        <w:tc>
          <w:tcPr>
            <w:tcW w:w="1985" w:type="dxa"/>
          </w:tcPr>
          <w:p w14:paraId="06C63C64" w14:textId="77777777" w:rsidR="00A62E29" w:rsidRPr="000C7CFA" w:rsidRDefault="00A62E29" w:rsidP="00222120">
            <w:pPr>
              <w:rPr>
                <w:rFonts w:ascii="Verdana" w:hAnsi="Verdana"/>
                <w:sz w:val="18"/>
                <w:szCs w:val="18"/>
              </w:rPr>
            </w:pPr>
            <w:r w:rsidRPr="000C7CFA">
              <w:rPr>
                <w:rFonts w:ascii="Verdana" w:hAnsi="Verdana"/>
                <w:b/>
                <w:bCs/>
                <w:sz w:val="18"/>
                <w:szCs w:val="18"/>
              </w:rPr>
              <w:t>Fish 96-h LC</w:t>
            </w:r>
            <w:r w:rsidRPr="000C7CFA">
              <w:rPr>
                <w:rFonts w:ascii="Verdana" w:hAnsi="Verdana"/>
                <w:b/>
                <w:bCs/>
                <w:sz w:val="18"/>
                <w:szCs w:val="18"/>
                <w:vertAlign w:val="subscript"/>
              </w:rPr>
              <w:t>50</w:t>
            </w:r>
          </w:p>
        </w:tc>
        <w:tc>
          <w:tcPr>
            <w:tcW w:w="1417" w:type="dxa"/>
          </w:tcPr>
          <w:p w14:paraId="7E077DAC" w14:textId="77777777" w:rsidR="00A62E29" w:rsidRPr="000C7CFA" w:rsidRDefault="00A62E29" w:rsidP="00222120">
            <w:pPr>
              <w:jc w:val="center"/>
              <w:rPr>
                <w:rFonts w:ascii="Verdana" w:hAnsi="Verdana"/>
                <w:sz w:val="18"/>
                <w:szCs w:val="18"/>
              </w:rPr>
            </w:pPr>
            <w:r w:rsidRPr="000C7CFA">
              <w:rPr>
                <w:rFonts w:ascii="Verdana" w:hAnsi="Verdana"/>
                <w:sz w:val="18"/>
                <w:szCs w:val="18"/>
              </w:rPr>
              <w:t>0.05</w:t>
            </w:r>
          </w:p>
        </w:tc>
        <w:tc>
          <w:tcPr>
            <w:tcW w:w="1418" w:type="dxa"/>
          </w:tcPr>
          <w:p w14:paraId="006D3C47" w14:textId="77777777" w:rsidR="00A62E29" w:rsidRPr="000C7CFA" w:rsidRDefault="00A62E29" w:rsidP="00222120">
            <w:pPr>
              <w:jc w:val="center"/>
              <w:rPr>
                <w:rFonts w:ascii="Verdana" w:hAnsi="Verdana"/>
                <w:sz w:val="18"/>
                <w:szCs w:val="18"/>
              </w:rPr>
            </w:pPr>
            <w:r w:rsidRPr="000C7CFA">
              <w:rPr>
                <w:rFonts w:ascii="Verdana" w:hAnsi="Verdana"/>
                <w:sz w:val="18"/>
                <w:szCs w:val="18"/>
              </w:rPr>
              <w:t>0.10</w:t>
            </w:r>
          </w:p>
        </w:tc>
        <w:tc>
          <w:tcPr>
            <w:tcW w:w="1417" w:type="dxa"/>
          </w:tcPr>
          <w:p w14:paraId="79AE2EF4" w14:textId="77777777" w:rsidR="00A62E29" w:rsidRPr="000C7CFA" w:rsidRDefault="00A62E29" w:rsidP="00222120">
            <w:pPr>
              <w:jc w:val="center"/>
              <w:rPr>
                <w:rFonts w:ascii="Verdana" w:hAnsi="Verdana"/>
                <w:sz w:val="18"/>
                <w:szCs w:val="18"/>
              </w:rPr>
            </w:pPr>
            <w:r w:rsidRPr="000C7CFA">
              <w:rPr>
                <w:rFonts w:ascii="Verdana" w:hAnsi="Verdana"/>
                <w:sz w:val="18"/>
                <w:szCs w:val="18"/>
              </w:rPr>
              <w:t>2.8E-6*</w:t>
            </w:r>
          </w:p>
        </w:tc>
        <w:tc>
          <w:tcPr>
            <w:tcW w:w="1276" w:type="dxa"/>
          </w:tcPr>
          <w:p w14:paraId="2A4C4B91" w14:textId="77777777" w:rsidR="00A62E29" w:rsidRPr="000C7CFA" w:rsidRDefault="00A62E29" w:rsidP="00222120">
            <w:pPr>
              <w:jc w:val="center"/>
              <w:rPr>
                <w:rFonts w:ascii="Verdana" w:hAnsi="Verdana"/>
                <w:sz w:val="18"/>
                <w:szCs w:val="18"/>
              </w:rPr>
            </w:pPr>
            <w:r w:rsidRPr="000C7CFA">
              <w:rPr>
                <w:rFonts w:ascii="Verdana" w:hAnsi="Verdana"/>
                <w:sz w:val="18"/>
                <w:szCs w:val="18"/>
              </w:rPr>
              <w:t>5.0E-5*</w:t>
            </w:r>
          </w:p>
        </w:tc>
      </w:tr>
      <w:tr w:rsidR="00A62E29" w:rsidRPr="000C7CFA" w14:paraId="41728F94" w14:textId="77777777" w:rsidTr="00222120">
        <w:trPr>
          <w:trHeight w:val="421"/>
        </w:trPr>
        <w:tc>
          <w:tcPr>
            <w:tcW w:w="1276" w:type="dxa"/>
            <w:vMerge/>
          </w:tcPr>
          <w:p w14:paraId="143C5FAB" w14:textId="77777777" w:rsidR="00A62E29" w:rsidRPr="000C7CFA" w:rsidRDefault="00A62E29" w:rsidP="00222120">
            <w:pPr>
              <w:pStyle w:val="BodyText"/>
              <w:spacing w:after="0"/>
              <w:rPr>
                <w:rFonts w:ascii="Verdana" w:hAnsi="Verdana"/>
                <w:b/>
                <w:bCs/>
                <w:sz w:val="18"/>
                <w:szCs w:val="18"/>
              </w:rPr>
            </w:pPr>
          </w:p>
        </w:tc>
        <w:tc>
          <w:tcPr>
            <w:tcW w:w="1985" w:type="dxa"/>
          </w:tcPr>
          <w:p w14:paraId="6B2ECDC1" w14:textId="77777777" w:rsidR="00A62E29" w:rsidRPr="000C7CFA" w:rsidRDefault="00A62E29" w:rsidP="00222120">
            <w:pPr>
              <w:rPr>
                <w:rFonts w:ascii="Verdana" w:hAnsi="Verdana"/>
                <w:sz w:val="18"/>
                <w:szCs w:val="18"/>
              </w:rPr>
            </w:pPr>
            <w:r w:rsidRPr="000C7CFA">
              <w:rPr>
                <w:rFonts w:ascii="Verdana" w:hAnsi="Verdana"/>
                <w:b/>
                <w:bCs/>
                <w:sz w:val="18"/>
                <w:szCs w:val="18"/>
              </w:rPr>
              <w:t>Daphnid 48-h LC</w:t>
            </w:r>
            <w:r w:rsidRPr="000C7CFA">
              <w:rPr>
                <w:rFonts w:ascii="Verdana" w:hAnsi="Verdana"/>
                <w:b/>
                <w:bCs/>
                <w:sz w:val="18"/>
                <w:szCs w:val="18"/>
                <w:vertAlign w:val="subscript"/>
              </w:rPr>
              <w:t>50</w:t>
            </w:r>
          </w:p>
        </w:tc>
        <w:tc>
          <w:tcPr>
            <w:tcW w:w="1417" w:type="dxa"/>
          </w:tcPr>
          <w:p w14:paraId="7D984C83" w14:textId="77777777" w:rsidR="00A62E29" w:rsidRPr="000C7CFA" w:rsidRDefault="00A62E29" w:rsidP="00222120">
            <w:pPr>
              <w:jc w:val="center"/>
              <w:rPr>
                <w:rFonts w:ascii="Verdana" w:hAnsi="Verdana"/>
                <w:sz w:val="18"/>
                <w:szCs w:val="18"/>
              </w:rPr>
            </w:pPr>
            <w:r w:rsidRPr="000C7CFA">
              <w:rPr>
                <w:rFonts w:ascii="Verdana" w:hAnsi="Verdana"/>
                <w:sz w:val="18"/>
                <w:szCs w:val="18"/>
              </w:rPr>
              <w:t>0.042</w:t>
            </w:r>
          </w:p>
        </w:tc>
        <w:tc>
          <w:tcPr>
            <w:tcW w:w="1418" w:type="dxa"/>
          </w:tcPr>
          <w:p w14:paraId="56BC30E7" w14:textId="77777777" w:rsidR="00A62E29" w:rsidRPr="000C7CFA" w:rsidRDefault="00A62E29" w:rsidP="00222120">
            <w:pPr>
              <w:jc w:val="center"/>
              <w:rPr>
                <w:rFonts w:ascii="Verdana" w:hAnsi="Verdana"/>
                <w:sz w:val="18"/>
                <w:szCs w:val="18"/>
              </w:rPr>
            </w:pPr>
            <w:r w:rsidRPr="000C7CFA">
              <w:rPr>
                <w:rFonts w:ascii="Verdana" w:hAnsi="Verdana"/>
                <w:sz w:val="18"/>
                <w:szCs w:val="18"/>
              </w:rPr>
              <w:t>0.084</w:t>
            </w:r>
          </w:p>
        </w:tc>
        <w:tc>
          <w:tcPr>
            <w:tcW w:w="1417" w:type="dxa"/>
          </w:tcPr>
          <w:p w14:paraId="0CACFCBE" w14:textId="77777777" w:rsidR="00A62E29" w:rsidRPr="000C7CFA" w:rsidRDefault="00A62E29" w:rsidP="00222120">
            <w:pPr>
              <w:jc w:val="center"/>
              <w:rPr>
                <w:rFonts w:ascii="Verdana" w:hAnsi="Verdana"/>
                <w:sz w:val="18"/>
                <w:szCs w:val="18"/>
              </w:rPr>
            </w:pPr>
            <w:r w:rsidRPr="000C7CFA">
              <w:rPr>
                <w:rFonts w:ascii="Verdana" w:hAnsi="Verdana"/>
                <w:sz w:val="18"/>
                <w:szCs w:val="18"/>
              </w:rPr>
              <w:t>3.8E-6*</w:t>
            </w:r>
          </w:p>
        </w:tc>
        <w:tc>
          <w:tcPr>
            <w:tcW w:w="1276" w:type="dxa"/>
          </w:tcPr>
          <w:p w14:paraId="6368AAEF" w14:textId="77777777" w:rsidR="00A62E29" w:rsidRPr="000C7CFA" w:rsidRDefault="00A62E29" w:rsidP="00222120">
            <w:pPr>
              <w:jc w:val="center"/>
              <w:rPr>
                <w:rFonts w:ascii="Verdana" w:hAnsi="Verdana"/>
                <w:sz w:val="18"/>
                <w:szCs w:val="18"/>
              </w:rPr>
            </w:pPr>
            <w:r w:rsidRPr="000C7CFA">
              <w:rPr>
                <w:rFonts w:ascii="Verdana" w:hAnsi="Verdana"/>
                <w:sz w:val="18"/>
                <w:szCs w:val="18"/>
              </w:rPr>
              <w:t>5.8E-5*</w:t>
            </w:r>
          </w:p>
        </w:tc>
      </w:tr>
      <w:tr w:rsidR="00A62E29" w:rsidRPr="000C7CFA" w14:paraId="39645385" w14:textId="77777777" w:rsidTr="00222120">
        <w:trPr>
          <w:trHeight w:val="285"/>
        </w:trPr>
        <w:tc>
          <w:tcPr>
            <w:tcW w:w="1276" w:type="dxa"/>
            <w:vMerge/>
          </w:tcPr>
          <w:p w14:paraId="62FB0B29" w14:textId="77777777" w:rsidR="00A62E29" w:rsidRPr="000C7CFA" w:rsidRDefault="00A62E29" w:rsidP="00222120">
            <w:pPr>
              <w:pStyle w:val="BodyText"/>
              <w:spacing w:after="0"/>
              <w:rPr>
                <w:rFonts w:ascii="Verdana" w:hAnsi="Verdana"/>
                <w:b/>
                <w:bCs/>
                <w:sz w:val="18"/>
                <w:szCs w:val="18"/>
              </w:rPr>
            </w:pPr>
          </w:p>
        </w:tc>
        <w:tc>
          <w:tcPr>
            <w:tcW w:w="1985" w:type="dxa"/>
          </w:tcPr>
          <w:p w14:paraId="53E82166" w14:textId="77777777" w:rsidR="00A62E29" w:rsidRPr="000C7CFA" w:rsidRDefault="00A62E29" w:rsidP="00222120">
            <w:pPr>
              <w:pStyle w:val="BodyText"/>
              <w:spacing w:after="0"/>
              <w:jc w:val="left"/>
              <w:rPr>
                <w:rFonts w:ascii="Verdana" w:hAnsi="Verdana"/>
                <w:sz w:val="18"/>
                <w:szCs w:val="18"/>
              </w:rPr>
            </w:pPr>
            <w:r w:rsidRPr="000C7CFA">
              <w:rPr>
                <w:rFonts w:ascii="Verdana" w:hAnsi="Verdana"/>
                <w:b/>
                <w:bCs/>
                <w:sz w:val="18"/>
                <w:szCs w:val="18"/>
              </w:rPr>
              <w:t>Algae 96-h EC</w:t>
            </w:r>
            <w:r w:rsidRPr="000C7CFA">
              <w:rPr>
                <w:rFonts w:ascii="Verdana" w:hAnsi="Verdana"/>
                <w:b/>
                <w:bCs/>
                <w:sz w:val="18"/>
                <w:szCs w:val="18"/>
                <w:vertAlign w:val="subscript"/>
              </w:rPr>
              <w:t>50</w:t>
            </w:r>
            <w:r w:rsidRPr="000C7CFA">
              <w:rPr>
                <w:rFonts w:ascii="Verdana" w:hAnsi="Verdana"/>
                <w:b/>
                <w:bCs/>
                <w:sz w:val="18"/>
                <w:szCs w:val="18"/>
              </w:rPr>
              <w:t xml:space="preserve"> </w:t>
            </w:r>
          </w:p>
        </w:tc>
        <w:tc>
          <w:tcPr>
            <w:tcW w:w="1417" w:type="dxa"/>
          </w:tcPr>
          <w:p w14:paraId="0B56296A" w14:textId="21B14B4A" w:rsidR="00A62E29" w:rsidRPr="000C7CFA" w:rsidRDefault="00A62E29" w:rsidP="00222120">
            <w:pPr>
              <w:jc w:val="center"/>
              <w:rPr>
                <w:rFonts w:ascii="Verdana" w:hAnsi="Verdana"/>
                <w:sz w:val="18"/>
                <w:szCs w:val="18"/>
              </w:rPr>
            </w:pPr>
            <w:r w:rsidRPr="000C7CFA">
              <w:rPr>
                <w:rFonts w:ascii="Verdana" w:hAnsi="Verdana"/>
                <w:sz w:val="18"/>
                <w:szCs w:val="18"/>
              </w:rPr>
              <w:t>0.16*</w:t>
            </w:r>
          </w:p>
        </w:tc>
        <w:tc>
          <w:tcPr>
            <w:tcW w:w="1418" w:type="dxa"/>
          </w:tcPr>
          <w:p w14:paraId="037F7571" w14:textId="3E7ECDFD" w:rsidR="00A62E29" w:rsidRPr="000C7CFA" w:rsidRDefault="00A62E29" w:rsidP="00222120">
            <w:pPr>
              <w:jc w:val="center"/>
              <w:rPr>
                <w:rFonts w:ascii="Verdana" w:hAnsi="Verdana"/>
                <w:sz w:val="18"/>
                <w:szCs w:val="18"/>
              </w:rPr>
            </w:pPr>
            <w:r w:rsidRPr="000C7CFA">
              <w:rPr>
                <w:rFonts w:ascii="Verdana" w:hAnsi="Verdana"/>
                <w:sz w:val="18"/>
                <w:szCs w:val="18"/>
              </w:rPr>
              <w:t>0.27*</w:t>
            </w:r>
          </w:p>
        </w:tc>
        <w:tc>
          <w:tcPr>
            <w:tcW w:w="1417" w:type="dxa"/>
          </w:tcPr>
          <w:p w14:paraId="4BC930CA" w14:textId="77777777" w:rsidR="00A62E29" w:rsidRPr="000C7CFA" w:rsidRDefault="00A62E29" w:rsidP="00222120">
            <w:pPr>
              <w:jc w:val="center"/>
              <w:rPr>
                <w:rFonts w:ascii="Verdana" w:hAnsi="Verdana"/>
                <w:sz w:val="18"/>
                <w:szCs w:val="18"/>
              </w:rPr>
            </w:pPr>
            <w:r w:rsidRPr="000C7CFA">
              <w:rPr>
                <w:rFonts w:ascii="Verdana" w:hAnsi="Verdana"/>
                <w:sz w:val="18"/>
                <w:szCs w:val="18"/>
              </w:rPr>
              <w:t>9.4E-5*</w:t>
            </w:r>
          </w:p>
        </w:tc>
        <w:tc>
          <w:tcPr>
            <w:tcW w:w="1276" w:type="dxa"/>
          </w:tcPr>
          <w:p w14:paraId="00618CD4" w14:textId="77777777" w:rsidR="00A62E29" w:rsidRPr="000C7CFA" w:rsidRDefault="00A62E29" w:rsidP="00222120">
            <w:pPr>
              <w:jc w:val="center"/>
              <w:rPr>
                <w:rFonts w:ascii="Verdana" w:hAnsi="Verdana"/>
                <w:sz w:val="18"/>
                <w:szCs w:val="18"/>
              </w:rPr>
            </w:pPr>
            <w:r w:rsidRPr="000C7CFA">
              <w:rPr>
                <w:rFonts w:ascii="Verdana" w:hAnsi="Verdana"/>
                <w:sz w:val="18"/>
                <w:szCs w:val="18"/>
              </w:rPr>
              <w:t>8.5E-4*</w:t>
            </w:r>
          </w:p>
        </w:tc>
      </w:tr>
      <w:tr w:rsidR="00A62E29" w:rsidRPr="000C7CFA" w14:paraId="6F2463C7" w14:textId="77777777" w:rsidTr="00222120">
        <w:tc>
          <w:tcPr>
            <w:tcW w:w="1276" w:type="dxa"/>
            <w:vMerge/>
          </w:tcPr>
          <w:p w14:paraId="58E4D920" w14:textId="77777777" w:rsidR="00A62E29" w:rsidRPr="000C7CFA" w:rsidRDefault="00A62E29" w:rsidP="00222120">
            <w:pPr>
              <w:pStyle w:val="BodyText"/>
              <w:spacing w:after="0"/>
              <w:rPr>
                <w:rFonts w:ascii="Verdana" w:hAnsi="Verdana"/>
                <w:b/>
                <w:bCs/>
                <w:sz w:val="18"/>
                <w:szCs w:val="18"/>
              </w:rPr>
            </w:pPr>
          </w:p>
        </w:tc>
        <w:tc>
          <w:tcPr>
            <w:tcW w:w="1985" w:type="dxa"/>
          </w:tcPr>
          <w:p w14:paraId="5E6A979C" w14:textId="77777777" w:rsidR="00A62E29" w:rsidRPr="000C7CFA" w:rsidRDefault="00A62E29" w:rsidP="00222120">
            <w:pPr>
              <w:rPr>
                <w:rFonts w:ascii="Verdana" w:hAnsi="Verdana"/>
                <w:sz w:val="18"/>
                <w:szCs w:val="18"/>
              </w:rPr>
            </w:pPr>
            <w:r w:rsidRPr="000C7CFA">
              <w:rPr>
                <w:rFonts w:ascii="Verdana" w:hAnsi="Verdana"/>
                <w:b/>
                <w:bCs/>
                <w:sz w:val="18"/>
                <w:szCs w:val="18"/>
              </w:rPr>
              <w:t>Fish ChV</w:t>
            </w:r>
          </w:p>
        </w:tc>
        <w:tc>
          <w:tcPr>
            <w:tcW w:w="1417" w:type="dxa"/>
          </w:tcPr>
          <w:p w14:paraId="3A472698" w14:textId="77777777" w:rsidR="00A62E29" w:rsidRPr="000C7CFA" w:rsidRDefault="00A62E29" w:rsidP="00222120">
            <w:pPr>
              <w:jc w:val="center"/>
              <w:rPr>
                <w:rFonts w:ascii="Verdana" w:hAnsi="Verdana"/>
                <w:sz w:val="18"/>
                <w:szCs w:val="18"/>
              </w:rPr>
            </w:pPr>
            <w:r w:rsidRPr="000C7CFA">
              <w:rPr>
                <w:rFonts w:ascii="Verdana" w:hAnsi="Verdana"/>
                <w:sz w:val="18"/>
                <w:szCs w:val="18"/>
              </w:rPr>
              <w:t>0.008</w:t>
            </w:r>
          </w:p>
        </w:tc>
        <w:tc>
          <w:tcPr>
            <w:tcW w:w="1418" w:type="dxa"/>
          </w:tcPr>
          <w:p w14:paraId="56A076C6" w14:textId="77777777" w:rsidR="00A62E29" w:rsidRPr="000C7CFA" w:rsidRDefault="00A62E29" w:rsidP="00222120">
            <w:pPr>
              <w:jc w:val="center"/>
              <w:rPr>
                <w:rFonts w:ascii="Verdana" w:hAnsi="Verdana"/>
                <w:sz w:val="18"/>
                <w:szCs w:val="18"/>
              </w:rPr>
            </w:pPr>
            <w:r w:rsidRPr="000C7CFA">
              <w:rPr>
                <w:rFonts w:ascii="Verdana" w:hAnsi="Verdana"/>
                <w:sz w:val="18"/>
                <w:szCs w:val="18"/>
              </w:rPr>
              <w:t>0.015</w:t>
            </w:r>
          </w:p>
        </w:tc>
        <w:tc>
          <w:tcPr>
            <w:tcW w:w="1417" w:type="dxa"/>
          </w:tcPr>
          <w:p w14:paraId="64F976CC" w14:textId="77777777" w:rsidR="00A62E29" w:rsidRPr="000C7CFA" w:rsidRDefault="00A62E29" w:rsidP="00222120">
            <w:pPr>
              <w:jc w:val="center"/>
              <w:rPr>
                <w:rFonts w:ascii="Verdana" w:hAnsi="Verdana"/>
                <w:sz w:val="18"/>
                <w:szCs w:val="18"/>
              </w:rPr>
            </w:pPr>
            <w:r w:rsidRPr="000C7CFA">
              <w:rPr>
                <w:rFonts w:ascii="Verdana" w:hAnsi="Verdana"/>
                <w:sz w:val="18"/>
                <w:szCs w:val="18"/>
              </w:rPr>
              <w:t>7.5E-7*</w:t>
            </w:r>
          </w:p>
        </w:tc>
        <w:tc>
          <w:tcPr>
            <w:tcW w:w="1276" w:type="dxa"/>
          </w:tcPr>
          <w:p w14:paraId="514F6D64" w14:textId="77777777" w:rsidR="00A62E29" w:rsidRPr="000C7CFA" w:rsidRDefault="00A62E29" w:rsidP="00222120">
            <w:pPr>
              <w:jc w:val="center"/>
              <w:rPr>
                <w:rFonts w:ascii="Verdana" w:hAnsi="Verdana"/>
                <w:sz w:val="18"/>
                <w:szCs w:val="18"/>
              </w:rPr>
            </w:pPr>
            <w:r w:rsidRPr="000C7CFA">
              <w:rPr>
                <w:rFonts w:ascii="Verdana" w:hAnsi="Verdana"/>
                <w:sz w:val="18"/>
                <w:szCs w:val="18"/>
              </w:rPr>
              <w:t>1.1E-5*</w:t>
            </w:r>
          </w:p>
        </w:tc>
      </w:tr>
      <w:tr w:rsidR="00A62E29" w:rsidRPr="000C7CFA" w14:paraId="2E396A70" w14:textId="77777777" w:rsidTr="00222120">
        <w:tc>
          <w:tcPr>
            <w:tcW w:w="1276" w:type="dxa"/>
            <w:vMerge/>
          </w:tcPr>
          <w:p w14:paraId="6214A9F3" w14:textId="77777777" w:rsidR="00A62E29" w:rsidRPr="000C7CFA" w:rsidRDefault="00A62E29" w:rsidP="00222120">
            <w:pPr>
              <w:pStyle w:val="BodyText"/>
              <w:spacing w:after="0"/>
              <w:rPr>
                <w:rFonts w:ascii="Verdana" w:hAnsi="Verdana"/>
                <w:b/>
                <w:bCs/>
                <w:sz w:val="18"/>
                <w:szCs w:val="18"/>
              </w:rPr>
            </w:pPr>
          </w:p>
        </w:tc>
        <w:tc>
          <w:tcPr>
            <w:tcW w:w="1985" w:type="dxa"/>
          </w:tcPr>
          <w:p w14:paraId="4DC8B567" w14:textId="77777777" w:rsidR="00A62E29" w:rsidRPr="000C7CFA" w:rsidRDefault="00A62E29" w:rsidP="00222120">
            <w:pPr>
              <w:rPr>
                <w:rFonts w:ascii="Verdana" w:hAnsi="Verdana"/>
                <w:sz w:val="18"/>
                <w:szCs w:val="18"/>
              </w:rPr>
            </w:pPr>
            <w:r w:rsidRPr="000C7CFA">
              <w:rPr>
                <w:rFonts w:ascii="Verdana" w:hAnsi="Verdana"/>
                <w:b/>
                <w:bCs/>
                <w:sz w:val="18"/>
                <w:szCs w:val="18"/>
              </w:rPr>
              <w:t>Daphnid ChV</w:t>
            </w:r>
          </w:p>
        </w:tc>
        <w:tc>
          <w:tcPr>
            <w:tcW w:w="1417" w:type="dxa"/>
          </w:tcPr>
          <w:p w14:paraId="27E4205D" w14:textId="77777777" w:rsidR="00A62E29" w:rsidRPr="000C7CFA" w:rsidRDefault="00A62E29" w:rsidP="00222120">
            <w:pPr>
              <w:jc w:val="center"/>
              <w:rPr>
                <w:rFonts w:ascii="Verdana" w:hAnsi="Verdana"/>
                <w:sz w:val="18"/>
                <w:szCs w:val="18"/>
              </w:rPr>
            </w:pPr>
            <w:r w:rsidRPr="000C7CFA">
              <w:rPr>
                <w:rFonts w:ascii="Verdana" w:hAnsi="Verdana"/>
                <w:sz w:val="18"/>
                <w:szCs w:val="18"/>
              </w:rPr>
              <w:t>0.012</w:t>
            </w:r>
          </w:p>
        </w:tc>
        <w:tc>
          <w:tcPr>
            <w:tcW w:w="1418" w:type="dxa"/>
          </w:tcPr>
          <w:p w14:paraId="75BA517F" w14:textId="77777777" w:rsidR="00A62E29" w:rsidRPr="000C7CFA" w:rsidRDefault="00A62E29" w:rsidP="00222120">
            <w:pPr>
              <w:jc w:val="center"/>
              <w:rPr>
                <w:rFonts w:ascii="Verdana" w:hAnsi="Verdana"/>
                <w:sz w:val="18"/>
                <w:szCs w:val="18"/>
              </w:rPr>
            </w:pPr>
            <w:r w:rsidRPr="000C7CFA">
              <w:rPr>
                <w:rFonts w:ascii="Verdana" w:hAnsi="Verdana"/>
                <w:sz w:val="18"/>
                <w:szCs w:val="18"/>
              </w:rPr>
              <w:t>0.022</w:t>
            </w:r>
          </w:p>
        </w:tc>
        <w:tc>
          <w:tcPr>
            <w:tcW w:w="1417" w:type="dxa"/>
          </w:tcPr>
          <w:p w14:paraId="07D55A72" w14:textId="77777777" w:rsidR="00A62E29" w:rsidRPr="000C7CFA" w:rsidRDefault="00A62E29" w:rsidP="00222120">
            <w:pPr>
              <w:jc w:val="center"/>
              <w:rPr>
                <w:rFonts w:ascii="Verdana" w:hAnsi="Verdana"/>
                <w:sz w:val="18"/>
                <w:szCs w:val="18"/>
              </w:rPr>
            </w:pPr>
            <w:r w:rsidRPr="000C7CFA">
              <w:rPr>
                <w:rFonts w:ascii="Verdana" w:hAnsi="Verdana"/>
                <w:sz w:val="18"/>
                <w:szCs w:val="18"/>
              </w:rPr>
              <w:t>3.9E-6*</w:t>
            </w:r>
          </w:p>
        </w:tc>
        <w:tc>
          <w:tcPr>
            <w:tcW w:w="1276" w:type="dxa"/>
          </w:tcPr>
          <w:p w14:paraId="1EFB6AB5" w14:textId="77777777" w:rsidR="00A62E29" w:rsidRPr="000C7CFA" w:rsidRDefault="00A62E29" w:rsidP="00222120">
            <w:pPr>
              <w:jc w:val="center"/>
              <w:rPr>
                <w:rFonts w:ascii="Verdana" w:hAnsi="Verdana"/>
                <w:sz w:val="18"/>
                <w:szCs w:val="18"/>
              </w:rPr>
            </w:pPr>
            <w:r w:rsidRPr="000C7CFA">
              <w:rPr>
                <w:rFonts w:ascii="Verdana" w:hAnsi="Verdana"/>
                <w:sz w:val="18"/>
                <w:szCs w:val="18"/>
              </w:rPr>
              <w:t>4.2E-5*</w:t>
            </w:r>
          </w:p>
        </w:tc>
      </w:tr>
      <w:tr w:rsidR="00A62E29" w:rsidRPr="000C7CFA" w14:paraId="60C5897B" w14:textId="77777777" w:rsidTr="00222120">
        <w:tc>
          <w:tcPr>
            <w:tcW w:w="1276" w:type="dxa"/>
            <w:vMerge/>
          </w:tcPr>
          <w:p w14:paraId="6BB50581" w14:textId="77777777" w:rsidR="00A62E29" w:rsidRPr="000C7CFA" w:rsidRDefault="00A62E29" w:rsidP="00222120">
            <w:pPr>
              <w:pStyle w:val="BodyText"/>
              <w:spacing w:after="0"/>
              <w:rPr>
                <w:rFonts w:ascii="Verdana" w:hAnsi="Verdana"/>
                <w:b/>
                <w:bCs/>
                <w:sz w:val="18"/>
                <w:szCs w:val="18"/>
              </w:rPr>
            </w:pPr>
          </w:p>
        </w:tc>
        <w:tc>
          <w:tcPr>
            <w:tcW w:w="1985" w:type="dxa"/>
          </w:tcPr>
          <w:p w14:paraId="1AA11642" w14:textId="77777777" w:rsidR="00A62E29" w:rsidRPr="000C7CFA" w:rsidRDefault="00A62E29" w:rsidP="00222120">
            <w:pPr>
              <w:rPr>
                <w:rFonts w:ascii="Verdana" w:hAnsi="Verdana"/>
                <w:sz w:val="18"/>
                <w:szCs w:val="18"/>
              </w:rPr>
            </w:pPr>
            <w:r w:rsidRPr="000C7CFA">
              <w:rPr>
                <w:rFonts w:ascii="Verdana" w:hAnsi="Verdana"/>
                <w:b/>
                <w:bCs/>
                <w:sz w:val="18"/>
                <w:szCs w:val="18"/>
              </w:rPr>
              <w:t>Algae ChV</w:t>
            </w:r>
          </w:p>
        </w:tc>
        <w:tc>
          <w:tcPr>
            <w:tcW w:w="1417" w:type="dxa"/>
          </w:tcPr>
          <w:p w14:paraId="30DFA723" w14:textId="77777777" w:rsidR="00A62E29" w:rsidRPr="000C7CFA" w:rsidRDefault="00A62E29" w:rsidP="00222120">
            <w:pPr>
              <w:jc w:val="center"/>
              <w:rPr>
                <w:rFonts w:ascii="Verdana" w:hAnsi="Verdana"/>
                <w:sz w:val="18"/>
                <w:szCs w:val="18"/>
              </w:rPr>
            </w:pPr>
            <w:r w:rsidRPr="000C7CFA">
              <w:rPr>
                <w:rFonts w:ascii="Verdana" w:hAnsi="Verdana"/>
                <w:sz w:val="18"/>
                <w:szCs w:val="18"/>
              </w:rPr>
              <w:t>0.10</w:t>
            </w:r>
          </w:p>
        </w:tc>
        <w:tc>
          <w:tcPr>
            <w:tcW w:w="1418" w:type="dxa"/>
          </w:tcPr>
          <w:p w14:paraId="0F1BB64B" w14:textId="77777777" w:rsidR="00A62E29" w:rsidRPr="000C7CFA" w:rsidRDefault="00A62E29" w:rsidP="00222120">
            <w:pPr>
              <w:jc w:val="center"/>
              <w:rPr>
                <w:rFonts w:ascii="Verdana" w:hAnsi="Verdana"/>
                <w:sz w:val="18"/>
                <w:szCs w:val="18"/>
              </w:rPr>
            </w:pPr>
            <w:r w:rsidRPr="000C7CFA">
              <w:rPr>
                <w:rFonts w:ascii="Verdana" w:hAnsi="Verdana"/>
                <w:sz w:val="18"/>
                <w:szCs w:val="18"/>
              </w:rPr>
              <w:t>0.16</w:t>
            </w:r>
          </w:p>
        </w:tc>
        <w:tc>
          <w:tcPr>
            <w:tcW w:w="1417" w:type="dxa"/>
          </w:tcPr>
          <w:p w14:paraId="352D2726" w14:textId="77777777" w:rsidR="00A62E29" w:rsidRPr="000C7CFA" w:rsidRDefault="00A62E29" w:rsidP="00222120">
            <w:pPr>
              <w:jc w:val="center"/>
              <w:rPr>
                <w:rFonts w:ascii="Verdana" w:hAnsi="Verdana"/>
                <w:sz w:val="18"/>
                <w:szCs w:val="18"/>
              </w:rPr>
            </w:pPr>
            <w:r w:rsidRPr="000C7CFA">
              <w:rPr>
                <w:rFonts w:ascii="Verdana" w:hAnsi="Verdana"/>
                <w:sz w:val="18"/>
                <w:szCs w:val="18"/>
              </w:rPr>
              <w:t>1.6E-4*</w:t>
            </w:r>
          </w:p>
        </w:tc>
        <w:tc>
          <w:tcPr>
            <w:tcW w:w="1276" w:type="dxa"/>
          </w:tcPr>
          <w:p w14:paraId="2043B6B9" w14:textId="77777777" w:rsidR="00A62E29" w:rsidRPr="000C7CFA" w:rsidRDefault="00A62E29" w:rsidP="00222120">
            <w:pPr>
              <w:jc w:val="center"/>
              <w:rPr>
                <w:rFonts w:ascii="Verdana" w:hAnsi="Verdana"/>
                <w:sz w:val="18"/>
                <w:szCs w:val="18"/>
              </w:rPr>
            </w:pPr>
            <w:r w:rsidRPr="000C7CFA">
              <w:rPr>
                <w:rFonts w:ascii="Verdana" w:hAnsi="Verdana"/>
                <w:sz w:val="18"/>
                <w:szCs w:val="18"/>
              </w:rPr>
              <w:t>0.0011*</w:t>
            </w:r>
          </w:p>
        </w:tc>
      </w:tr>
      <w:tr w:rsidR="00A62E29" w:rsidRPr="000C7CFA" w14:paraId="70D6F844" w14:textId="77777777" w:rsidTr="00222120">
        <w:tc>
          <w:tcPr>
            <w:tcW w:w="3261" w:type="dxa"/>
            <w:gridSpan w:val="2"/>
          </w:tcPr>
          <w:p w14:paraId="15382F51" w14:textId="47B37C03" w:rsidR="00A62E29" w:rsidRPr="000C7CFA" w:rsidRDefault="00A11FA5" w:rsidP="00222120">
            <w:pPr>
              <w:rPr>
                <w:rFonts w:ascii="Verdana" w:hAnsi="Verdana"/>
                <w:sz w:val="18"/>
                <w:szCs w:val="18"/>
              </w:rPr>
            </w:pPr>
            <w:r w:rsidRPr="000C7CFA">
              <w:rPr>
                <w:rFonts w:ascii="Verdana" w:hAnsi="Verdana"/>
                <w:b/>
                <w:bCs/>
                <w:sz w:val="18"/>
                <w:szCs w:val="18"/>
              </w:rPr>
              <w:t>Harmonized</w:t>
            </w:r>
            <w:r w:rsidR="00A62E29" w:rsidRPr="000C7CFA">
              <w:rPr>
                <w:rFonts w:ascii="Verdana" w:hAnsi="Verdana"/>
                <w:b/>
                <w:bCs/>
                <w:sz w:val="18"/>
                <w:szCs w:val="18"/>
              </w:rPr>
              <w:t xml:space="preserve"> classification under the CLP Regulation</w:t>
            </w:r>
          </w:p>
        </w:tc>
        <w:tc>
          <w:tcPr>
            <w:tcW w:w="1417" w:type="dxa"/>
          </w:tcPr>
          <w:p w14:paraId="277C0507" w14:textId="0A2D961D" w:rsidR="00A62E29" w:rsidRPr="000C7CFA" w:rsidRDefault="00A62E29" w:rsidP="00222120">
            <w:pPr>
              <w:spacing w:after="0"/>
              <w:jc w:val="center"/>
              <w:rPr>
                <w:rFonts w:ascii="Verdana" w:hAnsi="Verdana"/>
                <w:sz w:val="18"/>
                <w:szCs w:val="18"/>
                <w:lang w:val="fr-FR"/>
              </w:rPr>
            </w:pPr>
            <w:r w:rsidRPr="000C7CFA">
              <w:rPr>
                <w:rFonts w:ascii="Verdana" w:hAnsi="Verdana"/>
                <w:sz w:val="18"/>
                <w:szCs w:val="18"/>
                <w:lang w:val="fr-FR"/>
              </w:rPr>
              <w:t xml:space="preserve">Acute Tox. 4 </w:t>
            </w:r>
          </w:p>
          <w:p w14:paraId="5BD9A5C6" w14:textId="77777777" w:rsidR="00A62E29" w:rsidRPr="000C7CFA" w:rsidRDefault="00A62E29" w:rsidP="00222120">
            <w:pPr>
              <w:spacing w:after="0"/>
              <w:jc w:val="center"/>
              <w:rPr>
                <w:rFonts w:ascii="Verdana" w:hAnsi="Verdana"/>
                <w:sz w:val="18"/>
                <w:szCs w:val="18"/>
                <w:lang w:val="fr-FR"/>
              </w:rPr>
            </w:pPr>
            <w:r w:rsidRPr="000C7CFA">
              <w:rPr>
                <w:rFonts w:ascii="Verdana" w:hAnsi="Verdana"/>
                <w:sz w:val="18"/>
                <w:szCs w:val="18"/>
                <w:lang w:val="fr-FR"/>
              </w:rPr>
              <w:t>Carc. 2</w:t>
            </w:r>
          </w:p>
          <w:p w14:paraId="47B97AAA" w14:textId="77777777" w:rsidR="00A62E29" w:rsidRPr="000C7CFA" w:rsidRDefault="00A62E29" w:rsidP="00222120">
            <w:pPr>
              <w:spacing w:after="0"/>
              <w:jc w:val="center"/>
              <w:rPr>
                <w:rFonts w:ascii="Verdana" w:hAnsi="Verdana"/>
                <w:sz w:val="18"/>
                <w:szCs w:val="18"/>
                <w:lang w:val="fr-FR"/>
              </w:rPr>
            </w:pPr>
            <w:r w:rsidRPr="000C7CFA">
              <w:rPr>
                <w:rFonts w:ascii="Verdana" w:hAnsi="Verdana"/>
                <w:sz w:val="18"/>
                <w:szCs w:val="18"/>
                <w:lang w:val="fr-FR"/>
              </w:rPr>
              <w:t xml:space="preserve">Aq. Acute 1 </w:t>
            </w:r>
          </w:p>
          <w:p w14:paraId="31A3AE84" w14:textId="77777777" w:rsidR="00A62E29" w:rsidRPr="000C7CFA" w:rsidRDefault="00A62E29" w:rsidP="00222120">
            <w:pPr>
              <w:spacing w:after="0"/>
              <w:jc w:val="center"/>
              <w:rPr>
                <w:rFonts w:ascii="Verdana" w:hAnsi="Verdana"/>
                <w:sz w:val="18"/>
                <w:szCs w:val="18"/>
              </w:rPr>
            </w:pPr>
            <w:r w:rsidRPr="000C7CFA">
              <w:rPr>
                <w:rFonts w:ascii="Verdana" w:hAnsi="Verdana"/>
                <w:sz w:val="18"/>
                <w:szCs w:val="18"/>
              </w:rPr>
              <w:t>Aq. Chronic 1</w:t>
            </w:r>
          </w:p>
          <w:p w14:paraId="6F6AC0DD" w14:textId="77777777" w:rsidR="00A62E29" w:rsidRPr="000C7CFA" w:rsidRDefault="00A62E29" w:rsidP="00222120">
            <w:pPr>
              <w:spacing w:after="0"/>
              <w:jc w:val="center"/>
              <w:rPr>
                <w:rFonts w:ascii="Verdana" w:hAnsi="Verdana"/>
                <w:sz w:val="18"/>
                <w:szCs w:val="18"/>
              </w:rPr>
            </w:pPr>
          </w:p>
        </w:tc>
        <w:tc>
          <w:tcPr>
            <w:tcW w:w="1418" w:type="dxa"/>
          </w:tcPr>
          <w:p w14:paraId="6D75BFFD" w14:textId="11E492A1" w:rsidR="00A62E29" w:rsidRPr="000C7CFA" w:rsidRDefault="00A62E29" w:rsidP="00222120">
            <w:pPr>
              <w:spacing w:after="0"/>
              <w:jc w:val="center"/>
              <w:rPr>
                <w:rFonts w:ascii="Verdana" w:hAnsi="Verdana"/>
                <w:sz w:val="18"/>
                <w:szCs w:val="18"/>
              </w:rPr>
            </w:pPr>
            <w:r w:rsidRPr="000C7CFA">
              <w:rPr>
                <w:rFonts w:ascii="Verdana" w:hAnsi="Verdana"/>
                <w:sz w:val="18"/>
                <w:szCs w:val="18"/>
              </w:rPr>
              <w:t xml:space="preserve">Acute Tox. 3 </w:t>
            </w:r>
          </w:p>
          <w:p w14:paraId="595347B7" w14:textId="77777777" w:rsidR="00A62E29" w:rsidRPr="000C7CFA" w:rsidRDefault="00A62E29" w:rsidP="00222120">
            <w:pPr>
              <w:spacing w:after="0"/>
              <w:jc w:val="center"/>
              <w:rPr>
                <w:rFonts w:ascii="Verdana" w:hAnsi="Verdana"/>
                <w:sz w:val="18"/>
                <w:szCs w:val="18"/>
              </w:rPr>
            </w:pPr>
            <w:r w:rsidRPr="000C7CFA">
              <w:rPr>
                <w:rFonts w:ascii="Verdana" w:hAnsi="Verdana"/>
                <w:sz w:val="18"/>
                <w:szCs w:val="18"/>
              </w:rPr>
              <w:t>Carc. 2</w:t>
            </w:r>
          </w:p>
          <w:p w14:paraId="6AF32C97" w14:textId="39E3189D" w:rsidR="00A62E29" w:rsidRPr="000C7CFA" w:rsidRDefault="00277DDE" w:rsidP="00222120">
            <w:pPr>
              <w:spacing w:after="0"/>
              <w:jc w:val="center"/>
              <w:rPr>
                <w:rFonts w:ascii="Verdana" w:hAnsi="Verdana"/>
                <w:sz w:val="18"/>
                <w:szCs w:val="18"/>
              </w:rPr>
            </w:pPr>
            <w:r w:rsidRPr="000C7CFA">
              <w:rPr>
                <w:rFonts w:ascii="Verdana" w:hAnsi="Verdana"/>
                <w:sz w:val="18"/>
                <w:szCs w:val="18"/>
              </w:rPr>
              <w:t>STOT RE 2</w:t>
            </w:r>
            <w:r w:rsidR="00A62E29" w:rsidRPr="000C7CFA">
              <w:rPr>
                <w:rFonts w:ascii="Verdana" w:hAnsi="Verdana"/>
                <w:sz w:val="18"/>
                <w:szCs w:val="18"/>
              </w:rPr>
              <w:t xml:space="preserve"> </w:t>
            </w:r>
          </w:p>
          <w:p w14:paraId="3E1D7A04" w14:textId="77777777" w:rsidR="00222120" w:rsidRPr="000C7CFA" w:rsidRDefault="00A62E29" w:rsidP="00222120">
            <w:pPr>
              <w:spacing w:after="0"/>
              <w:jc w:val="center"/>
              <w:rPr>
                <w:rFonts w:ascii="Verdana" w:hAnsi="Verdana"/>
                <w:sz w:val="18"/>
                <w:szCs w:val="18"/>
              </w:rPr>
            </w:pPr>
            <w:r w:rsidRPr="000C7CFA">
              <w:rPr>
                <w:rFonts w:ascii="Verdana" w:hAnsi="Verdana"/>
                <w:sz w:val="18"/>
                <w:szCs w:val="18"/>
              </w:rPr>
              <w:t>Aq. Acute 1</w:t>
            </w:r>
          </w:p>
          <w:p w14:paraId="14C3409C" w14:textId="0BDED2DC" w:rsidR="00A62E29" w:rsidRPr="000C7CFA" w:rsidRDefault="00A62E29" w:rsidP="00222120">
            <w:pPr>
              <w:spacing w:after="0"/>
              <w:jc w:val="center"/>
              <w:rPr>
                <w:rFonts w:ascii="Verdana" w:hAnsi="Verdana"/>
                <w:sz w:val="18"/>
                <w:szCs w:val="18"/>
              </w:rPr>
            </w:pPr>
            <w:r w:rsidRPr="000C7CFA">
              <w:rPr>
                <w:rFonts w:ascii="Verdana" w:hAnsi="Verdana"/>
                <w:sz w:val="18"/>
                <w:szCs w:val="18"/>
              </w:rPr>
              <w:t>Aq. Chronic 1</w:t>
            </w:r>
          </w:p>
        </w:tc>
        <w:tc>
          <w:tcPr>
            <w:tcW w:w="1417" w:type="dxa"/>
          </w:tcPr>
          <w:p w14:paraId="21926BC1" w14:textId="77777777" w:rsidR="00A62E29" w:rsidRPr="000C7CFA" w:rsidRDefault="00A62E29" w:rsidP="00222120">
            <w:pPr>
              <w:jc w:val="center"/>
              <w:rPr>
                <w:rFonts w:ascii="Verdana" w:hAnsi="Verdana"/>
                <w:sz w:val="18"/>
                <w:szCs w:val="18"/>
              </w:rPr>
            </w:pPr>
            <w:r w:rsidRPr="000C7CFA">
              <w:rPr>
                <w:rFonts w:ascii="Verdana" w:hAnsi="Verdana"/>
                <w:sz w:val="18"/>
                <w:szCs w:val="18"/>
              </w:rPr>
              <w:t>-</w:t>
            </w:r>
          </w:p>
        </w:tc>
        <w:tc>
          <w:tcPr>
            <w:tcW w:w="1276" w:type="dxa"/>
          </w:tcPr>
          <w:p w14:paraId="093C7EBE" w14:textId="77777777" w:rsidR="00A62E29" w:rsidRPr="000C7CFA" w:rsidRDefault="00A62E29" w:rsidP="00222120">
            <w:pPr>
              <w:jc w:val="center"/>
              <w:rPr>
                <w:rFonts w:ascii="Verdana" w:hAnsi="Verdana"/>
                <w:sz w:val="18"/>
                <w:szCs w:val="18"/>
              </w:rPr>
            </w:pPr>
            <w:r w:rsidRPr="000C7CFA">
              <w:rPr>
                <w:rFonts w:ascii="Verdana" w:hAnsi="Verdana"/>
                <w:sz w:val="18"/>
                <w:szCs w:val="18"/>
              </w:rPr>
              <w:t>-</w:t>
            </w:r>
          </w:p>
        </w:tc>
      </w:tr>
    </w:tbl>
    <w:p w14:paraId="384F4D08" w14:textId="77777777" w:rsidR="00A62E29" w:rsidRPr="000C7CFA" w:rsidRDefault="00A62E29" w:rsidP="00A62E29">
      <w:pPr>
        <w:rPr>
          <w:rFonts w:ascii="Verdana" w:hAnsi="Verdana"/>
          <w:sz w:val="18"/>
          <w:szCs w:val="18"/>
        </w:rPr>
      </w:pPr>
      <w:r w:rsidRPr="000C7CFA">
        <w:rPr>
          <w:rFonts w:ascii="Verdana" w:hAnsi="Verdana"/>
          <w:sz w:val="18"/>
          <w:szCs w:val="18"/>
        </w:rPr>
        <w:t>NOTES:</w:t>
      </w:r>
    </w:p>
    <w:p w14:paraId="554AF796" w14:textId="77777777" w:rsidR="00A62E29" w:rsidRPr="000C7CFA" w:rsidRDefault="00A62E29" w:rsidP="00A62E29">
      <w:pPr>
        <w:pStyle w:val="ListParagraph"/>
        <w:widowControl w:val="0"/>
        <w:numPr>
          <w:ilvl w:val="0"/>
          <w:numId w:val="22"/>
        </w:numPr>
        <w:spacing w:after="0" w:line="240" w:lineRule="auto"/>
        <w:ind w:left="284" w:hanging="284"/>
        <w:jc w:val="both"/>
        <w:rPr>
          <w:rFonts w:ascii="Verdana" w:hAnsi="Verdana"/>
          <w:sz w:val="18"/>
          <w:szCs w:val="18"/>
        </w:rPr>
      </w:pPr>
      <w:r w:rsidRPr="000C7CFA">
        <w:rPr>
          <w:rFonts w:ascii="Verdana" w:hAnsi="Verdana"/>
          <w:sz w:val="18"/>
          <w:szCs w:val="18"/>
        </w:rPr>
        <w:t xml:space="preserve">ChV (Chronic Value) is the geometric mean of the no observed effect concentration (NOEC) and the lowest observed effect concentration (LOEC). This can be mathematically </w:t>
      </w:r>
      <w:r w:rsidRPr="000C7CFA">
        <w:rPr>
          <w:rFonts w:ascii="Verdana" w:hAnsi="Verdana"/>
          <w:sz w:val="18"/>
          <w:szCs w:val="18"/>
        </w:rPr>
        <w:lastRenderedPageBreak/>
        <w:t>represented as: ChV = 10</w:t>
      </w:r>
      <w:proofErr w:type="gramStart"/>
      <w:r w:rsidRPr="000C7CFA">
        <w:rPr>
          <w:rFonts w:ascii="Verdana" w:hAnsi="Verdana"/>
          <w:sz w:val="18"/>
          <w:szCs w:val="18"/>
        </w:rPr>
        <w:t>^(</w:t>
      </w:r>
      <w:proofErr w:type="gramEnd"/>
      <w:r w:rsidRPr="000C7CFA">
        <w:rPr>
          <w:rFonts w:ascii="Verdana" w:hAnsi="Verdana"/>
          <w:sz w:val="18"/>
          <w:szCs w:val="18"/>
        </w:rPr>
        <w:t>[log (LOEC x NOEC)]/2). NOEC values can be derived from predicted ChV values by dividing by √2.</w:t>
      </w:r>
    </w:p>
    <w:p w14:paraId="38091181" w14:textId="77777777" w:rsidR="00A62E29" w:rsidRPr="000C7CFA" w:rsidRDefault="00A62E29" w:rsidP="00A62E29">
      <w:pPr>
        <w:pStyle w:val="ListParagraph"/>
        <w:widowControl w:val="0"/>
        <w:numPr>
          <w:ilvl w:val="0"/>
          <w:numId w:val="22"/>
        </w:numPr>
        <w:spacing w:after="0" w:line="240" w:lineRule="auto"/>
        <w:ind w:left="284" w:hanging="284"/>
        <w:jc w:val="both"/>
        <w:rPr>
          <w:rFonts w:ascii="Verdana" w:hAnsi="Verdana"/>
          <w:sz w:val="18"/>
          <w:szCs w:val="18"/>
        </w:rPr>
      </w:pPr>
      <w:r w:rsidRPr="000C7CFA">
        <w:rPr>
          <w:rFonts w:ascii="Verdana" w:hAnsi="Verdana"/>
          <w:sz w:val="18"/>
          <w:szCs w:val="18"/>
        </w:rPr>
        <w:t>* Indicates that the chemical may not be soluble enough to measure this predicted effect.</w:t>
      </w:r>
    </w:p>
    <w:p w14:paraId="4EF15DCD" w14:textId="77777777" w:rsidR="00A62E29" w:rsidRPr="000C7CFA" w:rsidRDefault="00A62E29" w:rsidP="00A62E29">
      <w:pPr>
        <w:pStyle w:val="ListParagraph"/>
        <w:widowControl w:val="0"/>
        <w:numPr>
          <w:ilvl w:val="0"/>
          <w:numId w:val="22"/>
        </w:numPr>
        <w:spacing w:after="0" w:line="240" w:lineRule="auto"/>
        <w:ind w:left="284" w:hanging="284"/>
        <w:jc w:val="both"/>
        <w:rPr>
          <w:rFonts w:ascii="Verdana" w:hAnsi="Verdana"/>
          <w:sz w:val="18"/>
          <w:szCs w:val="18"/>
        </w:rPr>
      </w:pPr>
      <w:r w:rsidRPr="000C7CFA">
        <w:rPr>
          <w:rFonts w:ascii="Verdana" w:hAnsi="Verdana"/>
          <w:sz w:val="18"/>
          <w:szCs w:val="18"/>
        </w:rPr>
        <w:t xml:space="preserve">^ Insufficient data are available to generate a SAR so predictions for this endpoint are based on the acute-to-chronic ratio, and the acute SAR for vinyl/allyl halides. </w:t>
      </w:r>
    </w:p>
    <w:p w14:paraId="71323E4B" w14:textId="77777777" w:rsidR="00F97EE8" w:rsidRPr="000C7CFA" w:rsidRDefault="00F97EE8" w:rsidP="00A62E29">
      <w:pPr>
        <w:jc w:val="both"/>
        <w:rPr>
          <w:rFonts w:ascii="Verdana" w:hAnsi="Verdana"/>
          <w:sz w:val="18"/>
          <w:szCs w:val="18"/>
        </w:rPr>
      </w:pPr>
    </w:p>
    <w:p w14:paraId="01090625" w14:textId="69B35C60" w:rsidR="00A62E29" w:rsidRPr="000C7CFA" w:rsidRDefault="00A62E29" w:rsidP="00A62E29">
      <w:pPr>
        <w:jc w:val="both"/>
        <w:rPr>
          <w:rFonts w:ascii="Verdana" w:hAnsi="Verdana"/>
          <w:sz w:val="18"/>
          <w:szCs w:val="18"/>
        </w:rPr>
      </w:pPr>
      <w:r w:rsidRPr="000C7CFA">
        <w:rPr>
          <w:rFonts w:ascii="Verdana" w:hAnsi="Verdana"/>
          <w:sz w:val="18"/>
          <w:szCs w:val="18"/>
        </w:rPr>
        <w:t>The</w:t>
      </w:r>
      <w:r w:rsidR="00FE4149" w:rsidRPr="000C7CFA">
        <w:rPr>
          <w:rFonts w:ascii="Verdana" w:hAnsi="Verdana"/>
          <w:sz w:val="18"/>
          <w:szCs w:val="18"/>
        </w:rPr>
        <w:t xml:space="preserve"> </w:t>
      </w:r>
      <w:r w:rsidRPr="000C7CFA">
        <w:rPr>
          <w:rFonts w:ascii="Verdana" w:hAnsi="Verdana"/>
          <w:sz w:val="18"/>
          <w:szCs w:val="18"/>
        </w:rPr>
        <w:t xml:space="preserve">vinyl/allyl halides class </w:t>
      </w:r>
      <w:r w:rsidR="00FE4149" w:rsidRPr="000C7CFA">
        <w:rPr>
          <w:rFonts w:ascii="Verdana" w:hAnsi="Verdana"/>
          <w:sz w:val="18"/>
          <w:szCs w:val="18"/>
        </w:rPr>
        <w:t>model is</w:t>
      </w:r>
      <w:r w:rsidRPr="000C7CFA">
        <w:rPr>
          <w:rFonts w:ascii="Verdana" w:hAnsi="Verdana"/>
          <w:sz w:val="18"/>
          <w:szCs w:val="18"/>
        </w:rPr>
        <w:t xml:space="preserve"> mainly based on chlorinated substances with log K</w:t>
      </w:r>
      <w:r w:rsidRPr="000C7CFA">
        <w:rPr>
          <w:rFonts w:ascii="Verdana" w:hAnsi="Verdana"/>
          <w:sz w:val="18"/>
          <w:szCs w:val="18"/>
          <w:vertAlign w:val="subscript"/>
        </w:rPr>
        <w:t>OW</w:t>
      </w:r>
      <w:r w:rsidRPr="000C7CFA">
        <w:rPr>
          <w:rFonts w:ascii="Verdana" w:hAnsi="Verdana"/>
          <w:sz w:val="18"/>
          <w:szCs w:val="18"/>
        </w:rPr>
        <w:t xml:space="preserve"> values below 5. Heptachlor is included in the training set of the acute fish/daphnia QSAR</w:t>
      </w:r>
      <w:r w:rsidR="006C11CC" w:rsidRPr="000C7CFA">
        <w:rPr>
          <w:rStyle w:val="FootnoteReference"/>
          <w:rFonts w:ascii="Verdana" w:hAnsi="Verdana"/>
          <w:sz w:val="18"/>
          <w:szCs w:val="18"/>
        </w:rPr>
        <w:footnoteReference w:id="58"/>
      </w:r>
      <w:r w:rsidRPr="000C7CFA">
        <w:rPr>
          <w:rFonts w:ascii="Verdana" w:hAnsi="Verdana"/>
          <w:sz w:val="18"/>
          <w:szCs w:val="18"/>
        </w:rPr>
        <w:t>, and chlordane is included in the training set of the chronic fish/daphnia QSAR</w:t>
      </w:r>
      <w:r w:rsidR="006C11CC" w:rsidRPr="000C7CFA">
        <w:rPr>
          <w:rStyle w:val="FootnoteReference"/>
          <w:rFonts w:ascii="Verdana" w:hAnsi="Verdana"/>
          <w:sz w:val="18"/>
          <w:szCs w:val="18"/>
        </w:rPr>
        <w:footnoteReference w:id="59"/>
      </w:r>
      <w:r w:rsidRPr="000C7CFA">
        <w:rPr>
          <w:rFonts w:ascii="Verdana" w:hAnsi="Verdana"/>
          <w:sz w:val="18"/>
          <w:szCs w:val="18"/>
        </w:rPr>
        <w:t xml:space="preserve"> (no other substances with the halogenated norbornene moiety are </w:t>
      </w:r>
      <w:r w:rsidR="006C11CC" w:rsidRPr="000C7CFA">
        <w:rPr>
          <w:rFonts w:ascii="Verdana" w:hAnsi="Verdana"/>
          <w:sz w:val="18"/>
          <w:szCs w:val="18"/>
        </w:rPr>
        <w:t>included</w:t>
      </w:r>
      <w:r w:rsidRPr="000C7CFA">
        <w:rPr>
          <w:rFonts w:ascii="Verdana" w:hAnsi="Verdana"/>
          <w:sz w:val="18"/>
          <w:szCs w:val="18"/>
        </w:rPr>
        <w:t xml:space="preserve">). There are no relevant training set data for the chronic algal endpoint so this is based on an acute-to-chronic ratio using the acute algal SAR endpoint which in turn is based on a single data point. This means the algal endpoints in this model are the least </w:t>
      </w:r>
      <w:r w:rsidR="00FE4149" w:rsidRPr="000C7CFA">
        <w:rPr>
          <w:rFonts w:ascii="Verdana" w:hAnsi="Verdana"/>
          <w:sz w:val="18"/>
          <w:szCs w:val="18"/>
        </w:rPr>
        <w:t>reliable</w:t>
      </w:r>
      <w:r w:rsidRPr="000C7CFA">
        <w:rPr>
          <w:rFonts w:ascii="Verdana" w:hAnsi="Verdana"/>
          <w:sz w:val="18"/>
          <w:szCs w:val="18"/>
        </w:rPr>
        <w:t>.</w:t>
      </w:r>
    </w:p>
    <w:p w14:paraId="523D6BCB" w14:textId="77777777" w:rsidR="00A62E29" w:rsidRPr="000C7CFA" w:rsidRDefault="00A62E29" w:rsidP="00A62E29">
      <w:pPr>
        <w:jc w:val="both"/>
        <w:rPr>
          <w:rFonts w:ascii="Verdana" w:hAnsi="Verdana"/>
          <w:sz w:val="18"/>
          <w:szCs w:val="18"/>
        </w:rPr>
      </w:pPr>
      <w:r w:rsidRPr="000C7CFA">
        <w:rPr>
          <w:rFonts w:ascii="Verdana" w:hAnsi="Verdana"/>
          <w:sz w:val="18"/>
          <w:szCs w:val="18"/>
        </w:rPr>
        <w:t>The chlordane and heptachlor endpoints are not used in the training set for the neutral organics model. There are substances with a non-halogenated norbornene structure (norbornene (CAS no. 498-66-8) and exo-norborneol (CAS no. 497</w:t>
      </w:r>
      <w:r w:rsidRPr="000C7CFA">
        <w:rPr>
          <w:rFonts w:ascii="Verdana" w:hAnsi="Verdana"/>
          <w:sz w:val="18"/>
          <w:szCs w:val="18"/>
        </w:rPr>
        <w:noBreakHyphen/>
        <w:t>37</w:t>
      </w:r>
      <w:r w:rsidRPr="000C7CFA">
        <w:rPr>
          <w:rFonts w:ascii="Verdana" w:hAnsi="Verdana"/>
          <w:sz w:val="18"/>
          <w:szCs w:val="18"/>
        </w:rPr>
        <w:noBreakHyphen/>
        <w:t>0)) in the acute fish data training set but they have a much lower molecular weight (&lt;112 g/mol) and log K</w:t>
      </w:r>
      <w:r w:rsidRPr="000C7CFA">
        <w:rPr>
          <w:rFonts w:ascii="Verdana" w:hAnsi="Verdana"/>
          <w:sz w:val="18"/>
          <w:szCs w:val="18"/>
          <w:vertAlign w:val="subscript"/>
        </w:rPr>
        <w:t>OW</w:t>
      </w:r>
      <w:r w:rsidRPr="000C7CFA">
        <w:rPr>
          <w:rFonts w:ascii="Verdana" w:hAnsi="Verdana"/>
          <w:sz w:val="18"/>
          <w:szCs w:val="18"/>
        </w:rPr>
        <w:t xml:space="preserve"> (&lt;3) than the substances being considered. </w:t>
      </w:r>
    </w:p>
    <w:p w14:paraId="49F0668B" w14:textId="55FCED12" w:rsidR="006C11CC" w:rsidRPr="000C7CFA" w:rsidRDefault="00A62E29" w:rsidP="006C11CC">
      <w:pPr>
        <w:jc w:val="both"/>
        <w:rPr>
          <w:rFonts w:ascii="Verdana" w:hAnsi="Verdana" w:cstheme="minorBidi"/>
          <w:sz w:val="18"/>
          <w:szCs w:val="18"/>
        </w:rPr>
      </w:pPr>
      <w:r w:rsidRPr="000C7CFA">
        <w:rPr>
          <w:rFonts w:ascii="Verdana" w:hAnsi="Verdana"/>
          <w:sz w:val="18"/>
          <w:szCs w:val="18"/>
        </w:rPr>
        <w:t>The two pesticide analogues (chlordane and heptachlor) are known to be toxic, but are not close structural analogues to Dechlorane Plus and are much less hydrophobic. They therefore cannot be used for direct read across purposes, but give an indication of the potential toxicity of this type of substance. They have log K</w:t>
      </w:r>
      <w:r w:rsidRPr="000C7CFA">
        <w:rPr>
          <w:rFonts w:ascii="Verdana" w:hAnsi="Verdana"/>
          <w:sz w:val="18"/>
          <w:szCs w:val="18"/>
          <w:vertAlign w:val="subscript"/>
        </w:rPr>
        <w:t>OW</w:t>
      </w:r>
      <w:r w:rsidRPr="000C7CFA">
        <w:rPr>
          <w:rFonts w:ascii="Verdana" w:hAnsi="Verdana"/>
          <w:sz w:val="18"/>
          <w:szCs w:val="18"/>
        </w:rPr>
        <w:t xml:space="preserve"> values at the upper end of the prediction domain of the models (exceeding that for the baseline fish and Daphnid acute models by about an order of magnitude; chlordane is outside the domain for the vinyl/allyl halides class prediction for fish and Daphnid acute toxicity too). In addition, as noted above, heptachlor and chlordane are part of the training sets for the </w:t>
      </w:r>
      <w:r w:rsidR="006C11CC" w:rsidRPr="000C7CFA">
        <w:rPr>
          <w:rFonts w:ascii="Verdana" w:hAnsi="Verdana"/>
          <w:sz w:val="18"/>
          <w:szCs w:val="18"/>
        </w:rPr>
        <w:t>vinyl/allyl halides model</w:t>
      </w:r>
      <w:r w:rsidRPr="000C7CFA">
        <w:rPr>
          <w:rFonts w:ascii="Verdana" w:hAnsi="Verdana"/>
          <w:sz w:val="18"/>
          <w:szCs w:val="18"/>
        </w:rPr>
        <w:t xml:space="preserve">. </w:t>
      </w:r>
      <w:r w:rsidR="006C11CC" w:rsidRPr="000C7CFA">
        <w:rPr>
          <w:rFonts w:ascii="Verdana" w:hAnsi="Verdana"/>
          <w:sz w:val="18"/>
          <w:szCs w:val="18"/>
        </w:rPr>
        <w:t xml:space="preserve">Consequently, it is not surprising that the predictions for chlordane and heptachlor are in good agreement with measured data. </w:t>
      </w:r>
      <w:r w:rsidR="006C11CC" w:rsidRPr="000C7CFA">
        <w:rPr>
          <w:rFonts w:ascii="Verdana" w:hAnsi="Verdana" w:cstheme="minorBidi"/>
          <w:sz w:val="18"/>
          <w:szCs w:val="18"/>
        </w:rPr>
        <w:t>It</w:t>
      </w:r>
      <w:r w:rsidR="006C11CC" w:rsidRPr="000C7CFA">
        <w:rPr>
          <w:rFonts w:ascii="Verdana" w:hAnsi="Verdana"/>
          <w:sz w:val="18"/>
          <w:szCs w:val="18"/>
        </w:rPr>
        <w:t xml:space="preserve"> i</w:t>
      </w:r>
      <w:r w:rsidR="006C11CC" w:rsidRPr="000C7CFA">
        <w:rPr>
          <w:rFonts w:ascii="Verdana" w:hAnsi="Verdana" w:cstheme="minorBidi"/>
          <w:sz w:val="18"/>
          <w:szCs w:val="18"/>
        </w:rPr>
        <w:t xml:space="preserve">s beyond the scope of this document to fully </w:t>
      </w:r>
      <w:r w:rsidR="00A11FA5" w:rsidRPr="000C7CFA">
        <w:rPr>
          <w:rFonts w:ascii="Verdana" w:hAnsi="Verdana"/>
          <w:sz w:val="18"/>
          <w:szCs w:val="18"/>
        </w:rPr>
        <w:t>summarize</w:t>
      </w:r>
      <w:r w:rsidR="006C11CC" w:rsidRPr="000C7CFA">
        <w:rPr>
          <w:rFonts w:ascii="Verdana" w:hAnsi="Verdana"/>
          <w:sz w:val="18"/>
          <w:szCs w:val="18"/>
        </w:rPr>
        <w:t xml:space="preserve"> additional ecotoxicity data for these pesticides, but </w:t>
      </w:r>
      <w:r w:rsidR="000C22BE" w:rsidRPr="000C7CFA">
        <w:rPr>
          <w:rFonts w:ascii="Verdana" w:hAnsi="Verdana"/>
          <w:sz w:val="18"/>
          <w:szCs w:val="18"/>
        </w:rPr>
        <w:t>both have</w:t>
      </w:r>
      <w:r w:rsidR="00F92A62" w:rsidRPr="000C7CFA">
        <w:rPr>
          <w:rFonts w:ascii="Verdana" w:hAnsi="Verdana"/>
          <w:sz w:val="18"/>
          <w:szCs w:val="18"/>
        </w:rPr>
        <w:t xml:space="preserve"> several fish and invertebrate acute </w:t>
      </w:r>
      <w:proofErr w:type="gramStart"/>
      <w:r w:rsidR="00F92A62" w:rsidRPr="000C7CFA">
        <w:rPr>
          <w:rFonts w:ascii="Verdana" w:hAnsi="Verdana"/>
          <w:sz w:val="18"/>
          <w:szCs w:val="18"/>
        </w:rPr>
        <w:t>L(</w:t>
      </w:r>
      <w:proofErr w:type="gramEnd"/>
      <w:r w:rsidR="00F92A62" w:rsidRPr="000C7CFA">
        <w:rPr>
          <w:rFonts w:ascii="Verdana" w:hAnsi="Verdana"/>
          <w:sz w:val="18"/>
          <w:szCs w:val="18"/>
        </w:rPr>
        <w:t>E)C</w:t>
      </w:r>
      <w:r w:rsidR="00F92A62" w:rsidRPr="000C7CFA">
        <w:rPr>
          <w:rFonts w:ascii="Verdana" w:hAnsi="Verdana"/>
          <w:sz w:val="18"/>
          <w:szCs w:val="18"/>
          <w:vertAlign w:val="subscript"/>
        </w:rPr>
        <w:t>50</w:t>
      </w:r>
      <w:r w:rsidR="000C22BE" w:rsidRPr="000C7CFA">
        <w:rPr>
          <w:rFonts w:ascii="Verdana" w:hAnsi="Verdana"/>
          <w:sz w:val="18"/>
          <w:szCs w:val="18"/>
          <w:vertAlign w:val="subscript"/>
        </w:rPr>
        <w:t xml:space="preserve"> </w:t>
      </w:r>
      <w:r w:rsidR="000C22BE" w:rsidRPr="000C7CFA">
        <w:rPr>
          <w:rFonts w:ascii="Verdana" w:hAnsi="Verdana"/>
          <w:sz w:val="18"/>
          <w:szCs w:val="18"/>
        </w:rPr>
        <w:t xml:space="preserve">values below 0.01 mg/L </w:t>
      </w:r>
      <w:r w:rsidR="00F92A62" w:rsidRPr="000C7CFA">
        <w:rPr>
          <w:rFonts w:ascii="Verdana" w:hAnsi="Verdana"/>
          <w:sz w:val="18"/>
          <w:szCs w:val="18"/>
        </w:rPr>
        <w:t>(UNEP, 1998; WHO, 1984a&amp;c &amp; 1995)</w:t>
      </w:r>
      <w:r w:rsidR="006C11CC" w:rsidRPr="000C7CFA">
        <w:rPr>
          <w:rFonts w:ascii="Verdana" w:hAnsi="Verdana"/>
          <w:sz w:val="18"/>
          <w:szCs w:val="18"/>
        </w:rPr>
        <w:t xml:space="preserve">. </w:t>
      </w:r>
      <w:r w:rsidR="00F92A62" w:rsidRPr="000C7CFA">
        <w:rPr>
          <w:rFonts w:ascii="Verdana" w:hAnsi="Verdana"/>
          <w:sz w:val="18"/>
          <w:szCs w:val="18"/>
        </w:rPr>
        <w:t xml:space="preserve">Chronic NOECs will be lower still. </w:t>
      </w:r>
      <w:r w:rsidR="006C11CC" w:rsidRPr="000C7CFA">
        <w:rPr>
          <w:rFonts w:ascii="Verdana" w:hAnsi="Verdana"/>
          <w:sz w:val="18"/>
          <w:szCs w:val="18"/>
        </w:rPr>
        <w:t>It</w:t>
      </w:r>
      <w:r w:rsidR="006C11CC" w:rsidRPr="000C7CFA">
        <w:rPr>
          <w:rFonts w:ascii="Verdana" w:hAnsi="Verdana" w:cstheme="minorBidi"/>
          <w:sz w:val="18"/>
          <w:szCs w:val="18"/>
        </w:rPr>
        <w:t xml:space="preserve"> can be concluded that b</w:t>
      </w:r>
      <w:r w:rsidRPr="000C7CFA">
        <w:rPr>
          <w:rFonts w:ascii="Verdana" w:hAnsi="Verdana"/>
          <w:sz w:val="18"/>
          <w:szCs w:val="18"/>
        </w:rPr>
        <w:t>oth substances are chronically toxic to fish and</w:t>
      </w:r>
      <w:r w:rsidR="000C22BE" w:rsidRPr="000C7CFA">
        <w:rPr>
          <w:rFonts w:ascii="Verdana" w:hAnsi="Verdana"/>
          <w:sz w:val="18"/>
          <w:szCs w:val="18"/>
        </w:rPr>
        <w:t xml:space="preserve"> aquatic</w:t>
      </w:r>
      <w:r w:rsidRPr="000C7CFA">
        <w:rPr>
          <w:rFonts w:ascii="Verdana" w:hAnsi="Verdana"/>
          <w:sz w:val="18"/>
          <w:szCs w:val="18"/>
        </w:rPr>
        <w:t xml:space="preserve"> </w:t>
      </w:r>
      <w:r w:rsidR="000C22BE" w:rsidRPr="000C7CFA">
        <w:rPr>
          <w:rFonts w:ascii="Verdana" w:hAnsi="Verdana"/>
          <w:sz w:val="18"/>
          <w:szCs w:val="18"/>
        </w:rPr>
        <w:t>invertebrates</w:t>
      </w:r>
      <w:r w:rsidRPr="000C7CFA">
        <w:rPr>
          <w:rFonts w:ascii="Verdana" w:hAnsi="Verdana"/>
          <w:sz w:val="18"/>
          <w:szCs w:val="18"/>
        </w:rPr>
        <w:t xml:space="preserve">, with NOECs below the </w:t>
      </w:r>
      <w:r w:rsidR="00C76545" w:rsidRPr="000C7CFA">
        <w:rPr>
          <w:rFonts w:ascii="Verdana" w:hAnsi="Verdana"/>
          <w:sz w:val="18"/>
          <w:szCs w:val="18"/>
        </w:rPr>
        <w:t xml:space="preserve">Annex XIII </w:t>
      </w:r>
      <w:r w:rsidRPr="000C7CFA">
        <w:rPr>
          <w:rFonts w:ascii="Verdana" w:hAnsi="Verdana"/>
          <w:sz w:val="18"/>
          <w:szCs w:val="18"/>
        </w:rPr>
        <w:t xml:space="preserve">T criterion threshold of 0.01 mg/L. </w:t>
      </w:r>
    </w:p>
    <w:p w14:paraId="08680D5E" w14:textId="3EAE28AA" w:rsidR="00A62E29" w:rsidRPr="000C7CFA" w:rsidRDefault="00A62E29" w:rsidP="00A62E29">
      <w:pPr>
        <w:jc w:val="both"/>
        <w:rPr>
          <w:rFonts w:ascii="Verdana" w:hAnsi="Verdana"/>
          <w:sz w:val="18"/>
          <w:szCs w:val="18"/>
        </w:rPr>
      </w:pPr>
      <w:r w:rsidRPr="000C7CFA">
        <w:rPr>
          <w:rFonts w:ascii="Verdana" w:hAnsi="Verdana"/>
          <w:sz w:val="18"/>
          <w:szCs w:val="18"/>
        </w:rPr>
        <w:t>With the exception of the chronic fish category, both ecotoxicity models consistently predict that short- and long-term toxicity to aquatic organisms is unlikely to be expressed for the two closest analogues to Dechlorane Plus (Dechlorane 603 and Chlordene Plus), since relevant toxic</w:t>
      </w:r>
      <w:r w:rsidR="000C22BE" w:rsidRPr="000C7CFA">
        <w:rPr>
          <w:rFonts w:ascii="Verdana" w:hAnsi="Verdana"/>
          <w:sz w:val="18"/>
          <w:szCs w:val="18"/>
        </w:rPr>
        <w:t>ity</w:t>
      </w:r>
      <w:r w:rsidRPr="000C7CFA">
        <w:rPr>
          <w:rFonts w:ascii="Verdana" w:hAnsi="Verdana"/>
          <w:sz w:val="18"/>
          <w:szCs w:val="18"/>
        </w:rPr>
        <w:t xml:space="preserve"> endpoints exceed the predicted level of water solubility. Converting the fish ChV endpoints to a NOEC brings that endpoint to within a factor of 10 of the very low solubility predictions, implying that toxicity might be expressed around the level of the water solubility limit. However, both of these substances have log K</w:t>
      </w:r>
      <w:r w:rsidRPr="000C7CFA">
        <w:rPr>
          <w:rFonts w:ascii="Verdana" w:hAnsi="Verdana"/>
          <w:sz w:val="18"/>
          <w:szCs w:val="18"/>
          <w:vertAlign w:val="subscript"/>
        </w:rPr>
        <w:t>OW</w:t>
      </w:r>
      <w:r w:rsidRPr="000C7CFA">
        <w:rPr>
          <w:rFonts w:ascii="Verdana" w:hAnsi="Verdana"/>
          <w:sz w:val="18"/>
          <w:szCs w:val="18"/>
        </w:rPr>
        <w:t xml:space="preserve"> values that exceed the cut-offs for the models by more than an order of magnitude, so these predictions </w:t>
      </w:r>
      <w:r w:rsidR="00A14376" w:rsidRPr="000C7CFA">
        <w:rPr>
          <w:rFonts w:ascii="Verdana" w:hAnsi="Verdana"/>
          <w:sz w:val="18"/>
          <w:szCs w:val="18"/>
        </w:rPr>
        <w:t xml:space="preserve">in the view of the DS </w:t>
      </w:r>
      <w:r w:rsidRPr="000C7CFA">
        <w:rPr>
          <w:rFonts w:ascii="Verdana" w:hAnsi="Verdana"/>
          <w:sz w:val="18"/>
          <w:szCs w:val="18"/>
        </w:rPr>
        <w:t>cannot be considered reliable (i.e. no effects at saturation are expected for these endpoints).</w:t>
      </w:r>
    </w:p>
    <w:p w14:paraId="1AD5724B" w14:textId="668E7E14" w:rsidR="00A62E29" w:rsidRPr="000C7CFA" w:rsidRDefault="00A62E29" w:rsidP="00A62E29">
      <w:pPr>
        <w:jc w:val="both"/>
        <w:rPr>
          <w:rFonts w:ascii="Verdana" w:hAnsi="Verdana"/>
          <w:sz w:val="18"/>
          <w:szCs w:val="18"/>
        </w:rPr>
      </w:pPr>
      <w:r w:rsidRPr="000C7CFA">
        <w:rPr>
          <w:rFonts w:ascii="Verdana" w:hAnsi="Verdana"/>
          <w:sz w:val="18"/>
          <w:szCs w:val="18"/>
        </w:rPr>
        <w:t xml:space="preserve">It should be noted that these predictions do not allow any comparison to be made about likely </w:t>
      </w:r>
      <w:r w:rsidR="006C11CC" w:rsidRPr="000C7CFA">
        <w:rPr>
          <w:rFonts w:ascii="Verdana" w:hAnsi="Verdana"/>
          <w:sz w:val="18"/>
          <w:szCs w:val="18"/>
        </w:rPr>
        <w:t xml:space="preserve">fish </w:t>
      </w:r>
      <w:r w:rsidRPr="000C7CFA">
        <w:rPr>
          <w:rFonts w:ascii="Verdana" w:hAnsi="Verdana"/>
          <w:sz w:val="18"/>
          <w:szCs w:val="18"/>
        </w:rPr>
        <w:t>toxicity arising from dietary exposure</w:t>
      </w:r>
      <w:r w:rsidR="006C11CC" w:rsidRPr="000C7CFA">
        <w:rPr>
          <w:rFonts w:ascii="Verdana" w:hAnsi="Verdana"/>
          <w:sz w:val="18"/>
          <w:szCs w:val="18"/>
        </w:rPr>
        <w:t>, or mammalian/avian toxicity</w:t>
      </w:r>
      <w:r w:rsidRPr="000C7CFA">
        <w:rPr>
          <w:rFonts w:ascii="Verdana" w:hAnsi="Verdana"/>
          <w:sz w:val="18"/>
          <w:szCs w:val="18"/>
        </w:rPr>
        <w:t>.</w:t>
      </w:r>
    </w:p>
    <w:p w14:paraId="474F6FC5" w14:textId="77777777" w:rsidR="00A62E29" w:rsidRPr="000C7CFA" w:rsidRDefault="00A62E29">
      <w:pPr>
        <w:spacing w:after="0"/>
        <w:rPr>
          <w:rFonts w:ascii="Verdana" w:hAnsi="Verdana"/>
          <w:b/>
          <w:caps/>
          <w:sz w:val="18"/>
          <w:szCs w:val="18"/>
          <w:lang w:val="en-GB"/>
        </w:rPr>
      </w:pPr>
      <w:r w:rsidRPr="000C7CFA">
        <w:rPr>
          <w:rFonts w:ascii="Verdana" w:hAnsi="Verdana"/>
          <w:sz w:val="18"/>
          <w:szCs w:val="18"/>
        </w:rPr>
        <w:br w:type="page"/>
      </w:r>
    </w:p>
    <w:p w14:paraId="5D9132DC" w14:textId="5DB4D6B8" w:rsidR="0051029E" w:rsidRPr="000C7CFA" w:rsidRDefault="0051029E" w:rsidP="0051029E">
      <w:pPr>
        <w:pStyle w:val="Heading1"/>
        <w:numPr>
          <w:ilvl w:val="0"/>
          <w:numId w:val="0"/>
        </w:numPr>
        <w:tabs>
          <w:tab w:val="clear" w:pos="839"/>
          <w:tab w:val="left" w:pos="1843"/>
        </w:tabs>
        <w:ind w:left="1843" w:hanging="1843"/>
        <w:rPr>
          <w:rFonts w:ascii="Verdana" w:hAnsi="Verdana"/>
          <w:sz w:val="18"/>
          <w:szCs w:val="18"/>
        </w:rPr>
      </w:pPr>
      <w:bookmarkStart w:id="158" w:name="_Toc491862808"/>
      <w:r w:rsidRPr="000C7CFA">
        <w:rPr>
          <w:rFonts w:ascii="Verdana" w:hAnsi="Verdana"/>
          <w:sz w:val="18"/>
          <w:szCs w:val="18"/>
        </w:rPr>
        <w:lastRenderedPageBreak/>
        <w:t xml:space="preserve">Appendix </w:t>
      </w:r>
      <w:r w:rsidR="0006795F" w:rsidRPr="000C7CFA">
        <w:rPr>
          <w:rFonts w:ascii="Verdana" w:hAnsi="Verdana"/>
          <w:sz w:val="18"/>
          <w:szCs w:val="18"/>
        </w:rPr>
        <w:t>9</w:t>
      </w:r>
      <w:r w:rsidRPr="000C7CFA">
        <w:rPr>
          <w:rFonts w:ascii="Verdana" w:hAnsi="Verdana"/>
          <w:sz w:val="18"/>
          <w:szCs w:val="18"/>
        </w:rPr>
        <w:t xml:space="preserve"> </w:t>
      </w:r>
      <w:r w:rsidRPr="000C7CFA">
        <w:rPr>
          <w:rFonts w:ascii="Verdana" w:hAnsi="Verdana"/>
          <w:sz w:val="18"/>
          <w:szCs w:val="18"/>
        </w:rPr>
        <w:tab/>
        <w:t>Further references that appear relevant but are not included in the assessment</w:t>
      </w:r>
      <w:bookmarkEnd w:id="158"/>
    </w:p>
    <w:p w14:paraId="26591623" w14:textId="65AFE697" w:rsidR="0051029E" w:rsidRPr="000C7CFA" w:rsidRDefault="00BE2C5C" w:rsidP="0051029E">
      <w:pPr>
        <w:pStyle w:val="BodyText"/>
        <w:rPr>
          <w:rFonts w:ascii="Verdana" w:hAnsi="Verdana"/>
          <w:sz w:val="18"/>
          <w:szCs w:val="18"/>
        </w:rPr>
      </w:pPr>
      <w:r w:rsidRPr="000C7CFA">
        <w:rPr>
          <w:rFonts w:ascii="Verdana" w:hAnsi="Verdana"/>
          <w:sz w:val="18"/>
          <w:szCs w:val="18"/>
        </w:rPr>
        <w:t>T</w:t>
      </w:r>
      <w:r w:rsidR="0051029E" w:rsidRPr="000C7CFA">
        <w:rPr>
          <w:rFonts w:ascii="Verdana" w:hAnsi="Verdana"/>
          <w:sz w:val="18"/>
          <w:szCs w:val="18"/>
        </w:rPr>
        <w:t>he abstracts of the following references have been scanned in order to assess if the paper contains informa</w:t>
      </w:r>
      <w:r w:rsidR="00D94DE3" w:rsidRPr="000C7CFA">
        <w:rPr>
          <w:rFonts w:ascii="Verdana" w:hAnsi="Verdana"/>
          <w:sz w:val="18"/>
          <w:szCs w:val="18"/>
        </w:rPr>
        <w:t>tion that may be relevant</w:t>
      </w:r>
      <w:r w:rsidR="0051029E" w:rsidRPr="000C7CFA">
        <w:rPr>
          <w:rFonts w:ascii="Verdana" w:hAnsi="Verdana"/>
          <w:sz w:val="18"/>
          <w:szCs w:val="18"/>
        </w:rPr>
        <w:t>, but th</w:t>
      </w:r>
      <w:r w:rsidR="00D94DE3" w:rsidRPr="000C7CFA">
        <w:rPr>
          <w:rFonts w:ascii="Verdana" w:hAnsi="Verdana"/>
          <w:sz w:val="18"/>
          <w:szCs w:val="18"/>
        </w:rPr>
        <w:t>ey are</w:t>
      </w:r>
      <w:r w:rsidR="0051029E" w:rsidRPr="000C7CFA">
        <w:rPr>
          <w:rFonts w:ascii="Verdana" w:hAnsi="Verdana"/>
          <w:sz w:val="18"/>
          <w:szCs w:val="18"/>
        </w:rPr>
        <w:t xml:space="preserve"> considered unlikely to significantly affect the conclusions of the assessment. </w:t>
      </w:r>
    </w:p>
    <w:p w14:paraId="42B30BFD" w14:textId="77777777" w:rsidR="0051029E" w:rsidRPr="000C7CFA" w:rsidRDefault="0051029E" w:rsidP="0051029E">
      <w:pPr>
        <w:pStyle w:val="NoSpacing"/>
        <w:jc w:val="both"/>
        <w:rPr>
          <w:rFonts w:ascii="Verdana" w:hAnsi="Verdana" w:cs="Times New Roman"/>
          <w:sz w:val="18"/>
          <w:szCs w:val="18"/>
        </w:rPr>
      </w:pPr>
      <w:r w:rsidRPr="000C7CFA">
        <w:rPr>
          <w:rFonts w:ascii="Verdana" w:hAnsi="Verdana" w:cs="Times New Roman"/>
          <w:sz w:val="18"/>
          <w:szCs w:val="18"/>
        </w:rPr>
        <w:t>Barón E, Bosch C, Máñez M, Andreu A, Sergio F, Hiraldo F, Eljarrat E and Barceló D (2015). Temporal trends in classical and alternative flame retardants in bird eggs from Doñana Natural Space and surrounding areas (south-western Spain) between 1999 and 2013. Chemosphere, 2015, 138, 316-323.</w:t>
      </w:r>
    </w:p>
    <w:p w14:paraId="69DFC97E" w14:textId="77777777" w:rsidR="0051029E" w:rsidRPr="000C7CFA" w:rsidRDefault="0051029E" w:rsidP="0051029E">
      <w:pPr>
        <w:pStyle w:val="NoSpacing"/>
        <w:jc w:val="both"/>
        <w:rPr>
          <w:rFonts w:ascii="Verdana" w:hAnsi="Verdana" w:cs="Times New Roman"/>
          <w:i/>
          <w:sz w:val="18"/>
          <w:szCs w:val="18"/>
        </w:rPr>
      </w:pPr>
      <w:r w:rsidRPr="000C7CFA">
        <w:rPr>
          <w:rFonts w:ascii="Verdana" w:hAnsi="Verdana" w:cs="Times New Roman"/>
          <w:i/>
          <w:sz w:val="18"/>
          <w:szCs w:val="18"/>
        </w:rPr>
        <w:t>Relevance: Temporal trends in concentrations in birds’ eggs from Spain. No time trend appears to have been observed for DP.</w:t>
      </w:r>
    </w:p>
    <w:p w14:paraId="4941C5C8" w14:textId="77777777" w:rsidR="0051029E" w:rsidRPr="000C7CFA" w:rsidRDefault="0051029E" w:rsidP="0051029E">
      <w:pPr>
        <w:pStyle w:val="NoSpacing"/>
        <w:jc w:val="both"/>
        <w:rPr>
          <w:rFonts w:ascii="Verdana" w:hAnsi="Verdana" w:cs="Times New Roman"/>
          <w:i/>
          <w:sz w:val="18"/>
          <w:szCs w:val="18"/>
        </w:rPr>
      </w:pPr>
    </w:p>
    <w:p w14:paraId="7B4D6FC8" w14:textId="77777777" w:rsidR="0051029E" w:rsidRPr="000C7CFA" w:rsidRDefault="0051029E" w:rsidP="005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val="fr-FR" w:eastAsia="en-GB"/>
        </w:rPr>
        <w:t xml:space="preserve">Dou J, Jin Y, Li Y, Wu B and Li M (2015). </w:t>
      </w:r>
      <w:r w:rsidRPr="000C7CFA">
        <w:rPr>
          <w:rFonts w:ascii="Verdana" w:hAnsi="Verdana"/>
          <w:sz w:val="18"/>
          <w:szCs w:val="18"/>
          <w:lang w:eastAsia="en-GB"/>
        </w:rPr>
        <w:t xml:space="preserve">Potential genotoxicity and risk assessment of a chlorinated flame retardant, Dechlorane Plus. Chemosphere, 135, 462-466.  </w:t>
      </w:r>
    </w:p>
    <w:p w14:paraId="64C63B99" w14:textId="77777777" w:rsidR="0051029E" w:rsidRPr="000C7CFA" w:rsidRDefault="0051029E" w:rsidP="0051029E">
      <w:pPr>
        <w:pStyle w:val="NoSpacing"/>
        <w:jc w:val="both"/>
        <w:rPr>
          <w:rFonts w:ascii="Verdana" w:hAnsi="Verdana" w:cs="Times New Roman"/>
          <w:i/>
          <w:sz w:val="18"/>
          <w:szCs w:val="18"/>
        </w:rPr>
      </w:pPr>
      <w:r w:rsidRPr="000C7CFA">
        <w:rPr>
          <w:rFonts w:ascii="Verdana" w:hAnsi="Verdana" w:cs="Times New Roman"/>
          <w:i/>
          <w:sz w:val="18"/>
          <w:szCs w:val="18"/>
        </w:rPr>
        <w:t>Relevance: Human health, including short-term toxicity to bacteria. This study is mentioned in the registration dossier, although is not directly relevant to the PBT assessment.</w:t>
      </w:r>
    </w:p>
    <w:p w14:paraId="23E944CF" w14:textId="77777777" w:rsidR="0051029E" w:rsidRPr="000C7CFA" w:rsidRDefault="0051029E" w:rsidP="0051029E">
      <w:pPr>
        <w:pStyle w:val="NoSpacing"/>
        <w:jc w:val="both"/>
        <w:rPr>
          <w:rFonts w:ascii="Verdana" w:hAnsi="Verdana" w:cs="Times New Roman"/>
          <w:i/>
          <w:sz w:val="18"/>
          <w:szCs w:val="18"/>
        </w:rPr>
      </w:pPr>
    </w:p>
    <w:p w14:paraId="47018613" w14:textId="77777777" w:rsidR="0051029E" w:rsidRPr="000C7CFA" w:rsidRDefault="0051029E" w:rsidP="0051029E">
      <w:pPr>
        <w:pStyle w:val="NoSpacing"/>
        <w:jc w:val="both"/>
        <w:rPr>
          <w:rFonts w:ascii="Verdana" w:hAnsi="Verdana" w:cs="Times New Roman"/>
          <w:sz w:val="18"/>
          <w:szCs w:val="18"/>
        </w:rPr>
      </w:pPr>
      <w:r w:rsidRPr="000C7CFA">
        <w:rPr>
          <w:rFonts w:ascii="Verdana" w:hAnsi="Verdana" w:cs="Times New Roman"/>
          <w:sz w:val="18"/>
          <w:szCs w:val="18"/>
          <w:lang w:val="de-DE"/>
        </w:rPr>
        <w:t xml:space="preserve">Fromme H, Cequier E, Kim JT, Hanssen L, Hilger B, Thomsen C, Chang YS and Völkel W (2015). </w:t>
      </w:r>
      <w:r w:rsidRPr="000C7CFA">
        <w:rPr>
          <w:rFonts w:ascii="Verdana" w:hAnsi="Verdana" w:cs="Times New Roman"/>
          <w:sz w:val="18"/>
          <w:szCs w:val="18"/>
        </w:rPr>
        <w:t xml:space="preserve">Persistent and emerging pollutants in the blood of German adults: Occurrence of dechloranes, polychlorinated naphthalenes, and siloxanes. Environment International, 85, 292-8. </w:t>
      </w:r>
    </w:p>
    <w:p w14:paraId="20816EAE" w14:textId="1D315967" w:rsidR="0051029E" w:rsidRPr="000C7CFA" w:rsidRDefault="0051029E" w:rsidP="0051029E">
      <w:pPr>
        <w:pStyle w:val="NoSpacing"/>
        <w:jc w:val="both"/>
        <w:rPr>
          <w:rFonts w:ascii="Verdana" w:hAnsi="Verdana" w:cs="Times New Roman"/>
          <w:sz w:val="18"/>
          <w:szCs w:val="18"/>
        </w:rPr>
      </w:pPr>
      <w:r w:rsidRPr="000C7CFA">
        <w:rPr>
          <w:rFonts w:ascii="Verdana" w:hAnsi="Verdana" w:cs="Times New Roman"/>
          <w:i/>
          <w:sz w:val="18"/>
          <w:szCs w:val="18"/>
        </w:rPr>
        <w:t>Relevance: Levels in human blood from Germany. The median level found in 42 plasma samples were 1.23</w:t>
      </w:r>
      <w:r w:rsidR="007260C4" w:rsidRPr="000C7CFA">
        <w:rPr>
          <w:rFonts w:ascii="Verdana" w:hAnsi="Verdana" w:cs="Times New Roman"/>
          <w:i/>
          <w:sz w:val="18"/>
          <w:szCs w:val="18"/>
        </w:rPr>
        <w:t xml:space="preserve"> </w:t>
      </w:r>
      <w:r w:rsidRPr="000C7CFA">
        <w:rPr>
          <w:rFonts w:ascii="Verdana" w:hAnsi="Verdana" w:cs="Times New Roman"/>
          <w:i/>
          <w:sz w:val="18"/>
          <w:szCs w:val="18"/>
        </w:rPr>
        <w:t>ng/g lipid for anti-DP and 0.77 ng/g lipid for syn-DP.</w:t>
      </w:r>
    </w:p>
    <w:p w14:paraId="207FD2A5" w14:textId="77777777" w:rsidR="0051029E" w:rsidRPr="000C7CFA" w:rsidRDefault="0051029E" w:rsidP="0051029E">
      <w:pPr>
        <w:pStyle w:val="NoSpacing"/>
        <w:jc w:val="both"/>
        <w:rPr>
          <w:rFonts w:ascii="Verdana" w:hAnsi="Verdana" w:cs="Times New Roman"/>
          <w:i/>
          <w:sz w:val="18"/>
          <w:szCs w:val="18"/>
        </w:rPr>
      </w:pPr>
    </w:p>
    <w:p w14:paraId="62C0B7B7" w14:textId="77777777" w:rsidR="0051029E" w:rsidRPr="000C7CFA" w:rsidRDefault="0051029E" w:rsidP="005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Kakimoto K, Nagayoshi H, Takagi S, Akutsu K, Konishi Y, Kajimura K, Hayakawa K and Toriba A (2014). Inhalation and dietary exposure to Dechlorane Plus and polybrominated diphenyl ethers in Osaka, Japan. Ecotoxicology and Environmental Safety, 99, 69-73. </w:t>
      </w:r>
    </w:p>
    <w:p w14:paraId="1654D507" w14:textId="77777777" w:rsidR="0051029E" w:rsidRPr="000C7CFA" w:rsidRDefault="0051029E" w:rsidP="0051029E">
      <w:pPr>
        <w:pStyle w:val="NoSpacing"/>
        <w:jc w:val="both"/>
        <w:rPr>
          <w:rFonts w:ascii="Verdana" w:hAnsi="Verdana" w:cs="Times New Roman"/>
          <w:i/>
          <w:sz w:val="18"/>
          <w:szCs w:val="18"/>
        </w:rPr>
      </w:pPr>
      <w:r w:rsidRPr="000C7CFA">
        <w:rPr>
          <w:rFonts w:ascii="Verdana" w:hAnsi="Verdana" w:cs="Times New Roman"/>
          <w:i/>
          <w:sz w:val="18"/>
          <w:szCs w:val="18"/>
        </w:rPr>
        <w:t>Relevance: Concentrations in human foodstuffs (Japan). The Registrant has summarized this under environmental monitoring – RSS #17.</w:t>
      </w:r>
    </w:p>
    <w:p w14:paraId="4F7D3673" w14:textId="77777777" w:rsidR="0051029E" w:rsidRPr="000C7CFA" w:rsidRDefault="0051029E" w:rsidP="0051029E">
      <w:pPr>
        <w:pStyle w:val="NoSpacing"/>
        <w:jc w:val="both"/>
        <w:rPr>
          <w:rFonts w:ascii="Verdana" w:hAnsi="Verdana" w:cs="Times New Roman"/>
          <w:i/>
          <w:sz w:val="18"/>
          <w:szCs w:val="18"/>
        </w:rPr>
      </w:pPr>
    </w:p>
    <w:p w14:paraId="119EA981" w14:textId="77777777" w:rsidR="0051029E" w:rsidRPr="000C7CFA" w:rsidRDefault="0051029E" w:rsidP="0051029E">
      <w:pPr>
        <w:pStyle w:val="NoSpacing"/>
        <w:jc w:val="both"/>
        <w:rPr>
          <w:rFonts w:ascii="Verdana" w:hAnsi="Verdana" w:cs="Times New Roman"/>
          <w:sz w:val="18"/>
          <w:szCs w:val="18"/>
        </w:rPr>
      </w:pPr>
      <w:r w:rsidRPr="000C7CFA">
        <w:rPr>
          <w:rFonts w:ascii="Verdana" w:hAnsi="Verdana" w:cs="Times New Roman"/>
          <w:sz w:val="18"/>
          <w:szCs w:val="18"/>
        </w:rPr>
        <w:t xml:space="preserve">Kim J, Son M-H, Kim J, Suh J, Kang Y and Chang Y-S (2014). Assessment of Dechlorane compounds in foodstuffs obtained from retail markets and estimates of dietary intake in Korean population. Journal of Hazardous Materials, 275, 19–25. </w:t>
      </w:r>
    </w:p>
    <w:p w14:paraId="0ED97788" w14:textId="77777777" w:rsidR="0051029E" w:rsidRPr="000C7CFA" w:rsidRDefault="0051029E" w:rsidP="0051029E">
      <w:pPr>
        <w:pStyle w:val="NoSpacing"/>
        <w:jc w:val="both"/>
        <w:rPr>
          <w:rFonts w:ascii="Verdana" w:hAnsi="Verdana" w:cs="Times New Roman"/>
          <w:i/>
          <w:sz w:val="18"/>
          <w:szCs w:val="18"/>
        </w:rPr>
      </w:pPr>
      <w:r w:rsidRPr="000C7CFA">
        <w:rPr>
          <w:rFonts w:ascii="Verdana" w:hAnsi="Verdana" w:cs="Times New Roman"/>
          <w:i/>
          <w:sz w:val="18"/>
          <w:szCs w:val="18"/>
        </w:rPr>
        <w:t>Relevance: Concentrations in human foodstuffs (Korea). The Registrant has summarized this under environmental monitoring – RSS #18.</w:t>
      </w:r>
    </w:p>
    <w:p w14:paraId="47CB62B0" w14:textId="77777777" w:rsidR="0051029E" w:rsidRPr="000C7CFA" w:rsidRDefault="0051029E" w:rsidP="0051029E">
      <w:pPr>
        <w:pStyle w:val="NoSpacing"/>
        <w:jc w:val="both"/>
        <w:rPr>
          <w:rFonts w:ascii="Verdana" w:hAnsi="Verdana" w:cs="Times New Roman"/>
          <w:i/>
          <w:sz w:val="18"/>
          <w:szCs w:val="18"/>
        </w:rPr>
      </w:pPr>
    </w:p>
    <w:p w14:paraId="6095E250" w14:textId="77777777" w:rsidR="0051029E" w:rsidRPr="000C7CFA" w:rsidRDefault="0051029E" w:rsidP="005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eastAsia="en-GB"/>
        </w:rPr>
        <w:t xml:space="preserve">Liu L-Y, Salamova A and Hites RA (2014). Halogenated flame retardants in baby food from the United States and from China and the estimated dietary intakes by infants. Environmental Science and Technology, 48 (16), 9812-9818. </w:t>
      </w:r>
    </w:p>
    <w:p w14:paraId="7117F1DF" w14:textId="77777777" w:rsidR="0051029E" w:rsidRPr="000C7CFA" w:rsidRDefault="0051029E" w:rsidP="0051029E">
      <w:pPr>
        <w:pStyle w:val="NoSpacing"/>
        <w:jc w:val="both"/>
        <w:rPr>
          <w:rFonts w:ascii="Verdana" w:hAnsi="Verdana" w:cs="Times New Roman"/>
          <w:i/>
          <w:sz w:val="18"/>
          <w:szCs w:val="18"/>
        </w:rPr>
      </w:pPr>
      <w:r w:rsidRPr="000C7CFA">
        <w:rPr>
          <w:rFonts w:ascii="Verdana" w:hAnsi="Verdana" w:cs="Times New Roman"/>
          <w:i/>
          <w:sz w:val="18"/>
          <w:szCs w:val="18"/>
        </w:rPr>
        <w:t>Relevance: Concentrations in human foodstuffs (North America and China).</w:t>
      </w:r>
    </w:p>
    <w:p w14:paraId="3EA6FDE9" w14:textId="77777777" w:rsidR="0051029E" w:rsidRPr="000C7CFA" w:rsidRDefault="0051029E" w:rsidP="0051029E">
      <w:pPr>
        <w:pStyle w:val="NoSpacing"/>
        <w:jc w:val="both"/>
        <w:rPr>
          <w:rFonts w:ascii="Verdana" w:hAnsi="Verdana" w:cs="Times New Roman"/>
          <w:i/>
          <w:sz w:val="18"/>
          <w:szCs w:val="18"/>
        </w:rPr>
      </w:pPr>
    </w:p>
    <w:p w14:paraId="27679DE6" w14:textId="77777777" w:rsidR="0051029E" w:rsidRPr="000C7CFA" w:rsidRDefault="0051029E" w:rsidP="005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eastAsiaTheme="minorHAnsi" w:hAnsi="Verdana"/>
          <w:color w:val="000000"/>
          <w:sz w:val="18"/>
          <w:szCs w:val="18"/>
          <w:lang w:val="en-GB"/>
        </w:rPr>
      </w:pPr>
      <w:r w:rsidRPr="000C7CFA">
        <w:rPr>
          <w:rFonts w:ascii="Verdana" w:eastAsiaTheme="minorHAnsi" w:hAnsi="Verdana"/>
          <w:color w:val="000000"/>
          <w:sz w:val="18"/>
          <w:szCs w:val="18"/>
          <w:lang w:val="en-GB"/>
        </w:rPr>
        <w:t>L’Homme B, Calaprice C, Calvano CD, Zambonin C, Leardi R and Focant JF (2015). Ultra-trace measurement of Dechloranes to investigate food as a route of human exposure. Chemosphere, 139, 525-533.</w:t>
      </w:r>
    </w:p>
    <w:p w14:paraId="4D215A9E" w14:textId="77777777" w:rsidR="0051029E" w:rsidRPr="000C7CFA" w:rsidRDefault="0051029E" w:rsidP="005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i/>
          <w:sz w:val="18"/>
          <w:szCs w:val="18"/>
          <w:lang w:eastAsia="en-GB"/>
        </w:rPr>
      </w:pPr>
      <w:r w:rsidRPr="000C7CFA">
        <w:rPr>
          <w:rFonts w:ascii="Verdana" w:hAnsi="Verdana"/>
          <w:i/>
          <w:sz w:val="18"/>
          <w:szCs w:val="18"/>
        </w:rPr>
        <w:t>Relevance</w:t>
      </w:r>
      <w:r w:rsidRPr="000C7CFA">
        <w:rPr>
          <w:rFonts w:ascii="Verdana" w:hAnsi="Verdana"/>
          <w:i/>
          <w:sz w:val="18"/>
          <w:szCs w:val="18"/>
          <w:lang w:eastAsia="en-GB"/>
        </w:rPr>
        <w:t>: Levels in human food items in Belgium.</w:t>
      </w:r>
    </w:p>
    <w:p w14:paraId="139E45FA" w14:textId="77777777" w:rsidR="0051029E" w:rsidRPr="000C7CFA" w:rsidRDefault="0051029E" w:rsidP="005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eastAsiaTheme="minorHAnsi" w:hAnsi="Verdana" w:cs="AdvOT863180fb"/>
          <w:color w:val="000000"/>
          <w:sz w:val="18"/>
          <w:szCs w:val="18"/>
          <w:lang w:val="en-GB"/>
        </w:rPr>
      </w:pPr>
    </w:p>
    <w:p w14:paraId="2D96D82F" w14:textId="77777777" w:rsidR="0051029E" w:rsidRPr="000C7CFA" w:rsidRDefault="0051029E" w:rsidP="005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rPr>
      </w:pPr>
      <w:r w:rsidRPr="000C7CFA">
        <w:rPr>
          <w:rFonts w:ascii="Verdana" w:eastAsiaTheme="minorHAnsi" w:hAnsi="Verdana" w:cs="AdvOT863180fb"/>
          <w:color w:val="000000"/>
          <w:sz w:val="18"/>
          <w:szCs w:val="18"/>
          <w:lang w:val="en-GB"/>
        </w:rPr>
        <w:t>M</w:t>
      </w:r>
      <w:r w:rsidRPr="000C7CFA">
        <w:rPr>
          <w:rFonts w:ascii="Calibri" w:hAnsi="Calibri" w:cs="Calibri"/>
          <w:sz w:val="18"/>
          <w:szCs w:val="18"/>
          <w:lang w:val="en-GB" w:eastAsia="ar-SA"/>
        </w:rPr>
        <w:t>ӧ</w:t>
      </w:r>
      <w:r w:rsidRPr="000C7CFA">
        <w:rPr>
          <w:rFonts w:ascii="Verdana" w:eastAsiaTheme="minorHAnsi" w:hAnsi="Verdana" w:cs="Arial"/>
          <w:color w:val="000000"/>
          <w:sz w:val="18"/>
          <w:szCs w:val="18"/>
          <w:lang w:val="en-GB"/>
        </w:rPr>
        <w:t>̈</w:t>
      </w:r>
      <w:r w:rsidRPr="000C7CFA">
        <w:rPr>
          <w:rFonts w:ascii="Verdana" w:eastAsiaTheme="minorHAnsi" w:hAnsi="Verdana" w:cs="AdvOT863180fb"/>
          <w:color w:val="000000"/>
          <w:sz w:val="18"/>
          <w:szCs w:val="18"/>
          <w:lang w:val="en-GB"/>
        </w:rPr>
        <w:t xml:space="preserve">ller A, Xie Z, Caba A, Sturm R and Ebinghaus R (2012). Occurrence and air-seawater exchange of brominated </w:t>
      </w:r>
      <w:r w:rsidRPr="000C7CFA">
        <w:rPr>
          <w:rFonts w:ascii="Verdana" w:eastAsiaTheme="minorHAnsi" w:hAnsi="Verdana" w:cs="AdvOT863180fb+fb"/>
          <w:color w:val="000000"/>
          <w:sz w:val="18"/>
          <w:szCs w:val="18"/>
          <w:lang w:val="en-GB"/>
        </w:rPr>
        <w:t>fl</w:t>
      </w:r>
      <w:r w:rsidRPr="000C7CFA">
        <w:rPr>
          <w:rFonts w:ascii="Verdana" w:eastAsiaTheme="minorHAnsi" w:hAnsi="Verdana" w:cs="AdvOT863180fb"/>
          <w:color w:val="000000"/>
          <w:sz w:val="18"/>
          <w:szCs w:val="18"/>
          <w:lang w:val="en-GB"/>
        </w:rPr>
        <w:t xml:space="preserve">ame retardants and Dechlorane Plus in the North Sea. </w:t>
      </w:r>
      <w:r w:rsidRPr="000C7CFA">
        <w:rPr>
          <w:rFonts w:ascii="Verdana" w:hAnsi="Verdana"/>
          <w:sz w:val="18"/>
          <w:szCs w:val="18"/>
        </w:rPr>
        <w:t>Atmospheric Environment, 46, 346-353.</w:t>
      </w:r>
    </w:p>
    <w:p w14:paraId="0EF04444" w14:textId="333BDF5D" w:rsidR="0051029E" w:rsidRPr="000C7CFA" w:rsidRDefault="0051029E" w:rsidP="0051029E">
      <w:pPr>
        <w:pStyle w:val="NoSpacing"/>
        <w:jc w:val="both"/>
        <w:rPr>
          <w:rFonts w:ascii="Verdana" w:hAnsi="Verdana" w:cs="Times New Roman"/>
          <w:i/>
          <w:sz w:val="18"/>
          <w:szCs w:val="18"/>
        </w:rPr>
      </w:pPr>
      <w:r w:rsidRPr="000C7CFA">
        <w:rPr>
          <w:rFonts w:ascii="Verdana" w:hAnsi="Verdana" w:cs="Times New Roman"/>
          <w:i/>
          <w:sz w:val="18"/>
          <w:szCs w:val="18"/>
        </w:rPr>
        <w:t>Relevance: Levels in air and seawater in the German part of the North Sea in 2010. The concentration of dechlorane p</w:t>
      </w:r>
      <w:r w:rsidR="007260C4" w:rsidRPr="000C7CFA">
        <w:rPr>
          <w:rFonts w:ascii="Verdana" w:hAnsi="Verdana" w:cs="Times New Roman"/>
          <w:i/>
          <w:sz w:val="18"/>
          <w:szCs w:val="18"/>
        </w:rPr>
        <w:t>lus ranged from 0.13 to 22.3 pg/</w:t>
      </w:r>
      <w:r w:rsidRPr="000C7CFA">
        <w:rPr>
          <w:rFonts w:ascii="Verdana" w:hAnsi="Verdana" w:cs="Times New Roman"/>
          <w:i/>
          <w:sz w:val="18"/>
          <w:szCs w:val="18"/>
        </w:rPr>
        <w:t>m</w:t>
      </w:r>
      <w:r w:rsidRPr="000C7CFA">
        <w:rPr>
          <w:rFonts w:ascii="Verdana" w:hAnsi="Verdana" w:cs="Times New Roman"/>
          <w:i/>
          <w:sz w:val="18"/>
          <w:szCs w:val="18"/>
          <w:vertAlign w:val="superscript"/>
        </w:rPr>
        <w:t>3</w:t>
      </w:r>
      <w:r w:rsidRPr="000C7CFA">
        <w:rPr>
          <w:rFonts w:ascii="Verdana" w:hAnsi="Verdana" w:cs="Times New Roman"/>
          <w:i/>
          <w:sz w:val="18"/>
          <w:szCs w:val="18"/>
        </w:rPr>
        <w:t xml:space="preserve"> in air and from 0.10 to 17.7 pg</w:t>
      </w:r>
      <w:r w:rsidR="007260C4" w:rsidRPr="000C7CFA">
        <w:rPr>
          <w:rFonts w:ascii="Verdana" w:hAnsi="Verdana" w:cs="Times New Roman"/>
          <w:i/>
          <w:sz w:val="18"/>
          <w:szCs w:val="18"/>
        </w:rPr>
        <w:t>/L</w:t>
      </w:r>
      <w:r w:rsidRPr="000C7CFA">
        <w:rPr>
          <w:rFonts w:ascii="Verdana" w:hAnsi="Verdana" w:cs="Times New Roman"/>
          <w:i/>
          <w:sz w:val="18"/>
          <w:szCs w:val="18"/>
        </w:rPr>
        <w:t xml:space="preserve"> in air and seawater. The highest levels in air were found in air masses influenced by the continent and the highest levels in seawater were observed at sites close to the coast/influenced by </w:t>
      </w:r>
      <w:r w:rsidR="00A11FA5" w:rsidRPr="000C7CFA">
        <w:rPr>
          <w:rFonts w:ascii="Verdana" w:hAnsi="Verdana" w:cs="Times New Roman"/>
          <w:i/>
          <w:sz w:val="18"/>
          <w:szCs w:val="18"/>
        </w:rPr>
        <w:t>riverine</w:t>
      </w:r>
      <w:r w:rsidRPr="000C7CFA">
        <w:rPr>
          <w:rFonts w:ascii="Verdana" w:hAnsi="Verdana" w:cs="Times New Roman"/>
          <w:i/>
          <w:sz w:val="18"/>
          <w:szCs w:val="18"/>
        </w:rPr>
        <w:t xml:space="preserve"> </w:t>
      </w:r>
      <w:r w:rsidR="00A11FA5" w:rsidRPr="000C7CFA">
        <w:rPr>
          <w:rFonts w:ascii="Verdana" w:hAnsi="Verdana" w:cs="Times New Roman"/>
          <w:i/>
          <w:sz w:val="18"/>
          <w:szCs w:val="18"/>
        </w:rPr>
        <w:t>discharge</w:t>
      </w:r>
      <w:r w:rsidRPr="000C7CFA">
        <w:rPr>
          <w:rFonts w:ascii="Verdana" w:hAnsi="Verdana" w:cs="Times New Roman"/>
          <w:i/>
          <w:sz w:val="18"/>
          <w:szCs w:val="18"/>
        </w:rPr>
        <w:t xml:space="preserve">. </w:t>
      </w:r>
      <w:r w:rsidR="00A11FA5" w:rsidRPr="000C7CFA">
        <w:rPr>
          <w:rFonts w:ascii="Verdana" w:hAnsi="Verdana" w:cs="Times New Roman"/>
          <w:i/>
          <w:sz w:val="18"/>
          <w:szCs w:val="18"/>
        </w:rPr>
        <w:t>Concluded</w:t>
      </w:r>
      <w:r w:rsidRPr="000C7CFA">
        <w:rPr>
          <w:rFonts w:ascii="Verdana" w:hAnsi="Verdana" w:cs="Times New Roman"/>
          <w:i/>
          <w:sz w:val="18"/>
          <w:szCs w:val="18"/>
        </w:rPr>
        <w:t xml:space="preserve"> that, besides riverine discharge, both dry air-seawater gas exchange and dry deposition are input pathways for dechlorane plus in the North Sea.</w:t>
      </w:r>
    </w:p>
    <w:p w14:paraId="3277993B" w14:textId="77777777" w:rsidR="0051029E" w:rsidRPr="000C7CFA" w:rsidRDefault="0051029E" w:rsidP="0051029E">
      <w:pPr>
        <w:pStyle w:val="NoSpacing"/>
        <w:jc w:val="both"/>
        <w:rPr>
          <w:rFonts w:ascii="Verdana" w:hAnsi="Verdana" w:cs="Times New Roman"/>
          <w:i/>
          <w:sz w:val="18"/>
          <w:szCs w:val="18"/>
        </w:rPr>
      </w:pPr>
    </w:p>
    <w:p w14:paraId="313E2C93" w14:textId="77777777" w:rsidR="0051029E" w:rsidRPr="000C7CFA" w:rsidRDefault="0051029E" w:rsidP="005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color w:val="000000" w:themeColor="text1"/>
          <w:sz w:val="18"/>
          <w:szCs w:val="18"/>
        </w:rPr>
      </w:pPr>
      <w:r w:rsidRPr="000C7CFA">
        <w:rPr>
          <w:rFonts w:ascii="Verdana" w:hAnsi="Verdana"/>
          <w:sz w:val="18"/>
          <w:szCs w:val="18"/>
          <w:lang w:eastAsia="en-GB"/>
        </w:rPr>
        <w:t>Sühring R, Busch F, Fricke N, Kötke D, Wolschke H and Ebinghaus R (2016).</w:t>
      </w:r>
      <w:r w:rsidRPr="000C7CFA">
        <w:rPr>
          <w:rFonts w:ascii="Verdana" w:hAnsi="Verdana"/>
          <w:color w:val="000000" w:themeColor="text1"/>
          <w:sz w:val="18"/>
          <w:szCs w:val="18"/>
        </w:rPr>
        <w:t xml:space="preserve"> Distribution of brominated flame retardants and dechloranes between sediments and benthic fish — A </w:t>
      </w:r>
      <w:r w:rsidRPr="000C7CFA">
        <w:rPr>
          <w:rFonts w:ascii="Verdana" w:hAnsi="Verdana"/>
          <w:color w:val="000000" w:themeColor="text1"/>
          <w:sz w:val="18"/>
          <w:szCs w:val="18"/>
        </w:rPr>
        <w:lastRenderedPageBreak/>
        <w:t>comparison of a freshwater and marine habitat. Science of the Total Environment, 542, 578–585.</w:t>
      </w:r>
    </w:p>
    <w:p w14:paraId="3940C976" w14:textId="77777777" w:rsidR="0051029E" w:rsidRPr="000C7CFA" w:rsidRDefault="0051029E" w:rsidP="0051029E">
      <w:pPr>
        <w:pStyle w:val="NoSpacing"/>
        <w:jc w:val="both"/>
        <w:rPr>
          <w:rFonts w:ascii="Verdana" w:hAnsi="Verdana" w:cs="Times New Roman"/>
          <w:i/>
          <w:sz w:val="18"/>
          <w:szCs w:val="18"/>
        </w:rPr>
      </w:pPr>
      <w:r w:rsidRPr="000C7CFA">
        <w:rPr>
          <w:rFonts w:ascii="Verdana" w:hAnsi="Verdana" w:cs="Times New Roman"/>
          <w:i/>
          <w:sz w:val="18"/>
          <w:szCs w:val="18"/>
        </w:rPr>
        <w:t>Relevance: Concentrations in marine and freshwater sediments and fish in Germany.</w:t>
      </w:r>
    </w:p>
    <w:p w14:paraId="057D8757" w14:textId="77777777" w:rsidR="0051029E" w:rsidRPr="000C7CFA" w:rsidRDefault="0051029E" w:rsidP="0051029E">
      <w:pPr>
        <w:pStyle w:val="NoSpacing"/>
        <w:jc w:val="both"/>
        <w:rPr>
          <w:rFonts w:ascii="Verdana" w:hAnsi="Verdana" w:cs="Times New Roman"/>
          <w:i/>
          <w:sz w:val="18"/>
          <w:szCs w:val="18"/>
        </w:rPr>
      </w:pPr>
    </w:p>
    <w:p w14:paraId="3BBDD56B" w14:textId="77777777" w:rsidR="0051029E" w:rsidRPr="000C7CFA" w:rsidRDefault="0051029E" w:rsidP="005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eastAsia="en-GB"/>
        </w:rPr>
      </w:pPr>
      <w:r w:rsidRPr="000C7CFA">
        <w:rPr>
          <w:rFonts w:ascii="Verdana" w:hAnsi="Verdana"/>
          <w:sz w:val="18"/>
          <w:szCs w:val="18"/>
          <w:lang w:val="en-GB" w:eastAsia="en-GB"/>
        </w:rPr>
        <w:t xml:space="preserve">Sun R-X, Luo X-J, Tan X-X, Tang B, Li Z-R and Mai B-X (2015). </w:t>
      </w:r>
      <w:r w:rsidRPr="000C7CFA">
        <w:rPr>
          <w:rFonts w:ascii="Verdana" w:hAnsi="Verdana"/>
          <w:sz w:val="18"/>
          <w:szCs w:val="18"/>
          <w:lang w:eastAsia="en-GB"/>
        </w:rPr>
        <w:t xml:space="preserve">An eight year (2005-2013) temporal trend of halogenated organic pollutants in fish from the Pearl River Estuary, South China. Marine Pollution Bulletin, 93 (1-2), 61-67. </w:t>
      </w:r>
    </w:p>
    <w:p w14:paraId="7CB14847" w14:textId="77777777" w:rsidR="0051029E" w:rsidRPr="000C7CFA" w:rsidRDefault="0051029E" w:rsidP="0051029E">
      <w:pPr>
        <w:pStyle w:val="NoSpacing"/>
        <w:jc w:val="both"/>
        <w:rPr>
          <w:rFonts w:ascii="Verdana" w:hAnsi="Verdana" w:cs="Times New Roman"/>
          <w:i/>
          <w:sz w:val="18"/>
          <w:szCs w:val="18"/>
        </w:rPr>
      </w:pPr>
      <w:r w:rsidRPr="000C7CFA">
        <w:rPr>
          <w:rFonts w:ascii="Verdana" w:hAnsi="Verdana" w:cs="Times New Roman"/>
          <w:i/>
          <w:sz w:val="18"/>
          <w:szCs w:val="18"/>
        </w:rPr>
        <w:t>Relevance: Concentrations in fish near to sources of release, outside Europe. No clear temporal trend was evident for DP.</w:t>
      </w:r>
    </w:p>
    <w:p w14:paraId="382EC6E7" w14:textId="77777777" w:rsidR="0051029E" w:rsidRPr="000C7CFA" w:rsidRDefault="0051029E" w:rsidP="0051029E">
      <w:pPr>
        <w:pStyle w:val="NoSpacing"/>
        <w:jc w:val="both"/>
        <w:rPr>
          <w:rFonts w:ascii="Verdana" w:hAnsi="Verdana"/>
          <w:sz w:val="18"/>
          <w:szCs w:val="18"/>
        </w:rPr>
      </w:pPr>
    </w:p>
    <w:p w14:paraId="7591502D" w14:textId="77777777" w:rsidR="0051029E" w:rsidRPr="000C7CFA" w:rsidRDefault="0051029E" w:rsidP="0051029E">
      <w:pPr>
        <w:pStyle w:val="NoSpacing"/>
        <w:jc w:val="both"/>
        <w:rPr>
          <w:rFonts w:ascii="Verdana" w:hAnsi="Verdana" w:cs="Times New Roman"/>
          <w:sz w:val="18"/>
          <w:szCs w:val="18"/>
        </w:rPr>
      </w:pPr>
      <w:r w:rsidRPr="000C7CFA">
        <w:rPr>
          <w:rFonts w:ascii="Verdana" w:hAnsi="Verdana" w:cs="Times New Roman"/>
          <w:sz w:val="18"/>
          <w:szCs w:val="18"/>
        </w:rPr>
        <w:t>Sun R-X, Luo X-J, Tan X-X, Tang B, Li Z-R and Mai B-X (2015). Legacy and emerging halogenated organic pollutants in marine organisms from the Pearl River Estuary, South China. Chemosphere, 139, 565-571.</w:t>
      </w:r>
    </w:p>
    <w:p w14:paraId="62BDBA64" w14:textId="77777777" w:rsidR="0051029E" w:rsidRPr="000C7CFA" w:rsidRDefault="0051029E" w:rsidP="0051029E">
      <w:pPr>
        <w:pStyle w:val="NoSpacing"/>
        <w:jc w:val="both"/>
        <w:rPr>
          <w:rFonts w:ascii="Verdana" w:hAnsi="Verdana" w:cs="Times New Roman"/>
          <w:i/>
          <w:sz w:val="18"/>
          <w:szCs w:val="18"/>
        </w:rPr>
      </w:pPr>
      <w:r w:rsidRPr="000C7CFA">
        <w:rPr>
          <w:rFonts w:ascii="Verdana" w:hAnsi="Verdana" w:cs="Times New Roman"/>
          <w:i/>
          <w:sz w:val="18"/>
          <w:szCs w:val="18"/>
        </w:rPr>
        <w:t>Relevance: Concentrations in fish near to sources of release, outside Europe.</w:t>
      </w:r>
    </w:p>
    <w:p w14:paraId="23A48BD6" w14:textId="77777777" w:rsidR="0051029E" w:rsidRPr="000C7CFA" w:rsidRDefault="0051029E" w:rsidP="0051029E">
      <w:pPr>
        <w:autoSpaceDE w:val="0"/>
        <w:autoSpaceDN w:val="0"/>
        <w:adjustRightInd w:val="0"/>
        <w:spacing w:after="0"/>
        <w:jc w:val="both"/>
        <w:rPr>
          <w:rFonts w:ascii="Verdana" w:eastAsiaTheme="minorHAnsi" w:hAnsi="Verdana"/>
          <w:i/>
          <w:sz w:val="18"/>
          <w:szCs w:val="18"/>
          <w:lang w:val="en-GB"/>
        </w:rPr>
      </w:pPr>
    </w:p>
    <w:p w14:paraId="7A954DBB" w14:textId="77777777" w:rsidR="0051029E" w:rsidRPr="000C7CFA" w:rsidRDefault="0051029E" w:rsidP="0051029E">
      <w:pPr>
        <w:autoSpaceDE w:val="0"/>
        <w:autoSpaceDN w:val="0"/>
        <w:adjustRightInd w:val="0"/>
        <w:spacing w:after="0"/>
        <w:jc w:val="both"/>
        <w:rPr>
          <w:rFonts w:ascii="Verdana" w:hAnsi="Verdana"/>
          <w:sz w:val="18"/>
          <w:szCs w:val="18"/>
        </w:rPr>
      </w:pPr>
      <w:r w:rsidRPr="000C7CFA">
        <w:rPr>
          <w:rFonts w:ascii="Verdana" w:hAnsi="Verdana"/>
          <w:sz w:val="18"/>
          <w:szCs w:val="18"/>
        </w:rPr>
        <w:t>Tao W, Zhou Z, Shen L and Zhao B (2015). Determination of dechlorane flame retardants in soil and fish at Guiyu, an electronic waste recycling site in south China. Environmental Pollution, 206, 361-368.</w:t>
      </w:r>
    </w:p>
    <w:p w14:paraId="4CD3F997" w14:textId="77777777" w:rsidR="0051029E" w:rsidRPr="000C7CFA" w:rsidRDefault="0051029E" w:rsidP="0051029E">
      <w:pPr>
        <w:autoSpaceDE w:val="0"/>
        <w:autoSpaceDN w:val="0"/>
        <w:adjustRightInd w:val="0"/>
        <w:spacing w:after="0"/>
        <w:jc w:val="both"/>
        <w:rPr>
          <w:rFonts w:ascii="Verdana" w:hAnsi="Verdana"/>
          <w:i/>
          <w:sz w:val="18"/>
          <w:szCs w:val="18"/>
        </w:rPr>
      </w:pPr>
      <w:r w:rsidRPr="000C7CFA">
        <w:rPr>
          <w:rFonts w:ascii="Verdana" w:hAnsi="Verdana"/>
          <w:i/>
          <w:sz w:val="18"/>
          <w:szCs w:val="18"/>
        </w:rPr>
        <w:t>Relevance: Levels in fish associated with a source of emission, outside Europe. [Photodegradation results are included in this report.]</w:t>
      </w:r>
    </w:p>
    <w:p w14:paraId="7B1AFD07" w14:textId="77777777" w:rsidR="0051029E" w:rsidRPr="000C7CFA" w:rsidRDefault="0051029E" w:rsidP="005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sz w:val="18"/>
          <w:szCs w:val="18"/>
          <w:lang w:val="en-GB"/>
        </w:rPr>
      </w:pPr>
    </w:p>
    <w:p w14:paraId="5569FA51" w14:textId="77777777" w:rsidR="0051029E" w:rsidRPr="000C7CFA" w:rsidRDefault="0051029E" w:rsidP="0051029E">
      <w:pPr>
        <w:pStyle w:val="NoSpacing"/>
        <w:jc w:val="both"/>
        <w:rPr>
          <w:rFonts w:ascii="Verdana" w:hAnsi="Verdana" w:cs="Times New Roman"/>
          <w:sz w:val="18"/>
          <w:szCs w:val="18"/>
        </w:rPr>
      </w:pPr>
      <w:r w:rsidRPr="000C7CFA">
        <w:rPr>
          <w:rFonts w:ascii="Verdana" w:hAnsi="Verdana" w:cs="Times New Roman"/>
          <w:sz w:val="18"/>
          <w:szCs w:val="18"/>
        </w:rPr>
        <w:t>Vetter W, Gall V and Skírnisson K (2015). Polyhalogenated compounds (PCBs, chlordanes, HCB and BFRs) in four polar bears (</w:t>
      </w:r>
      <w:r w:rsidRPr="000C7CFA">
        <w:rPr>
          <w:rFonts w:ascii="Verdana" w:hAnsi="Verdana" w:cs="Times New Roman"/>
          <w:i/>
          <w:sz w:val="18"/>
          <w:szCs w:val="18"/>
        </w:rPr>
        <w:t>Ursus maritimus</w:t>
      </w:r>
      <w:r w:rsidRPr="000C7CFA">
        <w:rPr>
          <w:rFonts w:ascii="Verdana" w:hAnsi="Verdana" w:cs="Times New Roman"/>
          <w:sz w:val="18"/>
          <w:szCs w:val="18"/>
        </w:rPr>
        <w:t>) that swam malnourished from East Greenland to Iceland. Science of the Total Environment, 533, 290-296.</w:t>
      </w:r>
    </w:p>
    <w:p w14:paraId="5DB4CA2B" w14:textId="77777777" w:rsidR="0051029E" w:rsidRPr="000C7CFA" w:rsidRDefault="0051029E" w:rsidP="0051029E">
      <w:pPr>
        <w:pStyle w:val="NoSpacing"/>
        <w:jc w:val="both"/>
        <w:rPr>
          <w:rFonts w:ascii="Verdana" w:hAnsi="Verdana" w:cs="Times New Roman"/>
          <w:sz w:val="18"/>
          <w:szCs w:val="18"/>
        </w:rPr>
      </w:pPr>
      <w:r w:rsidRPr="000C7CFA">
        <w:rPr>
          <w:rFonts w:ascii="Verdana" w:hAnsi="Verdana" w:cs="Times New Roman"/>
          <w:i/>
          <w:sz w:val="18"/>
          <w:szCs w:val="18"/>
        </w:rPr>
        <w:t>Relevance: Occurrence in biota.  Abstract suggests that Dechlorane 602 was tentatively identified but no information is given in the abstract on DP.</w:t>
      </w:r>
    </w:p>
    <w:p w14:paraId="7BBCBE2A" w14:textId="77777777" w:rsidR="0051029E" w:rsidRPr="000C7CFA" w:rsidRDefault="0051029E" w:rsidP="0051029E">
      <w:pPr>
        <w:pStyle w:val="NoSpacing"/>
        <w:jc w:val="both"/>
        <w:rPr>
          <w:rFonts w:ascii="Verdana" w:hAnsi="Verdana" w:cs="Times New Roman"/>
          <w:i/>
          <w:sz w:val="18"/>
          <w:szCs w:val="18"/>
        </w:rPr>
      </w:pPr>
    </w:p>
    <w:p w14:paraId="7F0D0229" w14:textId="3380A5EF" w:rsidR="00851D44" w:rsidRPr="000C7CFA" w:rsidRDefault="00851D44" w:rsidP="00851D44">
      <w:pPr>
        <w:pStyle w:val="NoSpacing"/>
        <w:jc w:val="both"/>
        <w:rPr>
          <w:rFonts w:ascii="Verdana" w:hAnsi="Verdana" w:cs="Times New Roman"/>
          <w:sz w:val="18"/>
          <w:szCs w:val="18"/>
        </w:rPr>
      </w:pPr>
      <w:r w:rsidRPr="000C7CFA">
        <w:rPr>
          <w:rFonts w:ascii="Verdana" w:hAnsi="Verdana" w:cs="Times New Roman"/>
          <w:sz w:val="18"/>
          <w:szCs w:val="18"/>
        </w:rPr>
        <w:t>Wang P, Zhang Q, Zhang H, Wang T, Sun H, Zheng S, Li Y, Liang Y and Jiang G (2016). Sources and environmental behaviors of Dechlorane Plus and related compounds — A review. Environment International, 88, 206–220.</w:t>
      </w:r>
    </w:p>
    <w:p w14:paraId="3118D00A" w14:textId="77777777" w:rsidR="00851D44" w:rsidRPr="000C7CFA" w:rsidRDefault="00851D44" w:rsidP="00851D44">
      <w:pPr>
        <w:pStyle w:val="NoSpacing"/>
        <w:jc w:val="both"/>
        <w:rPr>
          <w:rFonts w:ascii="Verdana" w:hAnsi="Verdana" w:cs="Times New Roman"/>
          <w:i/>
          <w:sz w:val="18"/>
          <w:szCs w:val="18"/>
        </w:rPr>
      </w:pPr>
      <w:r w:rsidRPr="000C7CFA">
        <w:rPr>
          <w:rFonts w:ascii="Verdana" w:hAnsi="Verdana" w:cs="Times New Roman"/>
          <w:i/>
          <w:sz w:val="18"/>
          <w:szCs w:val="18"/>
        </w:rPr>
        <w:t>Relevance: Review article.</w:t>
      </w:r>
    </w:p>
    <w:p w14:paraId="1FF1CDE7" w14:textId="77777777" w:rsidR="00851D44" w:rsidRPr="000C7CFA" w:rsidRDefault="00851D44" w:rsidP="004D10EE">
      <w:pPr>
        <w:pStyle w:val="NoSpacing"/>
        <w:jc w:val="both"/>
        <w:rPr>
          <w:rFonts w:ascii="Verdana" w:hAnsi="Verdana" w:cs="Times New Roman"/>
          <w:sz w:val="18"/>
          <w:szCs w:val="18"/>
        </w:rPr>
      </w:pPr>
    </w:p>
    <w:p w14:paraId="7702C2D8" w14:textId="77777777" w:rsidR="004D10EE" w:rsidRPr="000C7CFA" w:rsidRDefault="004D10EE" w:rsidP="004D10EE">
      <w:pPr>
        <w:pStyle w:val="NoSpacing"/>
        <w:jc w:val="both"/>
        <w:rPr>
          <w:rFonts w:ascii="Verdana" w:hAnsi="Verdana" w:cs="Times New Roman"/>
          <w:sz w:val="18"/>
          <w:szCs w:val="18"/>
        </w:rPr>
      </w:pPr>
      <w:r w:rsidRPr="000C7CFA">
        <w:rPr>
          <w:rFonts w:ascii="Verdana" w:hAnsi="Verdana" w:cs="Times New Roman"/>
          <w:sz w:val="18"/>
          <w:szCs w:val="18"/>
        </w:rPr>
        <w:t xml:space="preserve">Wellington Science Associates, Inc. (1978). The Characterization of the Diels-Alder Adducts of Hexachlorocyclopentadiene and Assessment of their Use. Fish. Environ. Can. MS Rep. No. O.R.2O. </w:t>
      </w:r>
    </w:p>
    <w:p w14:paraId="3FF9CC3C" w14:textId="18015124" w:rsidR="004D10EE" w:rsidRPr="000C7CFA" w:rsidRDefault="004D10EE" w:rsidP="004D10EE">
      <w:pPr>
        <w:pStyle w:val="NoSpacing"/>
        <w:jc w:val="both"/>
        <w:rPr>
          <w:rFonts w:ascii="Verdana" w:hAnsi="Verdana" w:cs="Times New Roman"/>
          <w:sz w:val="18"/>
          <w:szCs w:val="18"/>
        </w:rPr>
      </w:pPr>
      <w:r w:rsidRPr="000C7CFA">
        <w:rPr>
          <w:rFonts w:ascii="Verdana" w:hAnsi="Verdana" w:cs="Times New Roman"/>
          <w:i/>
          <w:sz w:val="18"/>
          <w:szCs w:val="18"/>
        </w:rPr>
        <w:t>Relevance: Summary of chemical properties and historical use patterns of Dechloranes. Original reference not located.</w:t>
      </w:r>
    </w:p>
    <w:p w14:paraId="6D1CE5B2" w14:textId="77777777" w:rsidR="004D10EE" w:rsidRPr="000C7CFA" w:rsidRDefault="004D10EE" w:rsidP="0051029E">
      <w:pPr>
        <w:spacing w:after="0"/>
        <w:jc w:val="both"/>
        <w:rPr>
          <w:rFonts w:ascii="Verdana" w:hAnsi="Verdana"/>
          <w:sz w:val="18"/>
          <w:szCs w:val="18"/>
          <w:lang w:val="en-GB"/>
        </w:rPr>
      </w:pPr>
    </w:p>
    <w:p w14:paraId="12D85CB4" w14:textId="6CA397A0" w:rsidR="0051029E" w:rsidRPr="000C7CFA" w:rsidRDefault="0051029E" w:rsidP="0051029E">
      <w:pPr>
        <w:spacing w:after="0"/>
        <w:jc w:val="both"/>
        <w:rPr>
          <w:rFonts w:ascii="Verdana" w:hAnsi="Verdana"/>
          <w:sz w:val="18"/>
          <w:szCs w:val="18"/>
          <w:lang w:val="en-GB"/>
        </w:rPr>
      </w:pPr>
      <w:r w:rsidRPr="000C7CFA">
        <w:rPr>
          <w:rFonts w:ascii="Verdana" w:hAnsi="Verdana"/>
          <w:sz w:val="18"/>
          <w:szCs w:val="18"/>
          <w:lang w:val="en-GB"/>
        </w:rPr>
        <w:t>Zhang H, Bayen S and Kelly BC (2015). Co-extraction and simultaneous determination of multi-class hydrophobic organic contaminants in marine sediments and biota using GC-EI-MS/MS and LC-ESI-MS/MS. Talanta, 143, 7-18.</w:t>
      </w:r>
    </w:p>
    <w:p w14:paraId="11691A38" w14:textId="77777777" w:rsidR="0051029E" w:rsidRPr="000C7CFA" w:rsidRDefault="0051029E" w:rsidP="0051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hAnsi="Verdana"/>
          <w:i/>
          <w:sz w:val="18"/>
          <w:szCs w:val="18"/>
          <w:lang w:val="en-GB"/>
        </w:rPr>
      </w:pPr>
      <w:r w:rsidRPr="000C7CFA">
        <w:rPr>
          <w:rFonts w:ascii="Verdana" w:hAnsi="Verdana"/>
          <w:i/>
          <w:sz w:val="18"/>
          <w:szCs w:val="18"/>
        </w:rPr>
        <w:t>Relevance</w:t>
      </w:r>
      <w:r w:rsidRPr="000C7CFA">
        <w:rPr>
          <w:rFonts w:ascii="Verdana" w:hAnsi="Verdana"/>
          <w:i/>
          <w:sz w:val="18"/>
          <w:szCs w:val="18"/>
          <w:lang w:val="en-GB"/>
        </w:rPr>
        <w:t>: Analytical method development for concentrations in biota, outside Europe.</w:t>
      </w:r>
    </w:p>
    <w:p w14:paraId="081F8BFF" w14:textId="77777777" w:rsidR="0051029E" w:rsidRPr="000C7CFA" w:rsidRDefault="0051029E" w:rsidP="0051029E">
      <w:pPr>
        <w:spacing w:after="0"/>
        <w:rPr>
          <w:rFonts w:ascii="Verdana" w:eastAsiaTheme="minorHAnsi" w:hAnsi="Verdana" w:cstheme="minorBidi"/>
          <w:sz w:val="18"/>
          <w:szCs w:val="18"/>
          <w:lang w:val="en-GB"/>
        </w:rPr>
      </w:pPr>
    </w:p>
    <w:p w14:paraId="35A0517D" w14:textId="77777777" w:rsidR="0047043A" w:rsidRPr="000C7CFA" w:rsidRDefault="0047043A">
      <w:pPr>
        <w:spacing w:after="0"/>
        <w:rPr>
          <w:rFonts w:ascii="Verdana" w:eastAsiaTheme="minorHAnsi" w:hAnsi="Verdana" w:cstheme="minorBidi"/>
          <w:sz w:val="18"/>
          <w:szCs w:val="18"/>
          <w:lang w:val="en-GB"/>
        </w:rPr>
      </w:pPr>
      <w:r w:rsidRPr="000C7CFA">
        <w:rPr>
          <w:rFonts w:ascii="Verdana" w:hAnsi="Verdana"/>
          <w:sz w:val="18"/>
          <w:szCs w:val="18"/>
          <w:lang w:val="en-GB"/>
        </w:rPr>
        <w:br w:type="page"/>
      </w:r>
    </w:p>
    <w:p w14:paraId="3D4A6B36" w14:textId="69AD3A3E" w:rsidR="0051029E" w:rsidRPr="000C7CFA" w:rsidRDefault="0051029E" w:rsidP="0051029E">
      <w:pPr>
        <w:pStyle w:val="NoSpacing"/>
        <w:jc w:val="both"/>
        <w:rPr>
          <w:rFonts w:ascii="Verdana" w:hAnsi="Verdana"/>
          <w:sz w:val="18"/>
          <w:szCs w:val="18"/>
        </w:rPr>
      </w:pPr>
      <w:r w:rsidRPr="000C7CFA">
        <w:rPr>
          <w:rFonts w:ascii="Verdana" w:hAnsi="Verdana"/>
          <w:sz w:val="18"/>
          <w:szCs w:val="18"/>
        </w:rPr>
        <w:lastRenderedPageBreak/>
        <w:t>Zhou SN, Reiner EJ, Marvin C, Kolic T</w:t>
      </w:r>
      <w:bookmarkStart w:id="159" w:name="_GoBack"/>
      <w:bookmarkEnd w:id="159"/>
      <w:r w:rsidRPr="000C7CFA">
        <w:rPr>
          <w:rFonts w:ascii="Verdana" w:hAnsi="Verdana"/>
          <w:sz w:val="18"/>
          <w:szCs w:val="18"/>
        </w:rPr>
        <w:t xml:space="preserve">, Riddell N, Helm P, </w:t>
      </w:r>
      <w:r w:rsidRPr="000C7CFA">
        <w:rPr>
          <w:rFonts w:ascii="Verdana" w:eastAsia="Times New Roman" w:hAnsi="Verdana" w:cs="Times New Roman"/>
          <w:sz w:val="18"/>
          <w:szCs w:val="18"/>
        </w:rPr>
        <w:t>Dorman F, Misselwitz M</w:t>
      </w:r>
      <w:r w:rsidRPr="000C7CFA">
        <w:rPr>
          <w:rFonts w:ascii="Verdana" w:hAnsi="Verdana"/>
          <w:sz w:val="18"/>
          <w:szCs w:val="18"/>
        </w:rPr>
        <w:t xml:space="preserve"> and</w:t>
      </w:r>
      <w:r w:rsidRPr="000C7CFA">
        <w:rPr>
          <w:rFonts w:ascii="Verdana" w:eastAsia="Times New Roman" w:hAnsi="Verdana" w:cs="Times New Roman"/>
          <w:sz w:val="18"/>
          <w:szCs w:val="18"/>
        </w:rPr>
        <w:t xml:space="preserve"> Brindle ID</w:t>
      </w:r>
      <w:r w:rsidRPr="000C7CFA">
        <w:rPr>
          <w:rFonts w:ascii="Verdana" w:hAnsi="Verdana"/>
          <w:sz w:val="18"/>
          <w:szCs w:val="18"/>
        </w:rPr>
        <w:t xml:space="preserve"> (2010). Liquid chromatography–atmospheric pressure photoionization tandem mass spectrometry for analysis of 36 halogenated flame retardants in fish. J Chromatogr A, 1217, 633–641.</w:t>
      </w:r>
    </w:p>
    <w:p w14:paraId="6AFFCB95" w14:textId="77777777" w:rsidR="0051029E" w:rsidRPr="000C7CFA" w:rsidRDefault="0051029E" w:rsidP="0051029E">
      <w:pPr>
        <w:pStyle w:val="NoSpacing"/>
        <w:jc w:val="both"/>
        <w:rPr>
          <w:rFonts w:ascii="Verdana" w:hAnsi="Verdana" w:cs="Times New Roman"/>
          <w:i/>
          <w:sz w:val="18"/>
          <w:szCs w:val="18"/>
        </w:rPr>
      </w:pPr>
      <w:r w:rsidRPr="000C7CFA">
        <w:rPr>
          <w:rFonts w:ascii="Verdana" w:hAnsi="Verdana" w:cs="Times New Roman"/>
          <w:i/>
          <w:sz w:val="18"/>
          <w:szCs w:val="18"/>
        </w:rPr>
        <w:t>Relevance: Concentrations in fish, sampling area/relevance unclear from the abstract.</w:t>
      </w:r>
    </w:p>
    <w:p w14:paraId="05FFB6EC" w14:textId="00BBB57B" w:rsidR="0051029E" w:rsidRPr="000C7CFA" w:rsidRDefault="0051029E" w:rsidP="0051029E">
      <w:pPr>
        <w:spacing w:after="0"/>
        <w:rPr>
          <w:rFonts w:ascii="Verdana" w:eastAsiaTheme="minorHAnsi" w:hAnsi="Verdana" w:cstheme="minorBidi"/>
          <w:sz w:val="18"/>
          <w:szCs w:val="18"/>
          <w:lang w:val="en-GB"/>
        </w:rPr>
      </w:pPr>
    </w:p>
    <w:p w14:paraId="3E1938A7" w14:textId="77777777" w:rsidR="0051029E" w:rsidRPr="000C7CFA" w:rsidRDefault="0051029E" w:rsidP="0051029E">
      <w:pPr>
        <w:pStyle w:val="NoSpacing"/>
        <w:jc w:val="both"/>
        <w:rPr>
          <w:rFonts w:ascii="Verdana" w:hAnsi="Verdana"/>
          <w:sz w:val="18"/>
          <w:szCs w:val="18"/>
        </w:rPr>
      </w:pPr>
      <w:r w:rsidRPr="000C7CFA">
        <w:rPr>
          <w:rFonts w:ascii="Verdana" w:hAnsi="Verdana"/>
          <w:sz w:val="18"/>
          <w:szCs w:val="18"/>
        </w:rPr>
        <w:t>Zhou SNS, Reiner EJ, Marvin CH, Helm PA, Shen L and Brindle ID (2011). Liquid chromatography/atmospheric pressure photoionization tandem mass spectrometry for analysis of Dechloranes. Rapid Commun. Mass Spectrom. 2011, 25 (3), 436−442.</w:t>
      </w:r>
    </w:p>
    <w:p w14:paraId="3CD18704" w14:textId="48614035" w:rsidR="00DF1009" w:rsidRPr="000C7CFA" w:rsidRDefault="0051029E" w:rsidP="0051029E">
      <w:pPr>
        <w:pStyle w:val="NoSpacing"/>
        <w:jc w:val="both"/>
        <w:rPr>
          <w:rFonts w:ascii="Verdana" w:hAnsi="Verdana" w:cs="Times New Roman"/>
          <w:i/>
          <w:sz w:val="18"/>
          <w:szCs w:val="18"/>
        </w:rPr>
      </w:pPr>
      <w:r w:rsidRPr="000C7CFA">
        <w:rPr>
          <w:rFonts w:ascii="Verdana" w:hAnsi="Verdana" w:cs="Times New Roman"/>
          <w:i/>
          <w:sz w:val="18"/>
          <w:szCs w:val="18"/>
        </w:rPr>
        <w:t>Relevance: Concentrations in fish, sampling area/relevance unclear from the abstract (may contain similar data to the Zhou et al. (2010) paper above).</w:t>
      </w:r>
    </w:p>
    <w:sectPr w:rsidR="00DF1009" w:rsidRPr="000C7CFA" w:rsidSect="0051029E">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B639B" w14:textId="77777777" w:rsidR="000C7CFA" w:rsidRDefault="000C7CFA">
      <w:r>
        <w:separator/>
      </w:r>
    </w:p>
  </w:endnote>
  <w:endnote w:type="continuationSeparator" w:id="0">
    <w:p w14:paraId="17D554D8" w14:textId="77777777" w:rsidR="000C7CFA" w:rsidRDefault="000C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dvOT863180fb">
    <w:panose1 w:val="00000000000000000000"/>
    <w:charset w:val="00"/>
    <w:family w:val="roman"/>
    <w:notTrueType/>
    <w:pitch w:val="default"/>
    <w:sig w:usb0="00000003" w:usb1="00000000" w:usb2="00000000" w:usb3="00000000" w:csb0="00000001" w:csb1="00000000"/>
  </w:font>
  <w:font w:name="AdvOT51c1769e">
    <w:panose1 w:val="00000000000000000000"/>
    <w:charset w:val="00"/>
    <w:family w:val="roman"/>
    <w:notTrueType/>
    <w:pitch w:val="default"/>
    <w:sig w:usb0="00000003" w:usb1="00000000" w:usb2="00000000" w:usb3="00000000" w:csb0="00000001" w:csb1="00000000"/>
  </w:font>
  <w:font w:name="AdvOT2e364b11">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Utopia-Regular">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AdvOT8608a8d1+22">
    <w:panose1 w:val="00000000000000000000"/>
    <w:charset w:val="00"/>
    <w:family w:val="swiss"/>
    <w:notTrueType/>
    <w:pitch w:val="default"/>
    <w:sig w:usb0="00000003" w:usb1="00000000" w:usb2="00000000" w:usb3="00000000" w:csb0="00000001" w:csb1="00000000"/>
  </w:font>
  <w:font w:name="AdvOT8608a8d1+20">
    <w:altName w:val="MS Mincho"/>
    <w:panose1 w:val="00000000000000000000"/>
    <w:charset w:val="80"/>
    <w:family w:val="auto"/>
    <w:notTrueType/>
    <w:pitch w:val="default"/>
    <w:sig w:usb0="00000001" w:usb1="08070000" w:usb2="00000010" w:usb3="00000000" w:csb0="00020000" w:csb1="00000000"/>
  </w:font>
  <w:font w:name="AdvGulliv-R">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AdvTT5235d5a9">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AdvOTbf7bbdaa">
    <w:panose1 w:val="00000000000000000000"/>
    <w:charset w:val="00"/>
    <w:family w:val="roman"/>
    <w:notTrueType/>
    <w:pitch w:val="default"/>
    <w:sig w:usb0="00000003" w:usb1="00000000" w:usb2="00000000" w:usb3="00000000" w:csb0="00000001" w:csb1="00000000"/>
  </w:font>
  <w:font w:name="KHDBL D+ Gulliver">
    <w:altName w:val="Gullive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ChemBats2">
    <w:panose1 w:val="00000000000000000000"/>
    <w:charset w:val="00"/>
    <w:family w:val="swiss"/>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A5750" w14:textId="77777777" w:rsidR="000C7CFA" w:rsidRDefault="000C7CFA" w:rsidP="00AB2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04871B" w14:textId="77777777" w:rsidR="000C7CFA" w:rsidRDefault="000C7C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954E" w14:textId="77777777" w:rsidR="000C7CFA" w:rsidRDefault="000C7CFA" w:rsidP="00305E46">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04C94">
      <w:rPr>
        <w:rStyle w:val="PageNumber"/>
        <w:noProof/>
      </w:rPr>
      <w:t>iii</w:t>
    </w:r>
    <w:r>
      <w:rPr>
        <w:rStyle w:val="PageNumber"/>
      </w:rPr>
      <w:fldChar w:fldCharType="end"/>
    </w:r>
  </w:p>
  <w:p w14:paraId="6F01967E" w14:textId="2C8B703B" w:rsidR="000C7CFA" w:rsidRDefault="000C7C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0288" w14:textId="77777777" w:rsidR="000C7CFA" w:rsidRPr="000C7CFA" w:rsidRDefault="000C7CFA" w:rsidP="00305E46">
    <w:pPr>
      <w:pStyle w:val="Footer"/>
      <w:framePr w:wrap="around" w:vAnchor="text" w:hAnchor="margin" w:xAlign="center" w:y="1"/>
      <w:jc w:val="right"/>
      <w:rPr>
        <w:rStyle w:val="PageNumber"/>
        <w:rFonts w:ascii="Verdana" w:hAnsi="Verdana"/>
        <w:sz w:val="18"/>
      </w:rPr>
    </w:pPr>
    <w:r w:rsidRPr="000C7CFA">
      <w:rPr>
        <w:rStyle w:val="PageNumber"/>
        <w:rFonts w:ascii="Verdana" w:hAnsi="Verdana"/>
        <w:sz w:val="18"/>
      </w:rPr>
      <w:fldChar w:fldCharType="begin"/>
    </w:r>
    <w:r w:rsidRPr="000C7CFA">
      <w:rPr>
        <w:rStyle w:val="PageNumber"/>
        <w:rFonts w:ascii="Verdana" w:hAnsi="Verdana"/>
        <w:sz w:val="18"/>
      </w:rPr>
      <w:instrText xml:space="preserve">PAGE  </w:instrText>
    </w:r>
    <w:r w:rsidRPr="000C7CFA">
      <w:rPr>
        <w:rStyle w:val="PageNumber"/>
        <w:rFonts w:ascii="Verdana" w:hAnsi="Verdana"/>
        <w:sz w:val="18"/>
      </w:rPr>
      <w:fldChar w:fldCharType="separate"/>
    </w:r>
    <w:r w:rsidR="00304C94">
      <w:rPr>
        <w:rStyle w:val="PageNumber"/>
        <w:rFonts w:ascii="Verdana" w:hAnsi="Verdana"/>
        <w:noProof/>
        <w:sz w:val="18"/>
      </w:rPr>
      <w:t>165</w:t>
    </w:r>
    <w:r w:rsidRPr="000C7CFA">
      <w:rPr>
        <w:rStyle w:val="PageNumber"/>
        <w:rFonts w:ascii="Verdana" w:hAnsi="Verdana"/>
        <w:sz w:val="18"/>
      </w:rPr>
      <w:fldChar w:fldCharType="end"/>
    </w:r>
  </w:p>
  <w:p w14:paraId="72C70341" w14:textId="3F788E45" w:rsidR="000C7CFA" w:rsidRDefault="000C7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F14CD" w14:textId="77777777" w:rsidR="000C7CFA" w:rsidRDefault="000C7CFA">
      <w:r>
        <w:separator/>
      </w:r>
    </w:p>
  </w:footnote>
  <w:footnote w:type="continuationSeparator" w:id="0">
    <w:p w14:paraId="602C1163" w14:textId="77777777" w:rsidR="000C7CFA" w:rsidRDefault="000C7CFA">
      <w:r>
        <w:continuationSeparator/>
      </w:r>
    </w:p>
  </w:footnote>
  <w:footnote w:id="1">
    <w:p w14:paraId="25D4E577" w14:textId="77777777" w:rsidR="000C7CFA" w:rsidRPr="00030CE7" w:rsidRDefault="000C7CFA" w:rsidP="000D0494">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The study is not included in the current REACH registration of the anhydride, and the acid is not currently registered (November 2014).</w:t>
      </w:r>
    </w:p>
  </w:footnote>
  <w:footnote w:id="2">
    <w:p w14:paraId="7373D068" w14:textId="77777777" w:rsidR="000C7CFA" w:rsidRPr="00030CE7" w:rsidRDefault="000C7CFA" w:rsidP="00180A48">
      <w:pPr>
        <w:pStyle w:val="NoSpacing"/>
        <w:spacing w:after="120"/>
        <w:ind w:right="658"/>
        <w:jc w:val="both"/>
        <w:rPr>
          <w:rFonts w:ascii="Verdana" w:hAnsi="Verdana" w:cs="Times New Roman"/>
          <w:color w:val="000000"/>
          <w:sz w:val="16"/>
          <w:szCs w:val="16"/>
        </w:rPr>
      </w:pPr>
      <w:r w:rsidRPr="00030CE7">
        <w:rPr>
          <w:rStyle w:val="FootnoteReference"/>
          <w:rFonts w:ascii="Verdana" w:hAnsi="Verdana" w:cs="Times New Roman"/>
          <w:szCs w:val="16"/>
        </w:rPr>
        <w:footnoteRef/>
      </w:r>
      <w:r w:rsidRPr="00030CE7">
        <w:rPr>
          <w:rFonts w:ascii="Verdana" w:hAnsi="Verdana"/>
          <w:sz w:val="16"/>
          <w:szCs w:val="16"/>
        </w:rPr>
        <w:t xml:space="preserve"> </w:t>
      </w:r>
      <w:r w:rsidRPr="00030CE7">
        <w:rPr>
          <w:rFonts w:ascii="Verdana" w:hAnsi="Verdana" w:cs="Times New Roman"/>
          <w:color w:val="000000"/>
          <w:sz w:val="16"/>
          <w:szCs w:val="16"/>
        </w:rPr>
        <w:t>A further study is mentioned under the heading “disregarded biotransformation and kinetics”. This was a company study performed in 1971, in which Dechlorane Plus was suspended in benzene and then added to test water at a nominal concentration of 4 ppm [mg/L]. The benzene was stripped by aeration, and then domestic sewage sludge was added, and the mixtures incubated for 30 days. No oxygen consumption was observed in either test or negative control cultures, but the sludge was viable after the 30 days’ incubation. The Registrant assessed this study to be unreliable as an original report is unavailable (there is just a summary description in the form of a letter).</w:t>
      </w:r>
    </w:p>
  </w:footnote>
  <w:footnote w:id="3">
    <w:p w14:paraId="3D0F1F3E" w14:textId="77777777" w:rsidR="000C7CFA" w:rsidRPr="00030CE7" w:rsidRDefault="000C7CFA" w:rsidP="007531B0">
      <w:pPr>
        <w:spacing w:after="0"/>
        <w:rPr>
          <w:rFonts w:ascii="Verdana" w:hAnsi="Verdana"/>
          <w:sz w:val="16"/>
          <w:szCs w:val="16"/>
        </w:rPr>
      </w:pPr>
      <w:r w:rsidRPr="00030CE7">
        <w:rPr>
          <w:rStyle w:val="FootnoteReference"/>
          <w:rFonts w:ascii="Verdana" w:eastAsiaTheme="majorEastAsia" w:hAnsi="Verdana"/>
          <w:szCs w:val="16"/>
        </w:rPr>
        <w:footnoteRef/>
      </w:r>
      <w:r w:rsidRPr="00030CE7">
        <w:rPr>
          <w:rFonts w:ascii="Verdana" w:hAnsi="Verdana"/>
          <w:sz w:val="16"/>
          <w:szCs w:val="16"/>
        </w:rPr>
        <w:t xml:space="preserve"> Email from Tomohiko Yoshida to Ian Doyle, Environment Agency dated 29 January 2015.</w:t>
      </w:r>
    </w:p>
  </w:footnote>
  <w:footnote w:id="4">
    <w:p w14:paraId="0BF99E31" w14:textId="77777777" w:rsidR="000C7CFA" w:rsidRPr="00030CE7" w:rsidRDefault="000C7CFA" w:rsidP="00DA40C8">
      <w:pPr>
        <w:autoSpaceDE w:val="0"/>
        <w:autoSpaceDN w:val="0"/>
        <w:adjustRightInd w:val="0"/>
        <w:jc w:val="both"/>
        <w:rPr>
          <w:rFonts w:ascii="Verdana" w:eastAsiaTheme="minorHAnsi" w:hAnsi="Verdana" w:cs="Times-Roman"/>
          <w:sz w:val="16"/>
          <w:szCs w:val="16"/>
        </w:rPr>
      </w:pPr>
      <w:r w:rsidRPr="00030CE7">
        <w:rPr>
          <w:rStyle w:val="FootnoteReference"/>
          <w:rFonts w:ascii="Verdana" w:hAnsi="Verdana"/>
          <w:szCs w:val="16"/>
        </w:rPr>
        <w:footnoteRef/>
      </w:r>
      <w:r w:rsidRPr="00030CE7">
        <w:rPr>
          <w:rFonts w:ascii="Verdana" w:hAnsi="Verdana"/>
          <w:sz w:val="16"/>
          <w:szCs w:val="16"/>
        </w:rPr>
        <w:t xml:space="preserve"> Sverko </w:t>
      </w:r>
      <w:r w:rsidRPr="00030CE7">
        <w:rPr>
          <w:rFonts w:ascii="Verdana" w:hAnsi="Verdana"/>
          <w:i/>
          <w:sz w:val="16"/>
          <w:szCs w:val="16"/>
        </w:rPr>
        <w:t>et al</w:t>
      </w:r>
      <w:r w:rsidRPr="00030CE7">
        <w:rPr>
          <w:rFonts w:ascii="Verdana" w:hAnsi="Verdana"/>
          <w:sz w:val="16"/>
          <w:szCs w:val="16"/>
        </w:rPr>
        <w:t>. (2011) include</w:t>
      </w:r>
      <w:r w:rsidRPr="00030CE7">
        <w:rPr>
          <w:rFonts w:ascii="Verdana" w:eastAsiaTheme="minorHAnsi" w:hAnsi="Verdana"/>
          <w:sz w:val="16"/>
          <w:szCs w:val="16"/>
        </w:rPr>
        <w:t>d estimated biotransformation rate constants with this model to derive BAFs of 5.9 × 10</w:t>
      </w:r>
      <w:r w:rsidRPr="00030CE7">
        <w:rPr>
          <w:rFonts w:ascii="Verdana" w:eastAsiaTheme="minorHAnsi" w:hAnsi="Verdana"/>
          <w:sz w:val="16"/>
          <w:szCs w:val="16"/>
          <w:vertAlign w:val="superscript"/>
        </w:rPr>
        <w:t xml:space="preserve">4 </w:t>
      </w:r>
      <w:r w:rsidRPr="00030CE7">
        <w:rPr>
          <w:rFonts w:ascii="Verdana" w:eastAsiaTheme="minorHAnsi" w:hAnsi="Verdana"/>
          <w:sz w:val="16"/>
          <w:szCs w:val="16"/>
        </w:rPr>
        <w:t xml:space="preserve">L/kg for the </w:t>
      </w:r>
      <w:r w:rsidRPr="00030CE7">
        <w:rPr>
          <w:rFonts w:ascii="Verdana" w:eastAsiaTheme="minorHAnsi" w:hAnsi="Verdana"/>
          <w:iCs/>
          <w:sz w:val="16"/>
          <w:szCs w:val="16"/>
        </w:rPr>
        <w:t xml:space="preserve">anti- isomer </w:t>
      </w:r>
      <w:r w:rsidRPr="00030CE7">
        <w:rPr>
          <w:rFonts w:ascii="Verdana" w:eastAsiaTheme="minorHAnsi" w:hAnsi="Verdana"/>
          <w:sz w:val="16"/>
          <w:szCs w:val="16"/>
        </w:rPr>
        <w:t>and 1.1 × 10</w:t>
      </w:r>
      <w:r w:rsidRPr="00030CE7">
        <w:rPr>
          <w:rFonts w:ascii="Verdana" w:eastAsiaTheme="minorHAnsi" w:hAnsi="Verdana"/>
          <w:sz w:val="16"/>
          <w:szCs w:val="16"/>
          <w:vertAlign w:val="superscript"/>
        </w:rPr>
        <w:t xml:space="preserve">5 </w:t>
      </w:r>
      <w:r w:rsidRPr="00030CE7">
        <w:rPr>
          <w:rFonts w:ascii="Verdana" w:eastAsiaTheme="minorHAnsi" w:hAnsi="Verdana"/>
          <w:sz w:val="16"/>
          <w:szCs w:val="16"/>
        </w:rPr>
        <w:t xml:space="preserve">L/kg for the </w:t>
      </w:r>
      <w:r w:rsidRPr="00030CE7">
        <w:rPr>
          <w:rFonts w:ascii="Verdana" w:eastAsiaTheme="minorHAnsi" w:hAnsi="Verdana"/>
          <w:iCs/>
          <w:sz w:val="16"/>
          <w:szCs w:val="16"/>
        </w:rPr>
        <w:t>syn-</w:t>
      </w:r>
      <w:r w:rsidRPr="00030CE7">
        <w:rPr>
          <w:rFonts w:ascii="Verdana" w:eastAsiaTheme="minorHAnsi" w:hAnsi="Verdana"/>
          <w:sz w:val="16"/>
          <w:szCs w:val="16"/>
        </w:rPr>
        <w:t xml:space="preserve"> isomer, based on </w:t>
      </w:r>
      <w:r w:rsidRPr="00030CE7">
        <w:rPr>
          <w:rFonts w:ascii="Verdana" w:eastAsiaTheme="minorHAnsi" w:hAnsi="Verdana"/>
          <w:sz w:val="16"/>
          <w:szCs w:val="16"/>
          <w:u w:val="single"/>
        </w:rPr>
        <w:t>total</w:t>
      </w:r>
      <w:r w:rsidRPr="00030CE7">
        <w:rPr>
          <w:rFonts w:ascii="Verdana" w:eastAsiaTheme="minorHAnsi" w:hAnsi="Verdana"/>
          <w:sz w:val="16"/>
          <w:szCs w:val="16"/>
        </w:rPr>
        <w:t xml:space="preserve"> water concentrations. BAFs at the middle and upper trophic levels were higher.</w:t>
      </w:r>
    </w:p>
  </w:footnote>
  <w:footnote w:id="5">
    <w:p w14:paraId="5E078A4C" w14:textId="77777777" w:rsidR="000C7CFA" w:rsidRPr="00030CE7" w:rsidRDefault="000C7CFA" w:rsidP="00706677">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This acronym is not explained in the robust study summary, but presumably refers to “disintegrations per minute”.</w:t>
      </w:r>
    </w:p>
  </w:footnote>
  <w:footnote w:id="6">
    <w:p w14:paraId="625168D0" w14:textId="77777777" w:rsidR="000C7CFA" w:rsidRPr="00030CE7" w:rsidRDefault="000C7CFA" w:rsidP="00706677">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w:t>
      </w:r>
      <w:hyperlink r:id="rId1" w:history="1">
        <w:r w:rsidRPr="00030CE7">
          <w:rPr>
            <w:rStyle w:val="Hyperlink"/>
            <w:rFonts w:ascii="Verdana" w:hAnsi="Verdana"/>
            <w:sz w:val="16"/>
            <w:szCs w:val="16"/>
          </w:rPr>
          <w:t>http://www.safe.nite.go.jp/english/db.html</w:t>
        </w:r>
      </w:hyperlink>
      <w:r w:rsidRPr="00030CE7">
        <w:rPr>
          <w:rFonts w:ascii="Verdana" w:hAnsi="Verdana"/>
          <w:sz w:val="16"/>
          <w:szCs w:val="16"/>
        </w:rPr>
        <w:t xml:space="preserve"> (checked July 2014).</w:t>
      </w:r>
    </w:p>
  </w:footnote>
  <w:footnote w:id="7">
    <w:p w14:paraId="682EE048" w14:textId="77777777" w:rsidR="000C7CFA" w:rsidRPr="00030CE7" w:rsidRDefault="000C7CFA" w:rsidP="00706677">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w:t>
      </w:r>
      <w:hyperlink r:id="rId2" w:history="1">
        <w:r w:rsidRPr="00030CE7">
          <w:rPr>
            <w:rStyle w:val="Hyperlink"/>
            <w:rFonts w:ascii="Verdana" w:hAnsi="Verdana"/>
            <w:sz w:val="16"/>
            <w:szCs w:val="16"/>
          </w:rPr>
          <w:t>http://www.cefic-lri.org/lri-toolbox/bcf</w:t>
        </w:r>
      </w:hyperlink>
    </w:p>
  </w:footnote>
  <w:footnote w:id="8">
    <w:p w14:paraId="695F197F" w14:textId="77777777" w:rsidR="000C7CFA" w:rsidRPr="00030CE7" w:rsidRDefault="000C7CFA" w:rsidP="00706677">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w:t>
      </w:r>
      <w:hyperlink r:id="rId3" w:history="1">
        <w:r w:rsidRPr="00030CE7">
          <w:rPr>
            <w:rStyle w:val="Hyperlink"/>
            <w:rFonts w:ascii="Verdana" w:hAnsi="Verdana"/>
            <w:sz w:val="16"/>
            <w:szCs w:val="16"/>
          </w:rPr>
          <w:t>http://ambit.sourceforge.net/euras/</w:t>
        </w:r>
      </w:hyperlink>
    </w:p>
  </w:footnote>
  <w:footnote w:id="9">
    <w:p w14:paraId="00621A32" w14:textId="77777777" w:rsidR="000C7CFA" w:rsidRPr="00030CE7" w:rsidRDefault="000C7CFA" w:rsidP="00706677">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http://www.oecd.org/chemicalsafety/risk-assessment/theoecdqsartoolbox.htm</w:t>
      </w:r>
    </w:p>
  </w:footnote>
  <w:footnote w:id="10">
    <w:p w14:paraId="4E93A9B5" w14:textId="77777777" w:rsidR="000C7CFA" w:rsidRPr="00030CE7" w:rsidRDefault="000C7CFA" w:rsidP="00706677">
      <w:pPr>
        <w:spacing w:after="0"/>
        <w:rPr>
          <w:rFonts w:ascii="Verdana" w:hAnsi="Verdana"/>
          <w:sz w:val="16"/>
          <w:szCs w:val="16"/>
        </w:rPr>
      </w:pPr>
      <w:r w:rsidRPr="00030CE7">
        <w:rPr>
          <w:rStyle w:val="FootnoteReference"/>
          <w:rFonts w:ascii="Verdana" w:eastAsiaTheme="majorEastAsia" w:hAnsi="Verdana"/>
          <w:szCs w:val="16"/>
        </w:rPr>
        <w:footnoteRef/>
      </w:r>
      <w:r w:rsidRPr="00030CE7">
        <w:rPr>
          <w:rFonts w:ascii="Verdana" w:hAnsi="Verdana"/>
          <w:sz w:val="16"/>
          <w:szCs w:val="16"/>
        </w:rPr>
        <w:t xml:space="preserve"> Email from Tomohiko Yoshida to Ian Doyle, Environment Agency dated 29 January 2015.</w:t>
      </w:r>
    </w:p>
  </w:footnote>
  <w:footnote w:id="11">
    <w:p w14:paraId="11E271C7" w14:textId="77777777" w:rsidR="000C7CFA" w:rsidRPr="00030CE7" w:rsidRDefault="000C7CFA" w:rsidP="00706677">
      <w:pPr>
        <w:pStyle w:val="Default"/>
        <w:jc w:val="both"/>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Annex V of the standard OECD TG 305 states that an estimate of the depuration rate k</w:t>
      </w:r>
      <w:r w:rsidRPr="00030CE7">
        <w:rPr>
          <w:rFonts w:ascii="Verdana" w:hAnsi="Verdana"/>
          <w:sz w:val="16"/>
          <w:szCs w:val="16"/>
          <w:vertAlign w:val="subscript"/>
        </w:rPr>
        <w:t xml:space="preserve">2 </w:t>
      </w:r>
      <w:r w:rsidRPr="00030CE7">
        <w:rPr>
          <w:rFonts w:ascii="Verdana" w:hAnsi="Verdana"/>
          <w:sz w:val="16"/>
          <w:szCs w:val="16"/>
        </w:rPr>
        <w:t>(day</w:t>
      </w:r>
      <w:r w:rsidRPr="00030CE7">
        <w:rPr>
          <w:rFonts w:ascii="Verdana" w:hAnsi="Verdana"/>
          <w:sz w:val="16"/>
          <w:szCs w:val="16"/>
          <w:vertAlign w:val="superscript"/>
        </w:rPr>
        <w:t>-1</w:t>
      </w:r>
      <w:r w:rsidRPr="00030CE7">
        <w:rPr>
          <w:rFonts w:ascii="Verdana" w:hAnsi="Verdana"/>
          <w:sz w:val="16"/>
          <w:szCs w:val="16"/>
        </w:rPr>
        <w:t xml:space="preserve">) may be obtained by the following empirical relationship: </w:t>
      </w:r>
    </w:p>
    <w:p w14:paraId="3733AC2C" w14:textId="77777777" w:rsidR="000C7CFA" w:rsidRPr="00030CE7" w:rsidRDefault="000C7CFA" w:rsidP="00706677">
      <w:pPr>
        <w:pStyle w:val="Default"/>
        <w:spacing w:before="120" w:after="120"/>
        <w:ind w:left="1134"/>
        <w:jc w:val="both"/>
        <w:rPr>
          <w:rFonts w:ascii="Verdana" w:hAnsi="Verdana"/>
          <w:i/>
          <w:sz w:val="16"/>
          <w:szCs w:val="16"/>
        </w:rPr>
      </w:pPr>
      <w:r w:rsidRPr="00030CE7">
        <w:rPr>
          <w:rFonts w:ascii="Verdana" w:hAnsi="Verdana"/>
          <w:i/>
          <w:sz w:val="16"/>
          <w:szCs w:val="16"/>
        </w:rPr>
        <w:t>log k</w:t>
      </w:r>
      <w:r w:rsidRPr="00030CE7">
        <w:rPr>
          <w:rFonts w:ascii="Verdana" w:hAnsi="Verdana"/>
          <w:i/>
          <w:sz w:val="16"/>
          <w:szCs w:val="16"/>
          <w:vertAlign w:val="subscript"/>
        </w:rPr>
        <w:t>2</w:t>
      </w:r>
      <w:r w:rsidRPr="00030CE7">
        <w:rPr>
          <w:rFonts w:ascii="Verdana" w:hAnsi="Verdana"/>
          <w:i/>
          <w:sz w:val="16"/>
          <w:szCs w:val="16"/>
        </w:rPr>
        <w:t xml:space="preserve"> = 1.47 - 0.414 log K</w:t>
      </w:r>
      <w:r w:rsidRPr="00030CE7">
        <w:rPr>
          <w:rFonts w:ascii="Verdana" w:hAnsi="Verdana"/>
          <w:i/>
          <w:sz w:val="16"/>
          <w:szCs w:val="16"/>
          <w:vertAlign w:val="subscript"/>
        </w:rPr>
        <w:t>OW</w:t>
      </w:r>
    </w:p>
    <w:p w14:paraId="5460D565" w14:textId="77777777" w:rsidR="000C7CFA" w:rsidRPr="00030CE7" w:rsidRDefault="000C7CFA" w:rsidP="00706677">
      <w:pPr>
        <w:pStyle w:val="BodyText"/>
        <w:rPr>
          <w:rFonts w:ascii="Verdana" w:hAnsi="Verdana"/>
          <w:sz w:val="16"/>
          <w:szCs w:val="16"/>
        </w:rPr>
      </w:pPr>
      <w:r w:rsidRPr="00030CE7">
        <w:rPr>
          <w:rFonts w:ascii="Verdana" w:hAnsi="Verdana"/>
          <w:sz w:val="16"/>
          <w:szCs w:val="16"/>
        </w:rPr>
        <w:t xml:space="preserve">For Dechlorane Plus, </w:t>
      </w:r>
      <w:proofErr w:type="gramStart"/>
      <w:r w:rsidRPr="00030CE7">
        <w:rPr>
          <w:rFonts w:ascii="Verdana" w:hAnsi="Verdana"/>
          <w:sz w:val="16"/>
          <w:szCs w:val="16"/>
        </w:rPr>
        <w:t>k</w:t>
      </w:r>
      <w:r w:rsidRPr="00030CE7">
        <w:rPr>
          <w:rFonts w:ascii="Verdana" w:hAnsi="Verdana"/>
          <w:sz w:val="16"/>
          <w:szCs w:val="16"/>
          <w:vertAlign w:val="subscript"/>
        </w:rPr>
        <w:t>2</w:t>
      </w:r>
      <w:proofErr w:type="gramEnd"/>
      <w:r w:rsidRPr="00030CE7">
        <w:rPr>
          <w:rFonts w:ascii="Verdana" w:hAnsi="Verdana"/>
          <w:sz w:val="16"/>
          <w:szCs w:val="16"/>
          <w:vertAlign w:val="subscript"/>
        </w:rPr>
        <w:t xml:space="preserve"> </w:t>
      </w:r>
      <w:r w:rsidRPr="00030CE7">
        <w:rPr>
          <w:rFonts w:ascii="Verdana" w:hAnsi="Verdana"/>
          <w:sz w:val="16"/>
          <w:szCs w:val="16"/>
        </w:rPr>
        <w:t>is estimated to be to 0.0055 day</w:t>
      </w:r>
      <w:r w:rsidRPr="00030CE7">
        <w:rPr>
          <w:rFonts w:ascii="Verdana" w:hAnsi="Verdana"/>
          <w:sz w:val="16"/>
          <w:szCs w:val="16"/>
          <w:vertAlign w:val="superscript"/>
        </w:rPr>
        <w:t>-1</w:t>
      </w:r>
      <w:r w:rsidRPr="00030CE7">
        <w:rPr>
          <w:rFonts w:ascii="Verdana" w:hAnsi="Verdana"/>
          <w:sz w:val="16"/>
          <w:szCs w:val="16"/>
        </w:rPr>
        <w:t xml:space="preserve"> using a log K</w:t>
      </w:r>
      <w:r w:rsidRPr="00030CE7">
        <w:rPr>
          <w:rFonts w:ascii="Verdana" w:hAnsi="Verdana"/>
          <w:sz w:val="16"/>
          <w:szCs w:val="16"/>
          <w:vertAlign w:val="subscript"/>
        </w:rPr>
        <w:t>OW</w:t>
      </w:r>
      <w:r w:rsidRPr="00030CE7">
        <w:rPr>
          <w:rFonts w:ascii="Verdana" w:hAnsi="Verdana"/>
          <w:sz w:val="16"/>
          <w:szCs w:val="16"/>
        </w:rPr>
        <w:t xml:space="preserve"> value of 9. An estimate of the time to steady-state cannot be made as this would require information on fish weight, which is not available from either BCF study reported by the Registrant. However, the calculated rates of depuration (</w:t>
      </w:r>
      <w:proofErr w:type="gramStart"/>
      <w:r w:rsidRPr="00030CE7">
        <w:rPr>
          <w:rFonts w:ascii="Verdana" w:hAnsi="Verdana"/>
          <w:sz w:val="16"/>
          <w:szCs w:val="16"/>
        </w:rPr>
        <w:t>k</w:t>
      </w:r>
      <w:r w:rsidRPr="00030CE7">
        <w:rPr>
          <w:rFonts w:ascii="Verdana" w:hAnsi="Verdana"/>
          <w:sz w:val="16"/>
          <w:szCs w:val="16"/>
          <w:vertAlign w:val="subscript"/>
        </w:rPr>
        <w:t>2</w:t>
      </w:r>
      <w:proofErr w:type="gramEnd"/>
      <w:r w:rsidRPr="00030CE7">
        <w:rPr>
          <w:rFonts w:ascii="Verdana" w:hAnsi="Verdana"/>
          <w:sz w:val="16"/>
          <w:szCs w:val="16"/>
        </w:rPr>
        <w:t>), and corresponding half-life of 126 days,</w:t>
      </w:r>
      <w:r w:rsidRPr="00030CE7">
        <w:rPr>
          <w:rFonts w:ascii="Verdana" w:hAnsi="Verdana"/>
          <w:sz w:val="16"/>
          <w:szCs w:val="16"/>
          <w:vertAlign w:val="subscript"/>
        </w:rPr>
        <w:t xml:space="preserve"> </w:t>
      </w:r>
      <w:r w:rsidRPr="00030CE7">
        <w:rPr>
          <w:rFonts w:ascii="Verdana" w:hAnsi="Verdana"/>
          <w:sz w:val="16"/>
          <w:szCs w:val="16"/>
        </w:rPr>
        <w:t xml:space="preserve">indicate that it is likely to take many days for steady-state concentrations of Dechlorane Plus in fish to be reached. </w:t>
      </w:r>
    </w:p>
  </w:footnote>
  <w:footnote w:id="12">
    <w:p w14:paraId="58EE9411" w14:textId="77777777" w:rsidR="000C7CFA" w:rsidRPr="00030CE7" w:rsidRDefault="000C7CFA" w:rsidP="000C4FC7">
      <w:pPr>
        <w:pStyle w:val="BodyText"/>
        <w:ind w:right="-52"/>
        <w:rPr>
          <w:rFonts w:ascii="Verdana" w:hAnsi="Verdana"/>
          <w:sz w:val="16"/>
          <w:szCs w:val="16"/>
        </w:rPr>
      </w:pPr>
      <w:r w:rsidRPr="00030CE7">
        <w:rPr>
          <w:rStyle w:val="FootnoteReference"/>
          <w:rFonts w:ascii="Verdana" w:hAnsi="Verdana"/>
          <w:szCs w:val="16"/>
          <w:vertAlign w:val="superscript"/>
        </w:rPr>
        <w:footnoteRef/>
      </w:r>
      <w:r w:rsidRPr="00030CE7">
        <w:rPr>
          <w:rFonts w:ascii="Verdana" w:hAnsi="Verdana"/>
          <w:sz w:val="16"/>
          <w:szCs w:val="16"/>
          <w:vertAlign w:val="superscript"/>
        </w:rPr>
        <w:t xml:space="preserve"> </w:t>
      </w:r>
      <w:r w:rsidRPr="00030CE7">
        <w:rPr>
          <w:rFonts w:ascii="Verdana" w:hAnsi="Verdana"/>
          <w:sz w:val="16"/>
          <w:szCs w:val="16"/>
        </w:rPr>
        <w:t>The time required for the fish to digest and pass a single meal was established to be less than five days in pre-experiments, and so the study duration was expected to minimize elimination via respiration, depuration from the fish body to the gastro-intestinal tract and biotransformation.</w:t>
      </w:r>
    </w:p>
  </w:footnote>
  <w:footnote w:id="13">
    <w:p w14:paraId="611BE3F2" w14:textId="77777777" w:rsidR="000C7CFA" w:rsidRPr="00030CE7" w:rsidRDefault="000C7CFA">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Common Carp </w:t>
      </w:r>
      <w:r w:rsidRPr="00030CE7">
        <w:rPr>
          <w:rFonts w:ascii="Verdana" w:hAnsi="Verdana"/>
          <w:i/>
          <w:sz w:val="16"/>
          <w:szCs w:val="16"/>
        </w:rPr>
        <w:t>Cyprinus carpio</w:t>
      </w:r>
      <w:r w:rsidRPr="00030CE7">
        <w:rPr>
          <w:rFonts w:ascii="Verdana" w:hAnsi="Verdana"/>
          <w:sz w:val="16"/>
          <w:szCs w:val="16"/>
        </w:rPr>
        <w:t xml:space="preserve"> were also sampled but, unlike the other species, data are only provided in graphs. From the supporting information, it appears that only one individual of this species was involved, so its representivity is unknown.</w:t>
      </w:r>
    </w:p>
  </w:footnote>
  <w:footnote w:id="14">
    <w:p w14:paraId="06049B47" w14:textId="74245F68" w:rsidR="000C7CFA" w:rsidRPr="00030CE7" w:rsidRDefault="000C7CFA" w:rsidP="00A65C78">
      <w:pPr>
        <w:pStyle w:val="FootnoteText"/>
        <w:spacing w:after="120"/>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Lipid contents were water snake: 1.06 ± 0.15%, Mud Carp: 2.87 ± 0.41% (or 5.22 ± 0.7</w:t>
      </w:r>
      <w:r>
        <w:rPr>
          <w:rFonts w:ascii="Verdana" w:hAnsi="Verdana"/>
          <w:sz w:val="16"/>
          <w:szCs w:val="16"/>
        </w:rPr>
        <w:t>8 %</w:t>
      </w:r>
      <w:r w:rsidRPr="00030CE7">
        <w:rPr>
          <w:rFonts w:ascii="Verdana" w:hAnsi="Verdana"/>
          <w:sz w:val="16"/>
          <w:szCs w:val="16"/>
        </w:rPr>
        <w:t xml:space="preserve"> for the reference site), Crucian Carp: 3.63 ± 0.71%, Northern Snakehead: 1.49 ± 0.31%, prawn: 2.39 ± 0.32% and Chinese mystery snail: 0.59 ± 0.11%.</w:t>
      </w:r>
    </w:p>
  </w:footnote>
  <w:footnote w:id="15">
    <w:p w14:paraId="79C59688" w14:textId="3B79FE76" w:rsidR="000C7CFA" w:rsidRPr="00030CE7" w:rsidRDefault="000C7CFA" w:rsidP="00A65C78">
      <w:pPr>
        <w:pStyle w:val="FootnoteText"/>
        <w:spacing w:after="0"/>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For total isomers, the average BAF was 12</w:t>
      </w:r>
      <w:r>
        <w:rPr>
          <w:rFonts w:ascii="Verdana" w:hAnsi="Verdana"/>
          <w:sz w:val="16"/>
          <w:szCs w:val="16"/>
        </w:rPr>
        <w:t> </w:t>
      </w:r>
      <w:r w:rsidRPr="00030CE7">
        <w:rPr>
          <w:rFonts w:ascii="Verdana" w:hAnsi="Verdana"/>
          <w:sz w:val="16"/>
          <w:szCs w:val="16"/>
        </w:rPr>
        <w:t>200, 7</w:t>
      </w:r>
      <w:r>
        <w:rPr>
          <w:rFonts w:ascii="Verdana" w:hAnsi="Verdana"/>
          <w:sz w:val="16"/>
          <w:szCs w:val="16"/>
        </w:rPr>
        <w:t> </w:t>
      </w:r>
      <w:r w:rsidRPr="00030CE7">
        <w:rPr>
          <w:rFonts w:ascii="Verdana" w:hAnsi="Verdana"/>
          <w:sz w:val="16"/>
          <w:szCs w:val="16"/>
        </w:rPr>
        <w:t>170 and 2</w:t>
      </w:r>
      <w:r>
        <w:rPr>
          <w:rFonts w:ascii="Verdana" w:hAnsi="Verdana"/>
          <w:sz w:val="16"/>
          <w:szCs w:val="16"/>
        </w:rPr>
        <w:t> </w:t>
      </w:r>
      <w:r w:rsidRPr="00030CE7">
        <w:rPr>
          <w:rFonts w:ascii="Verdana" w:hAnsi="Verdana"/>
          <w:sz w:val="16"/>
          <w:szCs w:val="16"/>
        </w:rPr>
        <w:t xml:space="preserve">000 for Mud Carp, Crucian Carp and Northern Snakehead, respectively (Zhang </w:t>
      </w:r>
      <w:r w:rsidRPr="00030CE7">
        <w:rPr>
          <w:rFonts w:ascii="Verdana" w:hAnsi="Verdana"/>
          <w:i/>
          <w:sz w:val="16"/>
          <w:szCs w:val="16"/>
        </w:rPr>
        <w:t>et al</w:t>
      </w:r>
      <w:r w:rsidRPr="00030CE7">
        <w:rPr>
          <w:rFonts w:ascii="Verdana" w:hAnsi="Verdana"/>
          <w:sz w:val="16"/>
          <w:szCs w:val="16"/>
        </w:rPr>
        <w:t>., 2011c).</w:t>
      </w:r>
    </w:p>
  </w:footnote>
  <w:footnote w:id="16">
    <w:p w14:paraId="718D34EC" w14:textId="77777777" w:rsidR="000C7CFA" w:rsidRPr="00030CE7" w:rsidRDefault="000C7CFA" w:rsidP="00030CE7">
      <w:pPr>
        <w:pStyle w:val="FootnoteText"/>
        <w:spacing w:after="120"/>
        <w:rPr>
          <w:rFonts w:ascii="Verdana" w:hAnsi="Verdana"/>
          <w:sz w:val="16"/>
          <w:szCs w:val="16"/>
        </w:rPr>
      </w:pPr>
      <w:r w:rsidRPr="00030CE7">
        <w:rPr>
          <w:rStyle w:val="FootnoteReference"/>
          <w:rFonts w:ascii="Verdana" w:hAnsi="Verdana"/>
          <w:szCs w:val="16"/>
          <w:vertAlign w:val="superscript"/>
        </w:rPr>
        <w:footnoteRef/>
      </w:r>
      <w:r w:rsidRPr="00030CE7">
        <w:rPr>
          <w:rFonts w:ascii="Verdana" w:hAnsi="Verdana"/>
          <w:sz w:val="16"/>
          <w:szCs w:val="16"/>
        </w:rPr>
        <w:t xml:space="preserve"> Email from Dr Xiao-Jun Luo to Ian Doyle, Environment Agency dated 27 January 2015.</w:t>
      </w:r>
    </w:p>
  </w:footnote>
  <w:footnote w:id="17">
    <w:p w14:paraId="4E7D2D03" w14:textId="77777777" w:rsidR="000C7CFA" w:rsidRPr="00030CE7" w:rsidRDefault="000C7CFA" w:rsidP="00591815">
      <w:pPr>
        <w:pStyle w:val="FootnoteText"/>
        <w:spacing w:after="120"/>
        <w:rPr>
          <w:rFonts w:ascii="Verdana" w:hAnsi="Verdana"/>
          <w:sz w:val="16"/>
          <w:szCs w:val="16"/>
        </w:rPr>
      </w:pPr>
      <w:r w:rsidRPr="00030CE7">
        <w:rPr>
          <w:rStyle w:val="FootnoteReference"/>
          <w:rFonts w:ascii="Verdana" w:hAnsi="Verdana"/>
          <w:szCs w:val="16"/>
          <w:vertAlign w:val="superscript"/>
        </w:rPr>
        <w:footnoteRef/>
      </w:r>
      <w:r w:rsidRPr="00030CE7">
        <w:rPr>
          <w:rFonts w:ascii="Verdana" w:hAnsi="Verdana"/>
          <w:sz w:val="16"/>
          <w:szCs w:val="16"/>
        </w:rPr>
        <w:t xml:space="preserve"> </w:t>
      </w:r>
      <w:hyperlink r:id="rId4" w:history="1">
        <w:r w:rsidRPr="00030CE7">
          <w:rPr>
            <w:rStyle w:val="Hyperlink"/>
            <w:rFonts w:ascii="Verdana" w:hAnsi="Verdana"/>
            <w:sz w:val="16"/>
            <w:szCs w:val="16"/>
          </w:rPr>
          <w:t>http://www.biosch.hku.hk/ecology/hkreptiles/snake/Enhydris_chinensis.html</w:t>
        </w:r>
      </w:hyperlink>
      <w:r w:rsidRPr="00030CE7">
        <w:rPr>
          <w:rFonts w:ascii="Verdana" w:hAnsi="Verdana"/>
          <w:sz w:val="16"/>
          <w:szCs w:val="16"/>
        </w:rPr>
        <w:t>. It is possible that terrestrial species might also be eaten.</w:t>
      </w:r>
    </w:p>
  </w:footnote>
  <w:footnote w:id="18">
    <w:p w14:paraId="3334985E" w14:textId="7E46A60C" w:rsidR="000C7CFA" w:rsidRPr="00030CE7" w:rsidRDefault="000C7CFA" w:rsidP="00591815">
      <w:pPr>
        <w:pStyle w:val="FootnoteText"/>
        <w:spacing w:after="0"/>
        <w:rPr>
          <w:rFonts w:ascii="Verdana" w:hAnsi="Verdana"/>
          <w:sz w:val="16"/>
          <w:szCs w:val="16"/>
        </w:rPr>
      </w:pPr>
      <w:r w:rsidRPr="00030CE7">
        <w:rPr>
          <w:rStyle w:val="FootnoteReference"/>
          <w:rFonts w:ascii="Verdana" w:hAnsi="Verdana"/>
          <w:szCs w:val="16"/>
          <w:vertAlign w:val="superscript"/>
        </w:rPr>
        <w:footnoteRef/>
      </w:r>
      <w:r w:rsidRPr="00030CE7">
        <w:rPr>
          <w:rFonts w:ascii="Verdana" w:hAnsi="Verdana"/>
          <w:sz w:val="16"/>
          <w:szCs w:val="16"/>
        </w:rPr>
        <w:t xml:space="preserve"> Although uptake from air cannot be excluded for the water snake, dietary exposure seems likely to be more significant given the low vapour pressure of the substance.</w:t>
      </w:r>
    </w:p>
  </w:footnote>
  <w:footnote w:id="19">
    <w:p w14:paraId="03C6248B" w14:textId="77777777" w:rsidR="000C7CFA" w:rsidRPr="00030CE7" w:rsidRDefault="000C7CFA" w:rsidP="00FA2BE0">
      <w:pPr>
        <w:pStyle w:val="FootnoteText"/>
        <w:jc w:val="left"/>
        <w:rPr>
          <w:rFonts w:ascii="Verdana" w:hAnsi="Verdana"/>
          <w:sz w:val="16"/>
          <w:szCs w:val="16"/>
        </w:rPr>
      </w:pPr>
      <w:r w:rsidRPr="00030CE7">
        <w:rPr>
          <w:rStyle w:val="FootnoteReference"/>
          <w:rFonts w:ascii="Verdana" w:hAnsi="Verdana"/>
          <w:szCs w:val="16"/>
          <w:vertAlign w:val="superscript"/>
        </w:rPr>
        <w:footnoteRef/>
      </w:r>
      <w:r w:rsidRPr="00030CE7">
        <w:rPr>
          <w:rFonts w:ascii="Verdana" w:hAnsi="Verdana"/>
          <w:sz w:val="16"/>
          <w:szCs w:val="16"/>
          <w:vertAlign w:val="superscript"/>
        </w:rPr>
        <w:t xml:space="preserve"> </w:t>
      </w:r>
      <w:hyperlink r:id="rId5" w:history="1">
        <w:r w:rsidRPr="00030CE7">
          <w:rPr>
            <w:rStyle w:val="Hyperlink"/>
            <w:rFonts w:ascii="Verdana" w:hAnsi="Verdana"/>
            <w:sz w:val="16"/>
            <w:szCs w:val="16"/>
          </w:rPr>
          <w:t>http://www.glerl.noaa.gov/pubs/brochures/foodweb/LEfoodweb.pdf</w:t>
        </w:r>
      </w:hyperlink>
      <w:r w:rsidRPr="00030CE7">
        <w:rPr>
          <w:rFonts w:ascii="Verdana" w:hAnsi="Verdana"/>
          <w:sz w:val="16"/>
          <w:szCs w:val="16"/>
        </w:rPr>
        <w:t xml:space="preserve">, and </w:t>
      </w:r>
      <w:hyperlink r:id="rId6" w:history="1">
        <w:r w:rsidRPr="00030CE7">
          <w:rPr>
            <w:rStyle w:val="Hyperlink"/>
            <w:rFonts w:ascii="Verdana" w:hAnsi="Verdana"/>
            <w:sz w:val="16"/>
            <w:szCs w:val="16"/>
          </w:rPr>
          <w:t>http://www.glerl.noaa.gov/pubs/brochures/foodweb/LOfoodweb.pdf</w:t>
        </w:r>
      </w:hyperlink>
      <w:r w:rsidRPr="00030CE7">
        <w:rPr>
          <w:rFonts w:ascii="Verdana" w:hAnsi="Verdana"/>
          <w:sz w:val="16"/>
          <w:szCs w:val="16"/>
        </w:rPr>
        <w:t>.</w:t>
      </w:r>
    </w:p>
  </w:footnote>
  <w:footnote w:id="20">
    <w:p w14:paraId="6374AC87" w14:textId="3E756343" w:rsidR="000C7CFA" w:rsidRPr="00030CE7" w:rsidRDefault="000C7CFA" w:rsidP="00266B8C">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These are the values quoted in the text of the paper. Lipid contents reported in Table 1 of the paper appear to be in error, as the lipid content is given as 0.04 for adipose and 0.66 for liver. On that basis, no attempt</w:t>
      </w:r>
      <w:r>
        <w:rPr>
          <w:rFonts w:ascii="Verdana" w:hAnsi="Verdana"/>
          <w:sz w:val="16"/>
          <w:szCs w:val="16"/>
        </w:rPr>
        <w:t xml:space="preserve"> has been made</w:t>
      </w:r>
      <w:r w:rsidRPr="00030CE7">
        <w:rPr>
          <w:rFonts w:ascii="Verdana" w:hAnsi="Verdana"/>
          <w:sz w:val="16"/>
          <w:szCs w:val="16"/>
        </w:rPr>
        <w:t xml:space="preserve"> to estimate lipid weight concentrations.</w:t>
      </w:r>
    </w:p>
  </w:footnote>
  <w:footnote w:id="21">
    <w:p w14:paraId="0E0BB48D" w14:textId="77777777" w:rsidR="000C7CFA" w:rsidRPr="00030CE7" w:rsidRDefault="000C7CFA">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w:t>
      </w:r>
      <w:r w:rsidRPr="00030CE7">
        <w:rPr>
          <w:rFonts w:ascii="Verdana" w:hAnsi="Verdana"/>
          <w:sz w:val="16"/>
          <w:szCs w:val="16"/>
          <w:lang w:eastAsia="en-GB"/>
        </w:rPr>
        <w:t>http://www.hbw.com/species/slaty-breasted-rail-lewinia-striata indicates that the rail eats worms, molluscs, crustaceans, insects and their larvae, spiders, and the seeds and shoots of marsh plants.</w:t>
      </w:r>
    </w:p>
  </w:footnote>
  <w:footnote w:id="22">
    <w:p w14:paraId="721A4236" w14:textId="77777777" w:rsidR="000C7CFA" w:rsidRPr="00030CE7" w:rsidRDefault="000C7CFA" w:rsidP="00D37134">
      <w:pPr>
        <w:autoSpaceDE w:val="0"/>
        <w:autoSpaceDN w:val="0"/>
        <w:adjustRightInd w:val="0"/>
        <w:spacing w:after="120"/>
        <w:jc w:val="both"/>
        <w:rPr>
          <w:rFonts w:ascii="Verdana" w:eastAsiaTheme="minorHAnsi" w:hAnsi="Verdana"/>
          <w:sz w:val="16"/>
          <w:szCs w:val="16"/>
          <w:lang w:val="en-GB"/>
        </w:rPr>
      </w:pPr>
      <w:r w:rsidRPr="00030CE7">
        <w:rPr>
          <w:rStyle w:val="FootnoteReference"/>
          <w:rFonts w:ascii="Verdana" w:hAnsi="Verdana"/>
          <w:szCs w:val="16"/>
        </w:rPr>
        <w:footnoteRef/>
      </w:r>
      <w:r w:rsidRPr="00030CE7">
        <w:rPr>
          <w:rFonts w:ascii="Verdana" w:hAnsi="Verdana"/>
          <w:sz w:val="16"/>
          <w:szCs w:val="16"/>
        </w:rPr>
        <w:t xml:space="preserve"> </w:t>
      </w:r>
      <w:r w:rsidRPr="00030CE7">
        <w:rPr>
          <w:rFonts w:ascii="Verdana" w:eastAsiaTheme="minorHAnsi" w:hAnsi="Verdana"/>
          <w:sz w:val="16"/>
          <w:szCs w:val="16"/>
          <w:lang w:val="en-GB"/>
        </w:rPr>
        <w:t>TL</w:t>
      </w:r>
      <w:r w:rsidRPr="00030CE7">
        <w:rPr>
          <w:rFonts w:ascii="Verdana" w:eastAsiaTheme="minorHAnsi" w:hAnsi="Verdana"/>
          <w:sz w:val="16"/>
          <w:szCs w:val="16"/>
          <w:vertAlign w:val="subscript"/>
          <w:lang w:val="en-GB"/>
        </w:rPr>
        <w:t>consumer</w:t>
      </w:r>
      <w:r w:rsidRPr="00030CE7">
        <w:rPr>
          <w:rFonts w:ascii="Verdana" w:eastAsiaTheme="minorHAnsi" w:hAnsi="Verdana"/>
          <w:sz w:val="16"/>
          <w:szCs w:val="16"/>
          <w:lang w:val="en-GB"/>
        </w:rPr>
        <w:t xml:space="preserve"> = 2 + (</w:t>
      </w:r>
      <w:r w:rsidRPr="00030CE7">
        <w:rPr>
          <w:rFonts w:ascii="Verdana" w:eastAsiaTheme="minorHAnsi" w:hAnsi="Verdana"/>
          <w:iCs/>
          <w:sz w:val="16"/>
          <w:szCs w:val="16"/>
          <w:lang w:val="en-GB"/>
        </w:rPr>
        <w:t>δ</w:t>
      </w:r>
      <w:r w:rsidRPr="00030CE7">
        <w:rPr>
          <w:rFonts w:ascii="Verdana" w:eastAsiaTheme="minorHAnsi" w:hAnsi="Verdana"/>
          <w:iCs/>
          <w:sz w:val="16"/>
          <w:szCs w:val="16"/>
          <w:vertAlign w:val="superscript"/>
          <w:lang w:val="en-GB"/>
        </w:rPr>
        <w:t>15</w:t>
      </w:r>
      <w:r w:rsidRPr="00030CE7">
        <w:rPr>
          <w:rFonts w:ascii="Verdana" w:eastAsiaTheme="minorHAnsi" w:hAnsi="Verdana"/>
          <w:sz w:val="16"/>
          <w:szCs w:val="16"/>
          <w:lang w:val="en-GB"/>
        </w:rPr>
        <w:t>N</w:t>
      </w:r>
      <w:r w:rsidRPr="00030CE7">
        <w:rPr>
          <w:rFonts w:ascii="Verdana" w:eastAsiaTheme="minorHAnsi" w:hAnsi="Verdana"/>
          <w:sz w:val="16"/>
          <w:szCs w:val="16"/>
          <w:vertAlign w:val="subscript"/>
          <w:lang w:val="en-GB"/>
        </w:rPr>
        <w:t xml:space="preserve">consumer </w:t>
      </w:r>
      <w:r w:rsidRPr="00030CE7">
        <w:rPr>
          <w:rFonts w:ascii="Verdana" w:eastAsiaTheme="minorHAnsi" w:hAnsi="Verdana"/>
          <w:sz w:val="16"/>
          <w:szCs w:val="16"/>
          <w:lang w:val="en-GB"/>
        </w:rPr>
        <w:t xml:space="preserve">− </w:t>
      </w:r>
      <w:r w:rsidRPr="00030CE7">
        <w:rPr>
          <w:rFonts w:ascii="Verdana" w:eastAsiaTheme="minorHAnsi" w:hAnsi="Verdana"/>
          <w:iCs/>
          <w:sz w:val="16"/>
          <w:szCs w:val="16"/>
          <w:lang w:val="en-GB"/>
        </w:rPr>
        <w:t>δ</w:t>
      </w:r>
      <w:r w:rsidRPr="00030CE7">
        <w:rPr>
          <w:rFonts w:ascii="Verdana" w:eastAsiaTheme="minorHAnsi" w:hAnsi="Verdana"/>
          <w:iCs/>
          <w:sz w:val="16"/>
          <w:szCs w:val="16"/>
          <w:vertAlign w:val="superscript"/>
          <w:lang w:val="en-GB"/>
        </w:rPr>
        <w:t>15</w:t>
      </w:r>
      <w:r w:rsidRPr="00030CE7">
        <w:rPr>
          <w:rFonts w:ascii="Verdana" w:eastAsiaTheme="minorHAnsi" w:hAnsi="Verdana"/>
          <w:sz w:val="16"/>
          <w:szCs w:val="16"/>
          <w:lang w:val="en-GB"/>
        </w:rPr>
        <w:t>N</w:t>
      </w:r>
      <w:r w:rsidRPr="00030CE7">
        <w:rPr>
          <w:rFonts w:ascii="Verdana" w:eastAsiaTheme="minorHAnsi" w:hAnsi="Verdana"/>
          <w:i/>
          <w:sz w:val="16"/>
          <w:szCs w:val="16"/>
          <w:vertAlign w:val="subscript"/>
          <w:lang w:val="en-GB"/>
        </w:rPr>
        <w:t>Ruditapes philippinarum</w:t>
      </w:r>
      <w:r w:rsidRPr="00030CE7">
        <w:rPr>
          <w:rFonts w:ascii="Verdana" w:eastAsiaTheme="minorHAnsi" w:hAnsi="Verdana"/>
          <w:sz w:val="16"/>
          <w:szCs w:val="16"/>
          <w:lang w:val="en-GB"/>
        </w:rPr>
        <w:t xml:space="preserve">)/3.8, where </w:t>
      </w:r>
      <w:r w:rsidRPr="00030CE7">
        <w:rPr>
          <w:rFonts w:ascii="Verdana" w:eastAsiaTheme="minorHAnsi" w:hAnsi="Verdana"/>
          <w:iCs/>
          <w:sz w:val="16"/>
          <w:szCs w:val="16"/>
          <w:lang w:val="en-GB"/>
        </w:rPr>
        <w:t>δ</w:t>
      </w:r>
      <w:r w:rsidRPr="00030CE7">
        <w:rPr>
          <w:rFonts w:ascii="Verdana" w:eastAsiaTheme="minorHAnsi" w:hAnsi="Verdana"/>
          <w:iCs/>
          <w:sz w:val="16"/>
          <w:szCs w:val="16"/>
          <w:vertAlign w:val="superscript"/>
          <w:lang w:val="en-GB"/>
        </w:rPr>
        <w:t>15</w:t>
      </w:r>
      <w:r w:rsidRPr="00030CE7">
        <w:rPr>
          <w:rFonts w:ascii="Verdana" w:eastAsiaTheme="minorHAnsi" w:hAnsi="Verdana"/>
          <w:sz w:val="16"/>
          <w:szCs w:val="16"/>
          <w:lang w:val="en-GB"/>
        </w:rPr>
        <w:t>N</w:t>
      </w:r>
      <w:r w:rsidRPr="00030CE7">
        <w:rPr>
          <w:rFonts w:ascii="Verdana" w:eastAsiaTheme="minorHAnsi" w:hAnsi="Verdana"/>
          <w:i/>
          <w:sz w:val="16"/>
          <w:szCs w:val="16"/>
          <w:vertAlign w:val="subscript"/>
          <w:lang w:val="en-GB"/>
        </w:rPr>
        <w:t>Ruditapes philippinarum</w:t>
      </w:r>
      <w:r w:rsidRPr="00030CE7">
        <w:rPr>
          <w:rFonts w:ascii="Verdana" w:eastAsiaTheme="minorHAnsi" w:hAnsi="Verdana"/>
          <w:sz w:val="16"/>
          <w:szCs w:val="16"/>
          <w:lang w:val="en-GB"/>
        </w:rPr>
        <w:t xml:space="preserve"> was 8.98. For seabirds, the relationship was modified to TL</w:t>
      </w:r>
      <w:r w:rsidRPr="00030CE7">
        <w:rPr>
          <w:rFonts w:ascii="Verdana" w:eastAsiaTheme="minorHAnsi" w:hAnsi="Verdana"/>
          <w:sz w:val="16"/>
          <w:szCs w:val="16"/>
          <w:vertAlign w:val="subscript"/>
          <w:lang w:val="en-GB"/>
        </w:rPr>
        <w:t xml:space="preserve">seabird </w:t>
      </w:r>
      <w:r w:rsidRPr="00030CE7">
        <w:rPr>
          <w:rFonts w:ascii="Verdana" w:eastAsiaTheme="minorHAnsi" w:hAnsi="Verdana"/>
          <w:sz w:val="16"/>
          <w:szCs w:val="16"/>
          <w:lang w:val="en-GB"/>
        </w:rPr>
        <w:t>= 3 + (</w:t>
      </w:r>
      <w:r w:rsidRPr="00030CE7">
        <w:rPr>
          <w:rFonts w:ascii="Verdana" w:eastAsiaTheme="minorHAnsi" w:hAnsi="Verdana"/>
          <w:iCs/>
          <w:sz w:val="16"/>
          <w:szCs w:val="16"/>
          <w:lang w:val="en-GB"/>
        </w:rPr>
        <w:t>δ</w:t>
      </w:r>
      <w:r w:rsidRPr="00030CE7">
        <w:rPr>
          <w:rFonts w:ascii="Verdana" w:eastAsiaTheme="minorHAnsi" w:hAnsi="Verdana"/>
          <w:iCs/>
          <w:sz w:val="16"/>
          <w:szCs w:val="16"/>
          <w:vertAlign w:val="superscript"/>
          <w:lang w:val="en-GB"/>
        </w:rPr>
        <w:t>15</w:t>
      </w:r>
      <w:r w:rsidRPr="00030CE7">
        <w:rPr>
          <w:rFonts w:ascii="Verdana" w:eastAsiaTheme="minorHAnsi" w:hAnsi="Verdana"/>
          <w:sz w:val="16"/>
          <w:szCs w:val="16"/>
          <w:lang w:val="en-GB"/>
        </w:rPr>
        <w:t>N</w:t>
      </w:r>
      <w:r w:rsidRPr="00030CE7">
        <w:rPr>
          <w:rFonts w:ascii="Verdana" w:eastAsiaTheme="minorHAnsi" w:hAnsi="Verdana"/>
          <w:sz w:val="16"/>
          <w:szCs w:val="16"/>
          <w:vertAlign w:val="subscript"/>
          <w:lang w:val="en-GB"/>
        </w:rPr>
        <w:t xml:space="preserve">seabird </w:t>
      </w:r>
      <w:r w:rsidRPr="00030CE7">
        <w:rPr>
          <w:rFonts w:ascii="Verdana" w:eastAsiaTheme="minorHAnsi" w:hAnsi="Verdana"/>
          <w:sz w:val="16"/>
          <w:szCs w:val="16"/>
          <w:lang w:val="en-GB"/>
        </w:rPr>
        <w:t xml:space="preserve">− </w:t>
      </w:r>
      <w:r w:rsidRPr="00030CE7">
        <w:rPr>
          <w:rFonts w:ascii="Verdana" w:eastAsiaTheme="minorHAnsi" w:hAnsi="Verdana"/>
          <w:iCs/>
          <w:sz w:val="16"/>
          <w:szCs w:val="16"/>
          <w:lang w:val="en-GB"/>
        </w:rPr>
        <w:t>δ</w:t>
      </w:r>
      <w:r w:rsidRPr="00030CE7">
        <w:rPr>
          <w:rFonts w:ascii="Verdana" w:eastAsiaTheme="minorHAnsi" w:hAnsi="Verdana"/>
          <w:iCs/>
          <w:sz w:val="16"/>
          <w:szCs w:val="16"/>
          <w:vertAlign w:val="superscript"/>
          <w:lang w:val="en-GB"/>
        </w:rPr>
        <w:t>15</w:t>
      </w:r>
      <w:r w:rsidRPr="00030CE7">
        <w:rPr>
          <w:rFonts w:ascii="Verdana" w:eastAsiaTheme="minorHAnsi" w:hAnsi="Verdana"/>
          <w:sz w:val="16"/>
          <w:szCs w:val="16"/>
          <w:lang w:val="en-GB"/>
        </w:rPr>
        <w:t>N</w:t>
      </w:r>
      <w:r w:rsidRPr="00030CE7">
        <w:rPr>
          <w:rFonts w:ascii="Verdana" w:eastAsiaTheme="minorHAnsi" w:hAnsi="Verdana"/>
          <w:i/>
          <w:sz w:val="16"/>
          <w:szCs w:val="16"/>
          <w:vertAlign w:val="subscript"/>
          <w:lang w:val="en-GB"/>
        </w:rPr>
        <w:t>Ruditapes philippinarum</w:t>
      </w:r>
      <w:r w:rsidRPr="00030CE7">
        <w:rPr>
          <w:rFonts w:ascii="Verdana" w:eastAsiaTheme="minorHAnsi" w:hAnsi="Verdana"/>
          <w:sz w:val="16"/>
          <w:szCs w:val="16"/>
          <w:lang w:val="en-GB"/>
        </w:rPr>
        <w:t xml:space="preserve"> – 2.4)/3.8.</w:t>
      </w:r>
    </w:p>
  </w:footnote>
  <w:footnote w:id="23">
    <w:p w14:paraId="746B0C46" w14:textId="77777777" w:rsidR="000C7CFA" w:rsidRPr="00030CE7" w:rsidRDefault="000C7CFA" w:rsidP="00590B1C">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This is the English name provided in the paper. From an Internet search, the Latin name indicates a marine crustacean, sometimes called Japanese Mud Shrimp.</w:t>
      </w:r>
    </w:p>
  </w:footnote>
  <w:footnote w:id="24">
    <w:p w14:paraId="49C2C09B" w14:textId="77777777" w:rsidR="000C7CFA" w:rsidRPr="00030CE7" w:rsidRDefault="000C7CFA" w:rsidP="00590B1C">
      <w:pPr>
        <w:pStyle w:val="FootnoteText"/>
        <w:spacing w:after="120"/>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w:t>
      </w:r>
      <w:r w:rsidRPr="00030CE7">
        <w:rPr>
          <w:rFonts w:ascii="Verdana" w:eastAsiaTheme="minorHAnsi" w:hAnsi="Verdana"/>
          <w:sz w:val="16"/>
          <w:szCs w:val="16"/>
        </w:rPr>
        <w:t>Sediment TOC was 0.48 ± 0.04%.</w:t>
      </w:r>
    </w:p>
  </w:footnote>
  <w:footnote w:id="25">
    <w:p w14:paraId="4F63D8CB" w14:textId="77777777" w:rsidR="000C7CFA" w:rsidRPr="00030CE7" w:rsidRDefault="000C7CFA" w:rsidP="00590B1C">
      <w:pPr>
        <w:pStyle w:val="FootnoteText"/>
        <w:spacing w:after="120"/>
        <w:rPr>
          <w:rFonts w:ascii="Verdana" w:eastAsiaTheme="minorHAnsi"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w:t>
      </w:r>
      <w:r w:rsidRPr="00030CE7">
        <w:rPr>
          <w:rFonts w:ascii="Verdana" w:eastAsiaTheme="minorHAnsi" w:hAnsi="Verdana"/>
          <w:sz w:val="16"/>
          <w:szCs w:val="16"/>
        </w:rPr>
        <w:t>Using the equation BMF</w:t>
      </w:r>
      <w:r w:rsidRPr="00030CE7">
        <w:rPr>
          <w:rFonts w:ascii="Verdana" w:eastAsiaTheme="minorHAnsi" w:hAnsi="Verdana"/>
          <w:sz w:val="16"/>
          <w:szCs w:val="16"/>
          <w:vertAlign w:val="subscript"/>
        </w:rPr>
        <w:t>TL</w:t>
      </w:r>
      <w:r w:rsidRPr="00030CE7">
        <w:rPr>
          <w:rFonts w:ascii="Verdana" w:eastAsiaTheme="minorHAnsi" w:hAnsi="Verdana"/>
          <w:sz w:val="16"/>
          <w:szCs w:val="16"/>
        </w:rPr>
        <w:t xml:space="preserve"> = 10</w:t>
      </w:r>
      <w:r w:rsidRPr="00030CE7">
        <w:rPr>
          <w:rFonts w:ascii="Verdana" w:eastAsiaTheme="minorHAnsi" w:hAnsi="Verdana"/>
          <w:sz w:val="16"/>
          <w:szCs w:val="16"/>
          <w:vertAlign w:val="superscript"/>
        </w:rPr>
        <w:t>[</w:t>
      </w:r>
      <w:proofErr w:type="gramStart"/>
      <w:r w:rsidRPr="00030CE7">
        <w:rPr>
          <w:rFonts w:ascii="Verdana" w:eastAsiaTheme="minorHAnsi" w:hAnsi="Verdana"/>
          <w:sz w:val="16"/>
          <w:szCs w:val="16"/>
          <w:vertAlign w:val="superscript"/>
        </w:rPr>
        <w:t>log10(</w:t>
      </w:r>
      <w:proofErr w:type="gramEnd"/>
      <w:r w:rsidRPr="00030CE7">
        <w:rPr>
          <w:rFonts w:ascii="Verdana" w:eastAsiaTheme="minorHAnsi" w:hAnsi="Verdana"/>
          <w:sz w:val="16"/>
          <w:szCs w:val="16"/>
          <w:vertAlign w:val="superscript"/>
        </w:rPr>
        <w:t>([gull]/[prey])/(TLgull TLprey))]</w:t>
      </w:r>
      <w:r w:rsidRPr="00030CE7">
        <w:rPr>
          <w:rFonts w:ascii="Verdana" w:eastAsiaTheme="minorHAnsi" w:hAnsi="Verdana"/>
          <w:sz w:val="16"/>
          <w:szCs w:val="16"/>
        </w:rPr>
        <w:t xml:space="preserve"> where [gull] and [prey] are the lipid corrected concentrations of the substance in gulls and China Anchovy, respectively, and TL</w:t>
      </w:r>
      <w:r w:rsidRPr="00030CE7">
        <w:rPr>
          <w:rFonts w:ascii="Verdana" w:eastAsiaTheme="minorHAnsi" w:hAnsi="Verdana"/>
          <w:sz w:val="16"/>
          <w:szCs w:val="16"/>
          <w:vertAlign w:val="subscript"/>
        </w:rPr>
        <w:t>gull/prey</w:t>
      </w:r>
      <w:r w:rsidRPr="00030CE7">
        <w:rPr>
          <w:rFonts w:ascii="Verdana" w:eastAsiaTheme="minorHAnsi" w:hAnsi="Verdana"/>
          <w:sz w:val="16"/>
          <w:szCs w:val="16"/>
        </w:rPr>
        <w:t xml:space="preserve"> is the trophic level for each.</w:t>
      </w:r>
    </w:p>
  </w:footnote>
  <w:footnote w:id="26">
    <w:p w14:paraId="4480BF75" w14:textId="77777777" w:rsidR="000C7CFA" w:rsidRPr="00030CE7" w:rsidRDefault="000C7CFA" w:rsidP="00590B1C">
      <w:pPr>
        <w:autoSpaceDE w:val="0"/>
        <w:autoSpaceDN w:val="0"/>
        <w:adjustRightInd w:val="0"/>
        <w:spacing w:after="0"/>
        <w:jc w:val="both"/>
        <w:rPr>
          <w:rFonts w:ascii="Verdana" w:eastAsiaTheme="minorHAnsi" w:hAnsi="Verdana"/>
          <w:sz w:val="16"/>
          <w:szCs w:val="16"/>
          <w:lang w:val="en-GB"/>
        </w:rPr>
      </w:pPr>
      <w:r w:rsidRPr="00030CE7">
        <w:rPr>
          <w:rStyle w:val="FootnoteReference"/>
          <w:rFonts w:ascii="Verdana" w:hAnsi="Verdana"/>
          <w:szCs w:val="16"/>
        </w:rPr>
        <w:footnoteRef/>
      </w:r>
      <w:r w:rsidRPr="00030CE7">
        <w:rPr>
          <w:rFonts w:ascii="Verdana" w:hAnsi="Verdana"/>
          <w:sz w:val="16"/>
          <w:szCs w:val="16"/>
        </w:rPr>
        <w:t xml:space="preserve"> </w:t>
      </w:r>
      <w:r w:rsidRPr="00030CE7">
        <w:rPr>
          <w:rFonts w:ascii="Verdana" w:eastAsiaTheme="minorHAnsi" w:hAnsi="Verdana"/>
          <w:sz w:val="16"/>
          <w:szCs w:val="16"/>
          <w:lang w:val="en-GB"/>
        </w:rPr>
        <w:t>TMF was estimated by plotting the logarithm of the substance concentrations on a lipid basis against trophic level. The TMF was 10 raised by the slope of this plot.</w:t>
      </w:r>
    </w:p>
  </w:footnote>
  <w:footnote w:id="27">
    <w:p w14:paraId="1A3DD1EF" w14:textId="77777777" w:rsidR="000C7CFA" w:rsidRPr="00030CE7" w:rsidRDefault="000C7CFA" w:rsidP="004B7ACB">
      <w:pPr>
        <w:autoSpaceDE w:val="0"/>
        <w:autoSpaceDN w:val="0"/>
        <w:adjustRightInd w:val="0"/>
        <w:spacing w:after="0"/>
        <w:jc w:val="both"/>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Wang </w:t>
      </w:r>
      <w:r w:rsidRPr="00030CE7">
        <w:rPr>
          <w:rFonts w:ascii="Verdana" w:hAnsi="Verdana"/>
          <w:i/>
          <w:sz w:val="16"/>
          <w:szCs w:val="16"/>
        </w:rPr>
        <w:t>et al</w:t>
      </w:r>
      <w:r w:rsidRPr="00030CE7">
        <w:rPr>
          <w:rFonts w:ascii="Verdana" w:hAnsi="Verdana"/>
          <w:sz w:val="16"/>
          <w:szCs w:val="16"/>
        </w:rPr>
        <w:t>. (2010) reported a Dechlorane Plus concentration of 8.0 µg/kg dw in a surface sediment sample collected from this canal within 0.5 km of the Chinese manufacturing site (although this appears to have been upstream of the plant’s wastewater outfall). It is not known how this site relates to the sampling location for the fish.</w:t>
      </w:r>
    </w:p>
  </w:footnote>
  <w:footnote w:id="28">
    <w:p w14:paraId="50AB7CEA" w14:textId="77777777" w:rsidR="000C7CFA" w:rsidRPr="00030CE7" w:rsidRDefault="000C7CFA">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Details from </w:t>
      </w:r>
      <w:hyperlink r:id="rId7" w:history="1">
        <w:r w:rsidRPr="00030CE7">
          <w:rPr>
            <w:rStyle w:val="Hyperlink"/>
            <w:rFonts w:ascii="Verdana" w:hAnsi="Verdana"/>
            <w:sz w:val="16"/>
            <w:szCs w:val="16"/>
          </w:rPr>
          <w:t>http://www.fishbase.org/summary/Misgurnus-anguillicaudatus.html</w:t>
        </w:r>
      </w:hyperlink>
      <w:r w:rsidRPr="00030CE7">
        <w:rPr>
          <w:rFonts w:ascii="Verdana" w:hAnsi="Verdana"/>
          <w:sz w:val="16"/>
          <w:szCs w:val="16"/>
        </w:rPr>
        <w:t>, accessed June 2015.</w:t>
      </w:r>
    </w:p>
  </w:footnote>
  <w:footnote w:id="29">
    <w:p w14:paraId="5DE3F499" w14:textId="77777777" w:rsidR="000C7CFA" w:rsidRPr="00030CE7" w:rsidRDefault="000C7CFA">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Although not stated in the paper, presumably three pools of around five oysters were analysed per sampling site.</w:t>
      </w:r>
    </w:p>
  </w:footnote>
  <w:footnote w:id="30">
    <w:p w14:paraId="0D2B7863" w14:textId="77777777" w:rsidR="000C7CFA" w:rsidRPr="00030CE7" w:rsidRDefault="000C7CFA" w:rsidP="00F0006B">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Yellow eels are mostly sedentary in their habitats (mostly rivers), where they build up high reserves of lipids in preparation for maturation into silver eels. Silver eels are mature eels that would naturally migrate back to their spawning grounds and have stopped feeding. They use up their stored lipids as energy reserves for the journey as well as development of gonads and eggs. The detection of a compound in muscle and gonads of yellow eels therefore indicates it is distributed throughout the different tissues during uptake rather than specifically as a result of maturation.</w:t>
      </w:r>
    </w:p>
  </w:footnote>
  <w:footnote w:id="31">
    <w:p w14:paraId="4BEC98CF" w14:textId="77777777" w:rsidR="000C7CFA" w:rsidRPr="00030CE7" w:rsidRDefault="000C7CFA" w:rsidP="00857674">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w:t>
      </w:r>
      <w:r w:rsidRPr="00030CE7">
        <w:rPr>
          <w:rFonts w:ascii="Verdana" w:hAnsi="Verdana"/>
          <w:sz w:val="16"/>
          <w:szCs w:val="16"/>
          <w:lang w:eastAsia="en-GB"/>
        </w:rPr>
        <w:t>No significant differences (</w:t>
      </w:r>
      <w:r w:rsidRPr="00030CE7">
        <w:rPr>
          <w:rFonts w:ascii="Verdana" w:hAnsi="Verdana"/>
          <w:i/>
          <w:sz w:val="16"/>
          <w:szCs w:val="16"/>
          <w:lang w:eastAsia="en-GB"/>
        </w:rPr>
        <w:t>t</w:t>
      </w:r>
      <w:r w:rsidRPr="00030CE7">
        <w:rPr>
          <w:rFonts w:ascii="Verdana" w:hAnsi="Verdana"/>
          <w:sz w:val="16"/>
          <w:szCs w:val="16"/>
          <w:lang w:eastAsia="en-GB"/>
        </w:rPr>
        <w:t>-test, p &gt; 0.05) in concentrations were observed between the two owl species, and therefore their data were combined and treated as one population.</w:t>
      </w:r>
    </w:p>
  </w:footnote>
  <w:footnote w:id="32">
    <w:p w14:paraId="4EAF2965" w14:textId="3BDF4D5C" w:rsidR="000C7CFA" w:rsidRPr="00030CE7" w:rsidRDefault="000C7CFA">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w:t>
      </w:r>
      <w:r w:rsidRPr="00030CE7">
        <w:rPr>
          <w:rFonts w:ascii="Verdana" w:hAnsi="Verdana"/>
          <w:sz w:val="16"/>
          <w:szCs w:val="16"/>
          <w:lang w:eastAsia="en-GB"/>
        </w:rPr>
        <w:t>The study authors suggest that this indicates biotransformation of DP and/or accumulation of anti-DP-1Cl along with anti-DP from the environmental matrix. They also suggest that kestrels may have a greater metabolic capacity than sparrows since the DP-1Cl/DP ratio is higher in the former species. Th</w:t>
      </w:r>
      <w:r>
        <w:rPr>
          <w:rFonts w:ascii="Verdana" w:hAnsi="Verdana"/>
          <w:sz w:val="16"/>
          <w:szCs w:val="16"/>
          <w:lang w:eastAsia="en-GB"/>
        </w:rPr>
        <w:t>i</w:t>
      </w:r>
      <w:r w:rsidRPr="00030CE7">
        <w:rPr>
          <w:rFonts w:ascii="Verdana" w:hAnsi="Verdana"/>
          <w:sz w:val="16"/>
          <w:szCs w:val="16"/>
          <w:lang w:eastAsia="en-GB"/>
        </w:rPr>
        <w:t>s</w:t>
      </w:r>
      <w:r>
        <w:rPr>
          <w:rFonts w:ascii="Verdana" w:hAnsi="Verdana"/>
          <w:sz w:val="16"/>
          <w:szCs w:val="16"/>
          <w:lang w:eastAsia="en-GB"/>
        </w:rPr>
        <w:t xml:space="preserve"> is</w:t>
      </w:r>
      <w:r w:rsidRPr="00030CE7">
        <w:rPr>
          <w:rFonts w:ascii="Verdana" w:hAnsi="Verdana"/>
          <w:sz w:val="16"/>
          <w:szCs w:val="16"/>
          <w:lang w:eastAsia="en-GB"/>
        </w:rPr>
        <w:t xml:space="preserve"> speculative given the limited data available from this study so it is not discussed further.</w:t>
      </w:r>
    </w:p>
  </w:footnote>
  <w:footnote w:id="33">
    <w:p w14:paraId="30D3EC9F" w14:textId="77777777" w:rsidR="000C7CFA" w:rsidRPr="00030CE7" w:rsidRDefault="000C7CFA" w:rsidP="00857674">
      <w:pPr>
        <w:autoSpaceDE w:val="0"/>
        <w:autoSpaceDN w:val="0"/>
        <w:adjustRightInd w:val="0"/>
        <w:spacing w:after="0"/>
        <w:jc w:val="both"/>
        <w:rPr>
          <w:rFonts w:ascii="Verdana" w:hAnsi="Verdana"/>
          <w:sz w:val="16"/>
          <w:szCs w:val="16"/>
          <w:lang w:eastAsia="en-GB"/>
        </w:rPr>
      </w:pPr>
      <w:r w:rsidRPr="00030CE7">
        <w:rPr>
          <w:rStyle w:val="FootnoteReference"/>
          <w:rFonts w:ascii="Verdana" w:hAnsi="Verdana"/>
          <w:szCs w:val="16"/>
          <w:lang w:val="en-GB"/>
        </w:rPr>
        <w:footnoteRef/>
      </w:r>
      <w:r w:rsidRPr="00030CE7">
        <w:rPr>
          <w:rFonts w:ascii="Verdana" w:hAnsi="Verdana"/>
          <w:sz w:val="16"/>
          <w:szCs w:val="16"/>
        </w:rPr>
        <w:t xml:space="preserve"> </w:t>
      </w:r>
      <w:r w:rsidRPr="00030CE7">
        <w:rPr>
          <w:rFonts w:ascii="Verdana" w:hAnsi="Verdana"/>
          <w:sz w:val="16"/>
          <w:szCs w:val="16"/>
          <w:lang w:eastAsia="en-GB"/>
        </w:rPr>
        <w:t xml:space="preserve">For comparison, BMFs of 1.3 to 6.9 were determined for hexa- and octaBDE congeners in the sparrow–kestrel food chain, and higher BMFs were obtained when prey items from lower trophic levels (e.g. grasshoppers) were considered (Yu </w:t>
      </w:r>
      <w:r w:rsidRPr="00030CE7">
        <w:rPr>
          <w:rFonts w:ascii="Verdana" w:hAnsi="Verdana"/>
          <w:i/>
          <w:sz w:val="16"/>
          <w:szCs w:val="16"/>
          <w:lang w:eastAsia="en-GB"/>
        </w:rPr>
        <w:t>et al</w:t>
      </w:r>
      <w:r w:rsidRPr="00030CE7">
        <w:rPr>
          <w:rFonts w:ascii="Verdana" w:hAnsi="Verdana"/>
          <w:sz w:val="16"/>
          <w:szCs w:val="16"/>
          <w:lang w:eastAsia="en-GB"/>
        </w:rPr>
        <w:t>., 2011). That study did not report levels in owls.</w:t>
      </w:r>
    </w:p>
  </w:footnote>
  <w:footnote w:id="34">
    <w:p w14:paraId="4D295CF0" w14:textId="77777777" w:rsidR="000C7CFA" w:rsidRPr="00030CE7" w:rsidRDefault="000C7CFA">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These data appear to be the same as reported in Yu </w:t>
      </w:r>
      <w:r w:rsidRPr="00030CE7">
        <w:rPr>
          <w:rFonts w:ascii="Verdana" w:hAnsi="Verdana"/>
          <w:i/>
          <w:sz w:val="16"/>
          <w:szCs w:val="16"/>
        </w:rPr>
        <w:t>et al</w:t>
      </w:r>
      <w:r w:rsidRPr="00030CE7">
        <w:rPr>
          <w:rFonts w:ascii="Verdana" w:hAnsi="Verdana"/>
          <w:sz w:val="16"/>
          <w:szCs w:val="16"/>
        </w:rPr>
        <w:t>. (2013).</w:t>
      </w:r>
    </w:p>
  </w:footnote>
  <w:footnote w:id="35">
    <w:p w14:paraId="46DF4079" w14:textId="77777777" w:rsidR="000C7CFA" w:rsidRPr="00030CE7" w:rsidRDefault="000C7CFA" w:rsidP="00F114AB">
      <w:pPr>
        <w:pStyle w:val="NormalWeb"/>
        <w:shd w:val="clear" w:color="auto" w:fill="FFFFFF"/>
        <w:spacing w:before="0" w:beforeAutospacing="0" w:after="120" w:afterAutospacing="0"/>
        <w:jc w:val="both"/>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Zheng </w:t>
      </w:r>
      <w:r w:rsidRPr="00030CE7">
        <w:rPr>
          <w:rFonts w:ascii="Verdana" w:hAnsi="Verdana"/>
          <w:i/>
          <w:sz w:val="16"/>
          <w:szCs w:val="16"/>
        </w:rPr>
        <w:t>et al</w:t>
      </w:r>
      <w:r w:rsidRPr="00030CE7">
        <w:rPr>
          <w:rFonts w:ascii="Verdana" w:hAnsi="Verdana"/>
          <w:sz w:val="16"/>
          <w:szCs w:val="16"/>
        </w:rPr>
        <w:t>. (2010) also detected Dechlorane Plus in human hair samples collected from an e-waste recycling area and two control areas (rural and urban) in south China, at concentrations ranging from 0.02 to 58.32 µ</w:t>
      </w:r>
      <w:r w:rsidRPr="00030CE7">
        <w:rPr>
          <w:rFonts w:ascii="Verdana" w:hAnsi="Verdana"/>
          <w:sz w:val="16"/>
          <w:szCs w:val="16"/>
          <w:lang w:eastAsia="ar-SA"/>
        </w:rPr>
        <w:t>g/</w:t>
      </w:r>
      <w:r w:rsidRPr="00030CE7">
        <w:rPr>
          <w:rFonts w:ascii="Verdana" w:hAnsi="Verdana"/>
          <w:sz w:val="16"/>
          <w:szCs w:val="16"/>
        </w:rPr>
        <w:t>k</w:t>
      </w:r>
      <w:r w:rsidRPr="00030CE7">
        <w:rPr>
          <w:rFonts w:ascii="Verdana" w:hAnsi="Verdana"/>
          <w:sz w:val="16"/>
          <w:szCs w:val="16"/>
          <w:lang w:eastAsia="ar-SA"/>
        </w:rPr>
        <w:t>g.</w:t>
      </w:r>
      <w:r w:rsidRPr="00030CE7">
        <w:rPr>
          <w:rFonts w:ascii="Verdana" w:hAnsi="Verdana"/>
          <w:sz w:val="16"/>
          <w:szCs w:val="16"/>
        </w:rPr>
        <w:t xml:space="preserve"> Anti-DP-1Cl was also detected in human hair (mainly from the e-waste recycling area), with concentrations up to 0.23 µ</w:t>
      </w:r>
      <w:r w:rsidRPr="00030CE7">
        <w:rPr>
          <w:rFonts w:ascii="Verdana" w:hAnsi="Verdana"/>
          <w:sz w:val="16"/>
          <w:szCs w:val="16"/>
          <w:lang w:eastAsia="ar-SA"/>
        </w:rPr>
        <w:t>g/</w:t>
      </w:r>
      <w:r w:rsidRPr="00030CE7">
        <w:rPr>
          <w:rFonts w:ascii="Verdana" w:hAnsi="Verdana"/>
          <w:sz w:val="16"/>
          <w:szCs w:val="16"/>
        </w:rPr>
        <w:t>k</w:t>
      </w:r>
      <w:r w:rsidRPr="00030CE7">
        <w:rPr>
          <w:rFonts w:ascii="Verdana" w:hAnsi="Verdana"/>
          <w:sz w:val="16"/>
          <w:szCs w:val="16"/>
          <w:lang w:eastAsia="ar-SA"/>
        </w:rPr>
        <w:t>g;</w:t>
      </w:r>
      <w:r w:rsidRPr="00030CE7">
        <w:rPr>
          <w:rFonts w:ascii="Verdana" w:hAnsi="Verdana"/>
          <w:sz w:val="16"/>
          <w:szCs w:val="16"/>
        </w:rPr>
        <w:t xml:space="preserve"> correlations with the levels of Dechlorane Plus in hair and dust suggested that it was present in the environmental matrix rather than formed </w:t>
      </w:r>
      <w:r w:rsidRPr="00030CE7">
        <w:rPr>
          <w:rFonts w:ascii="Verdana" w:hAnsi="Verdana"/>
          <w:i/>
          <w:sz w:val="16"/>
          <w:szCs w:val="16"/>
        </w:rPr>
        <w:t>in situ</w:t>
      </w:r>
      <w:r w:rsidRPr="00030CE7">
        <w:rPr>
          <w:rFonts w:ascii="Verdana" w:hAnsi="Verdana"/>
          <w:sz w:val="16"/>
          <w:szCs w:val="16"/>
        </w:rPr>
        <w:t>.</w:t>
      </w:r>
    </w:p>
  </w:footnote>
  <w:footnote w:id="36">
    <w:p w14:paraId="7DB94143" w14:textId="77777777" w:rsidR="000C7CFA" w:rsidRPr="00030CE7" w:rsidRDefault="000C7CFA" w:rsidP="00120365">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The study reports data for the anti- and syn- isomers separately and only gives a median value for the total concentration. The maxima cited here result from adding the highest reported concentrations for the two isomers, although this might be misleading if they did not come from the same samples.</w:t>
      </w:r>
    </w:p>
  </w:footnote>
  <w:footnote w:id="37">
    <w:p w14:paraId="1D410813" w14:textId="77777777" w:rsidR="000C7CFA" w:rsidRPr="00030CE7" w:rsidRDefault="000C7CFA" w:rsidP="00291B0C">
      <w:pPr>
        <w:rPr>
          <w:rFonts w:ascii="Verdana" w:hAnsi="Verdana"/>
          <w:sz w:val="16"/>
          <w:szCs w:val="16"/>
          <w:lang w:val="en-GB"/>
        </w:rPr>
      </w:pPr>
      <w:r w:rsidRPr="00030CE7">
        <w:rPr>
          <w:rStyle w:val="FootnoteReference"/>
          <w:rFonts w:ascii="Verdana" w:hAnsi="Verdana"/>
          <w:szCs w:val="16"/>
        </w:rPr>
        <w:footnoteRef/>
      </w:r>
      <w:r w:rsidRPr="00030CE7">
        <w:rPr>
          <w:rFonts w:ascii="Verdana" w:hAnsi="Verdana"/>
          <w:sz w:val="16"/>
          <w:szCs w:val="16"/>
        </w:rPr>
        <w:t xml:space="preserve"> Also </w:t>
      </w:r>
      <w:r w:rsidRPr="00030CE7">
        <w:rPr>
          <w:rFonts w:ascii="Verdana" w:hAnsi="Verdana"/>
          <w:sz w:val="16"/>
          <w:szCs w:val="16"/>
          <w:lang w:val="en-GB"/>
        </w:rPr>
        <w:t>http://www.safe.nite.go.jp/english/sougou/view/ComprehensiveInfoDisplay_en.faces.</w:t>
      </w:r>
    </w:p>
  </w:footnote>
  <w:footnote w:id="38">
    <w:p w14:paraId="62DF853C" w14:textId="77777777" w:rsidR="000C7CFA" w:rsidRPr="00030CE7" w:rsidRDefault="000C7CFA" w:rsidP="008D692E">
      <w:pPr>
        <w:pStyle w:val="FootnoteText"/>
        <w:jc w:val="lef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Also http://www.safe.nite.go.jp/english/sougou/view/ComprehensiveInfoDisplay_en.faces.</w:t>
      </w:r>
    </w:p>
  </w:footnote>
  <w:footnote w:id="39">
    <w:p w14:paraId="68B56727" w14:textId="7AA897D0" w:rsidR="000C7CFA" w:rsidRPr="00030CE7" w:rsidRDefault="000C7CFA" w:rsidP="00D76678">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w:t>
      </w:r>
      <w:r w:rsidRPr="00030CE7">
        <w:rPr>
          <w:rFonts w:ascii="Verdana" w:eastAsiaTheme="minorHAnsi" w:hAnsi="Verdana"/>
          <w:sz w:val="16"/>
          <w:szCs w:val="16"/>
        </w:rPr>
        <w:t xml:space="preserve">Although this was a concentration-dependent increase and fish were rinsed with test medium before analysis, it is possible that these reflect adsorbed substance as well as uptake. Together with the short exposure duration and life-stage, these measurements </w:t>
      </w:r>
      <w:r>
        <w:rPr>
          <w:rFonts w:ascii="Verdana" w:eastAsiaTheme="minorHAnsi" w:hAnsi="Verdana"/>
          <w:sz w:val="16"/>
          <w:szCs w:val="16"/>
        </w:rPr>
        <w:t>ar</w:t>
      </w:r>
      <w:r w:rsidRPr="00030CE7">
        <w:rPr>
          <w:rFonts w:ascii="Verdana" w:eastAsiaTheme="minorHAnsi" w:hAnsi="Verdana"/>
          <w:sz w:val="16"/>
          <w:szCs w:val="16"/>
        </w:rPr>
        <w:t>e</w:t>
      </w:r>
      <w:r>
        <w:rPr>
          <w:rFonts w:ascii="Verdana" w:eastAsiaTheme="minorHAnsi" w:hAnsi="Verdana"/>
          <w:sz w:val="16"/>
          <w:szCs w:val="16"/>
        </w:rPr>
        <w:t xml:space="preserve"> not considered</w:t>
      </w:r>
      <w:r w:rsidRPr="00030CE7">
        <w:rPr>
          <w:rFonts w:ascii="Verdana" w:eastAsiaTheme="minorHAnsi" w:hAnsi="Verdana"/>
          <w:sz w:val="16"/>
          <w:szCs w:val="16"/>
        </w:rPr>
        <w:t xml:space="preserve"> relevant for bioaccumulation assessment, although they do suggest that uptake can occur relatively rapidly.</w:t>
      </w:r>
    </w:p>
  </w:footnote>
  <w:footnote w:id="40">
    <w:p w14:paraId="2E58BD8A" w14:textId="2327A506" w:rsidR="000C7CFA" w:rsidRPr="00FE4149" w:rsidRDefault="000C7CFA">
      <w:pPr>
        <w:pStyle w:val="FootnoteText"/>
        <w:rPr>
          <w:rFonts w:ascii="Verdana" w:eastAsiaTheme="minorHAnsi"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w:t>
      </w:r>
      <w:r w:rsidRPr="00030CE7">
        <w:rPr>
          <w:rFonts w:ascii="Verdana" w:eastAsiaTheme="minorHAnsi" w:hAnsi="Verdana"/>
          <w:sz w:val="16"/>
          <w:szCs w:val="16"/>
        </w:rPr>
        <w:t>2</w:t>
      </w:r>
      <w:proofErr w:type="gramStart"/>
      <w:r w:rsidRPr="00030CE7">
        <w:rPr>
          <w:rFonts w:ascii="Verdana" w:eastAsiaTheme="minorHAnsi" w:hAnsi="Verdana"/>
          <w:sz w:val="16"/>
          <w:szCs w:val="16"/>
        </w:rPr>
        <w:t>,2',4,4'</w:t>
      </w:r>
      <w:proofErr w:type="gramEnd"/>
      <w:r w:rsidRPr="00030CE7">
        <w:rPr>
          <w:rFonts w:ascii="Verdana" w:eastAsiaTheme="minorHAnsi" w:hAnsi="Verdana"/>
          <w:sz w:val="16"/>
          <w:szCs w:val="16"/>
        </w:rPr>
        <w:t>-Tetrabromodiphenyl ether (BDE</w:t>
      </w:r>
      <w:r w:rsidRPr="00030CE7">
        <w:rPr>
          <w:rFonts w:ascii="Verdana" w:eastAsiaTheme="minorHAnsi" w:hAnsi="Verdana"/>
          <w:sz w:val="16"/>
          <w:szCs w:val="16"/>
        </w:rPr>
        <w:noBreakHyphen/>
        <w:t xml:space="preserve">47) significantly increased the frequency of spontaneous movement from 20 to 23 hpf at 20 µmol/L [about 10 mg/L], whereas bisphenol-A significant decreased the frequency of spontaneous movement from 25 to 29 </w:t>
      </w:r>
      <w:r>
        <w:rPr>
          <w:rFonts w:ascii="Verdana" w:eastAsiaTheme="minorHAnsi" w:hAnsi="Verdana"/>
          <w:sz w:val="16"/>
          <w:szCs w:val="16"/>
        </w:rPr>
        <w:t>hpf at 15 mmol/L [3.4 g/L]. Th</w:t>
      </w:r>
      <w:r w:rsidRPr="00030CE7">
        <w:rPr>
          <w:rFonts w:ascii="Verdana" w:eastAsiaTheme="minorHAnsi" w:hAnsi="Verdana"/>
          <w:sz w:val="16"/>
          <w:szCs w:val="16"/>
        </w:rPr>
        <w:t>ese are much higher concentrations than the reported water solubility of these substances cited in existing EU regulatory reports (around 11 µg/L and 300 mg/L, respectively) so these data might not be reliable.</w:t>
      </w:r>
    </w:p>
  </w:footnote>
  <w:footnote w:id="41">
    <w:p w14:paraId="340741D0" w14:textId="77777777" w:rsidR="000C7CFA" w:rsidRPr="00030CE7" w:rsidRDefault="000C7CFA" w:rsidP="008D692E">
      <w:pPr>
        <w:pStyle w:val="FootnoteText"/>
        <w:jc w:val="lef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Also http://www.safe.nite.go.jp/english/sougou/view/ComprehensiveInfoDisplay_en.faces.</w:t>
      </w:r>
    </w:p>
  </w:footnote>
  <w:footnote w:id="42">
    <w:p w14:paraId="15749B70" w14:textId="77777777" w:rsidR="000C7CFA" w:rsidRPr="00030CE7" w:rsidRDefault="000C7CFA" w:rsidP="008D692E">
      <w:pPr>
        <w:pStyle w:val="FootnoteText"/>
        <w:jc w:val="lef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Also http://www.safe.nite.go.jp/english/sougou/view/ComprehensiveInfoDisplay_en.faces.</w:t>
      </w:r>
    </w:p>
  </w:footnote>
  <w:footnote w:id="43">
    <w:p w14:paraId="357BC71E" w14:textId="77777777" w:rsidR="000C7CFA" w:rsidRPr="00030CE7" w:rsidRDefault="000C7CFA" w:rsidP="008D692E">
      <w:pPr>
        <w:pStyle w:val="FootnoteText"/>
        <w:jc w:val="lef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Also http://www.safe.nite.go.jp/english/sougou/view/ComprehensiveInfoDisplay_en.faces.</w:t>
      </w:r>
    </w:p>
  </w:footnote>
  <w:footnote w:id="44">
    <w:p w14:paraId="6892A2E9" w14:textId="77777777" w:rsidR="000C7CFA" w:rsidRPr="00030CE7" w:rsidRDefault="000C7CFA" w:rsidP="004F6E5F">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Flow cytometry is a method for measurement of the light-scattering and fluorescent properties of cells.</w:t>
      </w:r>
    </w:p>
  </w:footnote>
  <w:footnote w:id="45">
    <w:p w14:paraId="5C80BCC1" w14:textId="717D677E" w:rsidR="000C7CFA" w:rsidRPr="00030CE7" w:rsidRDefault="000C7CFA" w:rsidP="00F678F1">
      <w:pPr>
        <w:pStyle w:val="NoSpacing"/>
        <w:spacing w:after="120"/>
        <w:jc w:val="both"/>
        <w:rPr>
          <w:rFonts w:ascii="Verdana" w:hAnsi="Verdana" w:cs="Times New Roman"/>
          <w:sz w:val="16"/>
          <w:szCs w:val="16"/>
        </w:rPr>
      </w:pPr>
      <w:r w:rsidRPr="00030CE7">
        <w:rPr>
          <w:rStyle w:val="FootnoteReference"/>
          <w:rFonts w:ascii="Verdana" w:hAnsi="Verdana" w:cs="Times New Roman"/>
          <w:szCs w:val="16"/>
        </w:rPr>
        <w:footnoteRef/>
      </w:r>
      <w:r w:rsidRPr="00030CE7">
        <w:rPr>
          <w:rFonts w:ascii="Verdana" w:hAnsi="Verdana" w:cs="Times New Roman"/>
          <w:sz w:val="16"/>
          <w:szCs w:val="16"/>
        </w:rPr>
        <w:t xml:space="preserve"> Based on the administered concentration, weight of the hepatocytes in each well and assumption of 100% uptake, this was estimated to be equivalent to 1</w:t>
      </w:r>
      <w:r>
        <w:rPr>
          <w:rFonts w:ascii="Verdana" w:hAnsi="Verdana" w:cs="Times New Roman"/>
          <w:sz w:val="16"/>
          <w:szCs w:val="16"/>
        </w:rPr>
        <w:t> </w:t>
      </w:r>
      <w:r w:rsidRPr="00030CE7">
        <w:rPr>
          <w:rFonts w:ascii="Verdana" w:hAnsi="Verdana" w:cs="Times New Roman"/>
          <w:sz w:val="16"/>
          <w:szCs w:val="16"/>
        </w:rPr>
        <w:t>261 mg/kg ww.</w:t>
      </w:r>
    </w:p>
  </w:footnote>
  <w:footnote w:id="46">
    <w:p w14:paraId="54DDBDBB" w14:textId="1FE39F8B" w:rsidR="000C7CFA" w:rsidRPr="00637887" w:rsidRDefault="000C7CFA" w:rsidP="00637887">
      <w:pPr>
        <w:tabs>
          <w:tab w:val="left" w:pos="1843"/>
        </w:tabs>
        <w:spacing w:after="0"/>
        <w:jc w:val="both"/>
        <w:rPr>
          <w:rFonts w:ascii="Verdana" w:hAnsi="Verdana"/>
          <w:sz w:val="18"/>
          <w:szCs w:val="18"/>
          <w:lang w:val="en-GB"/>
        </w:rPr>
      </w:pPr>
      <w:r w:rsidRPr="00637887">
        <w:rPr>
          <w:rStyle w:val="FootnoteReference"/>
          <w:rFonts w:ascii="Verdana" w:hAnsi="Verdana"/>
          <w:sz w:val="18"/>
          <w:szCs w:val="18"/>
        </w:rPr>
        <w:footnoteRef/>
      </w:r>
      <w:r w:rsidRPr="00637887">
        <w:rPr>
          <w:rFonts w:ascii="Verdana" w:hAnsi="Verdana"/>
          <w:sz w:val="18"/>
          <w:szCs w:val="18"/>
        </w:rPr>
        <w:t xml:space="preserve"> </w:t>
      </w:r>
      <w:r w:rsidRPr="00637887">
        <w:rPr>
          <w:rFonts w:ascii="Verdana" w:hAnsi="Verdana"/>
          <w:sz w:val="18"/>
          <w:szCs w:val="18"/>
          <w:lang w:val="en-GB"/>
        </w:rPr>
        <w:t xml:space="preserve">Sverko </w:t>
      </w:r>
      <w:r w:rsidRPr="00637887">
        <w:rPr>
          <w:rFonts w:ascii="Verdana" w:hAnsi="Verdana"/>
          <w:i/>
          <w:sz w:val="18"/>
          <w:szCs w:val="18"/>
          <w:lang w:val="en-GB"/>
        </w:rPr>
        <w:t>et al</w:t>
      </w:r>
      <w:r w:rsidRPr="00637887">
        <w:rPr>
          <w:rFonts w:ascii="Verdana" w:hAnsi="Verdana"/>
          <w:sz w:val="18"/>
          <w:szCs w:val="18"/>
          <w:lang w:val="en-GB"/>
        </w:rPr>
        <w:t>. (2010c) [ABST] determined metabolic half-lives of 2.5 and 1.1 h for 1</w:t>
      </w:r>
      <w:proofErr w:type="gramStart"/>
      <w:r w:rsidRPr="00637887">
        <w:rPr>
          <w:rFonts w:ascii="Verdana" w:hAnsi="Verdana"/>
          <w:sz w:val="18"/>
          <w:szCs w:val="18"/>
          <w:lang w:val="en-GB"/>
        </w:rPr>
        <w:t>,3</w:t>
      </w:r>
      <w:proofErr w:type="gramEnd"/>
      <w:r w:rsidRPr="00637887">
        <w:rPr>
          <w:rFonts w:ascii="Verdana" w:hAnsi="Verdana"/>
          <w:sz w:val="18"/>
          <w:szCs w:val="18"/>
          <w:lang w:val="en-GB"/>
        </w:rPr>
        <w:t xml:space="preserve">-DPMA and 1,5-DPMA, respectively, using </w:t>
      </w:r>
      <w:r w:rsidRPr="00637887">
        <w:rPr>
          <w:rFonts w:ascii="Verdana" w:hAnsi="Verdana"/>
          <w:i/>
          <w:sz w:val="18"/>
          <w:szCs w:val="18"/>
          <w:lang w:val="en-GB"/>
        </w:rPr>
        <w:t>in vitro</w:t>
      </w:r>
      <w:r w:rsidRPr="00637887">
        <w:rPr>
          <w:rFonts w:ascii="Verdana" w:hAnsi="Verdana"/>
          <w:sz w:val="18"/>
          <w:szCs w:val="18"/>
          <w:lang w:val="en-GB"/>
        </w:rPr>
        <w:t xml:space="preserve"> liver microsomes from Lake Trout. </w:t>
      </w:r>
    </w:p>
  </w:footnote>
  <w:footnote w:id="47">
    <w:p w14:paraId="749D8B6C" w14:textId="58FDFD6B" w:rsidR="000C7CFA" w:rsidRPr="00005ACD" w:rsidRDefault="000C7CFA" w:rsidP="00005ACD">
      <w:pPr>
        <w:tabs>
          <w:tab w:val="left" w:pos="1843"/>
        </w:tabs>
        <w:spacing w:after="0"/>
        <w:jc w:val="both"/>
        <w:rPr>
          <w:rFonts w:ascii="Verdana" w:hAnsi="Verdana"/>
          <w:sz w:val="18"/>
          <w:szCs w:val="18"/>
          <w:lang w:val="en-GB"/>
        </w:rPr>
      </w:pPr>
      <w:r w:rsidRPr="00005ACD">
        <w:rPr>
          <w:rStyle w:val="FootnoteReference"/>
          <w:rFonts w:ascii="Verdana" w:hAnsi="Verdana"/>
          <w:sz w:val="18"/>
          <w:szCs w:val="18"/>
        </w:rPr>
        <w:footnoteRef/>
      </w:r>
      <w:r w:rsidRPr="00005ACD">
        <w:rPr>
          <w:rFonts w:ascii="Verdana" w:hAnsi="Verdana"/>
          <w:sz w:val="18"/>
          <w:szCs w:val="18"/>
        </w:rPr>
        <w:t xml:space="preserve"> </w:t>
      </w:r>
      <w:r w:rsidRPr="00005ACD">
        <w:rPr>
          <w:rFonts w:ascii="Verdana" w:hAnsi="Verdana"/>
          <w:sz w:val="18"/>
          <w:szCs w:val="18"/>
          <w:lang w:val="en-GB"/>
        </w:rPr>
        <w:t>Aldrin has a harmonised hazard classification under the CLP Regulation as: Acute Tox. 3 (H301 &amp; H311), Carc. 2, STOT RE 1 (H372), Aquatic Acute 1 and Aquatic Chronic 1. Dieldrin has a harmonised hazard classification under the CLP Regulation as: Acute Tox. 3 (H301), Acute Tox. 1 (H310), Carc. 2, STOT</w:t>
      </w:r>
      <w:r w:rsidRPr="00005ACD">
        <w:rPr>
          <w:rFonts w:ascii="Verdana" w:eastAsiaTheme="minorHAnsi" w:hAnsi="Verdana" w:cstheme="minorBidi"/>
          <w:sz w:val="18"/>
          <w:szCs w:val="18"/>
        </w:rPr>
        <w:t xml:space="preserve"> RE 1 (H372), Aquatic Acute 1 and Aquatic Chronic 1.</w:t>
      </w:r>
      <w:r w:rsidRPr="00005ACD">
        <w:rPr>
          <w:rFonts w:ascii="Verdana" w:hAnsi="Verdana"/>
          <w:color w:val="002555"/>
          <w:sz w:val="18"/>
          <w:szCs w:val="18"/>
          <w:lang w:eastAsia="en-GB"/>
        </w:rPr>
        <w:t xml:space="preserve"> </w:t>
      </w:r>
      <w:r w:rsidRPr="00005ACD">
        <w:rPr>
          <w:rFonts w:ascii="Verdana" w:hAnsi="Verdana"/>
          <w:sz w:val="18"/>
          <w:szCs w:val="18"/>
          <w:lang w:eastAsia="en-GB"/>
        </w:rPr>
        <w:t xml:space="preserve"> </w:t>
      </w:r>
      <w:r w:rsidRPr="00005ACD">
        <w:rPr>
          <w:rFonts w:ascii="Verdana" w:hAnsi="Verdana"/>
          <w:color w:val="002555"/>
          <w:sz w:val="18"/>
          <w:szCs w:val="18"/>
          <w:lang w:eastAsia="en-GB"/>
        </w:rPr>
        <w:t xml:space="preserve">   </w:t>
      </w:r>
    </w:p>
  </w:footnote>
  <w:footnote w:id="48">
    <w:p w14:paraId="257F3FEC" w14:textId="39CB56C2" w:rsidR="000C7CFA" w:rsidRPr="00CF3DEF" w:rsidRDefault="000C7CFA" w:rsidP="00CF3DEF">
      <w:pPr>
        <w:rPr>
          <w:rFonts w:ascii="Verdana" w:hAnsi="Verdana"/>
          <w:sz w:val="20"/>
          <w:szCs w:val="20"/>
        </w:rPr>
      </w:pPr>
      <w:r w:rsidRPr="00CF3DEF">
        <w:rPr>
          <w:rStyle w:val="FootnoteReference"/>
          <w:rFonts w:ascii="Verdana" w:hAnsi="Verdana"/>
          <w:sz w:val="18"/>
          <w:szCs w:val="18"/>
        </w:rPr>
        <w:footnoteRef/>
      </w:r>
      <w:r w:rsidRPr="00CF3DEF">
        <w:rPr>
          <w:rFonts w:ascii="Verdana" w:hAnsi="Verdana"/>
          <w:sz w:val="18"/>
          <w:szCs w:val="18"/>
        </w:rPr>
        <w:t xml:space="preserve"> </w:t>
      </w:r>
      <w:r w:rsidRPr="00CF3DEF">
        <w:rPr>
          <w:rFonts w:ascii="Verdana" w:hAnsi="Verdana"/>
          <w:sz w:val="18"/>
          <w:szCs w:val="18"/>
          <w:lang w:val="en-GB"/>
        </w:rPr>
        <w:t xml:space="preserve">Heptachlor has a harmonised hazard classification under the CLP Regulation as: Acute Tox. 3 (H311), Carc. 2, STOT RE 2 (H373), Aquatic Acute 1 and Aquatic Chronic 1. </w:t>
      </w:r>
    </w:p>
  </w:footnote>
  <w:footnote w:id="49">
    <w:p w14:paraId="32ED4D67" w14:textId="4BE4F242" w:rsidR="000C7CFA" w:rsidRPr="00030CE7" w:rsidRDefault="000C7CFA">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Note: A vB substance with a BCF of 5</w:t>
      </w:r>
      <w:r>
        <w:rPr>
          <w:rFonts w:ascii="Verdana" w:hAnsi="Verdana"/>
          <w:sz w:val="16"/>
          <w:szCs w:val="16"/>
        </w:rPr>
        <w:t> </w:t>
      </w:r>
      <w:r w:rsidRPr="00030CE7">
        <w:rPr>
          <w:rFonts w:ascii="Verdana" w:hAnsi="Verdana"/>
          <w:sz w:val="16"/>
          <w:szCs w:val="16"/>
        </w:rPr>
        <w:t>000 is only 2.5 times more bioaccumulative than a B substance of similar water solubility with a BCF of 2</w:t>
      </w:r>
      <w:r>
        <w:rPr>
          <w:rFonts w:ascii="Verdana" w:hAnsi="Verdana"/>
          <w:sz w:val="16"/>
          <w:szCs w:val="16"/>
        </w:rPr>
        <w:t> </w:t>
      </w:r>
      <w:r w:rsidRPr="00030CE7">
        <w:rPr>
          <w:rFonts w:ascii="Verdana" w:hAnsi="Verdana"/>
          <w:sz w:val="16"/>
          <w:szCs w:val="16"/>
        </w:rPr>
        <w:t>000. In the case of another B substance with a BCF of, say, 4</w:t>
      </w:r>
      <w:r>
        <w:rPr>
          <w:rFonts w:ascii="Verdana" w:hAnsi="Verdana"/>
          <w:sz w:val="16"/>
          <w:szCs w:val="16"/>
        </w:rPr>
        <w:t> </w:t>
      </w:r>
      <w:r w:rsidRPr="00030CE7">
        <w:rPr>
          <w:rFonts w:ascii="Verdana" w:hAnsi="Verdana"/>
          <w:sz w:val="16"/>
          <w:szCs w:val="16"/>
        </w:rPr>
        <w:t xml:space="preserve">000, it is only 1.25 times higher. </w:t>
      </w:r>
    </w:p>
  </w:footnote>
  <w:footnote w:id="50">
    <w:p w14:paraId="54BF48ED" w14:textId="77777777" w:rsidR="000C7CFA" w:rsidRPr="00030CE7" w:rsidRDefault="000C7CFA">
      <w:pPr>
        <w:pStyle w:val="FootnoteText"/>
        <w:rPr>
          <w:rFonts w:ascii="Verdana" w:hAnsi="Verdana"/>
          <w:sz w:val="16"/>
          <w:szCs w:val="16"/>
        </w:rPr>
      </w:pPr>
      <w:r w:rsidRPr="00030CE7">
        <w:rPr>
          <w:rStyle w:val="FootnoteReference"/>
          <w:rFonts w:ascii="Verdana" w:hAnsi="Verdana"/>
          <w:szCs w:val="16"/>
        </w:rPr>
        <w:footnoteRef/>
      </w:r>
      <w:r w:rsidRPr="00030CE7">
        <w:rPr>
          <w:rFonts w:ascii="Verdana" w:hAnsi="Verdana"/>
          <w:sz w:val="16"/>
          <w:szCs w:val="16"/>
        </w:rPr>
        <w:t xml:space="preserve"> I</w:t>
      </w:r>
      <w:r w:rsidRPr="00030CE7">
        <w:rPr>
          <w:rFonts w:ascii="Verdana" w:eastAsia="BatangChe" w:hAnsi="Verdana"/>
          <w:sz w:val="16"/>
          <w:szCs w:val="16"/>
        </w:rPr>
        <w:t>t is probable that other data are available but it is beyond the scope of this analysis to undertake a thorough search for relevant information.</w:t>
      </w:r>
    </w:p>
  </w:footnote>
  <w:footnote w:id="51">
    <w:p w14:paraId="4CEC3AEB" w14:textId="0D2FDC40" w:rsidR="000C7CFA" w:rsidRDefault="000C7CFA">
      <w:pPr>
        <w:pStyle w:val="FootnoteText"/>
      </w:pPr>
      <w:r w:rsidRPr="00B551EF">
        <w:rPr>
          <w:rStyle w:val="FootnoteReference"/>
          <w:rFonts w:ascii="Verdana" w:hAnsi="Verdana"/>
        </w:rPr>
        <w:footnoteRef/>
      </w:r>
      <w:r w:rsidRPr="00B551EF">
        <w:rPr>
          <w:rFonts w:ascii="Verdana" w:hAnsi="Verdana"/>
        </w:rPr>
        <w:t xml:space="preserve"> </w:t>
      </w:r>
      <w:r w:rsidRPr="00B551EF">
        <w:rPr>
          <w:rFonts w:ascii="Verdana" w:eastAsia="BatangChe" w:hAnsi="Verdana"/>
          <w:sz w:val="16"/>
          <w:szCs w:val="16"/>
        </w:rPr>
        <w:t>WHO. 1993. Polychlorinated Biphenyls and Terphenyls (second edition). Environmental Health Criteria</w:t>
      </w:r>
      <w:r w:rsidRPr="0006795F">
        <w:rPr>
          <w:rFonts w:ascii="Verdana" w:eastAsia="BatangChe" w:hAnsi="Verdana"/>
          <w:sz w:val="16"/>
          <w:szCs w:val="16"/>
        </w:rPr>
        <w:t xml:space="preserve"> 140, World Health Organization, Geneva</w:t>
      </w:r>
    </w:p>
  </w:footnote>
  <w:footnote w:id="52">
    <w:p w14:paraId="37452D39" w14:textId="1ECB2F13" w:rsidR="000C7CFA" w:rsidRDefault="000C7CFA">
      <w:pPr>
        <w:pStyle w:val="FootnoteText"/>
      </w:pPr>
      <w:r w:rsidRPr="00B551EF">
        <w:rPr>
          <w:rStyle w:val="FootnoteReference"/>
          <w:rFonts w:ascii="Verdana" w:hAnsi="Verdana"/>
        </w:rPr>
        <w:footnoteRef/>
      </w:r>
      <w:r w:rsidRPr="00B551EF">
        <w:rPr>
          <w:rFonts w:ascii="Verdana" w:hAnsi="Verdana"/>
        </w:rPr>
        <w:t xml:space="preserve"> </w:t>
      </w:r>
      <w:r w:rsidRPr="00B551EF">
        <w:rPr>
          <w:rFonts w:ascii="Verdana" w:eastAsia="BatangChe" w:hAnsi="Verdana"/>
          <w:sz w:val="16"/>
          <w:szCs w:val="16"/>
        </w:rPr>
        <w:t>Note that the original data have not been reviewed, and therefore given their age, the data validity</w:t>
      </w:r>
      <w:r w:rsidRPr="0006795F">
        <w:rPr>
          <w:rFonts w:ascii="Verdana" w:eastAsia="BatangChe" w:hAnsi="Verdana"/>
          <w:sz w:val="16"/>
          <w:szCs w:val="16"/>
        </w:rPr>
        <w:t xml:space="preserve"> should be treated with caution.</w:t>
      </w:r>
    </w:p>
  </w:footnote>
  <w:footnote w:id="53">
    <w:p w14:paraId="4DDFC159" w14:textId="1FDE4303" w:rsidR="000C7CFA" w:rsidRPr="00E626D2" w:rsidRDefault="000C7CFA" w:rsidP="0006795F">
      <w:pPr>
        <w:pStyle w:val="FootnoteText"/>
        <w:rPr>
          <w:rFonts w:ascii="Verdana" w:hAnsi="Verdana"/>
          <w:sz w:val="18"/>
          <w:szCs w:val="18"/>
        </w:rPr>
      </w:pPr>
      <w:r w:rsidRPr="00E626D2">
        <w:rPr>
          <w:rStyle w:val="FootnoteReference"/>
          <w:rFonts w:ascii="Verdana" w:hAnsi="Verdana"/>
          <w:sz w:val="18"/>
          <w:szCs w:val="18"/>
        </w:rPr>
        <w:footnoteRef/>
      </w:r>
      <w:r w:rsidRPr="00E626D2">
        <w:rPr>
          <w:rFonts w:ascii="Verdana" w:hAnsi="Verdana"/>
          <w:sz w:val="18"/>
          <w:szCs w:val="18"/>
        </w:rPr>
        <w:t xml:space="preserve"> </w:t>
      </w:r>
      <w:r w:rsidRPr="00E626D2">
        <w:rPr>
          <w:rFonts w:ascii="Verdana" w:eastAsia="BatangChe" w:hAnsi="Verdana"/>
          <w:sz w:val="18"/>
          <w:szCs w:val="18"/>
        </w:rPr>
        <w:t>A review of selected persistent organic pollutants. Report ref. PCS/95.39. December 1995</w:t>
      </w:r>
    </w:p>
  </w:footnote>
  <w:footnote w:id="54">
    <w:p w14:paraId="57D7CA1D" w14:textId="64313A82" w:rsidR="000C7CFA" w:rsidRPr="00E626D2" w:rsidRDefault="000C7CFA" w:rsidP="00E626D2">
      <w:pPr>
        <w:pStyle w:val="FootnoteText"/>
        <w:jc w:val="left"/>
        <w:rPr>
          <w:sz w:val="18"/>
          <w:szCs w:val="18"/>
        </w:rPr>
      </w:pPr>
      <w:r w:rsidRPr="00E626D2">
        <w:rPr>
          <w:rStyle w:val="FootnoteReference"/>
          <w:rFonts w:ascii="Verdana" w:hAnsi="Verdana"/>
          <w:sz w:val="18"/>
          <w:szCs w:val="18"/>
        </w:rPr>
        <w:footnoteRef/>
      </w:r>
      <w:r w:rsidRPr="00E626D2">
        <w:rPr>
          <w:rFonts w:ascii="Verdana" w:hAnsi="Verdana"/>
          <w:sz w:val="18"/>
          <w:szCs w:val="18"/>
        </w:rPr>
        <w:t xml:space="preserve"> </w:t>
      </w:r>
      <w:r w:rsidRPr="00E626D2">
        <w:rPr>
          <w:rFonts w:ascii="Verdana" w:eastAsia="BatangChe" w:hAnsi="Verdana"/>
          <w:sz w:val="18"/>
          <w:szCs w:val="18"/>
        </w:rPr>
        <w:t>Taken from ATSDR toxicological profile (</w:t>
      </w:r>
      <w:hyperlink r:id="rId8" w:history="1">
        <w:r w:rsidRPr="00E626D2">
          <w:rPr>
            <w:rFonts w:ascii="Verdana" w:eastAsia="BatangChe" w:hAnsi="Verdana"/>
            <w:sz w:val="18"/>
            <w:szCs w:val="18"/>
          </w:rPr>
          <w:t>https://www.atsdr.cdc.gov/ToxProfiles/tp.asp?id=142&amp;tid=26</w:t>
        </w:r>
      </w:hyperlink>
      <w:r w:rsidRPr="00E626D2">
        <w:rPr>
          <w:rFonts w:ascii="Verdana" w:eastAsia="BatangChe" w:hAnsi="Verdana"/>
          <w:sz w:val="18"/>
          <w:szCs w:val="18"/>
        </w:rPr>
        <w:t>): approximate contents of the relevant Arochlors are: 1232 – mixture of</w:t>
      </w:r>
      <w:r>
        <w:rPr>
          <w:rFonts w:ascii="Verdana" w:eastAsia="BatangChe" w:hAnsi="Verdana"/>
          <w:sz w:val="18"/>
          <w:szCs w:val="18"/>
        </w:rPr>
        <w:t xml:space="preserve"> mono-, di-, tri-, tetra- and penta</w:t>
      </w:r>
      <w:r w:rsidRPr="00E626D2">
        <w:rPr>
          <w:rFonts w:ascii="Verdana" w:eastAsia="BatangChe" w:hAnsi="Verdana"/>
          <w:sz w:val="18"/>
          <w:szCs w:val="18"/>
        </w:rPr>
        <w:t>chloro with 75% being mono</w:t>
      </w:r>
      <w:r>
        <w:rPr>
          <w:rFonts w:ascii="Verdana" w:eastAsia="BatangChe" w:hAnsi="Verdana"/>
          <w:sz w:val="18"/>
          <w:szCs w:val="18"/>
        </w:rPr>
        <w:t>-</w:t>
      </w:r>
      <w:r w:rsidRPr="00E626D2">
        <w:rPr>
          <w:rFonts w:ascii="Verdana" w:eastAsia="BatangChe" w:hAnsi="Verdana"/>
          <w:sz w:val="18"/>
          <w:szCs w:val="18"/>
        </w:rPr>
        <w:t>, di</w:t>
      </w:r>
      <w:r>
        <w:rPr>
          <w:rFonts w:ascii="Verdana" w:eastAsia="BatangChe" w:hAnsi="Verdana"/>
          <w:sz w:val="18"/>
          <w:szCs w:val="18"/>
        </w:rPr>
        <w:t>-</w:t>
      </w:r>
      <w:r w:rsidRPr="00E626D2">
        <w:rPr>
          <w:rFonts w:ascii="Verdana" w:eastAsia="BatangChe" w:hAnsi="Verdana"/>
          <w:sz w:val="18"/>
          <w:szCs w:val="18"/>
        </w:rPr>
        <w:t xml:space="preserve"> and tri</w:t>
      </w:r>
      <w:r>
        <w:rPr>
          <w:rFonts w:ascii="Verdana" w:eastAsia="BatangChe" w:hAnsi="Verdana"/>
          <w:sz w:val="18"/>
          <w:szCs w:val="18"/>
        </w:rPr>
        <w:t>-</w:t>
      </w:r>
      <w:r w:rsidRPr="00E626D2">
        <w:rPr>
          <w:rFonts w:ascii="Verdana" w:eastAsia="BatangChe" w:hAnsi="Verdana"/>
          <w:sz w:val="18"/>
          <w:szCs w:val="18"/>
        </w:rPr>
        <w:t>; 1248 - mixture of</w:t>
      </w:r>
      <w:r>
        <w:rPr>
          <w:rFonts w:ascii="Verdana" w:eastAsia="BatangChe" w:hAnsi="Verdana"/>
          <w:sz w:val="18"/>
          <w:szCs w:val="18"/>
        </w:rPr>
        <w:t xml:space="preserve"> di-, tri-, tetra-, penta- and hexa</w:t>
      </w:r>
      <w:r w:rsidRPr="00E626D2">
        <w:rPr>
          <w:rFonts w:ascii="Verdana" w:eastAsia="BatangChe" w:hAnsi="Verdana"/>
          <w:sz w:val="18"/>
          <w:szCs w:val="18"/>
        </w:rPr>
        <w:t>chloro with 97% being tri</w:t>
      </w:r>
      <w:r>
        <w:rPr>
          <w:rFonts w:ascii="Verdana" w:eastAsia="BatangChe" w:hAnsi="Verdana"/>
          <w:sz w:val="18"/>
          <w:szCs w:val="18"/>
        </w:rPr>
        <w:t>-</w:t>
      </w:r>
      <w:r w:rsidRPr="00E626D2">
        <w:rPr>
          <w:rFonts w:ascii="Verdana" w:eastAsia="BatangChe" w:hAnsi="Verdana"/>
          <w:sz w:val="18"/>
          <w:szCs w:val="18"/>
        </w:rPr>
        <w:t>, tetra</w:t>
      </w:r>
      <w:r>
        <w:rPr>
          <w:rFonts w:ascii="Verdana" w:eastAsia="BatangChe" w:hAnsi="Verdana"/>
          <w:sz w:val="18"/>
          <w:szCs w:val="18"/>
        </w:rPr>
        <w:t>-</w:t>
      </w:r>
      <w:r w:rsidRPr="00E626D2">
        <w:rPr>
          <w:rFonts w:ascii="Verdana" w:eastAsia="BatangChe" w:hAnsi="Verdana"/>
          <w:sz w:val="18"/>
          <w:szCs w:val="18"/>
        </w:rPr>
        <w:t xml:space="preserve"> and penta</w:t>
      </w:r>
      <w:r>
        <w:rPr>
          <w:rFonts w:ascii="Verdana" w:eastAsia="BatangChe" w:hAnsi="Verdana"/>
          <w:sz w:val="18"/>
          <w:szCs w:val="18"/>
        </w:rPr>
        <w:t>-</w:t>
      </w:r>
      <w:r w:rsidRPr="00E626D2">
        <w:rPr>
          <w:rFonts w:ascii="Verdana" w:eastAsia="BatangChe" w:hAnsi="Verdana"/>
          <w:sz w:val="18"/>
          <w:szCs w:val="18"/>
        </w:rPr>
        <w:t>; 1254 – mixture tetra</w:t>
      </w:r>
      <w:r>
        <w:rPr>
          <w:rFonts w:ascii="Verdana" w:eastAsia="BatangChe" w:hAnsi="Verdana"/>
          <w:sz w:val="18"/>
          <w:szCs w:val="18"/>
        </w:rPr>
        <w:t>-</w:t>
      </w:r>
      <w:r w:rsidRPr="00E626D2">
        <w:rPr>
          <w:rFonts w:ascii="Verdana" w:eastAsia="BatangChe" w:hAnsi="Verdana"/>
          <w:sz w:val="18"/>
          <w:szCs w:val="18"/>
        </w:rPr>
        <w:t>, penta</w:t>
      </w:r>
      <w:r>
        <w:rPr>
          <w:rFonts w:ascii="Verdana" w:eastAsia="BatangChe" w:hAnsi="Verdana"/>
          <w:sz w:val="18"/>
          <w:szCs w:val="18"/>
        </w:rPr>
        <w:t>-</w:t>
      </w:r>
      <w:r w:rsidRPr="00E626D2">
        <w:rPr>
          <w:rFonts w:ascii="Verdana" w:eastAsia="BatangChe" w:hAnsi="Verdana"/>
          <w:sz w:val="18"/>
          <w:szCs w:val="18"/>
        </w:rPr>
        <w:t>, hexa</w:t>
      </w:r>
      <w:r>
        <w:rPr>
          <w:rFonts w:ascii="Verdana" w:eastAsia="BatangChe" w:hAnsi="Verdana"/>
          <w:sz w:val="18"/>
          <w:szCs w:val="18"/>
        </w:rPr>
        <w:t>-</w:t>
      </w:r>
      <w:r w:rsidRPr="00E626D2">
        <w:rPr>
          <w:rFonts w:ascii="Verdana" w:eastAsia="BatangChe" w:hAnsi="Verdana"/>
          <w:sz w:val="18"/>
          <w:szCs w:val="18"/>
        </w:rPr>
        <w:t xml:space="preserve"> and heptachloro with 86% being penta</w:t>
      </w:r>
      <w:r>
        <w:rPr>
          <w:rFonts w:ascii="Verdana" w:eastAsia="BatangChe" w:hAnsi="Verdana"/>
          <w:sz w:val="18"/>
          <w:szCs w:val="18"/>
        </w:rPr>
        <w:t>-</w:t>
      </w:r>
      <w:r w:rsidRPr="00E626D2">
        <w:rPr>
          <w:rFonts w:ascii="Verdana" w:eastAsia="BatangChe" w:hAnsi="Verdana"/>
          <w:sz w:val="18"/>
          <w:szCs w:val="18"/>
        </w:rPr>
        <w:t xml:space="preserve"> and hexa</w:t>
      </w:r>
      <w:r>
        <w:rPr>
          <w:rFonts w:ascii="Verdana" w:eastAsia="BatangChe" w:hAnsi="Verdana"/>
          <w:sz w:val="18"/>
          <w:szCs w:val="18"/>
        </w:rPr>
        <w:t>-</w:t>
      </w:r>
      <w:r w:rsidRPr="00E626D2">
        <w:rPr>
          <w:rFonts w:ascii="Verdana" w:eastAsia="BatangChe" w:hAnsi="Verdana"/>
          <w:sz w:val="18"/>
          <w:szCs w:val="18"/>
        </w:rPr>
        <w:t>; 1260 – mixture</w:t>
      </w:r>
      <w:r>
        <w:rPr>
          <w:rFonts w:ascii="Verdana" w:eastAsia="BatangChe" w:hAnsi="Verdana"/>
          <w:sz w:val="18"/>
          <w:szCs w:val="18"/>
        </w:rPr>
        <w:t xml:space="preserve"> of penta-, hexa-, hepta- and octa</w:t>
      </w:r>
      <w:r w:rsidRPr="00E626D2">
        <w:rPr>
          <w:rFonts w:ascii="Verdana" w:eastAsia="BatangChe" w:hAnsi="Verdana"/>
          <w:sz w:val="18"/>
          <w:szCs w:val="18"/>
        </w:rPr>
        <w:t>chloro with 82% being hexa</w:t>
      </w:r>
      <w:r>
        <w:rPr>
          <w:rFonts w:ascii="Verdana" w:eastAsia="BatangChe" w:hAnsi="Verdana"/>
          <w:sz w:val="18"/>
          <w:szCs w:val="18"/>
        </w:rPr>
        <w:t>-</w:t>
      </w:r>
      <w:r w:rsidRPr="00E626D2">
        <w:rPr>
          <w:rFonts w:ascii="Verdana" w:eastAsia="BatangChe" w:hAnsi="Verdana"/>
          <w:sz w:val="18"/>
          <w:szCs w:val="18"/>
        </w:rPr>
        <w:t xml:space="preserve"> and hepta</w:t>
      </w:r>
      <w:r>
        <w:rPr>
          <w:rFonts w:ascii="Verdana" w:eastAsia="BatangChe" w:hAnsi="Verdana"/>
          <w:sz w:val="18"/>
          <w:szCs w:val="18"/>
        </w:rPr>
        <w:t>-</w:t>
      </w:r>
      <w:r w:rsidRPr="00E626D2">
        <w:rPr>
          <w:rFonts w:ascii="Verdana" w:eastAsia="BatangChe" w:hAnsi="Verdana"/>
          <w:sz w:val="18"/>
          <w:szCs w:val="18"/>
        </w:rPr>
        <w:t>;</w:t>
      </w:r>
    </w:p>
  </w:footnote>
  <w:footnote w:id="55">
    <w:p w14:paraId="5520CEBA" w14:textId="7969DC6F" w:rsidR="000C7CFA" w:rsidRDefault="000C7CFA">
      <w:pPr>
        <w:pStyle w:val="FootnoteText"/>
      </w:pPr>
      <w:r w:rsidRPr="00E626D2">
        <w:rPr>
          <w:rStyle w:val="FootnoteReference"/>
          <w:rFonts w:ascii="Verdana" w:hAnsi="Verdana"/>
          <w:sz w:val="18"/>
          <w:szCs w:val="18"/>
        </w:rPr>
        <w:footnoteRef/>
      </w:r>
      <w:r w:rsidRPr="00E626D2">
        <w:rPr>
          <w:rFonts w:ascii="Verdana" w:hAnsi="Verdana"/>
          <w:sz w:val="18"/>
          <w:szCs w:val="18"/>
        </w:rPr>
        <w:t xml:space="preserve"> </w:t>
      </w:r>
      <w:r w:rsidRPr="00E626D2">
        <w:rPr>
          <w:rFonts w:ascii="Verdana" w:eastAsia="BatangChe" w:hAnsi="Verdana"/>
          <w:sz w:val="18"/>
          <w:szCs w:val="18"/>
        </w:rPr>
        <w:t xml:space="preserve">Without a more comprehensive literature search, it is not known whether </w:t>
      </w:r>
      <w:r>
        <w:rPr>
          <w:rFonts w:ascii="Verdana" w:eastAsia="BatangChe" w:hAnsi="Verdana"/>
          <w:sz w:val="18"/>
          <w:szCs w:val="18"/>
        </w:rPr>
        <w:t>Arochlor</w:t>
      </w:r>
      <w:r w:rsidRPr="00E626D2">
        <w:rPr>
          <w:rFonts w:ascii="Verdana" w:eastAsia="BatangChe" w:hAnsi="Verdana"/>
          <w:sz w:val="18"/>
          <w:szCs w:val="18"/>
        </w:rPr>
        <w:t xml:space="preserve"> 1232 has BCF values above 5</w:t>
      </w:r>
      <w:r>
        <w:rPr>
          <w:rFonts w:ascii="Verdana" w:eastAsia="BatangChe" w:hAnsi="Verdana"/>
          <w:sz w:val="18"/>
          <w:szCs w:val="18"/>
        </w:rPr>
        <w:t xml:space="preserve"> </w:t>
      </w:r>
      <w:r w:rsidRPr="00E626D2">
        <w:rPr>
          <w:rFonts w:ascii="Verdana" w:eastAsia="BatangChe" w:hAnsi="Verdana"/>
          <w:sz w:val="18"/>
          <w:szCs w:val="18"/>
        </w:rPr>
        <w:t>000</w:t>
      </w:r>
      <w:r>
        <w:rPr>
          <w:rFonts w:ascii="Verdana" w:eastAsia="BatangChe" w:hAnsi="Verdana"/>
          <w:sz w:val="18"/>
          <w:szCs w:val="18"/>
        </w:rPr>
        <w:t xml:space="preserve"> L/kg</w:t>
      </w:r>
      <w:r w:rsidRPr="00E626D2">
        <w:rPr>
          <w:rFonts w:ascii="Verdana" w:eastAsia="BatangChe" w:hAnsi="Verdana"/>
          <w:sz w:val="18"/>
          <w:szCs w:val="18"/>
        </w:rPr>
        <w:t>.</w:t>
      </w:r>
    </w:p>
  </w:footnote>
  <w:footnote w:id="56">
    <w:p w14:paraId="2046E3B7" w14:textId="724BA4A4" w:rsidR="000C7CFA" w:rsidRPr="00277DDE" w:rsidRDefault="000C7CFA" w:rsidP="00277DDE">
      <w:pPr>
        <w:widowControl w:val="0"/>
        <w:spacing w:after="0"/>
        <w:jc w:val="both"/>
        <w:rPr>
          <w:rFonts w:ascii="Verdana" w:hAnsi="Verdana"/>
          <w:sz w:val="16"/>
          <w:szCs w:val="16"/>
        </w:rPr>
      </w:pPr>
      <w:r w:rsidRPr="00277DDE">
        <w:rPr>
          <w:rStyle w:val="FootnoteReference"/>
          <w:rFonts w:ascii="Verdana" w:hAnsi="Verdana"/>
          <w:szCs w:val="16"/>
        </w:rPr>
        <w:footnoteRef/>
      </w:r>
      <w:r w:rsidRPr="00277DDE">
        <w:rPr>
          <w:rFonts w:ascii="Verdana" w:hAnsi="Verdana"/>
          <w:sz w:val="16"/>
          <w:szCs w:val="16"/>
        </w:rPr>
        <w:t xml:space="preserve"> </w:t>
      </w:r>
      <w:r>
        <w:rPr>
          <w:rFonts w:ascii="Verdana" w:hAnsi="Verdana"/>
          <w:sz w:val="16"/>
          <w:szCs w:val="16"/>
        </w:rPr>
        <w:t>M</w:t>
      </w:r>
      <w:r w:rsidRPr="00277DDE">
        <w:rPr>
          <w:rFonts w:ascii="Verdana" w:hAnsi="Verdana"/>
          <w:sz w:val="16"/>
          <w:szCs w:val="16"/>
        </w:rPr>
        <w:t>aximum log K</w:t>
      </w:r>
      <w:r w:rsidRPr="00277DDE">
        <w:rPr>
          <w:rFonts w:ascii="Verdana" w:hAnsi="Verdana"/>
          <w:sz w:val="16"/>
          <w:szCs w:val="16"/>
          <w:vertAlign w:val="subscript"/>
        </w:rPr>
        <w:t>OW</w:t>
      </w:r>
      <w:r w:rsidRPr="00277DDE">
        <w:rPr>
          <w:rFonts w:ascii="Verdana" w:hAnsi="Verdana"/>
          <w:sz w:val="16"/>
          <w:szCs w:val="16"/>
        </w:rPr>
        <w:t xml:space="preserve"> cut-off: 6.0 (Fish </w:t>
      </w:r>
      <w:r>
        <w:rPr>
          <w:rFonts w:ascii="Verdana" w:hAnsi="Verdana"/>
          <w:sz w:val="16"/>
          <w:szCs w:val="16"/>
        </w:rPr>
        <w:t>and</w:t>
      </w:r>
      <w:r w:rsidRPr="00277DDE">
        <w:rPr>
          <w:rFonts w:ascii="Verdana" w:hAnsi="Verdana"/>
          <w:sz w:val="16"/>
          <w:szCs w:val="16"/>
        </w:rPr>
        <w:t xml:space="preserve"> Daphnid LC</w:t>
      </w:r>
      <w:r w:rsidRPr="00277DDE">
        <w:rPr>
          <w:rFonts w:ascii="Verdana" w:hAnsi="Verdana"/>
          <w:sz w:val="16"/>
          <w:szCs w:val="16"/>
          <w:vertAlign w:val="subscript"/>
        </w:rPr>
        <w:t>50</w:t>
      </w:r>
      <w:r w:rsidRPr="00277DDE">
        <w:rPr>
          <w:rFonts w:ascii="Verdana" w:hAnsi="Verdana"/>
          <w:sz w:val="16"/>
          <w:szCs w:val="16"/>
        </w:rPr>
        <w:t>), 6.4 (Green Algae EC</w:t>
      </w:r>
      <w:r w:rsidRPr="00277DDE">
        <w:rPr>
          <w:rFonts w:ascii="Verdana" w:hAnsi="Verdana"/>
          <w:sz w:val="16"/>
          <w:szCs w:val="16"/>
          <w:vertAlign w:val="subscript"/>
        </w:rPr>
        <w:t>50</w:t>
      </w:r>
      <w:r w:rsidRPr="00277DDE">
        <w:rPr>
          <w:rFonts w:ascii="Verdana" w:hAnsi="Verdana"/>
          <w:sz w:val="16"/>
          <w:szCs w:val="16"/>
        </w:rPr>
        <w:t>) and 8.0 (ChV).</w:t>
      </w:r>
    </w:p>
  </w:footnote>
  <w:footnote w:id="57">
    <w:p w14:paraId="1E5C47B3" w14:textId="4B043C92" w:rsidR="000C7CFA" w:rsidRPr="00277DDE" w:rsidRDefault="000C7CFA" w:rsidP="00277DDE">
      <w:pPr>
        <w:widowControl w:val="0"/>
        <w:spacing w:after="0"/>
        <w:jc w:val="both"/>
        <w:rPr>
          <w:rFonts w:ascii="Verdana" w:hAnsi="Verdana"/>
          <w:sz w:val="16"/>
          <w:szCs w:val="16"/>
        </w:rPr>
      </w:pPr>
      <w:r w:rsidRPr="00277DDE">
        <w:rPr>
          <w:rStyle w:val="FootnoteReference"/>
          <w:rFonts w:ascii="Verdana" w:hAnsi="Verdana"/>
          <w:szCs w:val="16"/>
        </w:rPr>
        <w:footnoteRef/>
      </w:r>
      <w:r w:rsidRPr="00277DDE">
        <w:rPr>
          <w:rFonts w:ascii="Verdana" w:hAnsi="Verdana"/>
          <w:sz w:val="16"/>
          <w:szCs w:val="16"/>
        </w:rPr>
        <w:t xml:space="preserve"> </w:t>
      </w:r>
      <w:r>
        <w:rPr>
          <w:rFonts w:ascii="Verdana" w:hAnsi="Verdana"/>
          <w:sz w:val="16"/>
          <w:szCs w:val="16"/>
        </w:rPr>
        <w:t>M</w:t>
      </w:r>
      <w:r w:rsidRPr="00277DDE">
        <w:rPr>
          <w:rFonts w:ascii="Verdana" w:hAnsi="Verdana"/>
          <w:sz w:val="16"/>
          <w:szCs w:val="16"/>
        </w:rPr>
        <w:t>aximum log K</w:t>
      </w:r>
      <w:r w:rsidRPr="00277DDE">
        <w:rPr>
          <w:rFonts w:ascii="Verdana" w:hAnsi="Verdana"/>
          <w:sz w:val="16"/>
          <w:szCs w:val="16"/>
          <w:vertAlign w:val="subscript"/>
        </w:rPr>
        <w:t>OW</w:t>
      </w:r>
      <w:r w:rsidRPr="00277DDE">
        <w:rPr>
          <w:rFonts w:ascii="Verdana" w:hAnsi="Verdana"/>
          <w:sz w:val="16"/>
          <w:szCs w:val="16"/>
        </w:rPr>
        <w:t xml:space="preserve"> cut-off: </w:t>
      </w:r>
      <w:r>
        <w:rPr>
          <w:rFonts w:ascii="Verdana" w:hAnsi="Verdana"/>
          <w:sz w:val="16"/>
          <w:szCs w:val="16"/>
        </w:rPr>
        <w:t>5</w:t>
      </w:r>
      <w:r w:rsidRPr="00277DDE">
        <w:rPr>
          <w:rFonts w:ascii="Verdana" w:hAnsi="Verdana"/>
          <w:sz w:val="16"/>
          <w:szCs w:val="16"/>
        </w:rPr>
        <w:t xml:space="preserve">.0 (Fish </w:t>
      </w:r>
      <w:r>
        <w:rPr>
          <w:rFonts w:ascii="Verdana" w:hAnsi="Verdana"/>
          <w:sz w:val="16"/>
          <w:szCs w:val="16"/>
        </w:rPr>
        <w:t>and</w:t>
      </w:r>
      <w:r w:rsidRPr="00277DDE">
        <w:rPr>
          <w:rFonts w:ascii="Verdana" w:hAnsi="Verdana"/>
          <w:sz w:val="16"/>
          <w:szCs w:val="16"/>
        </w:rPr>
        <w:t xml:space="preserve"> Daphnid LC</w:t>
      </w:r>
      <w:r w:rsidRPr="00277DDE">
        <w:rPr>
          <w:rFonts w:ascii="Verdana" w:hAnsi="Verdana"/>
          <w:sz w:val="16"/>
          <w:szCs w:val="16"/>
          <w:vertAlign w:val="subscript"/>
        </w:rPr>
        <w:t>50</w:t>
      </w:r>
      <w:r w:rsidRPr="00277DDE">
        <w:rPr>
          <w:rFonts w:ascii="Verdana" w:hAnsi="Verdana"/>
          <w:sz w:val="16"/>
          <w:szCs w:val="16"/>
        </w:rPr>
        <w:t>), 6.4 (Green Algae EC</w:t>
      </w:r>
      <w:r w:rsidRPr="00277DDE">
        <w:rPr>
          <w:rFonts w:ascii="Verdana" w:hAnsi="Verdana"/>
          <w:sz w:val="16"/>
          <w:szCs w:val="16"/>
          <w:vertAlign w:val="subscript"/>
        </w:rPr>
        <w:t>50</w:t>
      </w:r>
      <w:r w:rsidRPr="00277DDE">
        <w:rPr>
          <w:rFonts w:ascii="Verdana" w:hAnsi="Verdana"/>
          <w:sz w:val="16"/>
          <w:szCs w:val="16"/>
        </w:rPr>
        <w:t>) and 8.0 (ChV).</w:t>
      </w:r>
    </w:p>
  </w:footnote>
  <w:footnote w:id="58">
    <w:p w14:paraId="44B2163D" w14:textId="2474C4E6" w:rsidR="000C7CFA" w:rsidRPr="006C11CC" w:rsidRDefault="000C7CFA">
      <w:pPr>
        <w:pStyle w:val="FootnoteText"/>
        <w:rPr>
          <w:rFonts w:ascii="Verdana" w:hAnsi="Verdana"/>
          <w:sz w:val="18"/>
          <w:szCs w:val="18"/>
        </w:rPr>
      </w:pPr>
      <w:r w:rsidRPr="006C11CC">
        <w:rPr>
          <w:rStyle w:val="FootnoteReference"/>
          <w:rFonts w:ascii="Verdana" w:hAnsi="Verdana"/>
          <w:sz w:val="18"/>
          <w:szCs w:val="18"/>
        </w:rPr>
        <w:footnoteRef/>
      </w:r>
      <w:r w:rsidRPr="006C11CC">
        <w:rPr>
          <w:rFonts w:ascii="Verdana" w:hAnsi="Verdana"/>
          <w:sz w:val="18"/>
          <w:szCs w:val="18"/>
        </w:rPr>
        <w:t xml:space="preserve"> Providing three of forty-one data points in the acute fish SAR (96-h LC</w:t>
      </w:r>
      <w:r w:rsidRPr="006C11CC">
        <w:rPr>
          <w:rFonts w:ascii="Verdana" w:hAnsi="Verdana"/>
          <w:sz w:val="18"/>
          <w:szCs w:val="18"/>
          <w:vertAlign w:val="subscript"/>
        </w:rPr>
        <w:t xml:space="preserve">50 </w:t>
      </w:r>
      <w:r w:rsidRPr="006C11CC">
        <w:rPr>
          <w:rFonts w:ascii="Verdana" w:hAnsi="Verdana"/>
          <w:sz w:val="18"/>
          <w:szCs w:val="18"/>
        </w:rPr>
        <w:t>of 0.007 – 0.</w:t>
      </w:r>
      <w:r>
        <w:rPr>
          <w:rFonts w:ascii="Verdana" w:hAnsi="Verdana"/>
          <w:sz w:val="18"/>
          <w:szCs w:val="18"/>
        </w:rPr>
        <w:t>023 </w:t>
      </w:r>
      <w:r w:rsidRPr="006C11CC">
        <w:rPr>
          <w:rFonts w:ascii="Verdana" w:hAnsi="Verdana"/>
          <w:sz w:val="18"/>
          <w:szCs w:val="18"/>
        </w:rPr>
        <w:t>mg/L) and one of eleven data points in the acute Daphnia SAR (48-h EC</w:t>
      </w:r>
      <w:r w:rsidRPr="006C11CC">
        <w:rPr>
          <w:rFonts w:ascii="Verdana" w:hAnsi="Verdana"/>
          <w:sz w:val="18"/>
          <w:szCs w:val="18"/>
          <w:vertAlign w:val="subscript"/>
        </w:rPr>
        <w:t>50</w:t>
      </w:r>
      <w:r>
        <w:rPr>
          <w:rFonts w:ascii="Verdana" w:hAnsi="Verdana"/>
          <w:sz w:val="18"/>
          <w:szCs w:val="18"/>
        </w:rPr>
        <w:t xml:space="preserve"> of 0.042 </w:t>
      </w:r>
      <w:r w:rsidRPr="006C11CC">
        <w:rPr>
          <w:rFonts w:ascii="Verdana" w:hAnsi="Verdana"/>
          <w:sz w:val="18"/>
          <w:szCs w:val="18"/>
        </w:rPr>
        <w:t>mg/L).</w:t>
      </w:r>
    </w:p>
  </w:footnote>
  <w:footnote w:id="59">
    <w:p w14:paraId="2E2321D0" w14:textId="45E2A59E" w:rsidR="000C7CFA" w:rsidRPr="006C11CC" w:rsidRDefault="000C7CFA" w:rsidP="006C11CC">
      <w:pPr>
        <w:jc w:val="both"/>
        <w:rPr>
          <w:rFonts w:ascii="Verdana" w:hAnsi="Verdana" w:cstheme="minorBidi"/>
          <w:sz w:val="18"/>
          <w:szCs w:val="18"/>
        </w:rPr>
      </w:pPr>
      <w:r w:rsidRPr="006C11CC">
        <w:rPr>
          <w:rStyle w:val="FootnoteReference"/>
          <w:rFonts w:ascii="Verdana" w:hAnsi="Verdana"/>
          <w:sz w:val="18"/>
          <w:szCs w:val="18"/>
        </w:rPr>
        <w:footnoteRef/>
      </w:r>
      <w:r w:rsidRPr="006C11CC">
        <w:rPr>
          <w:rFonts w:ascii="Verdana" w:hAnsi="Verdana"/>
          <w:sz w:val="18"/>
          <w:szCs w:val="18"/>
        </w:rPr>
        <w:t xml:space="preserve"> Providing </w:t>
      </w:r>
      <w:r>
        <w:rPr>
          <w:rFonts w:ascii="Verdana" w:hAnsi="Verdana"/>
          <w:sz w:val="18"/>
          <w:szCs w:val="18"/>
        </w:rPr>
        <w:t>o</w:t>
      </w:r>
      <w:r w:rsidRPr="006C11CC">
        <w:rPr>
          <w:rFonts w:ascii="Verdana" w:hAnsi="Verdana"/>
          <w:sz w:val="18"/>
          <w:szCs w:val="18"/>
        </w:rPr>
        <w:t xml:space="preserve">ne of seven data points for the chronic fish SAR (ChV of 0.0016 mg/L) and one of two data points for the chronic Daphnia SAR (ChV of 0.016 mg/L). </w:t>
      </w:r>
      <w:r>
        <w:rPr>
          <w:rFonts w:ascii="Verdana" w:hAnsi="Verdana"/>
          <w:sz w:val="18"/>
          <w:szCs w:val="18"/>
        </w:rPr>
        <w:t>T</w:t>
      </w:r>
      <w:r w:rsidRPr="006C11CC">
        <w:rPr>
          <w:rFonts w:ascii="Verdana" w:hAnsi="Verdana"/>
          <w:sz w:val="18"/>
          <w:szCs w:val="18"/>
        </w:rPr>
        <w:t>he</w:t>
      </w:r>
      <w:r>
        <w:rPr>
          <w:rFonts w:ascii="Verdana" w:hAnsi="Verdana"/>
          <w:sz w:val="18"/>
          <w:szCs w:val="18"/>
        </w:rPr>
        <w:t xml:space="preserve"> reference for the Daphnia</w:t>
      </w:r>
      <w:r w:rsidRPr="006C11CC">
        <w:rPr>
          <w:rFonts w:ascii="Verdana" w:hAnsi="Verdana"/>
          <w:sz w:val="18"/>
          <w:szCs w:val="18"/>
        </w:rPr>
        <w:t xml:space="preserve"> </w:t>
      </w:r>
      <w:r>
        <w:rPr>
          <w:rFonts w:ascii="Verdana" w:hAnsi="Verdana"/>
          <w:sz w:val="18"/>
          <w:szCs w:val="18"/>
        </w:rPr>
        <w:t>result is date</w:t>
      </w:r>
      <w:r w:rsidRPr="006C11CC">
        <w:rPr>
          <w:rFonts w:ascii="Verdana" w:hAnsi="Verdana"/>
          <w:sz w:val="18"/>
          <w:szCs w:val="18"/>
        </w:rPr>
        <w:t>d 1979</w:t>
      </w:r>
      <w:r>
        <w:rPr>
          <w:rFonts w:ascii="Verdana" w:hAnsi="Verdana"/>
          <w:sz w:val="18"/>
          <w:szCs w:val="18"/>
        </w:rPr>
        <w:t>,</w:t>
      </w:r>
      <w:r w:rsidRPr="006C11CC">
        <w:rPr>
          <w:rFonts w:ascii="Verdana" w:hAnsi="Verdana"/>
          <w:sz w:val="18"/>
          <w:szCs w:val="18"/>
        </w:rPr>
        <w:t xml:space="preserve"> so </w:t>
      </w:r>
      <w:r>
        <w:rPr>
          <w:rFonts w:ascii="Verdana" w:hAnsi="Verdana"/>
          <w:sz w:val="18"/>
          <w:szCs w:val="18"/>
        </w:rPr>
        <w:t>it</w:t>
      </w:r>
      <w:r w:rsidRPr="006C11CC">
        <w:rPr>
          <w:rFonts w:ascii="Verdana" w:hAnsi="Verdana"/>
          <w:sz w:val="18"/>
          <w:szCs w:val="18"/>
        </w:rPr>
        <w:t xml:space="preserve"> may not conform to modern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C46D9" w14:textId="2A4D28AB" w:rsidR="000C7CFA" w:rsidRPr="000C7CFA" w:rsidRDefault="000C7CFA" w:rsidP="0058616D">
    <w:pPr>
      <w:pStyle w:val="Header"/>
      <w:pBdr>
        <w:bottom w:val="thickThinSmallGap" w:sz="24" w:space="1" w:color="622423" w:themeColor="accent2" w:themeShade="7F"/>
      </w:pBdr>
      <w:tabs>
        <w:tab w:val="clear" w:pos="8306"/>
        <w:tab w:val="right" w:pos="8364"/>
      </w:tabs>
      <w:rPr>
        <w:rFonts w:ascii="Verdana" w:hAnsi="Verdana"/>
        <w:sz w:val="16"/>
        <w:szCs w:val="20"/>
        <w:lang w:val="en-GB" w:eastAsia="fi-FI"/>
      </w:rPr>
    </w:pPr>
    <w:r w:rsidRPr="000C7CFA">
      <w:rPr>
        <w:rFonts w:ascii="Verdana" w:hAnsi="Verdana"/>
        <w:sz w:val="20"/>
      </w:rPr>
      <w:t>ANNEX XV APPENDIX – IDENTIFICATION OF DECHLORANE PLUS AS SVHC</w:t>
    </w:r>
  </w:p>
  <w:p w14:paraId="32A86B81" w14:textId="77777777" w:rsidR="000C7CFA" w:rsidRDefault="000C7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43C"/>
    <w:multiLevelType w:val="hybridMultilevel"/>
    <w:tmpl w:val="B25C0430"/>
    <w:lvl w:ilvl="0" w:tplc="E362E32E">
      <w:start w:val="1"/>
      <w:numFmt w:val="bullet"/>
      <w:pStyle w:val="Tabletext-list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746FA"/>
    <w:multiLevelType w:val="hybridMultilevel"/>
    <w:tmpl w:val="58EA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33DCE"/>
    <w:multiLevelType w:val="hybridMultilevel"/>
    <w:tmpl w:val="07A6B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256E9"/>
    <w:multiLevelType w:val="hybridMultilevel"/>
    <w:tmpl w:val="00DC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C08BA"/>
    <w:multiLevelType w:val="hybridMultilevel"/>
    <w:tmpl w:val="EC36809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026EF"/>
    <w:multiLevelType w:val="hybridMultilevel"/>
    <w:tmpl w:val="E498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D608F"/>
    <w:multiLevelType w:val="multilevel"/>
    <w:tmpl w:val="08090025"/>
    <w:lvl w:ilvl="0">
      <w:start w:val="1"/>
      <w:numFmt w:val="decimal"/>
      <w:pStyle w:val="Heading1"/>
      <w:lvlText w:val="%1"/>
      <w:lvlJc w:val="left"/>
      <w:pPr>
        <w:ind w:left="574" w:hanging="432"/>
      </w:pPr>
      <w:rPr>
        <w:rFonts w:hint="default"/>
        <w:b/>
        <w:i w:val="0"/>
        <w:sz w:val="28"/>
      </w:rPr>
    </w:lvl>
    <w:lvl w:ilvl="1">
      <w:start w:val="1"/>
      <w:numFmt w:val="decimal"/>
      <w:pStyle w:val="Heading2"/>
      <w:lvlText w:val="%1.%2"/>
      <w:lvlJc w:val="left"/>
      <w:pPr>
        <w:ind w:left="576" w:hanging="576"/>
      </w:pPr>
      <w:rPr>
        <w:rFonts w:hint="default"/>
        <w:b/>
        <w:i w:val="0"/>
        <w:sz w:val="24"/>
      </w:rPr>
    </w:lvl>
    <w:lvl w:ilvl="2">
      <w:start w:val="1"/>
      <w:numFmt w:val="decimal"/>
      <w:pStyle w:val="Heading3"/>
      <w:lvlText w:val="%1.%2.%3"/>
      <w:lvlJc w:val="left"/>
      <w:pPr>
        <w:ind w:left="720" w:hanging="720"/>
      </w:pPr>
      <w:rPr>
        <w:rFonts w:hint="default"/>
        <w:b/>
        <w:i w:val="0"/>
        <w:sz w:val="24"/>
      </w:rPr>
    </w:lvl>
    <w:lvl w:ilvl="3">
      <w:start w:val="1"/>
      <w:numFmt w:val="decimal"/>
      <w:pStyle w:val="Heading4"/>
      <w:lvlText w:val="%1.%2.%3.%4"/>
      <w:lvlJc w:val="left"/>
      <w:pPr>
        <w:ind w:left="1006" w:hanging="864"/>
      </w:pPr>
      <w:rPr>
        <w:rFonts w:hint="default"/>
        <w:b/>
        <w:i w:val="0"/>
        <w:sz w:val="24"/>
      </w:rPr>
    </w:lvl>
    <w:lvl w:ilvl="4">
      <w:start w:val="1"/>
      <w:numFmt w:val="decimal"/>
      <w:pStyle w:val="Heading5"/>
      <w:lvlText w:val="%1.%2.%3.%4.%5"/>
      <w:lvlJc w:val="left"/>
      <w:pPr>
        <w:ind w:left="1008" w:hanging="1008"/>
      </w:pPr>
      <w:rPr>
        <w:rFonts w:hint="default"/>
        <w:b/>
        <w:i w:val="0"/>
        <w:sz w:val="24"/>
      </w:rPr>
    </w:lvl>
    <w:lvl w:ilvl="5">
      <w:start w:val="1"/>
      <w:numFmt w:val="decimal"/>
      <w:pStyle w:val="Heading6"/>
      <w:lvlText w:val="%1.%2.%3.%4.%5.%6"/>
      <w:lvlJc w:val="left"/>
      <w:pPr>
        <w:ind w:left="1152" w:hanging="1152"/>
      </w:pPr>
      <w:rPr>
        <w:rFonts w:hint="default"/>
        <w:b/>
        <w:i w:val="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0BC7E26"/>
    <w:multiLevelType w:val="hybridMultilevel"/>
    <w:tmpl w:val="D076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452A5"/>
    <w:multiLevelType w:val="hybridMultilevel"/>
    <w:tmpl w:val="A4480E40"/>
    <w:lvl w:ilvl="0" w:tplc="490809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81669"/>
    <w:multiLevelType w:val="hybridMultilevel"/>
    <w:tmpl w:val="CC7E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108CF"/>
    <w:multiLevelType w:val="hybridMultilevel"/>
    <w:tmpl w:val="397EF1C2"/>
    <w:lvl w:ilvl="0" w:tplc="16DEA2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575F02"/>
    <w:multiLevelType w:val="hybridMultilevel"/>
    <w:tmpl w:val="461C1D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D7F7C"/>
    <w:multiLevelType w:val="hybridMultilevel"/>
    <w:tmpl w:val="398A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96A82"/>
    <w:multiLevelType w:val="hybridMultilevel"/>
    <w:tmpl w:val="AB3C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71122"/>
    <w:multiLevelType w:val="hybridMultilevel"/>
    <w:tmpl w:val="EB34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06235"/>
    <w:multiLevelType w:val="hybridMultilevel"/>
    <w:tmpl w:val="A07E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465B6"/>
    <w:multiLevelType w:val="hybridMultilevel"/>
    <w:tmpl w:val="7D720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862C5"/>
    <w:multiLevelType w:val="hybridMultilevel"/>
    <w:tmpl w:val="E7F2ABCA"/>
    <w:lvl w:ilvl="0" w:tplc="E4C872C0">
      <w:numFmt w:val="bullet"/>
      <w:lvlText w:val="-"/>
      <w:lvlJc w:val="left"/>
      <w:pPr>
        <w:ind w:left="720" w:hanging="360"/>
      </w:pPr>
      <w:rPr>
        <w:rFonts w:ascii="Verdana" w:eastAsia="Times New Roman" w:hAnsi="Verdana" w:cs="Times New Roman" w:hint="default"/>
      </w:rPr>
    </w:lvl>
    <w:lvl w:ilvl="1" w:tplc="F3ACCED6">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C5E31"/>
    <w:multiLevelType w:val="hybridMultilevel"/>
    <w:tmpl w:val="B8AE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3011F"/>
    <w:multiLevelType w:val="hybridMultilevel"/>
    <w:tmpl w:val="448C307C"/>
    <w:name w:val="WW8Num37"/>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2"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2"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2"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482286"/>
    <w:multiLevelType w:val="hybridMultilevel"/>
    <w:tmpl w:val="7474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45282"/>
    <w:multiLevelType w:val="hybridMultilevel"/>
    <w:tmpl w:val="02CA488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2" w15:restartNumberingAfterBreak="0">
    <w:nsid w:val="7E5B3528"/>
    <w:multiLevelType w:val="hybridMultilevel"/>
    <w:tmpl w:val="1CCAEF32"/>
    <w:lvl w:ilvl="0" w:tplc="0809000F">
      <w:start w:val="1"/>
      <w:numFmt w:val="decimal"/>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0"/>
  </w:num>
  <w:num w:numId="3">
    <w:abstractNumId w:val="18"/>
  </w:num>
  <w:num w:numId="4">
    <w:abstractNumId w:val="8"/>
  </w:num>
  <w:num w:numId="5">
    <w:abstractNumId w:val="4"/>
  </w:num>
  <w:num w:numId="6">
    <w:abstractNumId w:val="22"/>
  </w:num>
  <w:num w:numId="7">
    <w:abstractNumId w:val="5"/>
  </w:num>
  <w:num w:numId="8">
    <w:abstractNumId w:val="9"/>
  </w:num>
  <w:num w:numId="9">
    <w:abstractNumId w:val="7"/>
  </w:num>
  <w:num w:numId="10">
    <w:abstractNumId w:val="19"/>
  </w:num>
  <w:num w:numId="11">
    <w:abstractNumId w:val="10"/>
  </w:num>
  <w:num w:numId="12">
    <w:abstractNumId w:val="1"/>
  </w:num>
  <w:num w:numId="13">
    <w:abstractNumId w:val="2"/>
  </w:num>
  <w:num w:numId="14">
    <w:abstractNumId w:val="20"/>
  </w:num>
  <w:num w:numId="15">
    <w:abstractNumId w:val="12"/>
  </w:num>
  <w:num w:numId="16">
    <w:abstractNumId w:val="15"/>
  </w:num>
  <w:num w:numId="17">
    <w:abstractNumId w:val="21"/>
  </w:num>
  <w:num w:numId="18">
    <w:abstractNumId w:val="16"/>
  </w:num>
  <w:num w:numId="19">
    <w:abstractNumId w:val="14"/>
  </w:num>
  <w:num w:numId="20">
    <w:abstractNumId w:val="11"/>
  </w:num>
  <w:num w:numId="21">
    <w:abstractNumId w:val="3"/>
  </w:num>
  <w:num w:numId="22">
    <w:abstractNumId w:val="17"/>
  </w:num>
  <w:num w:numId="23">
    <w:abstractNumId w:val="6"/>
  </w:num>
  <w:num w:numId="24">
    <w:abstractNumId w:val="6"/>
  </w:num>
  <w:num w:numId="25">
    <w:abstractNumId w:val="6"/>
  </w:num>
  <w:num w:numId="2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3D"/>
    <w:rsid w:val="0000000F"/>
    <w:rsid w:val="000023A1"/>
    <w:rsid w:val="000023DF"/>
    <w:rsid w:val="00002F51"/>
    <w:rsid w:val="0000400C"/>
    <w:rsid w:val="00004F77"/>
    <w:rsid w:val="00005ACD"/>
    <w:rsid w:val="00005E32"/>
    <w:rsid w:val="000066A7"/>
    <w:rsid w:val="00006A75"/>
    <w:rsid w:val="00007A38"/>
    <w:rsid w:val="00007AC9"/>
    <w:rsid w:val="00007C2F"/>
    <w:rsid w:val="00010160"/>
    <w:rsid w:val="00010B06"/>
    <w:rsid w:val="00010CFC"/>
    <w:rsid w:val="00011825"/>
    <w:rsid w:val="000128E5"/>
    <w:rsid w:val="00012BC8"/>
    <w:rsid w:val="00012FE3"/>
    <w:rsid w:val="00013683"/>
    <w:rsid w:val="00014426"/>
    <w:rsid w:val="000153B8"/>
    <w:rsid w:val="00015B3F"/>
    <w:rsid w:val="00016BAA"/>
    <w:rsid w:val="00016EE5"/>
    <w:rsid w:val="00017229"/>
    <w:rsid w:val="00017849"/>
    <w:rsid w:val="00020504"/>
    <w:rsid w:val="000207BB"/>
    <w:rsid w:val="00020D38"/>
    <w:rsid w:val="0002136A"/>
    <w:rsid w:val="00021A47"/>
    <w:rsid w:val="000236FB"/>
    <w:rsid w:val="00023915"/>
    <w:rsid w:val="00024E4F"/>
    <w:rsid w:val="000263C9"/>
    <w:rsid w:val="000278AD"/>
    <w:rsid w:val="00027922"/>
    <w:rsid w:val="0003028D"/>
    <w:rsid w:val="00030CE7"/>
    <w:rsid w:val="00031296"/>
    <w:rsid w:val="000314BC"/>
    <w:rsid w:val="00031622"/>
    <w:rsid w:val="00031F5F"/>
    <w:rsid w:val="00032B14"/>
    <w:rsid w:val="00032DEC"/>
    <w:rsid w:val="00033012"/>
    <w:rsid w:val="000332FD"/>
    <w:rsid w:val="000335A1"/>
    <w:rsid w:val="00033A61"/>
    <w:rsid w:val="00033F17"/>
    <w:rsid w:val="00034BF9"/>
    <w:rsid w:val="00034CF8"/>
    <w:rsid w:val="00034D2E"/>
    <w:rsid w:val="00034EE9"/>
    <w:rsid w:val="00035C97"/>
    <w:rsid w:val="00036926"/>
    <w:rsid w:val="00037A7C"/>
    <w:rsid w:val="00040B5E"/>
    <w:rsid w:val="00040D04"/>
    <w:rsid w:val="00040EC8"/>
    <w:rsid w:val="00040F86"/>
    <w:rsid w:val="000411B4"/>
    <w:rsid w:val="00041847"/>
    <w:rsid w:val="00041ADA"/>
    <w:rsid w:val="00041B16"/>
    <w:rsid w:val="00041DFF"/>
    <w:rsid w:val="0004381F"/>
    <w:rsid w:val="00043E38"/>
    <w:rsid w:val="00045B3B"/>
    <w:rsid w:val="00045F96"/>
    <w:rsid w:val="000478E7"/>
    <w:rsid w:val="00051F41"/>
    <w:rsid w:val="00052A4B"/>
    <w:rsid w:val="00052B45"/>
    <w:rsid w:val="000538C9"/>
    <w:rsid w:val="00053BB0"/>
    <w:rsid w:val="00053F50"/>
    <w:rsid w:val="0005445F"/>
    <w:rsid w:val="00054AF0"/>
    <w:rsid w:val="00054C0B"/>
    <w:rsid w:val="000550CC"/>
    <w:rsid w:val="000556C3"/>
    <w:rsid w:val="00055D10"/>
    <w:rsid w:val="0005764A"/>
    <w:rsid w:val="00057817"/>
    <w:rsid w:val="00060619"/>
    <w:rsid w:val="0006081B"/>
    <w:rsid w:val="00061464"/>
    <w:rsid w:val="00061796"/>
    <w:rsid w:val="00061A47"/>
    <w:rsid w:val="00061BAC"/>
    <w:rsid w:val="00061DA7"/>
    <w:rsid w:val="00062B41"/>
    <w:rsid w:val="0006308F"/>
    <w:rsid w:val="000632C0"/>
    <w:rsid w:val="000670A2"/>
    <w:rsid w:val="0006795F"/>
    <w:rsid w:val="00067C73"/>
    <w:rsid w:val="00070326"/>
    <w:rsid w:val="00070CA1"/>
    <w:rsid w:val="000722A2"/>
    <w:rsid w:val="000728D5"/>
    <w:rsid w:val="00073476"/>
    <w:rsid w:val="00075977"/>
    <w:rsid w:val="0008090D"/>
    <w:rsid w:val="00080EB6"/>
    <w:rsid w:val="0008123F"/>
    <w:rsid w:val="000816FB"/>
    <w:rsid w:val="0008250A"/>
    <w:rsid w:val="00082A2A"/>
    <w:rsid w:val="00082C6A"/>
    <w:rsid w:val="00083CC2"/>
    <w:rsid w:val="00083D0D"/>
    <w:rsid w:val="0008557F"/>
    <w:rsid w:val="0008724B"/>
    <w:rsid w:val="00087315"/>
    <w:rsid w:val="0008733F"/>
    <w:rsid w:val="000877A1"/>
    <w:rsid w:val="00090C13"/>
    <w:rsid w:val="00090D4B"/>
    <w:rsid w:val="000911B4"/>
    <w:rsid w:val="000919E4"/>
    <w:rsid w:val="00091DAF"/>
    <w:rsid w:val="00091EB3"/>
    <w:rsid w:val="00092FBF"/>
    <w:rsid w:val="00093979"/>
    <w:rsid w:val="00093A67"/>
    <w:rsid w:val="00093B1F"/>
    <w:rsid w:val="00094EDF"/>
    <w:rsid w:val="000954E5"/>
    <w:rsid w:val="00096513"/>
    <w:rsid w:val="00097002"/>
    <w:rsid w:val="00097E0B"/>
    <w:rsid w:val="000A0BE4"/>
    <w:rsid w:val="000A1085"/>
    <w:rsid w:val="000A10E2"/>
    <w:rsid w:val="000A15AD"/>
    <w:rsid w:val="000A1A05"/>
    <w:rsid w:val="000A1AB9"/>
    <w:rsid w:val="000A2029"/>
    <w:rsid w:val="000A2D21"/>
    <w:rsid w:val="000A3242"/>
    <w:rsid w:val="000A35C2"/>
    <w:rsid w:val="000A57A3"/>
    <w:rsid w:val="000A6143"/>
    <w:rsid w:val="000A653E"/>
    <w:rsid w:val="000A6FDD"/>
    <w:rsid w:val="000A72D1"/>
    <w:rsid w:val="000A79F7"/>
    <w:rsid w:val="000B0599"/>
    <w:rsid w:val="000B1467"/>
    <w:rsid w:val="000B1930"/>
    <w:rsid w:val="000B1AA5"/>
    <w:rsid w:val="000B25CE"/>
    <w:rsid w:val="000B2D6C"/>
    <w:rsid w:val="000B34E6"/>
    <w:rsid w:val="000B35D3"/>
    <w:rsid w:val="000B3B4E"/>
    <w:rsid w:val="000B5B14"/>
    <w:rsid w:val="000B656F"/>
    <w:rsid w:val="000B6ED0"/>
    <w:rsid w:val="000C00D7"/>
    <w:rsid w:val="000C035D"/>
    <w:rsid w:val="000C06F3"/>
    <w:rsid w:val="000C0809"/>
    <w:rsid w:val="000C1E97"/>
    <w:rsid w:val="000C1F1C"/>
    <w:rsid w:val="000C22BE"/>
    <w:rsid w:val="000C2690"/>
    <w:rsid w:val="000C2B2B"/>
    <w:rsid w:val="000C30E8"/>
    <w:rsid w:val="000C3A19"/>
    <w:rsid w:val="000C3AB7"/>
    <w:rsid w:val="000C4227"/>
    <w:rsid w:val="000C43CE"/>
    <w:rsid w:val="000C4EB0"/>
    <w:rsid w:val="000C4EE0"/>
    <w:rsid w:val="000C4FC7"/>
    <w:rsid w:val="000C5286"/>
    <w:rsid w:val="000C5DE2"/>
    <w:rsid w:val="000C5E5A"/>
    <w:rsid w:val="000C62C2"/>
    <w:rsid w:val="000C6A61"/>
    <w:rsid w:val="000C6CD9"/>
    <w:rsid w:val="000C76D5"/>
    <w:rsid w:val="000C76F1"/>
    <w:rsid w:val="000C7CFA"/>
    <w:rsid w:val="000D0494"/>
    <w:rsid w:val="000D06CD"/>
    <w:rsid w:val="000D0B04"/>
    <w:rsid w:val="000D0FE3"/>
    <w:rsid w:val="000D20B9"/>
    <w:rsid w:val="000D3820"/>
    <w:rsid w:val="000D3A65"/>
    <w:rsid w:val="000D41B4"/>
    <w:rsid w:val="000D671A"/>
    <w:rsid w:val="000D6847"/>
    <w:rsid w:val="000D69B7"/>
    <w:rsid w:val="000D69BF"/>
    <w:rsid w:val="000D6E48"/>
    <w:rsid w:val="000D6F02"/>
    <w:rsid w:val="000E0EEF"/>
    <w:rsid w:val="000E2737"/>
    <w:rsid w:val="000E2843"/>
    <w:rsid w:val="000E2FC6"/>
    <w:rsid w:val="000E317B"/>
    <w:rsid w:val="000E354D"/>
    <w:rsid w:val="000E442A"/>
    <w:rsid w:val="000E5AE5"/>
    <w:rsid w:val="000E65E1"/>
    <w:rsid w:val="000E6648"/>
    <w:rsid w:val="000E6D5C"/>
    <w:rsid w:val="000E792F"/>
    <w:rsid w:val="000F02A4"/>
    <w:rsid w:val="000F16C4"/>
    <w:rsid w:val="000F1EE8"/>
    <w:rsid w:val="000F2160"/>
    <w:rsid w:val="000F23BD"/>
    <w:rsid w:val="000F2D33"/>
    <w:rsid w:val="000F36F5"/>
    <w:rsid w:val="000F36FA"/>
    <w:rsid w:val="000F52A1"/>
    <w:rsid w:val="000F685F"/>
    <w:rsid w:val="000F7386"/>
    <w:rsid w:val="000F7908"/>
    <w:rsid w:val="00100172"/>
    <w:rsid w:val="0010083D"/>
    <w:rsid w:val="00100C34"/>
    <w:rsid w:val="00100D2A"/>
    <w:rsid w:val="0010111E"/>
    <w:rsid w:val="0010281F"/>
    <w:rsid w:val="00103AFD"/>
    <w:rsid w:val="00104051"/>
    <w:rsid w:val="0010467D"/>
    <w:rsid w:val="00104A02"/>
    <w:rsid w:val="00104DBD"/>
    <w:rsid w:val="00105014"/>
    <w:rsid w:val="001059D2"/>
    <w:rsid w:val="001059F7"/>
    <w:rsid w:val="00106A35"/>
    <w:rsid w:val="00106C68"/>
    <w:rsid w:val="0010701C"/>
    <w:rsid w:val="001072D5"/>
    <w:rsid w:val="0010775B"/>
    <w:rsid w:val="001104DC"/>
    <w:rsid w:val="00111648"/>
    <w:rsid w:val="00112706"/>
    <w:rsid w:val="00113594"/>
    <w:rsid w:val="001135EA"/>
    <w:rsid w:val="0011402F"/>
    <w:rsid w:val="001141F2"/>
    <w:rsid w:val="001144A8"/>
    <w:rsid w:val="00115AF5"/>
    <w:rsid w:val="00116103"/>
    <w:rsid w:val="00116E4C"/>
    <w:rsid w:val="00120365"/>
    <w:rsid w:val="001209B5"/>
    <w:rsid w:val="00120C4A"/>
    <w:rsid w:val="00122AA6"/>
    <w:rsid w:val="00125C56"/>
    <w:rsid w:val="00126756"/>
    <w:rsid w:val="001268B8"/>
    <w:rsid w:val="00126D93"/>
    <w:rsid w:val="00127BA0"/>
    <w:rsid w:val="0013010F"/>
    <w:rsid w:val="00130C95"/>
    <w:rsid w:val="00130DF9"/>
    <w:rsid w:val="00130F9D"/>
    <w:rsid w:val="0013127E"/>
    <w:rsid w:val="00131EAE"/>
    <w:rsid w:val="00132909"/>
    <w:rsid w:val="00132987"/>
    <w:rsid w:val="00133414"/>
    <w:rsid w:val="00133EF6"/>
    <w:rsid w:val="001342F1"/>
    <w:rsid w:val="0013439C"/>
    <w:rsid w:val="00135D9F"/>
    <w:rsid w:val="0013681A"/>
    <w:rsid w:val="00136A91"/>
    <w:rsid w:val="00136DD7"/>
    <w:rsid w:val="00136F4D"/>
    <w:rsid w:val="001370B4"/>
    <w:rsid w:val="00137C24"/>
    <w:rsid w:val="00140089"/>
    <w:rsid w:val="001403F4"/>
    <w:rsid w:val="0014103B"/>
    <w:rsid w:val="00141D85"/>
    <w:rsid w:val="00142620"/>
    <w:rsid w:val="001426AC"/>
    <w:rsid w:val="00143436"/>
    <w:rsid w:val="0014372D"/>
    <w:rsid w:val="00144CC5"/>
    <w:rsid w:val="00144FE4"/>
    <w:rsid w:val="001452A3"/>
    <w:rsid w:val="00146D4D"/>
    <w:rsid w:val="00147021"/>
    <w:rsid w:val="001474A8"/>
    <w:rsid w:val="00147605"/>
    <w:rsid w:val="00150060"/>
    <w:rsid w:val="00150AC9"/>
    <w:rsid w:val="00150F81"/>
    <w:rsid w:val="001511F4"/>
    <w:rsid w:val="00152B97"/>
    <w:rsid w:val="00153F2D"/>
    <w:rsid w:val="001541F4"/>
    <w:rsid w:val="00154299"/>
    <w:rsid w:val="00154362"/>
    <w:rsid w:val="00154593"/>
    <w:rsid w:val="00154EE2"/>
    <w:rsid w:val="001554E1"/>
    <w:rsid w:val="00156859"/>
    <w:rsid w:val="001569B1"/>
    <w:rsid w:val="0015728B"/>
    <w:rsid w:val="001603EB"/>
    <w:rsid w:val="00160F39"/>
    <w:rsid w:val="00160FED"/>
    <w:rsid w:val="001621CF"/>
    <w:rsid w:val="00162846"/>
    <w:rsid w:val="00162945"/>
    <w:rsid w:val="00163456"/>
    <w:rsid w:val="00163515"/>
    <w:rsid w:val="0016498A"/>
    <w:rsid w:val="00164AAA"/>
    <w:rsid w:val="00164F21"/>
    <w:rsid w:val="00165016"/>
    <w:rsid w:val="001652CE"/>
    <w:rsid w:val="00165D53"/>
    <w:rsid w:val="00167988"/>
    <w:rsid w:val="00167AA6"/>
    <w:rsid w:val="00167B3E"/>
    <w:rsid w:val="001712DC"/>
    <w:rsid w:val="00171E49"/>
    <w:rsid w:val="00172040"/>
    <w:rsid w:val="00172668"/>
    <w:rsid w:val="0017356E"/>
    <w:rsid w:val="001737A5"/>
    <w:rsid w:val="001743BC"/>
    <w:rsid w:val="00175BF0"/>
    <w:rsid w:val="001762E6"/>
    <w:rsid w:val="00176F63"/>
    <w:rsid w:val="00177FB7"/>
    <w:rsid w:val="00177FC2"/>
    <w:rsid w:val="0018052E"/>
    <w:rsid w:val="001809E7"/>
    <w:rsid w:val="00180A48"/>
    <w:rsid w:val="001822BE"/>
    <w:rsid w:val="001835A6"/>
    <w:rsid w:val="00183FF8"/>
    <w:rsid w:val="001848AB"/>
    <w:rsid w:val="0018501E"/>
    <w:rsid w:val="001852FE"/>
    <w:rsid w:val="001855AC"/>
    <w:rsid w:val="001862B2"/>
    <w:rsid w:val="0018676E"/>
    <w:rsid w:val="00186BF3"/>
    <w:rsid w:val="0018757F"/>
    <w:rsid w:val="00187AD5"/>
    <w:rsid w:val="00187B32"/>
    <w:rsid w:val="00187DAE"/>
    <w:rsid w:val="001903D0"/>
    <w:rsid w:val="00190728"/>
    <w:rsid w:val="001908D6"/>
    <w:rsid w:val="001916A6"/>
    <w:rsid w:val="001926BB"/>
    <w:rsid w:val="001939DE"/>
    <w:rsid w:val="00193E63"/>
    <w:rsid w:val="00194DF9"/>
    <w:rsid w:val="0019579D"/>
    <w:rsid w:val="001972A3"/>
    <w:rsid w:val="001975BD"/>
    <w:rsid w:val="001978E1"/>
    <w:rsid w:val="00197E8D"/>
    <w:rsid w:val="001A17FF"/>
    <w:rsid w:val="001A19DA"/>
    <w:rsid w:val="001A1BD5"/>
    <w:rsid w:val="001A1EA7"/>
    <w:rsid w:val="001A2020"/>
    <w:rsid w:val="001A3F5C"/>
    <w:rsid w:val="001A4EB6"/>
    <w:rsid w:val="001A57E8"/>
    <w:rsid w:val="001A599F"/>
    <w:rsid w:val="001A73B4"/>
    <w:rsid w:val="001B0B2B"/>
    <w:rsid w:val="001B1079"/>
    <w:rsid w:val="001B3290"/>
    <w:rsid w:val="001B3542"/>
    <w:rsid w:val="001B3BC5"/>
    <w:rsid w:val="001B4351"/>
    <w:rsid w:val="001B514C"/>
    <w:rsid w:val="001B56BA"/>
    <w:rsid w:val="001B58C1"/>
    <w:rsid w:val="001C0418"/>
    <w:rsid w:val="001C1340"/>
    <w:rsid w:val="001C19B2"/>
    <w:rsid w:val="001C2B6D"/>
    <w:rsid w:val="001C2D5E"/>
    <w:rsid w:val="001C2E53"/>
    <w:rsid w:val="001C312D"/>
    <w:rsid w:val="001C34FE"/>
    <w:rsid w:val="001C38FA"/>
    <w:rsid w:val="001C39BE"/>
    <w:rsid w:val="001C485A"/>
    <w:rsid w:val="001C4AC0"/>
    <w:rsid w:val="001C501C"/>
    <w:rsid w:val="001C57E1"/>
    <w:rsid w:val="001C6030"/>
    <w:rsid w:val="001C631E"/>
    <w:rsid w:val="001C7584"/>
    <w:rsid w:val="001C75ED"/>
    <w:rsid w:val="001C7802"/>
    <w:rsid w:val="001D0291"/>
    <w:rsid w:val="001D06C9"/>
    <w:rsid w:val="001D0CDD"/>
    <w:rsid w:val="001D16FA"/>
    <w:rsid w:val="001D1B39"/>
    <w:rsid w:val="001D218D"/>
    <w:rsid w:val="001D2C22"/>
    <w:rsid w:val="001D36E1"/>
    <w:rsid w:val="001D6CF6"/>
    <w:rsid w:val="001D70C8"/>
    <w:rsid w:val="001D7F72"/>
    <w:rsid w:val="001E06FE"/>
    <w:rsid w:val="001E0799"/>
    <w:rsid w:val="001E0852"/>
    <w:rsid w:val="001E2EC6"/>
    <w:rsid w:val="001E34E8"/>
    <w:rsid w:val="001E36A3"/>
    <w:rsid w:val="001E66E1"/>
    <w:rsid w:val="001E78D4"/>
    <w:rsid w:val="001E7EF9"/>
    <w:rsid w:val="001F0370"/>
    <w:rsid w:val="001F08C5"/>
    <w:rsid w:val="001F0BD2"/>
    <w:rsid w:val="001F22C9"/>
    <w:rsid w:val="001F2938"/>
    <w:rsid w:val="001F31C8"/>
    <w:rsid w:val="001F3C07"/>
    <w:rsid w:val="001F3D3B"/>
    <w:rsid w:val="001F3FB3"/>
    <w:rsid w:val="001F4040"/>
    <w:rsid w:val="001F4106"/>
    <w:rsid w:val="001F4817"/>
    <w:rsid w:val="001F517D"/>
    <w:rsid w:val="001F71CC"/>
    <w:rsid w:val="001F7647"/>
    <w:rsid w:val="001F7BAA"/>
    <w:rsid w:val="001F7BB7"/>
    <w:rsid w:val="00200E67"/>
    <w:rsid w:val="00201321"/>
    <w:rsid w:val="0020188C"/>
    <w:rsid w:val="002019A2"/>
    <w:rsid w:val="00201B41"/>
    <w:rsid w:val="00202DE5"/>
    <w:rsid w:val="002031BC"/>
    <w:rsid w:val="002033B6"/>
    <w:rsid w:val="002049E8"/>
    <w:rsid w:val="0020535B"/>
    <w:rsid w:val="002056E2"/>
    <w:rsid w:val="00205FEE"/>
    <w:rsid w:val="00206092"/>
    <w:rsid w:val="00206CDE"/>
    <w:rsid w:val="00206CF6"/>
    <w:rsid w:val="00206D24"/>
    <w:rsid w:val="00207085"/>
    <w:rsid w:val="00207727"/>
    <w:rsid w:val="00207CA3"/>
    <w:rsid w:val="0021041A"/>
    <w:rsid w:val="00210A89"/>
    <w:rsid w:val="0021162E"/>
    <w:rsid w:val="00211AB1"/>
    <w:rsid w:val="00211CE3"/>
    <w:rsid w:val="00211E16"/>
    <w:rsid w:val="002126CE"/>
    <w:rsid w:val="00213B20"/>
    <w:rsid w:val="00213E59"/>
    <w:rsid w:val="00216B32"/>
    <w:rsid w:val="00216D81"/>
    <w:rsid w:val="0021719F"/>
    <w:rsid w:val="0021774D"/>
    <w:rsid w:val="00217C22"/>
    <w:rsid w:val="00217E70"/>
    <w:rsid w:val="00220DCB"/>
    <w:rsid w:val="00220E42"/>
    <w:rsid w:val="00220EE7"/>
    <w:rsid w:val="00221707"/>
    <w:rsid w:val="00222120"/>
    <w:rsid w:val="00222DF4"/>
    <w:rsid w:val="00222FF1"/>
    <w:rsid w:val="00223322"/>
    <w:rsid w:val="002245B2"/>
    <w:rsid w:val="00224945"/>
    <w:rsid w:val="00224A6E"/>
    <w:rsid w:val="00224A95"/>
    <w:rsid w:val="002257EB"/>
    <w:rsid w:val="00225C12"/>
    <w:rsid w:val="00225EB6"/>
    <w:rsid w:val="00226505"/>
    <w:rsid w:val="0022668F"/>
    <w:rsid w:val="0022733B"/>
    <w:rsid w:val="00227428"/>
    <w:rsid w:val="00227A2F"/>
    <w:rsid w:val="00227B85"/>
    <w:rsid w:val="00231488"/>
    <w:rsid w:val="0023247D"/>
    <w:rsid w:val="00232842"/>
    <w:rsid w:val="00233970"/>
    <w:rsid w:val="00234574"/>
    <w:rsid w:val="00234F89"/>
    <w:rsid w:val="00234FF0"/>
    <w:rsid w:val="00235711"/>
    <w:rsid w:val="00235842"/>
    <w:rsid w:val="00235A68"/>
    <w:rsid w:val="00235B0F"/>
    <w:rsid w:val="00235BFE"/>
    <w:rsid w:val="00235DF2"/>
    <w:rsid w:val="00237D58"/>
    <w:rsid w:val="00237EF5"/>
    <w:rsid w:val="00240728"/>
    <w:rsid w:val="002416D3"/>
    <w:rsid w:val="0024224C"/>
    <w:rsid w:val="002453E4"/>
    <w:rsid w:val="0024636A"/>
    <w:rsid w:val="00247303"/>
    <w:rsid w:val="00247559"/>
    <w:rsid w:val="00250FD4"/>
    <w:rsid w:val="00251236"/>
    <w:rsid w:val="00251686"/>
    <w:rsid w:val="00251D76"/>
    <w:rsid w:val="002526F1"/>
    <w:rsid w:val="00252AD5"/>
    <w:rsid w:val="00253A3C"/>
    <w:rsid w:val="0025494E"/>
    <w:rsid w:val="00254DF8"/>
    <w:rsid w:val="00254DFA"/>
    <w:rsid w:val="002551A5"/>
    <w:rsid w:val="00255266"/>
    <w:rsid w:val="00255796"/>
    <w:rsid w:val="00255B92"/>
    <w:rsid w:val="002567EA"/>
    <w:rsid w:val="002576B7"/>
    <w:rsid w:val="0026014E"/>
    <w:rsid w:val="0026127E"/>
    <w:rsid w:val="00261C87"/>
    <w:rsid w:val="00261D81"/>
    <w:rsid w:val="0026207F"/>
    <w:rsid w:val="0026232F"/>
    <w:rsid w:val="0026277F"/>
    <w:rsid w:val="00262869"/>
    <w:rsid w:val="002628B9"/>
    <w:rsid w:val="002631CC"/>
    <w:rsid w:val="0026341F"/>
    <w:rsid w:val="0026366B"/>
    <w:rsid w:val="00263D75"/>
    <w:rsid w:val="002650C8"/>
    <w:rsid w:val="002652C7"/>
    <w:rsid w:val="00265454"/>
    <w:rsid w:val="00266B8C"/>
    <w:rsid w:val="00266E96"/>
    <w:rsid w:val="00267025"/>
    <w:rsid w:val="002672D0"/>
    <w:rsid w:val="0026757C"/>
    <w:rsid w:val="00272A6C"/>
    <w:rsid w:val="002732CF"/>
    <w:rsid w:val="00273468"/>
    <w:rsid w:val="00273E96"/>
    <w:rsid w:val="002751F3"/>
    <w:rsid w:val="00275790"/>
    <w:rsid w:val="00275CC8"/>
    <w:rsid w:val="00276CD6"/>
    <w:rsid w:val="00277BA9"/>
    <w:rsid w:val="00277DDE"/>
    <w:rsid w:val="0028046B"/>
    <w:rsid w:val="002806D2"/>
    <w:rsid w:val="002807EA"/>
    <w:rsid w:val="00280817"/>
    <w:rsid w:val="002811B1"/>
    <w:rsid w:val="00282108"/>
    <w:rsid w:val="00283103"/>
    <w:rsid w:val="00283631"/>
    <w:rsid w:val="00283936"/>
    <w:rsid w:val="002854F3"/>
    <w:rsid w:val="00285819"/>
    <w:rsid w:val="002867A8"/>
    <w:rsid w:val="0028754B"/>
    <w:rsid w:val="00287947"/>
    <w:rsid w:val="00290F43"/>
    <w:rsid w:val="00291A35"/>
    <w:rsid w:val="00291B0C"/>
    <w:rsid w:val="002923FD"/>
    <w:rsid w:val="0029288A"/>
    <w:rsid w:val="00293D21"/>
    <w:rsid w:val="00294709"/>
    <w:rsid w:val="00294B1F"/>
    <w:rsid w:val="00294F63"/>
    <w:rsid w:val="00295214"/>
    <w:rsid w:val="002958A5"/>
    <w:rsid w:val="00295A3A"/>
    <w:rsid w:val="00296728"/>
    <w:rsid w:val="00296BF2"/>
    <w:rsid w:val="002976D6"/>
    <w:rsid w:val="002A0AA6"/>
    <w:rsid w:val="002A1A8C"/>
    <w:rsid w:val="002A1D80"/>
    <w:rsid w:val="002A2E0F"/>
    <w:rsid w:val="002A32AE"/>
    <w:rsid w:val="002A361D"/>
    <w:rsid w:val="002A40ED"/>
    <w:rsid w:val="002A4A8B"/>
    <w:rsid w:val="002A4E79"/>
    <w:rsid w:val="002A514C"/>
    <w:rsid w:val="002A556F"/>
    <w:rsid w:val="002A565A"/>
    <w:rsid w:val="002A5A76"/>
    <w:rsid w:val="002A657F"/>
    <w:rsid w:val="002A67F8"/>
    <w:rsid w:val="002A6987"/>
    <w:rsid w:val="002A6AEF"/>
    <w:rsid w:val="002A76F1"/>
    <w:rsid w:val="002B1104"/>
    <w:rsid w:val="002B1DB6"/>
    <w:rsid w:val="002B2378"/>
    <w:rsid w:val="002B392F"/>
    <w:rsid w:val="002B3B0D"/>
    <w:rsid w:val="002B3D34"/>
    <w:rsid w:val="002B43A3"/>
    <w:rsid w:val="002B4DDA"/>
    <w:rsid w:val="002B6057"/>
    <w:rsid w:val="002B685B"/>
    <w:rsid w:val="002B7A74"/>
    <w:rsid w:val="002C063D"/>
    <w:rsid w:val="002C18C7"/>
    <w:rsid w:val="002C2651"/>
    <w:rsid w:val="002C38E6"/>
    <w:rsid w:val="002C3D98"/>
    <w:rsid w:val="002C462D"/>
    <w:rsid w:val="002C4859"/>
    <w:rsid w:val="002C531F"/>
    <w:rsid w:val="002C54AF"/>
    <w:rsid w:val="002C5C20"/>
    <w:rsid w:val="002C5E99"/>
    <w:rsid w:val="002C6B21"/>
    <w:rsid w:val="002C712E"/>
    <w:rsid w:val="002C7E9E"/>
    <w:rsid w:val="002D027B"/>
    <w:rsid w:val="002D06C9"/>
    <w:rsid w:val="002D0974"/>
    <w:rsid w:val="002D0A07"/>
    <w:rsid w:val="002D0E4C"/>
    <w:rsid w:val="002D0E79"/>
    <w:rsid w:val="002D2371"/>
    <w:rsid w:val="002D2E5A"/>
    <w:rsid w:val="002D30EA"/>
    <w:rsid w:val="002D3951"/>
    <w:rsid w:val="002D3FF5"/>
    <w:rsid w:val="002D4EB9"/>
    <w:rsid w:val="002D4F89"/>
    <w:rsid w:val="002D598B"/>
    <w:rsid w:val="002D5EFF"/>
    <w:rsid w:val="002D632D"/>
    <w:rsid w:val="002D7A55"/>
    <w:rsid w:val="002D7E6F"/>
    <w:rsid w:val="002E0794"/>
    <w:rsid w:val="002E0F76"/>
    <w:rsid w:val="002E130C"/>
    <w:rsid w:val="002E13CB"/>
    <w:rsid w:val="002E2E63"/>
    <w:rsid w:val="002E2E67"/>
    <w:rsid w:val="002E3292"/>
    <w:rsid w:val="002E33EA"/>
    <w:rsid w:val="002E3DB2"/>
    <w:rsid w:val="002E41D4"/>
    <w:rsid w:val="002E4417"/>
    <w:rsid w:val="002E461E"/>
    <w:rsid w:val="002E596A"/>
    <w:rsid w:val="002E608B"/>
    <w:rsid w:val="002E78F8"/>
    <w:rsid w:val="002E7D53"/>
    <w:rsid w:val="002F0904"/>
    <w:rsid w:val="002F1704"/>
    <w:rsid w:val="002F2036"/>
    <w:rsid w:val="002F274D"/>
    <w:rsid w:val="002F27FC"/>
    <w:rsid w:val="002F2CE1"/>
    <w:rsid w:val="002F3FFF"/>
    <w:rsid w:val="002F4028"/>
    <w:rsid w:val="002F41E0"/>
    <w:rsid w:val="002F6B4A"/>
    <w:rsid w:val="002F6E31"/>
    <w:rsid w:val="002F7DF0"/>
    <w:rsid w:val="002F7F78"/>
    <w:rsid w:val="00300CDC"/>
    <w:rsid w:val="00300F67"/>
    <w:rsid w:val="0030123B"/>
    <w:rsid w:val="00301869"/>
    <w:rsid w:val="003029C8"/>
    <w:rsid w:val="00302E75"/>
    <w:rsid w:val="00302F96"/>
    <w:rsid w:val="003030AC"/>
    <w:rsid w:val="003032CB"/>
    <w:rsid w:val="00303B25"/>
    <w:rsid w:val="00304AEA"/>
    <w:rsid w:val="00304C94"/>
    <w:rsid w:val="0030547E"/>
    <w:rsid w:val="00305843"/>
    <w:rsid w:val="00305E46"/>
    <w:rsid w:val="00306C53"/>
    <w:rsid w:val="00306C7A"/>
    <w:rsid w:val="00311563"/>
    <w:rsid w:val="00311841"/>
    <w:rsid w:val="00311F91"/>
    <w:rsid w:val="0031223A"/>
    <w:rsid w:val="00312A9C"/>
    <w:rsid w:val="00312F68"/>
    <w:rsid w:val="003132C6"/>
    <w:rsid w:val="00313E90"/>
    <w:rsid w:val="00314285"/>
    <w:rsid w:val="003146AB"/>
    <w:rsid w:val="0031492B"/>
    <w:rsid w:val="003150C4"/>
    <w:rsid w:val="0031554F"/>
    <w:rsid w:val="003156DE"/>
    <w:rsid w:val="00315B00"/>
    <w:rsid w:val="003167E8"/>
    <w:rsid w:val="00321974"/>
    <w:rsid w:val="00322A0D"/>
    <w:rsid w:val="0032322A"/>
    <w:rsid w:val="0032397E"/>
    <w:rsid w:val="00323D57"/>
    <w:rsid w:val="00324327"/>
    <w:rsid w:val="003246E9"/>
    <w:rsid w:val="00325008"/>
    <w:rsid w:val="003253B6"/>
    <w:rsid w:val="00325F84"/>
    <w:rsid w:val="00326836"/>
    <w:rsid w:val="00330EBF"/>
    <w:rsid w:val="00332C7A"/>
    <w:rsid w:val="00332E2F"/>
    <w:rsid w:val="003340E5"/>
    <w:rsid w:val="0033531E"/>
    <w:rsid w:val="003356AD"/>
    <w:rsid w:val="003360FB"/>
    <w:rsid w:val="00336A05"/>
    <w:rsid w:val="00336DE5"/>
    <w:rsid w:val="00336F23"/>
    <w:rsid w:val="003378DE"/>
    <w:rsid w:val="00337CE9"/>
    <w:rsid w:val="003406F2"/>
    <w:rsid w:val="00340DB4"/>
    <w:rsid w:val="00341452"/>
    <w:rsid w:val="0034164F"/>
    <w:rsid w:val="003416D3"/>
    <w:rsid w:val="00341C91"/>
    <w:rsid w:val="00341C96"/>
    <w:rsid w:val="00342C93"/>
    <w:rsid w:val="0034370A"/>
    <w:rsid w:val="003449E9"/>
    <w:rsid w:val="0034517F"/>
    <w:rsid w:val="00345572"/>
    <w:rsid w:val="003459D9"/>
    <w:rsid w:val="0034659E"/>
    <w:rsid w:val="00346865"/>
    <w:rsid w:val="003469EF"/>
    <w:rsid w:val="00346F0E"/>
    <w:rsid w:val="00347BA0"/>
    <w:rsid w:val="00347F28"/>
    <w:rsid w:val="00350707"/>
    <w:rsid w:val="00350DED"/>
    <w:rsid w:val="00351533"/>
    <w:rsid w:val="00351CEC"/>
    <w:rsid w:val="0035210E"/>
    <w:rsid w:val="00352210"/>
    <w:rsid w:val="003522C8"/>
    <w:rsid w:val="00352770"/>
    <w:rsid w:val="00352E3E"/>
    <w:rsid w:val="00352F68"/>
    <w:rsid w:val="00353E81"/>
    <w:rsid w:val="00354092"/>
    <w:rsid w:val="003547CB"/>
    <w:rsid w:val="003569B7"/>
    <w:rsid w:val="00357103"/>
    <w:rsid w:val="003600F5"/>
    <w:rsid w:val="00360468"/>
    <w:rsid w:val="00361463"/>
    <w:rsid w:val="00361516"/>
    <w:rsid w:val="00361E73"/>
    <w:rsid w:val="003635E3"/>
    <w:rsid w:val="003637C2"/>
    <w:rsid w:val="00364133"/>
    <w:rsid w:val="003641D1"/>
    <w:rsid w:val="0036438A"/>
    <w:rsid w:val="0036607C"/>
    <w:rsid w:val="00366533"/>
    <w:rsid w:val="00366895"/>
    <w:rsid w:val="003669DB"/>
    <w:rsid w:val="00366A81"/>
    <w:rsid w:val="003671F5"/>
    <w:rsid w:val="00367259"/>
    <w:rsid w:val="00367F33"/>
    <w:rsid w:val="00370E15"/>
    <w:rsid w:val="00371478"/>
    <w:rsid w:val="00371E30"/>
    <w:rsid w:val="00371E8D"/>
    <w:rsid w:val="00372546"/>
    <w:rsid w:val="0037262D"/>
    <w:rsid w:val="00372A0E"/>
    <w:rsid w:val="00373101"/>
    <w:rsid w:val="00375067"/>
    <w:rsid w:val="00376A65"/>
    <w:rsid w:val="00377598"/>
    <w:rsid w:val="0038040F"/>
    <w:rsid w:val="00380DA9"/>
    <w:rsid w:val="003821C7"/>
    <w:rsid w:val="003826F5"/>
    <w:rsid w:val="00382722"/>
    <w:rsid w:val="003827D3"/>
    <w:rsid w:val="0038306A"/>
    <w:rsid w:val="00383A7E"/>
    <w:rsid w:val="00385205"/>
    <w:rsid w:val="00386B32"/>
    <w:rsid w:val="00386DC8"/>
    <w:rsid w:val="003872A9"/>
    <w:rsid w:val="00390096"/>
    <w:rsid w:val="00390BF3"/>
    <w:rsid w:val="00391ADA"/>
    <w:rsid w:val="00391FC0"/>
    <w:rsid w:val="00392591"/>
    <w:rsid w:val="00393043"/>
    <w:rsid w:val="00394787"/>
    <w:rsid w:val="00394C9C"/>
    <w:rsid w:val="00395687"/>
    <w:rsid w:val="0039723B"/>
    <w:rsid w:val="00397309"/>
    <w:rsid w:val="003A036D"/>
    <w:rsid w:val="003A298A"/>
    <w:rsid w:val="003A32C6"/>
    <w:rsid w:val="003A34F2"/>
    <w:rsid w:val="003A3613"/>
    <w:rsid w:val="003A3ECB"/>
    <w:rsid w:val="003A4E2A"/>
    <w:rsid w:val="003A5001"/>
    <w:rsid w:val="003A51B5"/>
    <w:rsid w:val="003A5303"/>
    <w:rsid w:val="003A5F61"/>
    <w:rsid w:val="003A6307"/>
    <w:rsid w:val="003A6BE0"/>
    <w:rsid w:val="003B0AD2"/>
    <w:rsid w:val="003B0D90"/>
    <w:rsid w:val="003B0E94"/>
    <w:rsid w:val="003B104F"/>
    <w:rsid w:val="003B188E"/>
    <w:rsid w:val="003B1BE4"/>
    <w:rsid w:val="003B264B"/>
    <w:rsid w:val="003B2BB3"/>
    <w:rsid w:val="003B4E40"/>
    <w:rsid w:val="003B5DAD"/>
    <w:rsid w:val="003B6662"/>
    <w:rsid w:val="003B67CA"/>
    <w:rsid w:val="003B7CCF"/>
    <w:rsid w:val="003C041B"/>
    <w:rsid w:val="003C0534"/>
    <w:rsid w:val="003C2C76"/>
    <w:rsid w:val="003C3E5C"/>
    <w:rsid w:val="003C459D"/>
    <w:rsid w:val="003C4D7D"/>
    <w:rsid w:val="003C6D86"/>
    <w:rsid w:val="003C77E0"/>
    <w:rsid w:val="003C7E4B"/>
    <w:rsid w:val="003D0397"/>
    <w:rsid w:val="003D063E"/>
    <w:rsid w:val="003D0E28"/>
    <w:rsid w:val="003D18B8"/>
    <w:rsid w:val="003D20A1"/>
    <w:rsid w:val="003D2E84"/>
    <w:rsid w:val="003D3B27"/>
    <w:rsid w:val="003D4125"/>
    <w:rsid w:val="003D4BF2"/>
    <w:rsid w:val="003D4DE8"/>
    <w:rsid w:val="003D6A6E"/>
    <w:rsid w:val="003D7C9D"/>
    <w:rsid w:val="003D7EE2"/>
    <w:rsid w:val="003D7FBE"/>
    <w:rsid w:val="003E03A8"/>
    <w:rsid w:val="003E0FEC"/>
    <w:rsid w:val="003E24B1"/>
    <w:rsid w:val="003E34CE"/>
    <w:rsid w:val="003E3AD6"/>
    <w:rsid w:val="003E42E7"/>
    <w:rsid w:val="003E4ABF"/>
    <w:rsid w:val="003E4D65"/>
    <w:rsid w:val="003E59F2"/>
    <w:rsid w:val="003E5B45"/>
    <w:rsid w:val="003E6EAC"/>
    <w:rsid w:val="003E7741"/>
    <w:rsid w:val="003E7BB5"/>
    <w:rsid w:val="003F034B"/>
    <w:rsid w:val="003F0E27"/>
    <w:rsid w:val="003F0F1B"/>
    <w:rsid w:val="003F0F63"/>
    <w:rsid w:val="003F17A4"/>
    <w:rsid w:val="003F2ED4"/>
    <w:rsid w:val="003F44F0"/>
    <w:rsid w:val="003F56A4"/>
    <w:rsid w:val="003F619F"/>
    <w:rsid w:val="003F6BFF"/>
    <w:rsid w:val="003F6F51"/>
    <w:rsid w:val="003F711F"/>
    <w:rsid w:val="00400987"/>
    <w:rsid w:val="004009B2"/>
    <w:rsid w:val="00400A9F"/>
    <w:rsid w:val="00400C63"/>
    <w:rsid w:val="00400E9D"/>
    <w:rsid w:val="0040116E"/>
    <w:rsid w:val="004012C3"/>
    <w:rsid w:val="004012CF"/>
    <w:rsid w:val="004019C3"/>
    <w:rsid w:val="00401D05"/>
    <w:rsid w:val="00402A64"/>
    <w:rsid w:val="00402DD3"/>
    <w:rsid w:val="004037AD"/>
    <w:rsid w:val="00403C52"/>
    <w:rsid w:val="00404D76"/>
    <w:rsid w:val="00405F11"/>
    <w:rsid w:val="004068CE"/>
    <w:rsid w:val="00407B4C"/>
    <w:rsid w:val="00410690"/>
    <w:rsid w:val="00410A2A"/>
    <w:rsid w:val="004114FE"/>
    <w:rsid w:val="004122FC"/>
    <w:rsid w:val="004144A3"/>
    <w:rsid w:val="00415114"/>
    <w:rsid w:val="00415DD7"/>
    <w:rsid w:val="004165A6"/>
    <w:rsid w:val="00416E84"/>
    <w:rsid w:val="004176C3"/>
    <w:rsid w:val="00417812"/>
    <w:rsid w:val="0042081C"/>
    <w:rsid w:val="00420A13"/>
    <w:rsid w:val="00420E7A"/>
    <w:rsid w:val="00421819"/>
    <w:rsid w:val="0042233B"/>
    <w:rsid w:val="00422776"/>
    <w:rsid w:val="00423465"/>
    <w:rsid w:val="00423F04"/>
    <w:rsid w:val="004240E1"/>
    <w:rsid w:val="0042419A"/>
    <w:rsid w:val="00424536"/>
    <w:rsid w:val="0042701E"/>
    <w:rsid w:val="0042719E"/>
    <w:rsid w:val="0042739B"/>
    <w:rsid w:val="00427591"/>
    <w:rsid w:val="004303DB"/>
    <w:rsid w:val="004307CB"/>
    <w:rsid w:val="004310EB"/>
    <w:rsid w:val="00431529"/>
    <w:rsid w:val="00431883"/>
    <w:rsid w:val="00431AD7"/>
    <w:rsid w:val="00432CF6"/>
    <w:rsid w:val="00432D95"/>
    <w:rsid w:val="004333BC"/>
    <w:rsid w:val="004343EA"/>
    <w:rsid w:val="00435414"/>
    <w:rsid w:val="0043559C"/>
    <w:rsid w:val="004360B3"/>
    <w:rsid w:val="0043629E"/>
    <w:rsid w:val="00436403"/>
    <w:rsid w:val="0043645D"/>
    <w:rsid w:val="004367DA"/>
    <w:rsid w:val="0043744B"/>
    <w:rsid w:val="00440F07"/>
    <w:rsid w:val="00441B5C"/>
    <w:rsid w:val="00442090"/>
    <w:rsid w:val="00442A4F"/>
    <w:rsid w:val="004436CC"/>
    <w:rsid w:val="00443EB9"/>
    <w:rsid w:val="00445C22"/>
    <w:rsid w:val="00445DB1"/>
    <w:rsid w:val="00445E1C"/>
    <w:rsid w:val="00446166"/>
    <w:rsid w:val="00446DC9"/>
    <w:rsid w:val="004477A0"/>
    <w:rsid w:val="004508EC"/>
    <w:rsid w:val="00452305"/>
    <w:rsid w:val="0045257E"/>
    <w:rsid w:val="00452C5F"/>
    <w:rsid w:val="00452FD6"/>
    <w:rsid w:val="004538FE"/>
    <w:rsid w:val="00454A2D"/>
    <w:rsid w:val="00456173"/>
    <w:rsid w:val="00456C93"/>
    <w:rsid w:val="00456FC9"/>
    <w:rsid w:val="00460EAC"/>
    <w:rsid w:val="00462AD1"/>
    <w:rsid w:val="00463001"/>
    <w:rsid w:val="004633D9"/>
    <w:rsid w:val="00463F5C"/>
    <w:rsid w:val="0046502F"/>
    <w:rsid w:val="00465AA7"/>
    <w:rsid w:val="00466029"/>
    <w:rsid w:val="00466617"/>
    <w:rsid w:val="00466AEB"/>
    <w:rsid w:val="00466FEC"/>
    <w:rsid w:val="00467900"/>
    <w:rsid w:val="00467F3B"/>
    <w:rsid w:val="0047043A"/>
    <w:rsid w:val="00470535"/>
    <w:rsid w:val="00474558"/>
    <w:rsid w:val="00474E0D"/>
    <w:rsid w:val="00475690"/>
    <w:rsid w:val="00475FB9"/>
    <w:rsid w:val="004764DF"/>
    <w:rsid w:val="00476951"/>
    <w:rsid w:val="00476E91"/>
    <w:rsid w:val="004777BD"/>
    <w:rsid w:val="00477924"/>
    <w:rsid w:val="00477B20"/>
    <w:rsid w:val="004800AD"/>
    <w:rsid w:val="004801F2"/>
    <w:rsid w:val="004804EB"/>
    <w:rsid w:val="00480B8C"/>
    <w:rsid w:val="00480C05"/>
    <w:rsid w:val="004817A5"/>
    <w:rsid w:val="00481C7B"/>
    <w:rsid w:val="00482605"/>
    <w:rsid w:val="00482B9B"/>
    <w:rsid w:val="00482F07"/>
    <w:rsid w:val="00483553"/>
    <w:rsid w:val="00485795"/>
    <w:rsid w:val="004859AF"/>
    <w:rsid w:val="00486038"/>
    <w:rsid w:val="004861A3"/>
    <w:rsid w:val="00486AC3"/>
    <w:rsid w:val="00486B69"/>
    <w:rsid w:val="00487264"/>
    <w:rsid w:val="00487B88"/>
    <w:rsid w:val="0049028B"/>
    <w:rsid w:val="00490B03"/>
    <w:rsid w:val="00491CF4"/>
    <w:rsid w:val="004924A7"/>
    <w:rsid w:val="0049335F"/>
    <w:rsid w:val="00493C04"/>
    <w:rsid w:val="00493E0F"/>
    <w:rsid w:val="00494112"/>
    <w:rsid w:val="0049507F"/>
    <w:rsid w:val="004963F0"/>
    <w:rsid w:val="004975D9"/>
    <w:rsid w:val="0049798E"/>
    <w:rsid w:val="004A04DA"/>
    <w:rsid w:val="004A18A5"/>
    <w:rsid w:val="004A2FD0"/>
    <w:rsid w:val="004A3101"/>
    <w:rsid w:val="004A3821"/>
    <w:rsid w:val="004A44BA"/>
    <w:rsid w:val="004A4E7F"/>
    <w:rsid w:val="004A54AB"/>
    <w:rsid w:val="004A58DA"/>
    <w:rsid w:val="004A61B1"/>
    <w:rsid w:val="004A7247"/>
    <w:rsid w:val="004A79FD"/>
    <w:rsid w:val="004A7FFC"/>
    <w:rsid w:val="004B0271"/>
    <w:rsid w:val="004B083A"/>
    <w:rsid w:val="004B108A"/>
    <w:rsid w:val="004B3270"/>
    <w:rsid w:val="004B3891"/>
    <w:rsid w:val="004B3960"/>
    <w:rsid w:val="004B4124"/>
    <w:rsid w:val="004B454B"/>
    <w:rsid w:val="004B4990"/>
    <w:rsid w:val="004B54CA"/>
    <w:rsid w:val="004B5A90"/>
    <w:rsid w:val="004B5B93"/>
    <w:rsid w:val="004B6066"/>
    <w:rsid w:val="004B6118"/>
    <w:rsid w:val="004B65D9"/>
    <w:rsid w:val="004B7484"/>
    <w:rsid w:val="004B76FA"/>
    <w:rsid w:val="004B7ACB"/>
    <w:rsid w:val="004C043D"/>
    <w:rsid w:val="004C089A"/>
    <w:rsid w:val="004C0B4F"/>
    <w:rsid w:val="004C15E8"/>
    <w:rsid w:val="004C2172"/>
    <w:rsid w:val="004C2567"/>
    <w:rsid w:val="004C27CE"/>
    <w:rsid w:val="004C2FB2"/>
    <w:rsid w:val="004C398C"/>
    <w:rsid w:val="004C3F39"/>
    <w:rsid w:val="004C4333"/>
    <w:rsid w:val="004C4BA1"/>
    <w:rsid w:val="004C4C65"/>
    <w:rsid w:val="004C4CA1"/>
    <w:rsid w:val="004C598B"/>
    <w:rsid w:val="004C5E6D"/>
    <w:rsid w:val="004C5F52"/>
    <w:rsid w:val="004C632E"/>
    <w:rsid w:val="004C6A32"/>
    <w:rsid w:val="004C7082"/>
    <w:rsid w:val="004D08BE"/>
    <w:rsid w:val="004D10EE"/>
    <w:rsid w:val="004D1DFA"/>
    <w:rsid w:val="004D262D"/>
    <w:rsid w:val="004D2AC2"/>
    <w:rsid w:val="004D2CE3"/>
    <w:rsid w:val="004D2D71"/>
    <w:rsid w:val="004D3687"/>
    <w:rsid w:val="004D496D"/>
    <w:rsid w:val="004D4E53"/>
    <w:rsid w:val="004D5415"/>
    <w:rsid w:val="004D5E8B"/>
    <w:rsid w:val="004D677F"/>
    <w:rsid w:val="004D6DE9"/>
    <w:rsid w:val="004D7D3C"/>
    <w:rsid w:val="004E05D8"/>
    <w:rsid w:val="004E14F5"/>
    <w:rsid w:val="004E19BA"/>
    <w:rsid w:val="004E1B49"/>
    <w:rsid w:val="004E27E6"/>
    <w:rsid w:val="004E312E"/>
    <w:rsid w:val="004E45D4"/>
    <w:rsid w:val="004E51C3"/>
    <w:rsid w:val="004E51FD"/>
    <w:rsid w:val="004E577B"/>
    <w:rsid w:val="004E6B0D"/>
    <w:rsid w:val="004F15CF"/>
    <w:rsid w:val="004F2D8A"/>
    <w:rsid w:val="004F31B9"/>
    <w:rsid w:val="004F3F96"/>
    <w:rsid w:val="004F4AC8"/>
    <w:rsid w:val="004F6E5F"/>
    <w:rsid w:val="004F732A"/>
    <w:rsid w:val="004F75A3"/>
    <w:rsid w:val="00502526"/>
    <w:rsid w:val="00503710"/>
    <w:rsid w:val="00503EF9"/>
    <w:rsid w:val="00504011"/>
    <w:rsid w:val="00504190"/>
    <w:rsid w:val="0050438B"/>
    <w:rsid w:val="00505309"/>
    <w:rsid w:val="005061C9"/>
    <w:rsid w:val="00506D91"/>
    <w:rsid w:val="0051029E"/>
    <w:rsid w:val="00510975"/>
    <w:rsid w:val="00512104"/>
    <w:rsid w:val="005128B9"/>
    <w:rsid w:val="00513404"/>
    <w:rsid w:val="00513CB5"/>
    <w:rsid w:val="005140C8"/>
    <w:rsid w:val="0051468A"/>
    <w:rsid w:val="00514C7A"/>
    <w:rsid w:val="00514F69"/>
    <w:rsid w:val="005158AF"/>
    <w:rsid w:val="00515C2A"/>
    <w:rsid w:val="005179FD"/>
    <w:rsid w:val="00520167"/>
    <w:rsid w:val="00520AF6"/>
    <w:rsid w:val="00522260"/>
    <w:rsid w:val="00522C41"/>
    <w:rsid w:val="00522E32"/>
    <w:rsid w:val="005230CD"/>
    <w:rsid w:val="00523209"/>
    <w:rsid w:val="00523B01"/>
    <w:rsid w:val="00523C79"/>
    <w:rsid w:val="005248BA"/>
    <w:rsid w:val="005254E2"/>
    <w:rsid w:val="00525FF8"/>
    <w:rsid w:val="0052601D"/>
    <w:rsid w:val="0052607C"/>
    <w:rsid w:val="005260E6"/>
    <w:rsid w:val="005262F9"/>
    <w:rsid w:val="0052745F"/>
    <w:rsid w:val="005274E5"/>
    <w:rsid w:val="0053065B"/>
    <w:rsid w:val="00530C6D"/>
    <w:rsid w:val="00530F71"/>
    <w:rsid w:val="0053141E"/>
    <w:rsid w:val="00531AA6"/>
    <w:rsid w:val="00531F08"/>
    <w:rsid w:val="00532AD6"/>
    <w:rsid w:val="00532B38"/>
    <w:rsid w:val="00534AE8"/>
    <w:rsid w:val="005353B4"/>
    <w:rsid w:val="005363AF"/>
    <w:rsid w:val="00536927"/>
    <w:rsid w:val="005369F9"/>
    <w:rsid w:val="00536B35"/>
    <w:rsid w:val="005376E1"/>
    <w:rsid w:val="005376F3"/>
    <w:rsid w:val="005401B7"/>
    <w:rsid w:val="00541B58"/>
    <w:rsid w:val="00542078"/>
    <w:rsid w:val="0054217F"/>
    <w:rsid w:val="00542820"/>
    <w:rsid w:val="00542FEA"/>
    <w:rsid w:val="005434EC"/>
    <w:rsid w:val="00543999"/>
    <w:rsid w:val="00543E06"/>
    <w:rsid w:val="00544D9F"/>
    <w:rsid w:val="00546063"/>
    <w:rsid w:val="005460CD"/>
    <w:rsid w:val="0054734F"/>
    <w:rsid w:val="00547702"/>
    <w:rsid w:val="00547B27"/>
    <w:rsid w:val="00551117"/>
    <w:rsid w:val="00551886"/>
    <w:rsid w:val="00552083"/>
    <w:rsid w:val="005520D7"/>
    <w:rsid w:val="00553188"/>
    <w:rsid w:val="00553D14"/>
    <w:rsid w:val="00553FCA"/>
    <w:rsid w:val="00554F24"/>
    <w:rsid w:val="00555502"/>
    <w:rsid w:val="00555709"/>
    <w:rsid w:val="0055595D"/>
    <w:rsid w:val="00555AE7"/>
    <w:rsid w:val="00555D84"/>
    <w:rsid w:val="0055705B"/>
    <w:rsid w:val="005572E1"/>
    <w:rsid w:val="00560A5C"/>
    <w:rsid w:val="0056108A"/>
    <w:rsid w:val="00561E2E"/>
    <w:rsid w:val="00562FA7"/>
    <w:rsid w:val="00564062"/>
    <w:rsid w:val="0056433A"/>
    <w:rsid w:val="00564517"/>
    <w:rsid w:val="00565787"/>
    <w:rsid w:val="00565A19"/>
    <w:rsid w:val="00566146"/>
    <w:rsid w:val="00566249"/>
    <w:rsid w:val="00566BE6"/>
    <w:rsid w:val="00567173"/>
    <w:rsid w:val="00567CB8"/>
    <w:rsid w:val="005717FC"/>
    <w:rsid w:val="00571F75"/>
    <w:rsid w:val="005730A4"/>
    <w:rsid w:val="005735EB"/>
    <w:rsid w:val="00573C61"/>
    <w:rsid w:val="00573CFF"/>
    <w:rsid w:val="005740B9"/>
    <w:rsid w:val="005740FD"/>
    <w:rsid w:val="00574424"/>
    <w:rsid w:val="00575644"/>
    <w:rsid w:val="00576D6C"/>
    <w:rsid w:val="00576E20"/>
    <w:rsid w:val="00577297"/>
    <w:rsid w:val="00580132"/>
    <w:rsid w:val="005808D6"/>
    <w:rsid w:val="00581479"/>
    <w:rsid w:val="00581685"/>
    <w:rsid w:val="005817B5"/>
    <w:rsid w:val="00582856"/>
    <w:rsid w:val="00582B89"/>
    <w:rsid w:val="0058359C"/>
    <w:rsid w:val="00583CE3"/>
    <w:rsid w:val="00583CF2"/>
    <w:rsid w:val="00583F99"/>
    <w:rsid w:val="005855FB"/>
    <w:rsid w:val="0058616D"/>
    <w:rsid w:val="005872AC"/>
    <w:rsid w:val="00587977"/>
    <w:rsid w:val="00587FE3"/>
    <w:rsid w:val="005900B3"/>
    <w:rsid w:val="00590B1C"/>
    <w:rsid w:val="00591815"/>
    <w:rsid w:val="00591F52"/>
    <w:rsid w:val="00592B38"/>
    <w:rsid w:val="005957C1"/>
    <w:rsid w:val="005962BE"/>
    <w:rsid w:val="00596922"/>
    <w:rsid w:val="00596CD8"/>
    <w:rsid w:val="005974BC"/>
    <w:rsid w:val="005974FC"/>
    <w:rsid w:val="00597E82"/>
    <w:rsid w:val="005A0FB4"/>
    <w:rsid w:val="005A15B4"/>
    <w:rsid w:val="005A19BF"/>
    <w:rsid w:val="005A1A05"/>
    <w:rsid w:val="005A43B5"/>
    <w:rsid w:val="005A4BAA"/>
    <w:rsid w:val="005A5173"/>
    <w:rsid w:val="005A5283"/>
    <w:rsid w:val="005A5358"/>
    <w:rsid w:val="005A537A"/>
    <w:rsid w:val="005A6B0D"/>
    <w:rsid w:val="005A7136"/>
    <w:rsid w:val="005A7820"/>
    <w:rsid w:val="005A7E52"/>
    <w:rsid w:val="005B0F1D"/>
    <w:rsid w:val="005B105E"/>
    <w:rsid w:val="005B1145"/>
    <w:rsid w:val="005B130C"/>
    <w:rsid w:val="005B1FC3"/>
    <w:rsid w:val="005B2894"/>
    <w:rsid w:val="005B2E96"/>
    <w:rsid w:val="005B33EF"/>
    <w:rsid w:val="005B38A0"/>
    <w:rsid w:val="005B4688"/>
    <w:rsid w:val="005B4BAE"/>
    <w:rsid w:val="005B52F7"/>
    <w:rsid w:val="005B5AD7"/>
    <w:rsid w:val="005B69C4"/>
    <w:rsid w:val="005B69F5"/>
    <w:rsid w:val="005B6B2B"/>
    <w:rsid w:val="005B6DF7"/>
    <w:rsid w:val="005B74FD"/>
    <w:rsid w:val="005B7516"/>
    <w:rsid w:val="005C0AA5"/>
    <w:rsid w:val="005C0F8A"/>
    <w:rsid w:val="005C15E2"/>
    <w:rsid w:val="005C1D07"/>
    <w:rsid w:val="005C24F5"/>
    <w:rsid w:val="005C33CE"/>
    <w:rsid w:val="005C41D4"/>
    <w:rsid w:val="005C4C34"/>
    <w:rsid w:val="005C4C55"/>
    <w:rsid w:val="005C4F35"/>
    <w:rsid w:val="005C5868"/>
    <w:rsid w:val="005C64A2"/>
    <w:rsid w:val="005C658B"/>
    <w:rsid w:val="005C748A"/>
    <w:rsid w:val="005C76D2"/>
    <w:rsid w:val="005D2234"/>
    <w:rsid w:val="005D2C98"/>
    <w:rsid w:val="005D35DC"/>
    <w:rsid w:val="005D3A2B"/>
    <w:rsid w:val="005D3E03"/>
    <w:rsid w:val="005D4D6E"/>
    <w:rsid w:val="005D5435"/>
    <w:rsid w:val="005D5C34"/>
    <w:rsid w:val="005D5C48"/>
    <w:rsid w:val="005D5D41"/>
    <w:rsid w:val="005D60FB"/>
    <w:rsid w:val="005D64FA"/>
    <w:rsid w:val="005D6690"/>
    <w:rsid w:val="005D6701"/>
    <w:rsid w:val="005D6713"/>
    <w:rsid w:val="005D6BAB"/>
    <w:rsid w:val="005E0F37"/>
    <w:rsid w:val="005E15CF"/>
    <w:rsid w:val="005E18E4"/>
    <w:rsid w:val="005E2046"/>
    <w:rsid w:val="005E2E07"/>
    <w:rsid w:val="005E3D81"/>
    <w:rsid w:val="005E41C0"/>
    <w:rsid w:val="005E5377"/>
    <w:rsid w:val="005E5801"/>
    <w:rsid w:val="005E62AA"/>
    <w:rsid w:val="005E62CE"/>
    <w:rsid w:val="005E679D"/>
    <w:rsid w:val="005E6EDD"/>
    <w:rsid w:val="005E7657"/>
    <w:rsid w:val="005F00B8"/>
    <w:rsid w:val="005F00F7"/>
    <w:rsid w:val="005F00F9"/>
    <w:rsid w:val="005F0C57"/>
    <w:rsid w:val="005F199A"/>
    <w:rsid w:val="005F1C26"/>
    <w:rsid w:val="005F2C1F"/>
    <w:rsid w:val="005F2F75"/>
    <w:rsid w:val="005F3654"/>
    <w:rsid w:val="005F36B2"/>
    <w:rsid w:val="005F3813"/>
    <w:rsid w:val="005F4AF5"/>
    <w:rsid w:val="005F5DA2"/>
    <w:rsid w:val="005F60B9"/>
    <w:rsid w:val="005F6769"/>
    <w:rsid w:val="006001ED"/>
    <w:rsid w:val="006002DA"/>
    <w:rsid w:val="00600B5F"/>
    <w:rsid w:val="0060223B"/>
    <w:rsid w:val="0060361F"/>
    <w:rsid w:val="00603F59"/>
    <w:rsid w:val="0060499B"/>
    <w:rsid w:val="00604CB1"/>
    <w:rsid w:val="00605A22"/>
    <w:rsid w:val="00605AF9"/>
    <w:rsid w:val="006061E8"/>
    <w:rsid w:val="006062E9"/>
    <w:rsid w:val="00606341"/>
    <w:rsid w:val="006063B5"/>
    <w:rsid w:val="006075AA"/>
    <w:rsid w:val="00607B38"/>
    <w:rsid w:val="006100C0"/>
    <w:rsid w:val="0061013D"/>
    <w:rsid w:val="006106BA"/>
    <w:rsid w:val="006108BA"/>
    <w:rsid w:val="00610F7E"/>
    <w:rsid w:val="00613BCB"/>
    <w:rsid w:val="00614F4D"/>
    <w:rsid w:val="00615049"/>
    <w:rsid w:val="00615072"/>
    <w:rsid w:val="0061589F"/>
    <w:rsid w:val="00615D68"/>
    <w:rsid w:val="00616464"/>
    <w:rsid w:val="00616C81"/>
    <w:rsid w:val="00616E69"/>
    <w:rsid w:val="0061753A"/>
    <w:rsid w:val="00617DE6"/>
    <w:rsid w:val="00617E62"/>
    <w:rsid w:val="00620274"/>
    <w:rsid w:val="00620950"/>
    <w:rsid w:val="00620DEB"/>
    <w:rsid w:val="00620F3D"/>
    <w:rsid w:val="00620F9C"/>
    <w:rsid w:val="006222CF"/>
    <w:rsid w:val="006223E5"/>
    <w:rsid w:val="006229E8"/>
    <w:rsid w:val="00622EF8"/>
    <w:rsid w:val="00623441"/>
    <w:rsid w:val="00625041"/>
    <w:rsid w:val="0062539E"/>
    <w:rsid w:val="00625BE5"/>
    <w:rsid w:val="0062748A"/>
    <w:rsid w:val="006279BC"/>
    <w:rsid w:val="00627DA9"/>
    <w:rsid w:val="00627E05"/>
    <w:rsid w:val="0063014B"/>
    <w:rsid w:val="006303B2"/>
    <w:rsid w:val="0063163B"/>
    <w:rsid w:val="006320F3"/>
    <w:rsid w:val="00632FF9"/>
    <w:rsid w:val="00634812"/>
    <w:rsid w:val="00634F1F"/>
    <w:rsid w:val="00635D5D"/>
    <w:rsid w:val="00637887"/>
    <w:rsid w:val="00637DBA"/>
    <w:rsid w:val="0064077A"/>
    <w:rsid w:val="00640B04"/>
    <w:rsid w:val="00641581"/>
    <w:rsid w:val="00642C34"/>
    <w:rsid w:val="00642C67"/>
    <w:rsid w:val="00643013"/>
    <w:rsid w:val="006437C2"/>
    <w:rsid w:val="006443EF"/>
    <w:rsid w:val="00644D4F"/>
    <w:rsid w:val="00644EE2"/>
    <w:rsid w:val="00644F7E"/>
    <w:rsid w:val="006461FB"/>
    <w:rsid w:val="00647B77"/>
    <w:rsid w:val="006502A8"/>
    <w:rsid w:val="006505A2"/>
    <w:rsid w:val="0065091D"/>
    <w:rsid w:val="0065147A"/>
    <w:rsid w:val="00651A63"/>
    <w:rsid w:val="0065214C"/>
    <w:rsid w:val="00652430"/>
    <w:rsid w:val="006529D0"/>
    <w:rsid w:val="006531D2"/>
    <w:rsid w:val="0065328C"/>
    <w:rsid w:val="00654B4A"/>
    <w:rsid w:val="00654BBD"/>
    <w:rsid w:val="006550E6"/>
    <w:rsid w:val="00655383"/>
    <w:rsid w:val="00655A56"/>
    <w:rsid w:val="00656591"/>
    <w:rsid w:val="006565CF"/>
    <w:rsid w:val="00656BA3"/>
    <w:rsid w:val="00656BCD"/>
    <w:rsid w:val="00657809"/>
    <w:rsid w:val="00657F57"/>
    <w:rsid w:val="00660A83"/>
    <w:rsid w:val="00660D09"/>
    <w:rsid w:val="00661A8A"/>
    <w:rsid w:val="00662347"/>
    <w:rsid w:val="0066257C"/>
    <w:rsid w:val="0066372C"/>
    <w:rsid w:val="00663851"/>
    <w:rsid w:val="00664345"/>
    <w:rsid w:val="0066485C"/>
    <w:rsid w:val="006648D2"/>
    <w:rsid w:val="00665C45"/>
    <w:rsid w:val="00666142"/>
    <w:rsid w:val="00667664"/>
    <w:rsid w:val="0067022A"/>
    <w:rsid w:val="00670AFC"/>
    <w:rsid w:val="006728E1"/>
    <w:rsid w:val="00672FC8"/>
    <w:rsid w:val="0067319D"/>
    <w:rsid w:val="00674833"/>
    <w:rsid w:val="00674F0B"/>
    <w:rsid w:val="0067696C"/>
    <w:rsid w:val="00677054"/>
    <w:rsid w:val="006773D2"/>
    <w:rsid w:val="00677862"/>
    <w:rsid w:val="00677B0F"/>
    <w:rsid w:val="00680194"/>
    <w:rsid w:val="00681022"/>
    <w:rsid w:val="00681C09"/>
    <w:rsid w:val="006824FB"/>
    <w:rsid w:val="00682CD1"/>
    <w:rsid w:val="00682D61"/>
    <w:rsid w:val="0068386D"/>
    <w:rsid w:val="0068516B"/>
    <w:rsid w:val="00685175"/>
    <w:rsid w:val="00686954"/>
    <w:rsid w:val="006875F9"/>
    <w:rsid w:val="0069095B"/>
    <w:rsid w:val="00691D7C"/>
    <w:rsid w:val="00691F1E"/>
    <w:rsid w:val="006920C5"/>
    <w:rsid w:val="0069211F"/>
    <w:rsid w:val="00694BF2"/>
    <w:rsid w:val="006956C8"/>
    <w:rsid w:val="00695E03"/>
    <w:rsid w:val="00696008"/>
    <w:rsid w:val="006963AE"/>
    <w:rsid w:val="006963BF"/>
    <w:rsid w:val="00696B29"/>
    <w:rsid w:val="00696B80"/>
    <w:rsid w:val="006970CD"/>
    <w:rsid w:val="006971CE"/>
    <w:rsid w:val="006972F0"/>
    <w:rsid w:val="006976F0"/>
    <w:rsid w:val="00697AE3"/>
    <w:rsid w:val="006A0160"/>
    <w:rsid w:val="006A039A"/>
    <w:rsid w:val="006A0ADC"/>
    <w:rsid w:val="006A13DA"/>
    <w:rsid w:val="006A1FF0"/>
    <w:rsid w:val="006A2325"/>
    <w:rsid w:val="006A242B"/>
    <w:rsid w:val="006A3E88"/>
    <w:rsid w:val="006A4F59"/>
    <w:rsid w:val="006A56F3"/>
    <w:rsid w:val="006A6A00"/>
    <w:rsid w:val="006A6B66"/>
    <w:rsid w:val="006A77F6"/>
    <w:rsid w:val="006A7C36"/>
    <w:rsid w:val="006B0146"/>
    <w:rsid w:val="006B12B9"/>
    <w:rsid w:val="006B1498"/>
    <w:rsid w:val="006B16E0"/>
    <w:rsid w:val="006B2D19"/>
    <w:rsid w:val="006B32BA"/>
    <w:rsid w:val="006B438F"/>
    <w:rsid w:val="006B4AB6"/>
    <w:rsid w:val="006B5771"/>
    <w:rsid w:val="006B59E0"/>
    <w:rsid w:val="006B662C"/>
    <w:rsid w:val="006B6F49"/>
    <w:rsid w:val="006B7247"/>
    <w:rsid w:val="006C095C"/>
    <w:rsid w:val="006C11CC"/>
    <w:rsid w:val="006C3C5F"/>
    <w:rsid w:val="006C49ED"/>
    <w:rsid w:val="006C51A2"/>
    <w:rsid w:val="006C564A"/>
    <w:rsid w:val="006C61C6"/>
    <w:rsid w:val="006C63D8"/>
    <w:rsid w:val="006C63F6"/>
    <w:rsid w:val="006C6400"/>
    <w:rsid w:val="006C69C8"/>
    <w:rsid w:val="006C6A3D"/>
    <w:rsid w:val="006C6BFD"/>
    <w:rsid w:val="006C7A80"/>
    <w:rsid w:val="006C7B1E"/>
    <w:rsid w:val="006C7C24"/>
    <w:rsid w:val="006D011B"/>
    <w:rsid w:val="006D0572"/>
    <w:rsid w:val="006D25C6"/>
    <w:rsid w:val="006D30C3"/>
    <w:rsid w:val="006D3516"/>
    <w:rsid w:val="006D3971"/>
    <w:rsid w:val="006D3A46"/>
    <w:rsid w:val="006D45D7"/>
    <w:rsid w:val="006D4DEA"/>
    <w:rsid w:val="006D5DD8"/>
    <w:rsid w:val="006D5FF6"/>
    <w:rsid w:val="006D7B2A"/>
    <w:rsid w:val="006E0933"/>
    <w:rsid w:val="006E18DF"/>
    <w:rsid w:val="006E1CCF"/>
    <w:rsid w:val="006E3129"/>
    <w:rsid w:val="006E35E1"/>
    <w:rsid w:val="006E43B7"/>
    <w:rsid w:val="006E49B2"/>
    <w:rsid w:val="006E4C22"/>
    <w:rsid w:val="006E4CFF"/>
    <w:rsid w:val="006E549A"/>
    <w:rsid w:val="006E5A63"/>
    <w:rsid w:val="006E6736"/>
    <w:rsid w:val="006E6BE9"/>
    <w:rsid w:val="006E73E4"/>
    <w:rsid w:val="006E78BA"/>
    <w:rsid w:val="006E7D0D"/>
    <w:rsid w:val="006F3832"/>
    <w:rsid w:val="006F4DBD"/>
    <w:rsid w:val="006F51AD"/>
    <w:rsid w:val="006F5F98"/>
    <w:rsid w:val="006F6599"/>
    <w:rsid w:val="006F6A09"/>
    <w:rsid w:val="006F6CA1"/>
    <w:rsid w:val="006F74E7"/>
    <w:rsid w:val="007006FA"/>
    <w:rsid w:val="00700C58"/>
    <w:rsid w:val="00700CB8"/>
    <w:rsid w:val="007018A1"/>
    <w:rsid w:val="00701E13"/>
    <w:rsid w:val="007023EF"/>
    <w:rsid w:val="00702A24"/>
    <w:rsid w:val="00704CE9"/>
    <w:rsid w:val="0070525B"/>
    <w:rsid w:val="00706677"/>
    <w:rsid w:val="00706A13"/>
    <w:rsid w:val="00707120"/>
    <w:rsid w:val="00710B96"/>
    <w:rsid w:val="00711389"/>
    <w:rsid w:val="0071165B"/>
    <w:rsid w:val="00712066"/>
    <w:rsid w:val="0071208E"/>
    <w:rsid w:val="007124E0"/>
    <w:rsid w:val="0071264D"/>
    <w:rsid w:val="0071358B"/>
    <w:rsid w:val="00713D6A"/>
    <w:rsid w:val="00715B82"/>
    <w:rsid w:val="00715BD7"/>
    <w:rsid w:val="007166A7"/>
    <w:rsid w:val="00716E59"/>
    <w:rsid w:val="00717087"/>
    <w:rsid w:val="007210F9"/>
    <w:rsid w:val="00722E70"/>
    <w:rsid w:val="00725200"/>
    <w:rsid w:val="00725BCC"/>
    <w:rsid w:val="007260C4"/>
    <w:rsid w:val="007262D5"/>
    <w:rsid w:val="007263B5"/>
    <w:rsid w:val="0072649B"/>
    <w:rsid w:val="0072681E"/>
    <w:rsid w:val="00726EC6"/>
    <w:rsid w:val="00727A9E"/>
    <w:rsid w:val="00727B37"/>
    <w:rsid w:val="00730745"/>
    <w:rsid w:val="00731EAF"/>
    <w:rsid w:val="007324FC"/>
    <w:rsid w:val="0073338B"/>
    <w:rsid w:val="007335AC"/>
    <w:rsid w:val="00734AF4"/>
    <w:rsid w:val="007351BF"/>
    <w:rsid w:val="007360E1"/>
    <w:rsid w:val="00736D96"/>
    <w:rsid w:val="00736F67"/>
    <w:rsid w:val="007376CC"/>
    <w:rsid w:val="00737AA7"/>
    <w:rsid w:val="00737F5F"/>
    <w:rsid w:val="00740016"/>
    <w:rsid w:val="00742491"/>
    <w:rsid w:val="007433CA"/>
    <w:rsid w:val="00744E2D"/>
    <w:rsid w:val="007450A8"/>
    <w:rsid w:val="00745253"/>
    <w:rsid w:val="00745A99"/>
    <w:rsid w:val="00746AF2"/>
    <w:rsid w:val="007474FB"/>
    <w:rsid w:val="0074781F"/>
    <w:rsid w:val="00747A03"/>
    <w:rsid w:val="00747FB8"/>
    <w:rsid w:val="0075097E"/>
    <w:rsid w:val="00750FE4"/>
    <w:rsid w:val="00751492"/>
    <w:rsid w:val="00751BFC"/>
    <w:rsid w:val="0075254B"/>
    <w:rsid w:val="00752B6D"/>
    <w:rsid w:val="00752EEF"/>
    <w:rsid w:val="007531B0"/>
    <w:rsid w:val="00754019"/>
    <w:rsid w:val="0075448A"/>
    <w:rsid w:val="00754963"/>
    <w:rsid w:val="007561A6"/>
    <w:rsid w:val="007602A0"/>
    <w:rsid w:val="00760382"/>
    <w:rsid w:val="00760A3F"/>
    <w:rsid w:val="007619D4"/>
    <w:rsid w:val="00761E8A"/>
    <w:rsid w:val="00762160"/>
    <w:rsid w:val="007621C9"/>
    <w:rsid w:val="0076237E"/>
    <w:rsid w:val="00762FA9"/>
    <w:rsid w:val="0076305A"/>
    <w:rsid w:val="007639F0"/>
    <w:rsid w:val="0076469E"/>
    <w:rsid w:val="0076484D"/>
    <w:rsid w:val="007649FA"/>
    <w:rsid w:val="00764B6D"/>
    <w:rsid w:val="00765778"/>
    <w:rsid w:val="007658EE"/>
    <w:rsid w:val="007666BB"/>
    <w:rsid w:val="00766B96"/>
    <w:rsid w:val="007677A2"/>
    <w:rsid w:val="007700BD"/>
    <w:rsid w:val="007701C5"/>
    <w:rsid w:val="0077059B"/>
    <w:rsid w:val="00772B3A"/>
    <w:rsid w:val="0077313E"/>
    <w:rsid w:val="00773AEF"/>
    <w:rsid w:val="00773EFB"/>
    <w:rsid w:val="00774323"/>
    <w:rsid w:val="00776269"/>
    <w:rsid w:val="00776B82"/>
    <w:rsid w:val="00777AEC"/>
    <w:rsid w:val="0078025E"/>
    <w:rsid w:val="007802FD"/>
    <w:rsid w:val="00780610"/>
    <w:rsid w:val="00782F3F"/>
    <w:rsid w:val="007849D1"/>
    <w:rsid w:val="00785AD2"/>
    <w:rsid w:val="00785AE9"/>
    <w:rsid w:val="00786015"/>
    <w:rsid w:val="00786BAE"/>
    <w:rsid w:val="00786F29"/>
    <w:rsid w:val="007872DF"/>
    <w:rsid w:val="00787412"/>
    <w:rsid w:val="00790016"/>
    <w:rsid w:val="0079011B"/>
    <w:rsid w:val="00790219"/>
    <w:rsid w:val="00790702"/>
    <w:rsid w:val="00791726"/>
    <w:rsid w:val="00791F2A"/>
    <w:rsid w:val="00792732"/>
    <w:rsid w:val="0079325E"/>
    <w:rsid w:val="00793272"/>
    <w:rsid w:val="00794D9A"/>
    <w:rsid w:val="00794E57"/>
    <w:rsid w:val="00795530"/>
    <w:rsid w:val="00795AF6"/>
    <w:rsid w:val="00796A66"/>
    <w:rsid w:val="007972E5"/>
    <w:rsid w:val="007973EA"/>
    <w:rsid w:val="00797EF2"/>
    <w:rsid w:val="007A049C"/>
    <w:rsid w:val="007A0970"/>
    <w:rsid w:val="007A0C39"/>
    <w:rsid w:val="007A0D5D"/>
    <w:rsid w:val="007A156A"/>
    <w:rsid w:val="007A1BED"/>
    <w:rsid w:val="007A1EDD"/>
    <w:rsid w:val="007A1FB2"/>
    <w:rsid w:val="007A2475"/>
    <w:rsid w:val="007A255D"/>
    <w:rsid w:val="007A4672"/>
    <w:rsid w:val="007A4A8B"/>
    <w:rsid w:val="007A70AC"/>
    <w:rsid w:val="007A7B20"/>
    <w:rsid w:val="007B006B"/>
    <w:rsid w:val="007B0ACB"/>
    <w:rsid w:val="007B0EBB"/>
    <w:rsid w:val="007B10F3"/>
    <w:rsid w:val="007B145E"/>
    <w:rsid w:val="007B188C"/>
    <w:rsid w:val="007B2560"/>
    <w:rsid w:val="007B422F"/>
    <w:rsid w:val="007B5614"/>
    <w:rsid w:val="007B587B"/>
    <w:rsid w:val="007B5EDA"/>
    <w:rsid w:val="007B6AB4"/>
    <w:rsid w:val="007B7254"/>
    <w:rsid w:val="007B7F7A"/>
    <w:rsid w:val="007C026F"/>
    <w:rsid w:val="007C0AF7"/>
    <w:rsid w:val="007C0CB2"/>
    <w:rsid w:val="007C2966"/>
    <w:rsid w:val="007C2A7A"/>
    <w:rsid w:val="007C2AB3"/>
    <w:rsid w:val="007C2B20"/>
    <w:rsid w:val="007C320C"/>
    <w:rsid w:val="007C372B"/>
    <w:rsid w:val="007C51DB"/>
    <w:rsid w:val="007C5E6D"/>
    <w:rsid w:val="007C61D7"/>
    <w:rsid w:val="007C6488"/>
    <w:rsid w:val="007C6637"/>
    <w:rsid w:val="007C777D"/>
    <w:rsid w:val="007D0BEA"/>
    <w:rsid w:val="007D0C77"/>
    <w:rsid w:val="007D0F75"/>
    <w:rsid w:val="007D1EE9"/>
    <w:rsid w:val="007D3514"/>
    <w:rsid w:val="007D37CE"/>
    <w:rsid w:val="007D3C98"/>
    <w:rsid w:val="007D3E93"/>
    <w:rsid w:val="007D741D"/>
    <w:rsid w:val="007D746F"/>
    <w:rsid w:val="007D7B08"/>
    <w:rsid w:val="007E0667"/>
    <w:rsid w:val="007E0EF1"/>
    <w:rsid w:val="007E13A7"/>
    <w:rsid w:val="007E21F5"/>
    <w:rsid w:val="007E23BA"/>
    <w:rsid w:val="007E2B39"/>
    <w:rsid w:val="007E3420"/>
    <w:rsid w:val="007E36AC"/>
    <w:rsid w:val="007E41CB"/>
    <w:rsid w:val="007E42AE"/>
    <w:rsid w:val="007E4665"/>
    <w:rsid w:val="007E4CB8"/>
    <w:rsid w:val="007E5F5F"/>
    <w:rsid w:val="007E6353"/>
    <w:rsid w:val="007E7A94"/>
    <w:rsid w:val="007F031C"/>
    <w:rsid w:val="007F043E"/>
    <w:rsid w:val="007F0AFE"/>
    <w:rsid w:val="007F0C31"/>
    <w:rsid w:val="007F1459"/>
    <w:rsid w:val="007F1D7C"/>
    <w:rsid w:val="007F2334"/>
    <w:rsid w:val="007F2A8E"/>
    <w:rsid w:val="007F370B"/>
    <w:rsid w:val="007F4067"/>
    <w:rsid w:val="007F5C24"/>
    <w:rsid w:val="007F5C83"/>
    <w:rsid w:val="007F6091"/>
    <w:rsid w:val="007F6675"/>
    <w:rsid w:val="007F688D"/>
    <w:rsid w:val="007F6A05"/>
    <w:rsid w:val="007F7C57"/>
    <w:rsid w:val="007F7DFD"/>
    <w:rsid w:val="008003C8"/>
    <w:rsid w:val="008013C7"/>
    <w:rsid w:val="00801650"/>
    <w:rsid w:val="00801FF2"/>
    <w:rsid w:val="00802054"/>
    <w:rsid w:val="0080276D"/>
    <w:rsid w:val="00803107"/>
    <w:rsid w:val="00803675"/>
    <w:rsid w:val="00803BE4"/>
    <w:rsid w:val="00804C92"/>
    <w:rsid w:val="00804D0F"/>
    <w:rsid w:val="00805FE4"/>
    <w:rsid w:val="00807CB2"/>
    <w:rsid w:val="00810012"/>
    <w:rsid w:val="0081071E"/>
    <w:rsid w:val="008113D7"/>
    <w:rsid w:val="0081147C"/>
    <w:rsid w:val="00811AE3"/>
    <w:rsid w:val="00812457"/>
    <w:rsid w:val="0081254E"/>
    <w:rsid w:val="0081346C"/>
    <w:rsid w:val="00813CD1"/>
    <w:rsid w:val="00813E92"/>
    <w:rsid w:val="00813F2C"/>
    <w:rsid w:val="00814324"/>
    <w:rsid w:val="0081442A"/>
    <w:rsid w:val="008146DD"/>
    <w:rsid w:val="00814D1F"/>
    <w:rsid w:val="008171C9"/>
    <w:rsid w:val="00817A39"/>
    <w:rsid w:val="00817FC8"/>
    <w:rsid w:val="008200B2"/>
    <w:rsid w:val="008231D4"/>
    <w:rsid w:val="00823FD4"/>
    <w:rsid w:val="0082434F"/>
    <w:rsid w:val="00824FCF"/>
    <w:rsid w:val="0082620E"/>
    <w:rsid w:val="0082676E"/>
    <w:rsid w:val="00826AD5"/>
    <w:rsid w:val="00827019"/>
    <w:rsid w:val="0082708E"/>
    <w:rsid w:val="0082750E"/>
    <w:rsid w:val="0083048E"/>
    <w:rsid w:val="00830925"/>
    <w:rsid w:val="00830FDB"/>
    <w:rsid w:val="0083165F"/>
    <w:rsid w:val="00831D87"/>
    <w:rsid w:val="00831E97"/>
    <w:rsid w:val="00832205"/>
    <w:rsid w:val="00832460"/>
    <w:rsid w:val="00834621"/>
    <w:rsid w:val="0083539E"/>
    <w:rsid w:val="00835770"/>
    <w:rsid w:val="00835778"/>
    <w:rsid w:val="00836342"/>
    <w:rsid w:val="0083634E"/>
    <w:rsid w:val="008369CB"/>
    <w:rsid w:val="00836C71"/>
    <w:rsid w:val="008373FB"/>
    <w:rsid w:val="008374C3"/>
    <w:rsid w:val="008377FA"/>
    <w:rsid w:val="00837E59"/>
    <w:rsid w:val="0084109F"/>
    <w:rsid w:val="00842B61"/>
    <w:rsid w:val="00842F18"/>
    <w:rsid w:val="00843334"/>
    <w:rsid w:val="0084397C"/>
    <w:rsid w:val="00843A51"/>
    <w:rsid w:val="00843B87"/>
    <w:rsid w:val="00844209"/>
    <w:rsid w:val="00844953"/>
    <w:rsid w:val="00844BA4"/>
    <w:rsid w:val="00845357"/>
    <w:rsid w:val="0084535F"/>
    <w:rsid w:val="00845622"/>
    <w:rsid w:val="00846757"/>
    <w:rsid w:val="00846A66"/>
    <w:rsid w:val="00846E2B"/>
    <w:rsid w:val="008472DC"/>
    <w:rsid w:val="00850949"/>
    <w:rsid w:val="008512CA"/>
    <w:rsid w:val="00851D44"/>
    <w:rsid w:val="00851E14"/>
    <w:rsid w:val="008525E4"/>
    <w:rsid w:val="008525F9"/>
    <w:rsid w:val="00853467"/>
    <w:rsid w:val="00853DAA"/>
    <w:rsid w:val="0085435C"/>
    <w:rsid w:val="00854EF0"/>
    <w:rsid w:val="00855A6C"/>
    <w:rsid w:val="00856028"/>
    <w:rsid w:val="0085622B"/>
    <w:rsid w:val="00857674"/>
    <w:rsid w:val="00857B7F"/>
    <w:rsid w:val="008610EB"/>
    <w:rsid w:val="00861169"/>
    <w:rsid w:val="00861E6F"/>
    <w:rsid w:val="00862557"/>
    <w:rsid w:val="00862F8D"/>
    <w:rsid w:val="00863573"/>
    <w:rsid w:val="00863DF7"/>
    <w:rsid w:val="008640CB"/>
    <w:rsid w:val="0086466C"/>
    <w:rsid w:val="00864744"/>
    <w:rsid w:val="008649AF"/>
    <w:rsid w:val="0086527A"/>
    <w:rsid w:val="00865648"/>
    <w:rsid w:val="00866371"/>
    <w:rsid w:val="008666C0"/>
    <w:rsid w:val="00867A5C"/>
    <w:rsid w:val="00870521"/>
    <w:rsid w:val="008708E7"/>
    <w:rsid w:val="00870ADD"/>
    <w:rsid w:val="00870CE9"/>
    <w:rsid w:val="00871C4D"/>
    <w:rsid w:val="00871D69"/>
    <w:rsid w:val="0087218E"/>
    <w:rsid w:val="00872C7D"/>
    <w:rsid w:val="008732DB"/>
    <w:rsid w:val="008756C8"/>
    <w:rsid w:val="00875ED6"/>
    <w:rsid w:val="00875F7F"/>
    <w:rsid w:val="0087666C"/>
    <w:rsid w:val="00876D38"/>
    <w:rsid w:val="008829E5"/>
    <w:rsid w:val="00882BEB"/>
    <w:rsid w:val="00882DAD"/>
    <w:rsid w:val="008836A1"/>
    <w:rsid w:val="00883E29"/>
    <w:rsid w:val="00884158"/>
    <w:rsid w:val="00884854"/>
    <w:rsid w:val="00884FEF"/>
    <w:rsid w:val="00885B75"/>
    <w:rsid w:val="00885B78"/>
    <w:rsid w:val="008861B7"/>
    <w:rsid w:val="008863FA"/>
    <w:rsid w:val="0088756A"/>
    <w:rsid w:val="008877EE"/>
    <w:rsid w:val="00887816"/>
    <w:rsid w:val="00890915"/>
    <w:rsid w:val="0089163D"/>
    <w:rsid w:val="0089291A"/>
    <w:rsid w:val="00893266"/>
    <w:rsid w:val="00893458"/>
    <w:rsid w:val="00893752"/>
    <w:rsid w:val="008944B0"/>
    <w:rsid w:val="008947FB"/>
    <w:rsid w:val="00894FBD"/>
    <w:rsid w:val="008955C0"/>
    <w:rsid w:val="00895C8C"/>
    <w:rsid w:val="00896528"/>
    <w:rsid w:val="008969D8"/>
    <w:rsid w:val="00896E5C"/>
    <w:rsid w:val="0089709F"/>
    <w:rsid w:val="008974B0"/>
    <w:rsid w:val="00897CDB"/>
    <w:rsid w:val="008A0702"/>
    <w:rsid w:val="008A07CB"/>
    <w:rsid w:val="008A0AAE"/>
    <w:rsid w:val="008A10A5"/>
    <w:rsid w:val="008A1425"/>
    <w:rsid w:val="008A1E24"/>
    <w:rsid w:val="008A27AE"/>
    <w:rsid w:val="008A27E9"/>
    <w:rsid w:val="008A4BBA"/>
    <w:rsid w:val="008A4CD5"/>
    <w:rsid w:val="008A69D0"/>
    <w:rsid w:val="008A7037"/>
    <w:rsid w:val="008B0C2E"/>
    <w:rsid w:val="008B1321"/>
    <w:rsid w:val="008B152C"/>
    <w:rsid w:val="008B1F16"/>
    <w:rsid w:val="008B36EE"/>
    <w:rsid w:val="008B3C29"/>
    <w:rsid w:val="008B5A83"/>
    <w:rsid w:val="008B5E4F"/>
    <w:rsid w:val="008B648A"/>
    <w:rsid w:val="008C0874"/>
    <w:rsid w:val="008C0D31"/>
    <w:rsid w:val="008C13CA"/>
    <w:rsid w:val="008C2111"/>
    <w:rsid w:val="008C25C7"/>
    <w:rsid w:val="008C287C"/>
    <w:rsid w:val="008C3195"/>
    <w:rsid w:val="008C4CA8"/>
    <w:rsid w:val="008C7337"/>
    <w:rsid w:val="008C7AD4"/>
    <w:rsid w:val="008C7C46"/>
    <w:rsid w:val="008D01BC"/>
    <w:rsid w:val="008D111B"/>
    <w:rsid w:val="008D2A50"/>
    <w:rsid w:val="008D2DD9"/>
    <w:rsid w:val="008D361C"/>
    <w:rsid w:val="008D3820"/>
    <w:rsid w:val="008D3D99"/>
    <w:rsid w:val="008D3F5D"/>
    <w:rsid w:val="008D4001"/>
    <w:rsid w:val="008D47DF"/>
    <w:rsid w:val="008D4ECD"/>
    <w:rsid w:val="008D5628"/>
    <w:rsid w:val="008D6640"/>
    <w:rsid w:val="008D68A0"/>
    <w:rsid w:val="008D692E"/>
    <w:rsid w:val="008D6CDE"/>
    <w:rsid w:val="008D7BF6"/>
    <w:rsid w:val="008E0241"/>
    <w:rsid w:val="008E026E"/>
    <w:rsid w:val="008E02FE"/>
    <w:rsid w:val="008E0BC4"/>
    <w:rsid w:val="008E0D22"/>
    <w:rsid w:val="008E1B2E"/>
    <w:rsid w:val="008E1ED3"/>
    <w:rsid w:val="008E2672"/>
    <w:rsid w:val="008E3119"/>
    <w:rsid w:val="008E4A92"/>
    <w:rsid w:val="008E5DFB"/>
    <w:rsid w:val="008E69D3"/>
    <w:rsid w:val="008E7595"/>
    <w:rsid w:val="008F0A8F"/>
    <w:rsid w:val="008F0D79"/>
    <w:rsid w:val="008F15F5"/>
    <w:rsid w:val="008F1892"/>
    <w:rsid w:val="008F19E3"/>
    <w:rsid w:val="008F2318"/>
    <w:rsid w:val="008F2699"/>
    <w:rsid w:val="008F2A90"/>
    <w:rsid w:val="008F555F"/>
    <w:rsid w:val="008F5ECA"/>
    <w:rsid w:val="008F657F"/>
    <w:rsid w:val="008F6AC7"/>
    <w:rsid w:val="008F78C4"/>
    <w:rsid w:val="008F7ACE"/>
    <w:rsid w:val="008F7DD6"/>
    <w:rsid w:val="0090019C"/>
    <w:rsid w:val="00900D40"/>
    <w:rsid w:val="00901039"/>
    <w:rsid w:val="009019C1"/>
    <w:rsid w:val="00901E40"/>
    <w:rsid w:val="009021C2"/>
    <w:rsid w:val="00902C2B"/>
    <w:rsid w:val="00902D5B"/>
    <w:rsid w:val="00902E5A"/>
    <w:rsid w:val="00902F30"/>
    <w:rsid w:val="00903FF2"/>
    <w:rsid w:val="00906475"/>
    <w:rsid w:val="00907987"/>
    <w:rsid w:val="00907A79"/>
    <w:rsid w:val="00911379"/>
    <w:rsid w:val="00911584"/>
    <w:rsid w:val="00911905"/>
    <w:rsid w:val="00913198"/>
    <w:rsid w:val="009139F8"/>
    <w:rsid w:val="00915D4F"/>
    <w:rsid w:val="009163A2"/>
    <w:rsid w:val="0091642D"/>
    <w:rsid w:val="00916922"/>
    <w:rsid w:val="00916AC4"/>
    <w:rsid w:val="0092038A"/>
    <w:rsid w:val="0092072A"/>
    <w:rsid w:val="009209D8"/>
    <w:rsid w:val="00921010"/>
    <w:rsid w:val="0092140C"/>
    <w:rsid w:val="009220B8"/>
    <w:rsid w:val="00922AF4"/>
    <w:rsid w:val="00923FB6"/>
    <w:rsid w:val="00924035"/>
    <w:rsid w:val="00924353"/>
    <w:rsid w:val="00925A4A"/>
    <w:rsid w:val="00925E73"/>
    <w:rsid w:val="0092609D"/>
    <w:rsid w:val="00927F54"/>
    <w:rsid w:val="00930E6A"/>
    <w:rsid w:val="0093104F"/>
    <w:rsid w:val="009319A1"/>
    <w:rsid w:val="00931B1C"/>
    <w:rsid w:val="009324A7"/>
    <w:rsid w:val="00932870"/>
    <w:rsid w:val="00932A07"/>
    <w:rsid w:val="0093544C"/>
    <w:rsid w:val="009358E7"/>
    <w:rsid w:val="00935B48"/>
    <w:rsid w:val="00936BCA"/>
    <w:rsid w:val="00936C97"/>
    <w:rsid w:val="00937B2F"/>
    <w:rsid w:val="00937F11"/>
    <w:rsid w:val="00940514"/>
    <w:rsid w:val="00942572"/>
    <w:rsid w:val="009428CB"/>
    <w:rsid w:val="00942CBF"/>
    <w:rsid w:val="00943713"/>
    <w:rsid w:val="0094408D"/>
    <w:rsid w:val="00944445"/>
    <w:rsid w:val="00945702"/>
    <w:rsid w:val="00945CE6"/>
    <w:rsid w:val="00946059"/>
    <w:rsid w:val="00946FFB"/>
    <w:rsid w:val="00947A95"/>
    <w:rsid w:val="00947F8A"/>
    <w:rsid w:val="00951D8F"/>
    <w:rsid w:val="00954261"/>
    <w:rsid w:val="009555F8"/>
    <w:rsid w:val="00955637"/>
    <w:rsid w:val="0095582F"/>
    <w:rsid w:val="00955D1C"/>
    <w:rsid w:val="00960BC8"/>
    <w:rsid w:val="00960DF6"/>
    <w:rsid w:val="009628D7"/>
    <w:rsid w:val="00962939"/>
    <w:rsid w:val="0096345D"/>
    <w:rsid w:val="0096466D"/>
    <w:rsid w:val="00964AC0"/>
    <w:rsid w:val="00964E50"/>
    <w:rsid w:val="00965351"/>
    <w:rsid w:val="009663DE"/>
    <w:rsid w:val="00966A37"/>
    <w:rsid w:val="00966B01"/>
    <w:rsid w:val="0096784A"/>
    <w:rsid w:val="0097073D"/>
    <w:rsid w:val="00971666"/>
    <w:rsid w:val="009718E6"/>
    <w:rsid w:val="00971ED3"/>
    <w:rsid w:val="009721E4"/>
    <w:rsid w:val="0097411F"/>
    <w:rsid w:val="00974A67"/>
    <w:rsid w:val="00974D8F"/>
    <w:rsid w:val="00975FCA"/>
    <w:rsid w:val="009773A7"/>
    <w:rsid w:val="009776A6"/>
    <w:rsid w:val="009776D5"/>
    <w:rsid w:val="00977D93"/>
    <w:rsid w:val="00980294"/>
    <w:rsid w:val="00980461"/>
    <w:rsid w:val="009804BE"/>
    <w:rsid w:val="00980565"/>
    <w:rsid w:val="0098079F"/>
    <w:rsid w:val="00980A7E"/>
    <w:rsid w:val="00981740"/>
    <w:rsid w:val="009825D5"/>
    <w:rsid w:val="00982A15"/>
    <w:rsid w:val="00982C8A"/>
    <w:rsid w:val="00983136"/>
    <w:rsid w:val="00984456"/>
    <w:rsid w:val="00984770"/>
    <w:rsid w:val="00984AC7"/>
    <w:rsid w:val="009851DD"/>
    <w:rsid w:val="00985D01"/>
    <w:rsid w:val="009861EC"/>
    <w:rsid w:val="00986C13"/>
    <w:rsid w:val="00990516"/>
    <w:rsid w:val="00990661"/>
    <w:rsid w:val="00990FB2"/>
    <w:rsid w:val="0099115A"/>
    <w:rsid w:val="0099188E"/>
    <w:rsid w:val="00992287"/>
    <w:rsid w:val="00992BD1"/>
    <w:rsid w:val="00992C86"/>
    <w:rsid w:val="00992CB7"/>
    <w:rsid w:val="00994619"/>
    <w:rsid w:val="009947C3"/>
    <w:rsid w:val="00994BA8"/>
    <w:rsid w:val="0099543E"/>
    <w:rsid w:val="009955E7"/>
    <w:rsid w:val="009965EB"/>
    <w:rsid w:val="009973DE"/>
    <w:rsid w:val="009A1A49"/>
    <w:rsid w:val="009A2D33"/>
    <w:rsid w:val="009A366F"/>
    <w:rsid w:val="009A37A6"/>
    <w:rsid w:val="009A3DF2"/>
    <w:rsid w:val="009A5044"/>
    <w:rsid w:val="009A5430"/>
    <w:rsid w:val="009A56AB"/>
    <w:rsid w:val="009A5BCD"/>
    <w:rsid w:val="009A5C65"/>
    <w:rsid w:val="009A710D"/>
    <w:rsid w:val="009A7DA4"/>
    <w:rsid w:val="009B0407"/>
    <w:rsid w:val="009B0431"/>
    <w:rsid w:val="009B0791"/>
    <w:rsid w:val="009B0B10"/>
    <w:rsid w:val="009B0DEC"/>
    <w:rsid w:val="009B112B"/>
    <w:rsid w:val="009B329D"/>
    <w:rsid w:val="009B3556"/>
    <w:rsid w:val="009B3B29"/>
    <w:rsid w:val="009B42DA"/>
    <w:rsid w:val="009B44D2"/>
    <w:rsid w:val="009B4D37"/>
    <w:rsid w:val="009B4E90"/>
    <w:rsid w:val="009B57F2"/>
    <w:rsid w:val="009B5A4C"/>
    <w:rsid w:val="009B5BC5"/>
    <w:rsid w:val="009B6611"/>
    <w:rsid w:val="009B6B53"/>
    <w:rsid w:val="009B76E8"/>
    <w:rsid w:val="009B797C"/>
    <w:rsid w:val="009C030B"/>
    <w:rsid w:val="009C2FBA"/>
    <w:rsid w:val="009C3103"/>
    <w:rsid w:val="009C38A3"/>
    <w:rsid w:val="009C429C"/>
    <w:rsid w:val="009C5161"/>
    <w:rsid w:val="009C55B2"/>
    <w:rsid w:val="009C60BF"/>
    <w:rsid w:val="009C63B0"/>
    <w:rsid w:val="009C6870"/>
    <w:rsid w:val="009C6C49"/>
    <w:rsid w:val="009D0788"/>
    <w:rsid w:val="009D0C28"/>
    <w:rsid w:val="009D1043"/>
    <w:rsid w:val="009D1ED9"/>
    <w:rsid w:val="009D29D0"/>
    <w:rsid w:val="009D32BA"/>
    <w:rsid w:val="009D3A8E"/>
    <w:rsid w:val="009D3FA5"/>
    <w:rsid w:val="009D4C92"/>
    <w:rsid w:val="009D54B9"/>
    <w:rsid w:val="009D5F5F"/>
    <w:rsid w:val="009D6A83"/>
    <w:rsid w:val="009D7D9F"/>
    <w:rsid w:val="009D7E56"/>
    <w:rsid w:val="009D7F0B"/>
    <w:rsid w:val="009E1597"/>
    <w:rsid w:val="009E2555"/>
    <w:rsid w:val="009E34F6"/>
    <w:rsid w:val="009E35F9"/>
    <w:rsid w:val="009E3653"/>
    <w:rsid w:val="009E3E77"/>
    <w:rsid w:val="009E3EFB"/>
    <w:rsid w:val="009E4487"/>
    <w:rsid w:val="009E47ED"/>
    <w:rsid w:val="009E54C9"/>
    <w:rsid w:val="009E6CD6"/>
    <w:rsid w:val="009E6D8C"/>
    <w:rsid w:val="009E72CC"/>
    <w:rsid w:val="009E7969"/>
    <w:rsid w:val="009E7D92"/>
    <w:rsid w:val="009F0210"/>
    <w:rsid w:val="009F0F1E"/>
    <w:rsid w:val="009F12C9"/>
    <w:rsid w:val="009F1300"/>
    <w:rsid w:val="009F14F3"/>
    <w:rsid w:val="009F2319"/>
    <w:rsid w:val="009F374A"/>
    <w:rsid w:val="009F54DA"/>
    <w:rsid w:val="009F581B"/>
    <w:rsid w:val="009F60B8"/>
    <w:rsid w:val="009F63C9"/>
    <w:rsid w:val="009F67A9"/>
    <w:rsid w:val="009F7616"/>
    <w:rsid w:val="009F7DB4"/>
    <w:rsid w:val="00A0010F"/>
    <w:rsid w:val="00A002AE"/>
    <w:rsid w:val="00A00747"/>
    <w:rsid w:val="00A01D67"/>
    <w:rsid w:val="00A022D6"/>
    <w:rsid w:val="00A02F11"/>
    <w:rsid w:val="00A034BB"/>
    <w:rsid w:val="00A04022"/>
    <w:rsid w:val="00A040CD"/>
    <w:rsid w:val="00A0588B"/>
    <w:rsid w:val="00A05C2C"/>
    <w:rsid w:val="00A05D1D"/>
    <w:rsid w:val="00A06500"/>
    <w:rsid w:val="00A06E38"/>
    <w:rsid w:val="00A07F3E"/>
    <w:rsid w:val="00A10A71"/>
    <w:rsid w:val="00A11670"/>
    <w:rsid w:val="00A11FA5"/>
    <w:rsid w:val="00A12351"/>
    <w:rsid w:val="00A13293"/>
    <w:rsid w:val="00A13342"/>
    <w:rsid w:val="00A136DD"/>
    <w:rsid w:val="00A13E69"/>
    <w:rsid w:val="00A13ECF"/>
    <w:rsid w:val="00A14376"/>
    <w:rsid w:val="00A14384"/>
    <w:rsid w:val="00A143B3"/>
    <w:rsid w:val="00A14CBF"/>
    <w:rsid w:val="00A15224"/>
    <w:rsid w:val="00A15B61"/>
    <w:rsid w:val="00A15D62"/>
    <w:rsid w:val="00A16ACB"/>
    <w:rsid w:val="00A16FEA"/>
    <w:rsid w:val="00A17B8C"/>
    <w:rsid w:val="00A21CF9"/>
    <w:rsid w:val="00A22CB5"/>
    <w:rsid w:val="00A22D03"/>
    <w:rsid w:val="00A2305C"/>
    <w:rsid w:val="00A23417"/>
    <w:rsid w:val="00A2382F"/>
    <w:rsid w:val="00A243F2"/>
    <w:rsid w:val="00A2486F"/>
    <w:rsid w:val="00A24C70"/>
    <w:rsid w:val="00A24C91"/>
    <w:rsid w:val="00A251F4"/>
    <w:rsid w:val="00A26214"/>
    <w:rsid w:val="00A262AF"/>
    <w:rsid w:val="00A2797A"/>
    <w:rsid w:val="00A3136A"/>
    <w:rsid w:val="00A320E3"/>
    <w:rsid w:val="00A32E36"/>
    <w:rsid w:val="00A334C4"/>
    <w:rsid w:val="00A338CA"/>
    <w:rsid w:val="00A34A1C"/>
    <w:rsid w:val="00A352EC"/>
    <w:rsid w:val="00A35819"/>
    <w:rsid w:val="00A35DB8"/>
    <w:rsid w:val="00A36340"/>
    <w:rsid w:val="00A36EF6"/>
    <w:rsid w:val="00A36F45"/>
    <w:rsid w:val="00A37161"/>
    <w:rsid w:val="00A378C1"/>
    <w:rsid w:val="00A37B89"/>
    <w:rsid w:val="00A405FC"/>
    <w:rsid w:val="00A40EBB"/>
    <w:rsid w:val="00A41227"/>
    <w:rsid w:val="00A413B4"/>
    <w:rsid w:val="00A42CC4"/>
    <w:rsid w:val="00A430BE"/>
    <w:rsid w:val="00A43C45"/>
    <w:rsid w:val="00A44305"/>
    <w:rsid w:val="00A45278"/>
    <w:rsid w:val="00A459A9"/>
    <w:rsid w:val="00A45BBE"/>
    <w:rsid w:val="00A45D65"/>
    <w:rsid w:val="00A46248"/>
    <w:rsid w:val="00A466FA"/>
    <w:rsid w:val="00A47191"/>
    <w:rsid w:val="00A478F7"/>
    <w:rsid w:val="00A47FA6"/>
    <w:rsid w:val="00A50331"/>
    <w:rsid w:val="00A507E1"/>
    <w:rsid w:val="00A50D1A"/>
    <w:rsid w:val="00A51359"/>
    <w:rsid w:val="00A517C4"/>
    <w:rsid w:val="00A519E6"/>
    <w:rsid w:val="00A51BFC"/>
    <w:rsid w:val="00A52754"/>
    <w:rsid w:val="00A539FE"/>
    <w:rsid w:val="00A53B6E"/>
    <w:rsid w:val="00A5402F"/>
    <w:rsid w:val="00A55092"/>
    <w:rsid w:val="00A558DA"/>
    <w:rsid w:val="00A56587"/>
    <w:rsid w:val="00A568B7"/>
    <w:rsid w:val="00A56D5C"/>
    <w:rsid w:val="00A572CE"/>
    <w:rsid w:val="00A6173F"/>
    <w:rsid w:val="00A61E9A"/>
    <w:rsid w:val="00A61F6D"/>
    <w:rsid w:val="00A62E29"/>
    <w:rsid w:val="00A633D7"/>
    <w:rsid w:val="00A63785"/>
    <w:rsid w:val="00A646D5"/>
    <w:rsid w:val="00A65749"/>
    <w:rsid w:val="00A65C78"/>
    <w:rsid w:val="00A66019"/>
    <w:rsid w:val="00A66E39"/>
    <w:rsid w:val="00A6742D"/>
    <w:rsid w:val="00A67660"/>
    <w:rsid w:val="00A67F0C"/>
    <w:rsid w:val="00A70F81"/>
    <w:rsid w:val="00A71B81"/>
    <w:rsid w:val="00A72669"/>
    <w:rsid w:val="00A7297A"/>
    <w:rsid w:val="00A72DAF"/>
    <w:rsid w:val="00A7471A"/>
    <w:rsid w:val="00A747E4"/>
    <w:rsid w:val="00A74B3B"/>
    <w:rsid w:val="00A755A0"/>
    <w:rsid w:val="00A763C1"/>
    <w:rsid w:val="00A76CC7"/>
    <w:rsid w:val="00A77854"/>
    <w:rsid w:val="00A77A9B"/>
    <w:rsid w:val="00A805E4"/>
    <w:rsid w:val="00A8159B"/>
    <w:rsid w:val="00A81939"/>
    <w:rsid w:val="00A82219"/>
    <w:rsid w:val="00A82612"/>
    <w:rsid w:val="00A82C9E"/>
    <w:rsid w:val="00A83AE2"/>
    <w:rsid w:val="00A840A1"/>
    <w:rsid w:val="00A85537"/>
    <w:rsid w:val="00A855D3"/>
    <w:rsid w:val="00A85CCB"/>
    <w:rsid w:val="00A907D3"/>
    <w:rsid w:val="00A90EA7"/>
    <w:rsid w:val="00A923F0"/>
    <w:rsid w:val="00A92655"/>
    <w:rsid w:val="00A92CFA"/>
    <w:rsid w:val="00A9304E"/>
    <w:rsid w:val="00A93DB5"/>
    <w:rsid w:val="00A943B0"/>
    <w:rsid w:val="00A958BF"/>
    <w:rsid w:val="00A965D6"/>
    <w:rsid w:val="00A96C56"/>
    <w:rsid w:val="00AA0EA8"/>
    <w:rsid w:val="00AA2260"/>
    <w:rsid w:val="00AA365D"/>
    <w:rsid w:val="00AA3971"/>
    <w:rsid w:val="00AA3F70"/>
    <w:rsid w:val="00AA487A"/>
    <w:rsid w:val="00AA4AB3"/>
    <w:rsid w:val="00AA592A"/>
    <w:rsid w:val="00AA639A"/>
    <w:rsid w:val="00AA6637"/>
    <w:rsid w:val="00AA6776"/>
    <w:rsid w:val="00AA6A78"/>
    <w:rsid w:val="00AA6C50"/>
    <w:rsid w:val="00AA7017"/>
    <w:rsid w:val="00AB0731"/>
    <w:rsid w:val="00AB10E5"/>
    <w:rsid w:val="00AB11D1"/>
    <w:rsid w:val="00AB169B"/>
    <w:rsid w:val="00AB1F05"/>
    <w:rsid w:val="00AB2665"/>
    <w:rsid w:val="00AB26B0"/>
    <w:rsid w:val="00AB280F"/>
    <w:rsid w:val="00AB284D"/>
    <w:rsid w:val="00AB295D"/>
    <w:rsid w:val="00AB37F7"/>
    <w:rsid w:val="00AB4154"/>
    <w:rsid w:val="00AB4769"/>
    <w:rsid w:val="00AB4955"/>
    <w:rsid w:val="00AB4E08"/>
    <w:rsid w:val="00AB5243"/>
    <w:rsid w:val="00AB5B07"/>
    <w:rsid w:val="00AB70EC"/>
    <w:rsid w:val="00AB7163"/>
    <w:rsid w:val="00AB7444"/>
    <w:rsid w:val="00AC0489"/>
    <w:rsid w:val="00AC152A"/>
    <w:rsid w:val="00AC16D9"/>
    <w:rsid w:val="00AC24B9"/>
    <w:rsid w:val="00AC34DC"/>
    <w:rsid w:val="00AC3A9D"/>
    <w:rsid w:val="00AC3D7A"/>
    <w:rsid w:val="00AC487D"/>
    <w:rsid w:val="00AC4E33"/>
    <w:rsid w:val="00AC565C"/>
    <w:rsid w:val="00AC5D49"/>
    <w:rsid w:val="00AC6098"/>
    <w:rsid w:val="00AC6762"/>
    <w:rsid w:val="00AC6C50"/>
    <w:rsid w:val="00AC7910"/>
    <w:rsid w:val="00AC7BCD"/>
    <w:rsid w:val="00AC7DEC"/>
    <w:rsid w:val="00AD04A8"/>
    <w:rsid w:val="00AD07CC"/>
    <w:rsid w:val="00AD0D4B"/>
    <w:rsid w:val="00AD0E4D"/>
    <w:rsid w:val="00AD1259"/>
    <w:rsid w:val="00AD15F5"/>
    <w:rsid w:val="00AD2DA1"/>
    <w:rsid w:val="00AD37D1"/>
    <w:rsid w:val="00AD56B0"/>
    <w:rsid w:val="00AD5A95"/>
    <w:rsid w:val="00AD6A51"/>
    <w:rsid w:val="00AD6B2F"/>
    <w:rsid w:val="00AD70D3"/>
    <w:rsid w:val="00AD7147"/>
    <w:rsid w:val="00AD75B6"/>
    <w:rsid w:val="00AD7D36"/>
    <w:rsid w:val="00AE0F6B"/>
    <w:rsid w:val="00AE16F1"/>
    <w:rsid w:val="00AE1CC1"/>
    <w:rsid w:val="00AE1DA3"/>
    <w:rsid w:val="00AE3463"/>
    <w:rsid w:val="00AE36B7"/>
    <w:rsid w:val="00AE38EC"/>
    <w:rsid w:val="00AE42FF"/>
    <w:rsid w:val="00AE482D"/>
    <w:rsid w:val="00AE4921"/>
    <w:rsid w:val="00AE5181"/>
    <w:rsid w:val="00AE518F"/>
    <w:rsid w:val="00AE524D"/>
    <w:rsid w:val="00AE6482"/>
    <w:rsid w:val="00AE7416"/>
    <w:rsid w:val="00AE7C4A"/>
    <w:rsid w:val="00AF03F7"/>
    <w:rsid w:val="00AF1030"/>
    <w:rsid w:val="00AF1921"/>
    <w:rsid w:val="00AF1D04"/>
    <w:rsid w:val="00AF2066"/>
    <w:rsid w:val="00AF2273"/>
    <w:rsid w:val="00AF28A2"/>
    <w:rsid w:val="00AF2D9F"/>
    <w:rsid w:val="00AF3514"/>
    <w:rsid w:val="00AF38C0"/>
    <w:rsid w:val="00AF4FEA"/>
    <w:rsid w:val="00AF6F20"/>
    <w:rsid w:val="00AF7606"/>
    <w:rsid w:val="00AF7A2F"/>
    <w:rsid w:val="00B00890"/>
    <w:rsid w:val="00B00937"/>
    <w:rsid w:val="00B0146F"/>
    <w:rsid w:val="00B019B8"/>
    <w:rsid w:val="00B01B45"/>
    <w:rsid w:val="00B022C9"/>
    <w:rsid w:val="00B028CF"/>
    <w:rsid w:val="00B04275"/>
    <w:rsid w:val="00B05320"/>
    <w:rsid w:val="00B0540D"/>
    <w:rsid w:val="00B05892"/>
    <w:rsid w:val="00B05D8C"/>
    <w:rsid w:val="00B05E19"/>
    <w:rsid w:val="00B0693F"/>
    <w:rsid w:val="00B07552"/>
    <w:rsid w:val="00B1052E"/>
    <w:rsid w:val="00B12F7B"/>
    <w:rsid w:val="00B13793"/>
    <w:rsid w:val="00B15041"/>
    <w:rsid w:val="00B1507B"/>
    <w:rsid w:val="00B163DC"/>
    <w:rsid w:val="00B16C29"/>
    <w:rsid w:val="00B17C62"/>
    <w:rsid w:val="00B217FF"/>
    <w:rsid w:val="00B223CD"/>
    <w:rsid w:val="00B23360"/>
    <w:rsid w:val="00B23C63"/>
    <w:rsid w:val="00B245C6"/>
    <w:rsid w:val="00B24DA8"/>
    <w:rsid w:val="00B24E95"/>
    <w:rsid w:val="00B25847"/>
    <w:rsid w:val="00B26156"/>
    <w:rsid w:val="00B30CD1"/>
    <w:rsid w:val="00B317D4"/>
    <w:rsid w:val="00B31A89"/>
    <w:rsid w:val="00B31B04"/>
    <w:rsid w:val="00B3294B"/>
    <w:rsid w:val="00B339FD"/>
    <w:rsid w:val="00B33F6E"/>
    <w:rsid w:val="00B342BF"/>
    <w:rsid w:val="00B34767"/>
    <w:rsid w:val="00B34E96"/>
    <w:rsid w:val="00B355F1"/>
    <w:rsid w:val="00B3566F"/>
    <w:rsid w:val="00B35E92"/>
    <w:rsid w:val="00B370CB"/>
    <w:rsid w:val="00B37525"/>
    <w:rsid w:val="00B40050"/>
    <w:rsid w:val="00B419D1"/>
    <w:rsid w:val="00B41A3E"/>
    <w:rsid w:val="00B41EEF"/>
    <w:rsid w:val="00B4225C"/>
    <w:rsid w:val="00B42275"/>
    <w:rsid w:val="00B42AF5"/>
    <w:rsid w:val="00B42B33"/>
    <w:rsid w:val="00B42BEC"/>
    <w:rsid w:val="00B42D80"/>
    <w:rsid w:val="00B42F3B"/>
    <w:rsid w:val="00B4344B"/>
    <w:rsid w:val="00B434FD"/>
    <w:rsid w:val="00B43A22"/>
    <w:rsid w:val="00B43C9B"/>
    <w:rsid w:val="00B43EC9"/>
    <w:rsid w:val="00B4456F"/>
    <w:rsid w:val="00B448B0"/>
    <w:rsid w:val="00B4493C"/>
    <w:rsid w:val="00B450A2"/>
    <w:rsid w:val="00B471E3"/>
    <w:rsid w:val="00B47588"/>
    <w:rsid w:val="00B475D5"/>
    <w:rsid w:val="00B47878"/>
    <w:rsid w:val="00B47B2D"/>
    <w:rsid w:val="00B51790"/>
    <w:rsid w:val="00B5257D"/>
    <w:rsid w:val="00B526C2"/>
    <w:rsid w:val="00B52AD9"/>
    <w:rsid w:val="00B52D91"/>
    <w:rsid w:val="00B53300"/>
    <w:rsid w:val="00B5425C"/>
    <w:rsid w:val="00B546B2"/>
    <w:rsid w:val="00B551EF"/>
    <w:rsid w:val="00B5565B"/>
    <w:rsid w:val="00B56732"/>
    <w:rsid w:val="00B56C4E"/>
    <w:rsid w:val="00B56E91"/>
    <w:rsid w:val="00B577DA"/>
    <w:rsid w:val="00B57F30"/>
    <w:rsid w:val="00B60DC1"/>
    <w:rsid w:val="00B615E6"/>
    <w:rsid w:val="00B6210D"/>
    <w:rsid w:val="00B6239B"/>
    <w:rsid w:val="00B62D3F"/>
    <w:rsid w:val="00B62E9B"/>
    <w:rsid w:val="00B635FC"/>
    <w:rsid w:val="00B63ACC"/>
    <w:rsid w:val="00B63F7A"/>
    <w:rsid w:val="00B6617C"/>
    <w:rsid w:val="00B717E6"/>
    <w:rsid w:val="00B7199A"/>
    <w:rsid w:val="00B72158"/>
    <w:rsid w:val="00B7221C"/>
    <w:rsid w:val="00B72BD4"/>
    <w:rsid w:val="00B72D40"/>
    <w:rsid w:val="00B72DFB"/>
    <w:rsid w:val="00B7364F"/>
    <w:rsid w:val="00B74706"/>
    <w:rsid w:val="00B74F43"/>
    <w:rsid w:val="00B754B3"/>
    <w:rsid w:val="00B75648"/>
    <w:rsid w:val="00B763A3"/>
    <w:rsid w:val="00B773E7"/>
    <w:rsid w:val="00B80DD7"/>
    <w:rsid w:val="00B8111D"/>
    <w:rsid w:val="00B833C6"/>
    <w:rsid w:val="00B83644"/>
    <w:rsid w:val="00B83F1D"/>
    <w:rsid w:val="00B847AB"/>
    <w:rsid w:val="00B84B34"/>
    <w:rsid w:val="00B86133"/>
    <w:rsid w:val="00B870F4"/>
    <w:rsid w:val="00B87A3C"/>
    <w:rsid w:val="00B87AD8"/>
    <w:rsid w:val="00B9060E"/>
    <w:rsid w:val="00B90A16"/>
    <w:rsid w:val="00B90D34"/>
    <w:rsid w:val="00B92285"/>
    <w:rsid w:val="00B922FE"/>
    <w:rsid w:val="00B92881"/>
    <w:rsid w:val="00B928A1"/>
    <w:rsid w:val="00B92975"/>
    <w:rsid w:val="00B93106"/>
    <w:rsid w:val="00B9344E"/>
    <w:rsid w:val="00B935C2"/>
    <w:rsid w:val="00B938B0"/>
    <w:rsid w:val="00B946FB"/>
    <w:rsid w:val="00B9566C"/>
    <w:rsid w:val="00B96773"/>
    <w:rsid w:val="00B97CDD"/>
    <w:rsid w:val="00B97DF8"/>
    <w:rsid w:val="00B97E9F"/>
    <w:rsid w:val="00BA0B79"/>
    <w:rsid w:val="00BA0ECA"/>
    <w:rsid w:val="00BA159B"/>
    <w:rsid w:val="00BA21B9"/>
    <w:rsid w:val="00BA2885"/>
    <w:rsid w:val="00BA2A59"/>
    <w:rsid w:val="00BA2F10"/>
    <w:rsid w:val="00BA2F90"/>
    <w:rsid w:val="00BA448F"/>
    <w:rsid w:val="00BA5B0B"/>
    <w:rsid w:val="00BA5FDD"/>
    <w:rsid w:val="00BA70C7"/>
    <w:rsid w:val="00BB18AA"/>
    <w:rsid w:val="00BB1C2E"/>
    <w:rsid w:val="00BB377E"/>
    <w:rsid w:val="00BB3D8A"/>
    <w:rsid w:val="00BB4815"/>
    <w:rsid w:val="00BB4895"/>
    <w:rsid w:val="00BB49BC"/>
    <w:rsid w:val="00BB4A15"/>
    <w:rsid w:val="00BB5B78"/>
    <w:rsid w:val="00BB5EF8"/>
    <w:rsid w:val="00BC00F7"/>
    <w:rsid w:val="00BC0E73"/>
    <w:rsid w:val="00BC1386"/>
    <w:rsid w:val="00BC1DD6"/>
    <w:rsid w:val="00BC3823"/>
    <w:rsid w:val="00BC39D2"/>
    <w:rsid w:val="00BC516A"/>
    <w:rsid w:val="00BC57C4"/>
    <w:rsid w:val="00BC58D9"/>
    <w:rsid w:val="00BC59CB"/>
    <w:rsid w:val="00BC6360"/>
    <w:rsid w:val="00BC6721"/>
    <w:rsid w:val="00BD0438"/>
    <w:rsid w:val="00BD12E3"/>
    <w:rsid w:val="00BD1339"/>
    <w:rsid w:val="00BD1554"/>
    <w:rsid w:val="00BD2E41"/>
    <w:rsid w:val="00BD3306"/>
    <w:rsid w:val="00BD34E4"/>
    <w:rsid w:val="00BD3754"/>
    <w:rsid w:val="00BD3D5C"/>
    <w:rsid w:val="00BD49FA"/>
    <w:rsid w:val="00BD4B32"/>
    <w:rsid w:val="00BD4E6B"/>
    <w:rsid w:val="00BD5490"/>
    <w:rsid w:val="00BD56E9"/>
    <w:rsid w:val="00BD59DA"/>
    <w:rsid w:val="00BD60E8"/>
    <w:rsid w:val="00BD6856"/>
    <w:rsid w:val="00BD73B0"/>
    <w:rsid w:val="00BE0280"/>
    <w:rsid w:val="00BE0603"/>
    <w:rsid w:val="00BE102B"/>
    <w:rsid w:val="00BE1215"/>
    <w:rsid w:val="00BE17B5"/>
    <w:rsid w:val="00BE2C5C"/>
    <w:rsid w:val="00BE2D38"/>
    <w:rsid w:val="00BE4203"/>
    <w:rsid w:val="00BE5A37"/>
    <w:rsid w:val="00BE6315"/>
    <w:rsid w:val="00BF11E5"/>
    <w:rsid w:val="00BF241D"/>
    <w:rsid w:val="00BF303E"/>
    <w:rsid w:val="00BF39EB"/>
    <w:rsid w:val="00BF434B"/>
    <w:rsid w:val="00BF4A9C"/>
    <w:rsid w:val="00BF6A1D"/>
    <w:rsid w:val="00BF6F00"/>
    <w:rsid w:val="00BF7F09"/>
    <w:rsid w:val="00C00CAB"/>
    <w:rsid w:val="00C00EFC"/>
    <w:rsid w:val="00C019E2"/>
    <w:rsid w:val="00C01E98"/>
    <w:rsid w:val="00C02021"/>
    <w:rsid w:val="00C025A3"/>
    <w:rsid w:val="00C039A1"/>
    <w:rsid w:val="00C03EBA"/>
    <w:rsid w:val="00C0413E"/>
    <w:rsid w:val="00C04396"/>
    <w:rsid w:val="00C05C19"/>
    <w:rsid w:val="00C05E50"/>
    <w:rsid w:val="00C06AFA"/>
    <w:rsid w:val="00C07A8A"/>
    <w:rsid w:val="00C07C84"/>
    <w:rsid w:val="00C07E12"/>
    <w:rsid w:val="00C10796"/>
    <w:rsid w:val="00C10A73"/>
    <w:rsid w:val="00C11DBA"/>
    <w:rsid w:val="00C12302"/>
    <w:rsid w:val="00C13CC8"/>
    <w:rsid w:val="00C14AB5"/>
    <w:rsid w:val="00C15079"/>
    <w:rsid w:val="00C15BD1"/>
    <w:rsid w:val="00C16868"/>
    <w:rsid w:val="00C16A29"/>
    <w:rsid w:val="00C16F04"/>
    <w:rsid w:val="00C17028"/>
    <w:rsid w:val="00C20A1A"/>
    <w:rsid w:val="00C21C2D"/>
    <w:rsid w:val="00C21FCC"/>
    <w:rsid w:val="00C22F06"/>
    <w:rsid w:val="00C23675"/>
    <w:rsid w:val="00C248E6"/>
    <w:rsid w:val="00C2540E"/>
    <w:rsid w:val="00C25457"/>
    <w:rsid w:val="00C2630B"/>
    <w:rsid w:val="00C263A7"/>
    <w:rsid w:val="00C26827"/>
    <w:rsid w:val="00C26F07"/>
    <w:rsid w:val="00C2719A"/>
    <w:rsid w:val="00C277A5"/>
    <w:rsid w:val="00C27D1C"/>
    <w:rsid w:val="00C3037F"/>
    <w:rsid w:val="00C307AB"/>
    <w:rsid w:val="00C317BB"/>
    <w:rsid w:val="00C31BE5"/>
    <w:rsid w:val="00C32841"/>
    <w:rsid w:val="00C32AC4"/>
    <w:rsid w:val="00C32F87"/>
    <w:rsid w:val="00C332EC"/>
    <w:rsid w:val="00C33B3A"/>
    <w:rsid w:val="00C3426A"/>
    <w:rsid w:val="00C35188"/>
    <w:rsid w:val="00C3538E"/>
    <w:rsid w:val="00C3552E"/>
    <w:rsid w:val="00C3585B"/>
    <w:rsid w:val="00C35CFB"/>
    <w:rsid w:val="00C36A95"/>
    <w:rsid w:val="00C37FAB"/>
    <w:rsid w:val="00C4097A"/>
    <w:rsid w:val="00C410BA"/>
    <w:rsid w:val="00C410BB"/>
    <w:rsid w:val="00C4272C"/>
    <w:rsid w:val="00C42FEF"/>
    <w:rsid w:val="00C4321C"/>
    <w:rsid w:val="00C43DC2"/>
    <w:rsid w:val="00C44260"/>
    <w:rsid w:val="00C45909"/>
    <w:rsid w:val="00C45D3B"/>
    <w:rsid w:val="00C46686"/>
    <w:rsid w:val="00C46763"/>
    <w:rsid w:val="00C479B5"/>
    <w:rsid w:val="00C47A10"/>
    <w:rsid w:val="00C50312"/>
    <w:rsid w:val="00C51B08"/>
    <w:rsid w:val="00C5250C"/>
    <w:rsid w:val="00C534A3"/>
    <w:rsid w:val="00C548FA"/>
    <w:rsid w:val="00C54A46"/>
    <w:rsid w:val="00C54B28"/>
    <w:rsid w:val="00C554F5"/>
    <w:rsid w:val="00C55AE9"/>
    <w:rsid w:val="00C5605B"/>
    <w:rsid w:val="00C560F6"/>
    <w:rsid w:val="00C56ACC"/>
    <w:rsid w:val="00C56C8C"/>
    <w:rsid w:val="00C576CA"/>
    <w:rsid w:val="00C6221C"/>
    <w:rsid w:val="00C62322"/>
    <w:rsid w:val="00C629D4"/>
    <w:rsid w:val="00C629FB"/>
    <w:rsid w:val="00C62BF5"/>
    <w:rsid w:val="00C63025"/>
    <w:rsid w:val="00C63DE8"/>
    <w:rsid w:val="00C6568D"/>
    <w:rsid w:val="00C65A4C"/>
    <w:rsid w:val="00C66397"/>
    <w:rsid w:val="00C6697C"/>
    <w:rsid w:val="00C6697D"/>
    <w:rsid w:val="00C66BAD"/>
    <w:rsid w:val="00C66C5D"/>
    <w:rsid w:val="00C66FE9"/>
    <w:rsid w:val="00C673B5"/>
    <w:rsid w:val="00C723A2"/>
    <w:rsid w:val="00C724A6"/>
    <w:rsid w:val="00C726D8"/>
    <w:rsid w:val="00C73D60"/>
    <w:rsid w:val="00C73DB9"/>
    <w:rsid w:val="00C74C51"/>
    <w:rsid w:val="00C7580D"/>
    <w:rsid w:val="00C76545"/>
    <w:rsid w:val="00C76BA4"/>
    <w:rsid w:val="00C771E7"/>
    <w:rsid w:val="00C77F42"/>
    <w:rsid w:val="00C8059E"/>
    <w:rsid w:val="00C80692"/>
    <w:rsid w:val="00C81703"/>
    <w:rsid w:val="00C81A6D"/>
    <w:rsid w:val="00C82E6F"/>
    <w:rsid w:val="00C83D5E"/>
    <w:rsid w:val="00C8402A"/>
    <w:rsid w:val="00C84ABB"/>
    <w:rsid w:val="00C84E54"/>
    <w:rsid w:val="00C85659"/>
    <w:rsid w:val="00C85CD0"/>
    <w:rsid w:val="00C9070D"/>
    <w:rsid w:val="00C90F30"/>
    <w:rsid w:val="00C916A2"/>
    <w:rsid w:val="00C92707"/>
    <w:rsid w:val="00C92820"/>
    <w:rsid w:val="00C93A49"/>
    <w:rsid w:val="00C9449D"/>
    <w:rsid w:val="00C95761"/>
    <w:rsid w:val="00C95A5C"/>
    <w:rsid w:val="00C96EAB"/>
    <w:rsid w:val="00C9735F"/>
    <w:rsid w:val="00C97396"/>
    <w:rsid w:val="00CA048F"/>
    <w:rsid w:val="00CA0578"/>
    <w:rsid w:val="00CA064B"/>
    <w:rsid w:val="00CA1474"/>
    <w:rsid w:val="00CA2C80"/>
    <w:rsid w:val="00CA3080"/>
    <w:rsid w:val="00CA4D59"/>
    <w:rsid w:val="00CA4FB4"/>
    <w:rsid w:val="00CA52D0"/>
    <w:rsid w:val="00CA5EFA"/>
    <w:rsid w:val="00CB0022"/>
    <w:rsid w:val="00CB0491"/>
    <w:rsid w:val="00CB0608"/>
    <w:rsid w:val="00CB07B9"/>
    <w:rsid w:val="00CB25A0"/>
    <w:rsid w:val="00CB2764"/>
    <w:rsid w:val="00CB2B10"/>
    <w:rsid w:val="00CB3691"/>
    <w:rsid w:val="00CB3BB1"/>
    <w:rsid w:val="00CB3ECD"/>
    <w:rsid w:val="00CB47E7"/>
    <w:rsid w:val="00CB580A"/>
    <w:rsid w:val="00CB5976"/>
    <w:rsid w:val="00CB5E30"/>
    <w:rsid w:val="00CB6872"/>
    <w:rsid w:val="00CB75B5"/>
    <w:rsid w:val="00CC0F1D"/>
    <w:rsid w:val="00CC13C9"/>
    <w:rsid w:val="00CC1C38"/>
    <w:rsid w:val="00CC3F4F"/>
    <w:rsid w:val="00CC436B"/>
    <w:rsid w:val="00CC4681"/>
    <w:rsid w:val="00CC4CA4"/>
    <w:rsid w:val="00CC50B8"/>
    <w:rsid w:val="00CC5182"/>
    <w:rsid w:val="00CC634B"/>
    <w:rsid w:val="00CC7982"/>
    <w:rsid w:val="00CD0988"/>
    <w:rsid w:val="00CD0C60"/>
    <w:rsid w:val="00CD0E2A"/>
    <w:rsid w:val="00CD103A"/>
    <w:rsid w:val="00CD179E"/>
    <w:rsid w:val="00CD2BEB"/>
    <w:rsid w:val="00CD2CFB"/>
    <w:rsid w:val="00CD2D8B"/>
    <w:rsid w:val="00CD312A"/>
    <w:rsid w:val="00CD4A5A"/>
    <w:rsid w:val="00CD4B81"/>
    <w:rsid w:val="00CD4D0D"/>
    <w:rsid w:val="00CD6ED2"/>
    <w:rsid w:val="00CD7102"/>
    <w:rsid w:val="00CD7C1D"/>
    <w:rsid w:val="00CE174D"/>
    <w:rsid w:val="00CE1AE6"/>
    <w:rsid w:val="00CE1FB4"/>
    <w:rsid w:val="00CE202D"/>
    <w:rsid w:val="00CE2279"/>
    <w:rsid w:val="00CE247C"/>
    <w:rsid w:val="00CE26CE"/>
    <w:rsid w:val="00CE32AC"/>
    <w:rsid w:val="00CE34C4"/>
    <w:rsid w:val="00CE3979"/>
    <w:rsid w:val="00CE4309"/>
    <w:rsid w:val="00CE4343"/>
    <w:rsid w:val="00CE451A"/>
    <w:rsid w:val="00CE49CD"/>
    <w:rsid w:val="00CE49D5"/>
    <w:rsid w:val="00CE49D9"/>
    <w:rsid w:val="00CE500C"/>
    <w:rsid w:val="00CE5371"/>
    <w:rsid w:val="00CE54D3"/>
    <w:rsid w:val="00CE593E"/>
    <w:rsid w:val="00CE65CD"/>
    <w:rsid w:val="00CE6C48"/>
    <w:rsid w:val="00CE6D8C"/>
    <w:rsid w:val="00CE7617"/>
    <w:rsid w:val="00CE7A8A"/>
    <w:rsid w:val="00CF0A1C"/>
    <w:rsid w:val="00CF145A"/>
    <w:rsid w:val="00CF1CEC"/>
    <w:rsid w:val="00CF1E14"/>
    <w:rsid w:val="00CF2973"/>
    <w:rsid w:val="00CF2DA3"/>
    <w:rsid w:val="00CF2E68"/>
    <w:rsid w:val="00CF3C9D"/>
    <w:rsid w:val="00CF3DEF"/>
    <w:rsid w:val="00CF4F5F"/>
    <w:rsid w:val="00CF6ABA"/>
    <w:rsid w:val="00D0023F"/>
    <w:rsid w:val="00D004B3"/>
    <w:rsid w:val="00D00892"/>
    <w:rsid w:val="00D011F1"/>
    <w:rsid w:val="00D016B9"/>
    <w:rsid w:val="00D029DA"/>
    <w:rsid w:val="00D02B18"/>
    <w:rsid w:val="00D040EB"/>
    <w:rsid w:val="00D04E08"/>
    <w:rsid w:val="00D05262"/>
    <w:rsid w:val="00D071E2"/>
    <w:rsid w:val="00D07B5C"/>
    <w:rsid w:val="00D07BFE"/>
    <w:rsid w:val="00D07CEB"/>
    <w:rsid w:val="00D10452"/>
    <w:rsid w:val="00D105F8"/>
    <w:rsid w:val="00D10FE8"/>
    <w:rsid w:val="00D1201C"/>
    <w:rsid w:val="00D12271"/>
    <w:rsid w:val="00D13271"/>
    <w:rsid w:val="00D13696"/>
    <w:rsid w:val="00D1433A"/>
    <w:rsid w:val="00D145F5"/>
    <w:rsid w:val="00D147F5"/>
    <w:rsid w:val="00D14A59"/>
    <w:rsid w:val="00D15AD8"/>
    <w:rsid w:val="00D1630B"/>
    <w:rsid w:val="00D1653D"/>
    <w:rsid w:val="00D2021F"/>
    <w:rsid w:val="00D20822"/>
    <w:rsid w:val="00D20B2B"/>
    <w:rsid w:val="00D20E51"/>
    <w:rsid w:val="00D20F58"/>
    <w:rsid w:val="00D22451"/>
    <w:rsid w:val="00D238A4"/>
    <w:rsid w:val="00D238C7"/>
    <w:rsid w:val="00D23B5B"/>
    <w:rsid w:val="00D23C9C"/>
    <w:rsid w:val="00D2447C"/>
    <w:rsid w:val="00D2457B"/>
    <w:rsid w:val="00D2495B"/>
    <w:rsid w:val="00D24DEB"/>
    <w:rsid w:val="00D259BA"/>
    <w:rsid w:val="00D25A08"/>
    <w:rsid w:val="00D25D80"/>
    <w:rsid w:val="00D27690"/>
    <w:rsid w:val="00D2775F"/>
    <w:rsid w:val="00D27F08"/>
    <w:rsid w:val="00D30453"/>
    <w:rsid w:val="00D312C4"/>
    <w:rsid w:val="00D3168D"/>
    <w:rsid w:val="00D31FED"/>
    <w:rsid w:val="00D323EC"/>
    <w:rsid w:val="00D329E2"/>
    <w:rsid w:val="00D33A8F"/>
    <w:rsid w:val="00D33C36"/>
    <w:rsid w:val="00D355C2"/>
    <w:rsid w:val="00D3564D"/>
    <w:rsid w:val="00D3701B"/>
    <w:rsid w:val="00D37134"/>
    <w:rsid w:val="00D3734D"/>
    <w:rsid w:val="00D425B3"/>
    <w:rsid w:val="00D425C6"/>
    <w:rsid w:val="00D43616"/>
    <w:rsid w:val="00D44464"/>
    <w:rsid w:val="00D444F3"/>
    <w:rsid w:val="00D445A3"/>
    <w:rsid w:val="00D44E2A"/>
    <w:rsid w:val="00D45414"/>
    <w:rsid w:val="00D45CA2"/>
    <w:rsid w:val="00D45FB4"/>
    <w:rsid w:val="00D4669A"/>
    <w:rsid w:val="00D46E8A"/>
    <w:rsid w:val="00D46F84"/>
    <w:rsid w:val="00D479FE"/>
    <w:rsid w:val="00D47DE4"/>
    <w:rsid w:val="00D51752"/>
    <w:rsid w:val="00D524E3"/>
    <w:rsid w:val="00D52D53"/>
    <w:rsid w:val="00D5486F"/>
    <w:rsid w:val="00D55326"/>
    <w:rsid w:val="00D5540B"/>
    <w:rsid w:val="00D56123"/>
    <w:rsid w:val="00D56309"/>
    <w:rsid w:val="00D56BC4"/>
    <w:rsid w:val="00D56E77"/>
    <w:rsid w:val="00D57622"/>
    <w:rsid w:val="00D61E27"/>
    <w:rsid w:val="00D6217C"/>
    <w:rsid w:val="00D6228D"/>
    <w:rsid w:val="00D62310"/>
    <w:rsid w:val="00D629CF"/>
    <w:rsid w:val="00D633CE"/>
    <w:rsid w:val="00D63783"/>
    <w:rsid w:val="00D6474F"/>
    <w:rsid w:val="00D64FA1"/>
    <w:rsid w:val="00D65175"/>
    <w:rsid w:val="00D65C90"/>
    <w:rsid w:val="00D65D72"/>
    <w:rsid w:val="00D65DCB"/>
    <w:rsid w:val="00D66216"/>
    <w:rsid w:val="00D66B6B"/>
    <w:rsid w:val="00D66C49"/>
    <w:rsid w:val="00D66D8D"/>
    <w:rsid w:val="00D66EF4"/>
    <w:rsid w:val="00D67166"/>
    <w:rsid w:val="00D70E58"/>
    <w:rsid w:val="00D7153E"/>
    <w:rsid w:val="00D71630"/>
    <w:rsid w:val="00D72558"/>
    <w:rsid w:val="00D72AD9"/>
    <w:rsid w:val="00D7378E"/>
    <w:rsid w:val="00D73A94"/>
    <w:rsid w:val="00D74400"/>
    <w:rsid w:val="00D748B4"/>
    <w:rsid w:val="00D75118"/>
    <w:rsid w:val="00D75230"/>
    <w:rsid w:val="00D75342"/>
    <w:rsid w:val="00D76678"/>
    <w:rsid w:val="00D8028F"/>
    <w:rsid w:val="00D80E64"/>
    <w:rsid w:val="00D80E77"/>
    <w:rsid w:val="00D8147A"/>
    <w:rsid w:val="00D822C3"/>
    <w:rsid w:val="00D82309"/>
    <w:rsid w:val="00D82469"/>
    <w:rsid w:val="00D8246F"/>
    <w:rsid w:val="00D829CE"/>
    <w:rsid w:val="00D83475"/>
    <w:rsid w:val="00D8347F"/>
    <w:rsid w:val="00D83773"/>
    <w:rsid w:val="00D84195"/>
    <w:rsid w:val="00D84341"/>
    <w:rsid w:val="00D84C7B"/>
    <w:rsid w:val="00D850EC"/>
    <w:rsid w:val="00D86A84"/>
    <w:rsid w:val="00D87ABA"/>
    <w:rsid w:val="00D90792"/>
    <w:rsid w:val="00D90F62"/>
    <w:rsid w:val="00D90FDF"/>
    <w:rsid w:val="00D91582"/>
    <w:rsid w:val="00D91631"/>
    <w:rsid w:val="00D91B9E"/>
    <w:rsid w:val="00D9229C"/>
    <w:rsid w:val="00D924E8"/>
    <w:rsid w:val="00D93B76"/>
    <w:rsid w:val="00D93B97"/>
    <w:rsid w:val="00D9487E"/>
    <w:rsid w:val="00D94DE3"/>
    <w:rsid w:val="00D95A15"/>
    <w:rsid w:val="00D95A3E"/>
    <w:rsid w:val="00D96265"/>
    <w:rsid w:val="00D962F4"/>
    <w:rsid w:val="00D9636D"/>
    <w:rsid w:val="00D96428"/>
    <w:rsid w:val="00D97EEA"/>
    <w:rsid w:val="00DA0FC5"/>
    <w:rsid w:val="00DA1C61"/>
    <w:rsid w:val="00DA1D24"/>
    <w:rsid w:val="00DA28E0"/>
    <w:rsid w:val="00DA3184"/>
    <w:rsid w:val="00DA3513"/>
    <w:rsid w:val="00DA35A8"/>
    <w:rsid w:val="00DA40C8"/>
    <w:rsid w:val="00DA4815"/>
    <w:rsid w:val="00DA4E1C"/>
    <w:rsid w:val="00DA58F3"/>
    <w:rsid w:val="00DB0910"/>
    <w:rsid w:val="00DB112B"/>
    <w:rsid w:val="00DB209B"/>
    <w:rsid w:val="00DB294A"/>
    <w:rsid w:val="00DB2B79"/>
    <w:rsid w:val="00DB2DFE"/>
    <w:rsid w:val="00DB3702"/>
    <w:rsid w:val="00DB432B"/>
    <w:rsid w:val="00DB473F"/>
    <w:rsid w:val="00DB481B"/>
    <w:rsid w:val="00DB4D63"/>
    <w:rsid w:val="00DB5AA8"/>
    <w:rsid w:val="00DB5EC8"/>
    <w:rsid w:val="00DB7896"/>
    <w:rsid w:val="00DB7C00"/>
    <w:rsid w:val="00DB7F6C"/>
    <w:rsid w:val="00DC0942"/>
    <w:rsid w:val="00DC13A0"/>
    <w:rsid w:val="00DC19DD"/>
    <w:rsid w:val="00DC1E9A"/>
    <w:rsid w:val="00DC2425"/>
    <w:rsid w:val="00DC2690"/>
    <w:rsid w:val="00DC3658"/>
    <w:rsid w:val="00DC3874"/>
    <w:rsid w:val="00DC3CA5"/>
    <w:rsid w:val="00DC3F77"/>
    <w:rsid w:val="00DC412F"/>
    <w:rsid w:val="00DC4875"/>
    <w:rsid w:val="00DC4C73"/>
    <w:rsid w:val="00DC5370"/>
    <w:rsid w:val="00DC6759"/>
    <w:rsid w:val="00DC682C"/>
    <w:rsid w:val="00DC6E32"/>
    <w:rsid w:val="00DC70AC"/>
    <w:rsid w:val="00DC7918"/>
    <w:rsid w:val="00DD1B7A"/>
    <w:rsid w:val="00DD2D78"/>
    <w:rsid w:val="00DD39E5"/>
    <w:rsid w:val="00DD4848"/>
    <w:rsid w:val="00DD5786"/>
    <w:rsid w:val="00DD6F2D"/>
    <w:rsid w:val="00DD76D8"/>
    <w:rsid w:val="00DE079E"/>
    <w:rsid w:val="00DE23D0"/>
    <w:rsid w:val="00DE3CB5"/>
    <w:rsid w:val="00DE4D33"/>
    <w:rsid w:val="00DE4EB1"/>
    <w:rsid w:val="00DE5309"/>
    <w:rsid w:val="00DE560B"/>
    <w:rsid w:val="00DE5660"/>
    <w:rsid w:val="00DE6FF1"/>
    <w:rsid w:val="00DE73B5"/>
    <w:rsid w:val="00DF1009"/>
    <w:rsid w:val="00DF1FA5"/>
    <w:rsid w:val="00DF297D"/>
    <w:rsid w:val="00DF310E"/>
    <w:rsid w:val="00DF3FB0"/>
    <w:rsid w:val="00DF46A5"/>
    <w:rsid w:val="00DF4CDF"/>
    <w:rsid w:val="00DF4E18"/>
    <w:rsid w:val="00DF5C91"/>
    <w:rsid w:val="00DF5FEE"/>
    <w:rsid w:val="00DF608D"/>
    <w:rsid w:val="00DF6135"/>
    <w:rsid w:val="00DF730B"/>
    <w:rsid w:val="00E00096"/>
    <w:rsid w:val="00E00C9D"/>
    <w:rsid w:val="00E01CAA"/>
    <w:rsid w:val="00E031B6"/>
    <w:rsid w:val="00E03942"/>
    <w:rsid w:val="00E0457E"/>
    <w:rsid w:val="00E06B9A"/>
    <w:rsid w:val="00E07BE9"/>
    <w:rsid w:val="00E10290"/>
    <w:rsid w:val="00E1143B"/>
    <w:rsid w:val="00E12106"/>
    <w:rsid w:val="00E1217A"/>
    <w:rsid w:val="00E129D4"/>
    <w:rsid w:val="00E12E66"/>
    <w:rsid w:val="00E1324A"/>
    <w:rsid w:val="00E13EA5"/>
    <w:rsid w:val="00E14120"/>
    <w:rsid w:val="00E14AA4"/>
    <w:rsid w:val="00E15111"/>
    <w:rsid w:val="00E1557D"/>
    <w:rsid w:val="00E167FF"/>
    <w:rsid w:val="00E200A8"/>
    <w:rsid w:val="00E22007"/>
    <w:rsid w:val="00E23497"/>
    <w:rsid w:val="00E23FBE"/>
    <w:rsid w:val="00E241F9"/>
    <w:rsid w:val="00E25FE9"/>
    <w:rsid w:val="00E26415"/>
    <w:rsid w:val="00E26A61"/>
    <w:rsid w:val="00E27C41"/>
    <w:rsid w:val="00E30A11"/>
    <w:rsid w:val="00E30E01"/>
    <w:rsid w:val="00E30F03"/>
    <w:rsid w:val="00E32423"/>
    <w:rsid w:val="00E33953"/>
    <w:rsid w:val="00E34AAC"/>
    <w:rsid w:val="00E34E60"/>
    <w:rsid w:val="00E364FB"/>
    <w:rsid w:val="00E366B8"/>
    <w:rsid w:val="00E37D14"/>
    <w:rsid w:val="00E400A4"/>
    <w:rsid w:val="00E40D42"/>
    <w:rsid w:val="00E40F43"/>
    <w:rsid w:val="00E41A49"/>
    <w:rsid w:val="00E422EA"/>
    <w:rsid w:val="00E43491"/>
    <w:rsid w:val="00E43FDD"/>
    <w:rsid w:val="00E4418F"/>
    <w:rsid w:val="00E44347"/>
    <w:rsid w:val="00E448CC"/>
    <w:rsid w:val="00E45147"/>
    <w:rsid w:val="00E45AF6"/>
    <w:rsid w:val="00E45EAC"/>
    <w:rsid w:val="00E46004"/>
    <w:rsid w:val="00E4608A"/>
    <w:rsid w:val="00E4682D"/>
    <w:rsid w:val="00E4694F"/>
    <w:rsid w:val="00E46DF5"/>
    <w:rsid w:val="00E477DC"/>
    <w:rsid w:val="00E478F3"/>
    <w:rsid w:val="00E50182"/>
    <w:rsid w:val="00E50DDF"/>
    <w:rsid w:val="00E52A66"/>
    <w:rsid w:val="00E52BC4"/>
    <w:rsid w:val="00E52EAF"/>
    <w:rsid w:val="00E542BE"/>
    <w:rsid w:val="00E5469D"/>
    <w:rsid w:val="00E54F38"/>
    <w:rsid w:val="00E554F9"/>
    <w:rsid w:val="00E6078F"/>
    <w:rsid w:val="00E60E76"/>
    <w:rsid w:val="00E61230"/>
    <w:rsid w:val="00E619AB"/>
    <w:rsid w:val="00E61D4D"/>
    <w:rsid w:val="00E62188"/>
    <w:rsid w:val="00E626D2"/>
    <w:rsid w:val="00E62719"/>
    <w:rsid w:val="00E62CBD"/>
    <w:rsid w:val="00E630F1"/>
    <w:rsid w:val="00E63B81"/>
    <w:rsid w:val="00E64618"/>
    <w:rsid w:val="00E64E2B"/>
    <w:rsid w:val="00E64F8E"/>
    <w:rsid w:val="00E654F2"/>
    <w:rsid w:val="00E655CD"/>
    <w:rsid w:val="00E656E4"/>
    <w:rsid w:val="00E65B98"/>
    <w:rsid w:val="00E65D9E"/>
    <w:rsid w:val="00E662D1"/>
    <w:rsid w:val="00E6657D"/>
    <w:rsid w:val="00E665BE"/>
    <w:rsid w:val="00E6669D"/>
    <w:rsid w:val="00E667D6"/>
    <w:rsid w:val="00E70D26"/>
    <w:rsid w:val="00E712AA"/>
    <w:rsid w:val="00E7151B"/>
    <w:rsid w:val="00E715D2"/>
    <w:rsid w:val="00E7238A"/>
    <w:rsid w:val="00E725C5"/>
    <w:rsid w:val="00E72A65"/>
    <w:rsid w:val="00E72B73"/>
    <w:rsid w:val="00E74257"/>
    <w:rsid w:val="00E7482C"/>
    <w:rsid w:val="00E7491E"/>
    <w:rsid w:val="00E7561B"/>
    <w:rsid w:val="00E75898"/>
    <w:rsid w:val="00E75EEE"/>
    <w:rsid w:val="00E76AA2"/>
    <w:rsid w:val="00E772FF"/>
    <w:rsid w:val="00E779C8"/>
    <w:rsid w:val="00E77C47"/>
    <w:rsid w:val="00E80802"/>
    <w:rsid w:val="00E81042"/>
    <w:rsid w:val="00E81330"/>
    <w:rsid w:val="00E816DB"/>
    <w:rsid w:val="00E8180A"/>
    <w:rsid w:val="00E8242E"/>
    <w:rsid w:val="00E82C83"/>
    <w:rsid w:val="00E84FC4"/>
    <w:rsid w:val="00E85610"/>
    <w:rsid w:val="00E85E5D"/>
    <w:rsid w:val="00E86D35"/>
    <w:rsid w:val="00E8708B"/>
    <w:rsid w:val="00E9008E"/>
    <w:rsid w:val="00E90206"/>
    <w:rsid w:val="00E90373"/>
    <w:rsid w:val="00E91517"/>
    <w:rsid w:val="00E91562"/>
    <w:rsid w:val="00E917EB"/>
    <w:rsid w:val="00E91B43"/>
    <w:rsid w:val="00E91C12"/>
    <w:rsid w:val="00E92B3A"/>
    <w:rsid w:val="00E93B13"/>
    <w:rsid w:val="00E941F5"/>
    <w:rsid w:val="00E94E0C"/>
    <w:rsid w:val="00E95F1E"/>
    <w:rsid w:val="00E97B67"/>
    <w:rsid w:val="00E97C0D"/>
    <w:rsid w:val="00EA23FC"/>
    <w:rsid w:val="00EA29C1"/>
    <w:rsid w:val="00EA354C"/>
    <w:rsid w:val="00EA4221"/>
    <w:rsid w:val="00EA4578"/>
    <w:rsid w:val="00EA4B39"/>
    <w:rsid w:val="00EA5B2F"/>
    <w:rsid w:val="00EA62B5"/>
    <w:rsid w:val="00EA769D"/>
    <w:rsid w:val="00EB03DC"/>
    <w:rsid w:val="00EB0DA2"/>
    <w:rsid w:val="00EB2263"/>
    <w:rsid w:val="00EB2E0F"/>
    <w:rsid w:val="00EB3722"/>
    <w:rsid w:val="00EB3A1D"/>
    <w:rsid w:val="00EB401A"/>
    <w:rsid w:val="00EB48A6"/>
    <w:rsid w:val="00EB4F95"/>
    <w:rsid w:val="00EB5DD7"/>
    <w:rsid w:val="00EB5F8E"/>
    <w:rsid w:val="00EB5F94"/>
    <w:rsid w:val="00EB7057"/>
    <w:rsid w:val="00EB73CE"/>
    <w:rsid w:val="00EB7F77"/>
    <w:rsid w:val="00EC1623"/>
    <w:rsid w:val="00EC1D8A"/>
    <w:rsid w:val="00EC2CB6"/>
    <w:rsid w:val="00EC57A3"/>
    <w:rsid w:val="00EC6771"/>
    <w:rsid w:val="00EC709E"/>
    <w:rsid w:val="00EC7843"/>
    <w:rsid w:val="00EC7A17"/>
    <w:rsid w:val="00ED1130"/>
    <w:rsid w:val="00ED1F22"/>
    <w:rsid w:val="00ED29D2"/>
    <w:rsid w:val="00ED2C72"/>
    <w:rsid w:val="00ED409D"/>
    <w:rsid w:val="00ED4213"/>
    <w:rsid w:val="00ED4E10"/>
    <w:rsid w:val="00ED5383"/>
    <w:rsid w:val="00ED5866"/>
    <w:rsid w:val="00ED66BB"/>
    <w:rsid w:val="00ED6AED"/>
    <w:rsid w:val="00ED76D4"/>
    <w:rsid w:val="00ED7DEF"/>
    <w:rsid w:val="00EE001C"/>
    <w:rsid w:val="00EE0476"/>
    <w:rsid w:val="00EE1D74"/>
    <w:rsid w:val="00EE256F"/>
    <w:rsid w:val="00EE25F1"/>
    <w:rsid w:val="00EE4F3B"/>
    <w:rsid w:val="00EE5310"/>
    <w:rsid w:val="00EE5B03"/>
    <w:rsid w:val="00EE5C06"/>
    <w:rsid w:val="00EE6F8E"/>
    <w:rsid w:val="00EE7173"/>
    <w:rsid w:val="00EF01F3"/>
    <w:rsid w:val="00EF03F9"/>
    <w:rsid w:val="00EF06FF"/>
    <w:rsid w:val="00EF0989"/>
    <w:rsid w:val="00EF1C5C"/>
    <w:rsid w:val="00EF22EF"/>
    <w:rsid w:val="00EF315A"/>
    <w:rsid w:val="00EF3732"/>
    <w:rsid w:val="00EF46DD"/>
    <w:rsid w:val="00EF4B62"/>
    <w:rsid w:val="00EF56A6"/>
    <w:rsid w:val="00EF5892"/>
    <w:rsid w:val="00EF6437"/>
    <w:rsid w:val="00EF66B6"/>
    <w:rsid w:val="00EF68BD"/>
    <w:rsid w:val="00EF7081"/>
    <w:rsid w:val="00EF75A5"/>
    <w:rsid w:val="00F0006B"/>
    <w:rsid w:val="00F003E3"/>
    <w:rsid w:val="00F00F6A"/>
    <w:rsid w:val="00F01AD2"/>
    <w:rsid w:val="00F0256C"/>
    <w:rsid w:val="00F02F09"/>
    <w:rsid w:val="00F031D4"/>
    <w:rsid w:val="00F03628"/>
    <w:rsid w:val="00F03BE8"/>
    <w:rsid w:val="00F03FD2"/>
    <w:rsid w:val="00F053E6"/>
    <w:rsid w:val="00F05FC5"/>
    <w:rsid w:val="00F0631E"/>
    <w:rsid w:val="00F06331"/>
    <w:rsid w:val="00F064B6"/>
    <w:rsid w:val="00F07E0E"/>
    <w:rsid w:val="00F104D4"/>
    <w:rsid w:val="00F106D3"/>
    <w:rsid w:val="00F10B5F"/>
    <w:rsid w:val="00F11137"/>
    <w:rsid w:val="00F114AB"/>
    <w:rsid w:val="00F11A15"/>
    <w:rsid w:val="00F11E45"/>
    <w:rsid w:val="00F12A6F"/>
    <w:rsid w:val="00F12C95"/>
    <w:rsid w:val="00F133AB"/>
    <w:rsid w:val="00F13422"/>
    <w:rsid w:val="00F13EBB"/>
    <w:rsid w:val="00F14473"/>
    <w:rsid w:val="00F14C8C"/>
    <w:rsid w:val="00F14CAA"/>
    <w:rsid w:val="00F15E4E"/>
    <w:rsid w:val="00F165A6"/>
    <w:rsid w:val="00F16DF4"/>
    <w:rsid w:val="00F17C13"/>
    <w:rsid w:val="00F17C91"/>
    <w:rsid w:val="00F20287"/>
    <w:rsid w:val="00F20713"/>
    <w:rsid w:val="00F20D1F"/>
    <w:rsid w:val="00F20D57"/>
    <w:rsid w:val="00F20D8B"/>
    <w:rsid w:val="00F21ACA"/>
    <w:rsid w:val="00F229AB"/>
    <w:rsid w:val="00F22A09"/>
    <w:rsid w:val="00F232CF"/>
    <w:rsid w:val="00F24A8E"/>
    <w:rsid w:val="00F255D4"/>
    <w:rsid w:val="00F25950"/>
    <w:rsid w:val="00F263FB"/>
    <w:rsid w:val="00F264BE"/>
    <w:rsid w:val="00F27ADD"/>
    <w:rsid w:val="00F30235"/>
    <w:rsid w:val="00F30804"/>
    <w:rsid w:val="00F30C68"/>
    <w:rsid w:val="00F317FF"/>
    <w:rsid w:val="00F3271F"/>
    <w:rsid w:val="00F32AF2"/>
    <w:rsid w:val="00F32D1B"/>
    <w:rsid w:val="00F32EF4"/>
    <w:rsid w:val="00F330D3"/>
    <w:rsid w:val="00F34724"/>
    <w:rsid w:val="00F357BC"/>
    <w:rsid w:val="00F36806"/>
    <w:rsid w:val="00F36BD4"/>
    <w:rsid w:val="00F37CAD"/>
    <w:rsid w:val="00F405DC"/>
    <w:rsid w:val="00F409E3"/>
    <w:rsid w:val="00F40B80"/>
    <w:rsid w:val="00F40DC2"/>
    <w:rsid w:val="00F43C73"/>
    <w:rsid w:val="00F44110"/>
    <w:rsid w:val="00F44AB1"/>
    <w:rsid w:val="00F44C5C"/>
    <w:rsid w:val="00F45F19"/>
    <w:rsid w:val="00F460AB"/>
    <w:rsid w:val="00F46B87"/>
    <w:rsid w:val="00F46F6C"/>
    <w:rsid w:val="00F4765A"/>
    <w:rsid w:val="00F5065B"/>
    <w:rsid w:val="00F50AC5"/>
    <w:rsid w:val="00F51429"/>
    <w:rsid w:val="00F51EC3"/>
    <w:rsid w:val="00F523D3"/>
    <w:rsid w:val="00F52776"/>
    <w:rsid w:val="00F529E1"/>
    <w:rsid w:val="00F536A2"/>
    <w:rsid w:val="00F538A9"/>
    <w:rsid w:val="00F55C4E"/>
    <w:rsid w:val="00F55C71"/>
    <w:rsid w:val="00F566D0"/>
    <w:rsid w:val="00F5692F"/>
    <w:rsid w:val="00F5708A"/>
    <w:rsid w:val="00F57871"/>
    <w:rsid w:val="00F57A2E"/>
    <w:rsid w:val="00F57FB8"/>
    <w:rsid w:val="00F609CD"/>
    <w:rsid w:val="00F61478"/>
    <w:rsid w:val="00F614BF"/>
    <w:rsid w:val="00F62662"/>
    <w:rsid w:val="00F62A07"/>
    <w:rsid w:val="00F63467"/>
    <w:rsid w:val="00F64A1F"/>
    <w:rsid w:val="00F64CA0"/>
    <w:rsid w:val="00F64F54"/>
    <w:rsid w:val="00F66C0E"/>
    <w:rsid w:val="00F67455"/>
    <w:rsid w:val="00F674ED"/>
    <w:rsid w:val="00F678F1"/>
    <w:rsid w:val="00F67C1B"/>
    <w:rsid w:val="00F67C2E"/>
    <w:rsid w:val="00F70E30"/>
    <w:rsid w:val="00F719A0"/>
    <w:rsid w:val="00F72061"/>
    <w:rsid w:val="00F72BB0"/>
    <w:rsid w:val="00F72E79"/>
    <w:rsid w:val="00F77AB1"/>
    <w:rsid w:val="00F77F28"/>
    <w:rsid w:val="00F80002"/>
    <w:rsid w:val="00F80714"/>
    <w:rsid w:val="00F81344"/>
    <w:rsid w:val="00F81F1E"/>
    <w:rsid w:val="00F82890"/>
    <w:rsid w:val="00F82970"/>
    <w:rsid w:val="00F82B39"/>
    <w:rsid w:val="00F82C9F"/>
    <w:rsid w:val="00F830F3"/>
    <w:rsid w:val="00F83662"/>
    <w:rsid w:val="00F848D9"/>
    <w:rsid w:val="00F8611A"/>
    <w:rsid w:val="00F86456"/>
    <w:rsid w:val="00F86830"/>
    <w:rsid w:val="00F86B22"/>
    <w:rsid w:val="00F86ED6"/>
    <w:rsid w:val="00F8708B"/>
    <w:rsid w:val="00F87752"/>
    <w:rsid w:val="00F877D5"/>
    <w:rsid w:val="00F87F0B"/>
    <w:rsid w:val="00F906CF"/>
    <w:rsid w:val="00F91DBE"/>
    <w:rsid w:val="00F92485"/>
    <w:rsid w:val="00F9252C"/>
    <w:rsid w:val="00F92A62"/>
    <w:rsid w:val="00F931D7"/>
    <w:rsid w:val="00F93845"/>
    <w:rsid w:val="00F94731"/>
    <w:rsid w:val="00F9495C"/>
    <w:rsid w:val="00F94B01"/>
    <w:rsid w:val="00F94F67"/>
    <w:rsid w:val="00F9697A"/>
    <w:rsid w:val="00F975FC"/>
    <w:rsid w:val="00F97EE8"/>
    <w:rsid w:val="00FA01B3"/>
    <w:rsid w:val="00FA0FBA"/>
    <w:rsid w:val="00FA1B51"/>
    <w:rsid w:val="00FA2BE0"/>
    <w:rsid w:val="00FA5064"/>
    <w:rsid w:val="00FA6066"/>
    <w:rsid w:val="00FA6587"/>
    <w:rsid w:val="00FA6E67"/>
    <w:rsid w:val="00FA7820"/>
    <w:rsid w:val="00FB01CE"/>
    <w:rsid w:val="00FB07E4"/>
    <w:rsid w:val="00FB0B9B"/>
    <w:rsid w:val="00FB14EC"/>
    <w:rsid w:val="00FB3AD7"/>
    <w:rsid w:val="00FB445B"/>
    <w:rsid w:val="00FB4BB7"/>
    <w:rsid w:val="00FB4ECC"/>
    <w:rsid w:val="00FB4FDB"/>
    <w:rsid w:val="00FB57D4"/>
    <w:rsid w:val="00FB5D91"/>
    <w:rsid w:val="00FB5DD5"/>
    <w:rsid w:val="00FB7959"/>
    <w:rsid w:val="00FB7994"/>
    <w:rsid w:val="00FC0877"/>
    <w:rsid w:val="00FC13C1"/>
    <w:rsid w:val="00FC2B2F"/>
    <w:rsid w:val="00FC37DA"/>
    <w:rsid w:val="00FC5951"/>
    <w:rsid w:val="00FC5A3C"/>
    <w:rsid w:val="00FC6073"/>
    <w:rsid w:val="00FC6E45"/>
    <w:rsid w:val="00FC7364"/>
    <w:rsid w:val="00FC761E"/>
    <w:rsid w:val="00FC789F"/>
    <w:rsid w:val="00FC7AC5"/>
    <w:rsid w:val="00FD00B6"/>
    <w:rsid w:val="00FD0DAC"/>
    <w:rsid w:val="00FD0EEF"/>
    <w:rsid w:val="00FD143A"/>
    <w:rsid w:val="00FD1B2E"/>
    <w:rsid w:val="00FD1E99"/>
    <w:rsid w:val="00FD3641"/>
    <w:rsid w:val="00FD4143"/>
    <w:rsid w:val="00FD4775"/>
    <w:rsid w:val="00FD4E1E"/>
    <w:rsid w:val="00FD56C7"/>
    <w:rsid w:val="00FD5D08"/>
    <w:rsid w:val="00FD6210"/>
    <w:rsid w:val="00FD641F"/>
    <w:rsid w:val="00FD64AE"/>
    <w:rsid w:val="00FD64E1"/>
    <w:rsid w:val="00FD6F98"/>
    <w:rsid w:val="00FD76C4"/>
    <w:rsid w:val="00FE03B2"/>
    <w:rsid w:val="00FE067D"/>
    <w:rsid w:val="00FE06CD"/>
    <w:rsid w:val="00FE0D7C"/>
    <w:rsid w:val="00FE16C9"/>
    <w:rsid w:val="00FE1B95"/>
    <w:rsid w:val="00FE22A6"/>
    <w:rsid w:val="00FE32CF"/>
    <w:rsid w:val="00FE4149"/>
    <w:rsid w:val="00FE43C3"/>
    <w:rsid w:val="00FE4972"/>
    <w:rsid w:val="00FE4E7D"/>
    <w:rsid w:val="00FE50E5"/>
    <w:rsid w:val="00FE54A2"/>
    <w:rsid w:val="00FE5782"/>
    <w:rsid w:val="00FE5A71"/>
    <w:rsid w:val="00FE61B1"/>
    <w:rsid w:val="00FE6334"/>
    <w:rsid w:val="00FE655C"/>
    <w:rsid w:val="00FE6879"/>
    <w:rsid w:val="00FF07D2"/>
    <w:rsid w:val="00FF084E"/>
    <w:rsid w:val="00FF0D47"/>
    <w:rsid w:val="00FF171A"/>
    <w:rsid w:val="00FF2CED"/>
    <w:rsid w:val="00FF35E3"/>
    <w:rsid w:val="00FF4CEE"/>
    <w:rsid w:val="00FF5063"/>
    <w:rsid w:val="00FF5441"/>
    <w:rsid w:val="00FF5C3D"/>
    <w:rsid w:val="00FF5EBF"/>
    <w:rsid w:val="00FF5F98"/>
    <w:rsid w:val="00FF65DE"/>
    <w:rsid w:val="00FF6CE6"/>
    <w:rsid w:val="00FF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6D6EE70"/>
  <w15:docId w15:val="{424734C7-5F67-4F1C-B988-FE9C8AF0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63D"/>
    <w:pPr>
      <w:spacing w:after="180"/>
    </w:pPr>
    <w:rPr>
      <w:sz w:val="24"/>
      <w:szCs w:val="24"/>
      <w:lang w:val="en-US" w:eastAsia="en-US"/>
    </w:rPr>
  </w:style>
  <w:style w:type="paragraph" w:styleId="Heading1">
    <w:name w:val="heading 1"/>
    <w:aliases w:val="ECHA Heading 1"/>
    <w:next w:val="BodyText"/>
    <w:link w:val="Heading1Char"/>
    <w:uiPriority w:val="99"/>
    <w:qFormat/>
    <w:rsid w:val="0089163D"/>
    <w:pPr>
      <w:keepNext/>
      <w:numPr>
        <w:numId w:val="1"/>
      </w:numPr>
      <w:tabs>
        <w:tab w:val="left" w:pos="839"/>
      </w:tabs>
      <w:spacing w:before="360" w:after="200"/>
      <w:outlineLvl w:val="0"/>
    </w:pPr>
    <w:rPr>
      <w:rFonts w:ascii="Times New Roman Bold" w:hAnsi="Times New Roman Bold"/>
      <w:b/>
      <w:caps/>
      <w:sz w:val="24"/>
      <w:lang w:eastAsia="en-US"/>
    </w:rPr>
  </w:style>
  <w:style w:type="paragraph" w:styleId="Heading2">
    <w:name w:val="heading 2"/>
    <w:basedOn w:val="Heading1"/>
    <w:next w:val="BodyText"/>
    <w:uiPriority w:val="9"/>
    <w:qFormat/>
    <w:rsid w:val="0089163D"/>
    <w:pPr>
      <w:numPr>
        <w:ilvl w:val="1"/>
      </w:numPr>
      <w:jc w:val="both"/>
      <w:outlineLvl w:val="1"/>
    </w:pPr>
    <w:rPr>
      <w:caps w:val="0"/>
    </w:rPr>
  </w:style>
  <w:style w:type="paragraph" w:styleId="Heading3">
    <w:name w:val="heading 3"/>
    <w:aliases w:val="SAR sub section 1.1.1,ECHA Heading 3"/>
    <w:basedOn w:val="Heading2"/>
    <w:next w:val="BodyText"/>
    <w:link w:val="Heading3Char"/>
    <w:uiPriority w:val="99"/>
    <w:qFormat/>
    <w:rsid w:val="0089163D"/>
    <w:pPr>
      <w:numPr>
        <w:ilvl w:val="2"/>
      </w:numPr>
      <w:jc w:val="left"/>
      <w:outlineLvl w:val="2"/>
    </w:pPr>
  </w:style>
  <w:style w:type="paragraph" w:styleId="Heading4">
    <w:name w:val="heading 4"/>
    <w:aliases w:val="ECHA Heading 4"/>
    <w:basedOn w:val="Heading3"/>
    <w:next w:val="BodyText"/>
    <w:uiPriority w:val="9"/>
    <w:qFormat/>
    <w:rsid w:val="0089163D"/>
    <w:pPr>
      <w:numPr>
        <w:ilvl w:val="3"/>
      </w:numPr>
      <w:outlineLvl w:val="3"/>
    </w:pPr>
  </w:style>
  <w:style w:type="paragraph" w:styleId="Heading5">
    <w:name w:val="heading 5"/>
    <w:aliases w:val="ECHA Heading 5"/>
    <w:basedOn w:val="Normal"/>
    <w:next w:val="Normal"/>
    <w:qFormat/>
    <w:rsid w:val="0089163D"/>
    <w:pPr>
      <w:numPr>
        <w:ilvl w:val="4"/>
        <w:numId w:val="1"/>
      </w:numPr>
      <w:spacing w:before="240" w:after="60"/>
      <w:outlineLvl w:val="4"/>
    </w:pPr>
    <w:rPr>
      <w:b/>
      <w:bCs/>
      <w:i/>
      <w:iCs/>
      <w:sz w:val="26"/>
      <w:szCs w:val="26"/>
    </w:rPr>
  </w:style>
  <w:style w:type="paragraph" w:styleId="Heading6">
    <w:name w:val="heading 6"/>
    <w:aliases w:val="ECHA Heading 6"/>
    <w:basedOn w:val="Normal"/>
    <w:next w:val="Normal"/>
    <w:link w:val="Heading6Char"/>
    <w:unhideWhenUsed/>
    <w:qFormat/>
    <w:rsid w:val="00B96773"/>
    <w:pPr>
      <w:numPr>
        <w:ilvl w:val="5"/>
        <w:numId w:val="1"/>
      </w:numPr>
      <w:spacing w:before="240" w:after="60"/>
      <w:outlineLvl w:val="5"/>
    </w:pPr>
    <w:rPr>
      <w:rFonts w:ascii="Calibri" w:hAnsi="Calibri"/>
      <w:b/>
      <w:bCs/>
      <w:sz w:val="22"/>
      <w:szCs w:val="22"/>
    </w:rPr>
  </w:style>
  <w:style w:type="paragraph" w:styleId="Heading7">
    <w:name w:val="heading 7"/>
    <w:aliases w:val="ECHA Heading 7"/>
    <w:next w:val="Normal"/>
    <w:qFormat/>
    <w:rsid w:val="002A565A"/>
    <w:pPr>
      <w:numPr>
        <w:ilvl w:val="6"/>
        <w:numId w:val="1"/>
      </w:numPr>
      <w:spacing w:after="120"/>
      <w:outlineLvl w:val="6"/>
    </w:pPr>
    <w:rPr>
      <w:rFonts w:ascii="Times New Roman Bold" w:hAnsi="Times New Roman Bold"/>
      <w:b/>
      <w:sz w:val="28"/>
      <w:lang w:eastAsia="en-US"/>
    </w:rPr>
  </w:style>
  <w:style w:type="paragraph" w:styleId="Heading8">
    <w:name w:val="heading 8"/>
    <w:aliases w:val="ECHA Heading 8"/>
    <w:next w:val="BodyText"/>
    <w:qFormat/>
    <w:rsid w:val="002A565A"/>
    <w:pPr>
      <w:numPr>
        <w:ilvl w:val="7"/>
        <w:numId w:val="1"/>
      </w:numPr>
      <w:spacing w:after="180"/>
      <w:outlineLvl w:val="7"/>
    </w:pPr>
    <w:rPr>
      <w:sz w:val="24"/>
      <w:szCs w:val="24"/>
      <w:u w:val="single"/>
      <w:lang w:val="en-US" w:eastAsia="en-US"/>
    </w:rPr>
  </w:style>
  <w:style w:type="paragraph" w:styleId="Heading9">
    <w:name w:val="heading 9"/>
    <w:aliases w:val="ECHA Heading 9"/>
    <w:next w:val="BodyText"/>
    <w:qFormat/>
    <w:rsid w:val="002A565A"/>
    <w:pPr>
      <w:numPr>
        <w:ilvl w:val="8"/>
        <w:numId w:val="1"/>
      </w:numPr>
      <w:spacing w:after="200"/>
      <w:outlineLvl w:val="8"/>
    </w:pPr>
    <w:rPr>
      <w: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ar,Car,Char1, Char"/>
    <w:link w:val="BodyTextChar"/>
    <w:rsid w:val="0089163D"/>
    <w:pPr>
      <w:spacing w:after="180"/>
      <w:jc w:val="both"/>
    </w:pPr>
    <w:rPr>
      <w:sz w:val="24"/>
      <w:lang w:eastAsia="en-US"/>
    </w:rPr>
  </w:style>
  <w:style w:type="character" w:customStyle="1" w:styleId="BodyTextChar">
    <w:name w:val="Body Text Char"/>
    <w:aliases w:val=" Car Char,Car Char,Char1 Char, Char Char"/>
    <w:link w:val="BodyText"/>
    <w:rsid w:val="0089163D"/>
    <w:rPr>
      <w:sz w:val="24"/>
      <w:lang w:val="en-GB" w:eastAsia="en-US" w:bidi="ar-SA"/>
    </w:rPr>
  </w:style>
  <w:style w:type="paragraph" w:customStyle="1" w:styleId="Tabletext">
    <w:name w:val="Table text"/>
    <w:link w:val="TabletextCar"/>
    <w:qFormat/>
    <w:rsid w:val="0089163D"/>
    <w:pPr>
      <w:keepNext/>
      <w:keepLines/>
      <w:spacing w:before="54" w:after="54"/>
    </w:pPr>
    <w:rPr>
      <w:snapToGrid w:val="0"/>
      <w:lang w:val="en-US" w:eastAsia="da-DK"/>
    </w:rPr>
  </w:style>
  <w:style w:type="paragraph" w:styleId="Caption">
    <w:name w:val="caption"/>
    <w:aliases w:val="Caption Table"/>
    <w:next w:val="BodyText"/>
    <w:link w:val="CaptionChar"/>
    <w:qFormat/>
    <w:rsid w:val="0089163D"/>
    <w:pPr>
      <w:keepNext/>
      <w:spacing w:before="120" w:after="90"/>
      <w:ind w:left="57"/>
    </w:pPr>
    <w:rPr>
      <w:rFonts w:ascii="Times New Roman Bold" w:hAnsi="Times New Roman Bold"/>
      <w:bCs/>
      <w:sz w:val="24"/>
      <w:lang w:eastAsia="en-US"/>
    </w:rPr>
  </w:style>
  <w:style w:type="paragraph" w:styleId="FootnoteText">
    <w:name w:val="footnote text"/>
    <w:basedOn w:val="BodyText3"/>
    <w:link w:val="FootnoteTextChar"/>
    <w:uiPriority w:val="99"/>
    <w:semiHidden/>
    <w:rsid w:val="0089163D"/>
    <w:pPr>
      <w:spacing w:after="140"/>
      <w:jc w:val="both"/>
    </w:pPr>
    <w:rPr>
      <w:sz w:val="20"/>
      <w:szCs w:val="20"/>
      <w:lang w:val="en-GB"/>
    </w:rPr>
  </w:style>
  <w:style w:type="character" w:styleId="FootnoteReference">
    <w:name w:val="footnote reference"/>
    <w:uiPriority w:val="99"/>
    <w:semiHidden/>
    <w:rsid w:val="0089163D"/>
    <w:rPr>
      <w:position w:val="6"/>
      <w:sz w:val="16"/>
    </w:rPr>
  </w:style>
  <w:style w:type="paragraph" w:customStyle="1" w:styleId="Tabletext-listbullet">
    <w:name w:val="Table text-list bullet"/>
    <w:basedOn w:val="Tabletext"/>
    <w:rsid w:val="0089163D"/>
    <w:pPr>
      <w:numPr>
        <w:numId w:val="2"/>
      </w:numPr>
      <w:tabs>
        <w:tab w:val="clear" w:pos="960"/>
        <w:tab w:val="num" w:pos="357"/>
      </w:tabs>
      <w:ind w:left="357" w:hanging="357"/>
    </w:pPr>
  </w:style>
  <w:style w:type="table" w:styleId="TableGrid">
    <w:name w:val="Table Grid"/>
    <w:basedOn w:val="TableNormal"/>
    <w:uiPriority w:val="39"/>
    <w:rsid w:val="008916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tion Table Char"/>
    <w:link w:val="Caption"/>
    <w:rsid w:val="0089163D"/>
    <w:rPr>
      <w:rFonts w:ascii="Times New Roman Bold" w:hAnsi="Times New Roman Bold"/>
      <w:bCs/>
      <w:sz w:val="24"/>
      <w:lang w:val="en-GB" w:eastAsia="en-US" w:bidi="ar-SA"/>
    </w:rPr>
  </w:style>
  <w:style w:type="character" w:customStyle="1" w:styleId="TabletextCar">
    <w:name w:val="Table text Car"/>
    <w:link w:val="Tabletext"/>
    <w:rsid w:val="0089163D"/>
    <w:rPr>
      <w:snapToGrid w:val="0"/>
      <w:lang w:val="en-US" w:eastAsia="da-DK" w:bidi="ar-SA"/>
    </w:rPr>
  </w:style>
  <w:style w:type="paragraph" w:styleId="BodyText3">
    <w:name w:val="Body Text 3"/>
    <w:basedOn w:val="Normal"/>
    <w:rsid w:val="0089163D"/>
    <w:pPr>
      <w:spacing w:after="120"/>
    </w:pPr>
    <w:rPr>
      <w:sz w:val="16"/>
      <w:szCs w:val="16"/>
    </w:rPr>
  </w:style>
  <w:style w:type="character" w:styleId="CommentReference">
    <w:name w:val="annotation reference"/>
    <w:uiPriority w:val="99"/>
    <w:rsid w:val="0089163D"/>
    <w:rPr>
      <w:sz w:val="16"/>
      <w:szCs w:val="16"/>
    </w:rPr>
  </w:style>
  <w:style w:type="paragraph" w:styleId="CommentText">
    <w:name w:val="annotation text"/>
    <w:aliases w:val=" Char Char Char Char, Char Char Char Char Char,Char Char Char Char,Char Char Char Char Char,Char Char Char Char Char Char Char Char Char Char Char Char,Char Char Char Char Char Char Char Char Char Char,Char,Char Car,Cha,Char Car , Cha"/>
    <w:basedOn w:val="Normal"/>
    <w:link w:val="CommentTextChar"/>
    <w:uiPriority w:val="99"/>
    <w:rsid w:val="007872DF"/>
    <w:rPr>
      <w:sz w:val="20"/>
      <w:szCs w:val="20"/>
    </w:rPr>
  </w:style>
  <w:style w:type="paragraph" w:styleId="BalloonText">
    <w:name w:val="Balloon Text"/>
    <w:basedOn w:val="Normal"/>
    <w:semiHidden/>
    <w:rsid w:val="0089163D"/>
    <w:rPr>
      <w:rFonts w:ascii="Tahoma" w:hAnsi="Tahoma" w:cs="Tahoma"/>
      <w:sz w:val="16"/>
      <w:szCs w:val="16"/>
    </w:rPr>
  </w:style>
  <w:style w:type="paragraph" w:styleId="CommentSubject">
    <w:name w:val="annotation subject"/>
    <w:basedOn w:val="CommentText"/>
    <w:next w:val="CommentText"/>
    <w:semiHidden/>
    <w:rsid w:val="00581479"/>
    <w:rPr>
      <w:b/>
      <w:bCs/>
    </w:rPr>
  </w:style>
  <w:style w:type="paragraph" w:customStyle="1" w:styleId="Tabletitle">
    <w:name w:val="Table title"/>
    <w:basedOn w:val="Normal"/>
    <w:next w:val="Normal"/>
    <w:rsid w:val="002A565A"/>
    <w:pPr>
      <w:spacing w:after="0"/>
    </w:pPr>
  </w:style>
  <w:style w:type="paragraph" w:styleId="Header">
    <w:name w:val="header"/>
    <w:basedOn w:val="Normal"/>
    <w:link w:val="HeaderChar"/>
    <w:rsid w:val="004C5F52"/>
    <w:pPr>
      <w:tabs>
        <w:tab w:val="center" w:pos="4153"/>
        <w:tab w:val="right" w:pos="8306"/>
      </w:tabs>
    </w:pPr>
  </w:style>
  <w:style w:type="paragraph" w:styleId="Footer">
    <w:name w:val="footer"/>
    <w:basedOn w:val="Normal"/>
    <w:rsid w:val="004C5F52"/>
    <w:pPr>
      <w:tabs>
        <w:tab w:val="center" w:pos="4153"/>
        <w:tab w:val="right" w:pos="8306"/>
      </w:tabs>
    </w:pPr>
  </w:style>
  <w:style w:type="character" w:styleId="Hyperlink">
    <w:name w:val="Hyperlink"/>
    <w:uiPriority w:val="99"/>
    <w:rsid w:val="00C33B3A"/>
    <w:rPr>
      <w:rFonts w:ascii="Times New Roman" w:hAnsi="Times New Roman"/>
      <w:color w:val="0000FF"/>
      <w:sz w:val="20"/>
      <w:u w:val="single"/>
    </w:rPr>
  </w:style>
  <w:style w:type="character" w:styleId="PageNumber">
    <w:name w:val="page number"/>
    <w:basedOn w:val="DefaultParagraphFont"/>
    <w:rsid w:val="00902C2B"/>
  </w:style>
  <w:style w:type="character" w:customStyle="1" w:styleId="Heading1Char">
    <w:name w:val="Heading 1 Char"/>
    <w:aliases w:val="ECHA Heading 1 Char"/>
    <w:link w:val="Heading1"/>
    <w:uiPriority w:val="99"/>
    <w:rsid w:val="00AC565C"/>
    <w:rPr>
      <w:rFonts w:ascii="Times New Roman Bold" w:hAnsi="Times New Roman Bold"/>
      <w:b/>
      <w:caps/>
      <w:sz w:val="24"/>
      <w:lang w:eastAsia="en-US"/>
    </w:rPr>
  </w:style>
  <w:style w:type="paragraph" w:styleId="ListParagraph">
    <w:name w:val="List Paragraph"/>
    <w:basedOn w:val="Normal"/>
    <w:uiPriority w:val="34"/>
    <w:qFormat/>
    <w:rsid w:val="00992CB7"/>
    <w:pPr>
      <w:spacing w:after="200" w:line="276" w:lineRule="auto"/>
      <w:ind w:left="720"/>
      <w:contextualSpacing/>
    </w:pPr>
    <w:rPr>
      <w:rFonts w:ascii="Calibri" w:eastAsia="Calibri" w:hAnsi="Calibri"/>
      <w:sz w:val="22"/>
      <w:szCs w:val="22"/>
      <w:lang w:val="en-GB"/>
    </w:rPr>
  </w:style>
  <w:style w:type="character" w:customStyle="1" w:styleId="value">
    <w:name w:val="value"/>
    <w:rsid w:val="00C560F6"/>
  </w:style>
  <w:style w:type="paragraph" w:styleId="Revision">
    <w:name w:val="Revision"/>
    <w:hidden/>
    <w:uiPriority w:val="99"/>
    <w:semiHidden/>
    <w:rsid w:val="00EE25F1"/>
    <w:rPr>
      <w:sz w:val="24"/>
      <w:szCs w:val="24"/>
      <w:lang w:val="en-US" w:eastAsia="en-US"/>
    </w:rPr>
  </w:style>
  <w:style w:type="paragraph" w:customStyle="1" w:styleId="StyleBodyTextCarCarLeftBefore25ptAfter25pt">
    <w:name w:val="Style Body Text CarCar + Left Before:  2.5 pt After:  2.5 pt"/>
    <w:basedOn w:val="BodyText"/>
    <w:rsid w:val="00217E70"/>
    <w:pPr>
      <w:spacing w:before="50" w:after="50"/>
      <w:jc w:val="left"/>
    </w:pPr>
  </w:style>
  <w:style w:type="paragraph" w:styleId="NormalWeb">
    <w:name w:val="Normal (Web)"/>
    <w:basedOn w:val="Normal"/>
    <w:uiPriority w:val="99"/>
    <w:unhideWhenUsed/>
    <w:rsid w:val="008E3119"/>
    <w:pPr>
      <w:spacing w:before="100" w:beforeAutospacing="1" w:after="100" w:afterAutospacing="1"/>
    </w:pPr>
    <w:rPr>
      <w:lang w:val="en-GB" w:eastAsia="en-GB"/>
    </w:rPr>
  </w:style>
  <w:style w:type="character" w:customStyle="1" w:styleId="BodyTextChar2">
    <w:name w:val="Body Text Char2"/>
    <w:aliases w:val="Car Char1,Char1 Char1, Car Char1"/>
    <w:uiPriority w:val="99"/>
    <w:locked/>
    <w:rsid w:val="00DA58F3"/>
    <w:rPr>
      <w:sz w:val="24"/>
      <w:lang w:val="en-GB" w:eastAsia="en-US"/>
    </w:rPr>
  </w:style>
  <w:style w:type="paragraph" w:styleId="DocumentMap">
    <w:name w:val="Document Map"/>
    <w:basedOn w:val="Normal"/>
    <w:link w:val="DocumentMapChar"/>
    <w:rsid w:val="00031622"/>
    <w:rPr>
      <w:rFonts w:ascii="Tahoma" w:hAnsi="Tahoma"/>
      <w:sz w:val="16"/>
      <w:szCs w:val="16"/>
    </w:rPr>
  </w:style>
  <w:style w:type="character" w:customStyle="1" w:styleId="DocumentMapChar">
    <w:name w:val="Document Map Char"/>
    <w:link w:val="DocumentMap"/>
    <w:rsid w:val="00031622"/>
    <w:rPr>
      <w:rFonts w:ascii="Tahoma" w:hAnsi="Tahoma" w:cs="Tahoma"/>
      <w:sz w:val="16"/>
      <w:szCs w:val="16"/>
      <w:lang w:val="en-US" w:eastAsia="en-US"/>
    </w:rPr>
  </w:style>
  <w:style w:type="paragraph" w:customStyle="1" w:styleId="Default">
    <w:name w:val="Default"/>
    <w:rsid w:val="000A10E2"/>
    <w:pPr>
      <w:autoSpaceDE w:val="0"/>
      <w:autoSpaceDN w:val="0"/>
      <w:adjustRightInd w:val="0"/>
    </w:pPr>
    <w:rPr>
      <w:color w:val="000000"/>
      <w:sz w:val="24"/>
      <w:szCs w:val="24"/>
    </w:rPr>
  </w:style>
  <w:style w:type="character" w:styleId="FollowedHyperlink">
    <w:name w:val="FollowedHyperlink"/>
    <w:rsid w:val="00C3585B"/>
    <w:rPr>
      <w:color w:val="954F72"/>
      <w:u w:val="single"/>
    </w:rPr>
  </w:style>
  <w:style w:type="character" w:customStyle="1" w:styleId="reflink">
    <w:name w:val="reflink"/>
    <w:rsid w:val="005520D7"/>
  </w:style>
  <w:style w:type="character" w:customStyle="1" w:styleId="CommentTextChar">
    <w:name w:val="Comment Text Char"/>
    <w:aliases w:val=" Char Char Char Char Char1, Char Char Char Char Char Char,Char Char Char Char Char1,Char Char Char Char Char Char,Char Char Char Char Char Char Char Char Char Char Char Char Char,Char Char Char Char Char Char Char Char Char Char Char"/>
    <w:link w:val="CommentText"/>
    <w:uiPriority w:val="99"/>
    <w:rsid w:val="00AC3A9D"/>
    <w:rPr>
      <w:lang w:val="en-US" w:eastAsia="en-US"/>
    </w:rPr>
  </w:style>
  <w:style w:type="paragraph" w:customStyle="1" w:styleId="TableHeading">
    <w:name w:val="Table Heading"/>
    <w:basedOn w:val="Normal"/>
    <w:next w:val="Normal"/>
    <w:uiPriority w:val="1"/>
    <w:qFormat/>
    <w:rsid w:val="00992BD1"/>
    <w:pPr>
      <w:keepNext/>
      <w:keepLines/>
      <w:spacing w:before="54" w:after="54"/>
    </w:pPr>
    <w:rPr>
      <w:b/>
      <w:bCs/>
      <w:lang w:eastAsia="da-DK"/>
    </w:rPr>
  </w:style>
  <w:style w:type="character" w:customStyle="1" w:styleId="medium">
    <w:name w:val="medium"/>
    <w:rsid w:val="00C84ABB"/>
  </w:style>
  <w:style w:type="paragraph" w:styleId="EndnoteText">
    <w:name w:val="endnote text"/>
    <w:basedOn w:val="Normal"/>
    <w:link w:val="EndnoteTextChar"/>
    <w:rsid w:val="001C2B6D"/>
    <w:rPr>
      <w:sz w:val="20"/>
      <w:szCs w:val="20"/>
    </w:rPr>
  </w:style>
  <w:style w:type="character" w:customStyle="1" w:styleId="EndnoteTextChar">
    <w:name w:val="Endnote Text Char"/>
    <w:link w:val="EndnoteText"/>
    <w:rsid w:val="001C2B6D"/>
    <w:rPr>
      <w:lang w:val="en-US" w:eastAsia="en-US"/>
    </w:rPr>
  </w:style>
  <w:style w:type="character" w:styleId="EndnoteReference">
    <w:name w:val="endnote reference"/>
    <w:rsid w:val="001C2B6D"/>
    <w:rPr>
      <w:vertAlign w:val="superscript"/>
    </w:rPr>
  </w:style>
  <w:style w:type="character" w:customStyle="1" w:styleId="Heading6Char">
    <w:name w:val="Heading 6 Char"/>
    <w:aliases w:val="ECHA Heading 6 Char"/>
    <w:link w:val="Heading6"/>
    <w:rsid w:val="00B96773"/>
    <w:rPr>
      <w:rFonts w:ascii="Calibri" w:hAnsi="Calibri"/>
      <w:b/>
      <w:bCs/>
      <w:sz w:val="22"/>
      <w:szCs w:val="22"/>
      <w:lang w:val="en-US" w:eastAsia="en-US"/>
    </w:rPr>
  </w:style>
  <w:style w:type="paragraph" w:customStyle="1" w:styleId="EABodyText">
    <w:name w:val="EA Body Text"/>
    <w:basedOn w:val="Normal"/>
    <w:rsid w:val="00BE0280"/>
    <w:pPr>
      <w:suppressAutoHyphens/>
      <w:spacing w:after="0"/>
    </w:pPr>
    <w:rPr>
      <w:rFonts w:ascii="Arial" w:hAnsi="Arial"/>
      <w:kern w:val="1"/>
      <w:lang w:val="en-GB" w:eastAsia="ar-SA"/>
    </w:rPr>
  </w:style>
  <w:style w:type="paragraph" w:customStyle="1" w:styleId="EAHeading4">
    <w:name w:val="EA Heading 4"/>
    <w:basedOn w:val="EABodyText"/>
    <w:next w:val="Normal"/>
    <w:rsid w:val="00BE0280"/>
    <w:pPr>
      <w:keepNext/>
      <w:tabs>
        <w:tab w:val="num" w:pos="1797"/>
      </w:tabs>
      <w:ind w:left="1797" w:hanging="1797"/>
      <w:outlineLvl w:val="3"/>
    </w:pPr>
    <w:rPr>
      <w:b/>
    </w:rPr>
  </w:style>
  <w:style w:type="paragraph" w:customStyle="1" w:styleId="ESRBodytext">
    <w:name w:val="ESR Body text"/>
    <w:basedOn w:val="Normal"/>
    <w:rsid w:val="00BE0280"/>
    <w:pPr>
      <w:suppressAutoHyphens/>
      <w:spacing w:after="0"/>
      <w:jc w:val="both"/>
    </w:pPr>
    <w:rPr>
      <w:szCs w:val="20"/>
      <w:lang w:val="en-GB" w:eastAsia="ar-SA"/>
    </w:rPr>
  </w:style>
  <w:style w:type="character" w:styleId="Emphasis">
    <w:name w:val="Emphasis"/>
    <w:basedOn w:val="DefaultParagraphFont"/>
    <w:uiPriority w:val="20"/>
    <w:qFormat/>
    <w:rsid w:val="00BE0280"/>
    <w:rPr>
      <w:i/>
      <w:iCs/>
    </w:rPr>
  </w:style>
  <w:style w:type="paragraph" w:styleId="NoSpacing">
    <w:name w:val="No Spacing"/>
    <w:uiPriority w:val="1"/>
    <w:qFormat/>
    <w:rsid w:val="00BE0280"/>
    <w:rPr>
      <w:rFonts w:ascii="Arial" w:eastAsiaTheme="minorHAnsi" w:hAnsi="Arial" w:cstheme="minorBidi"/>
      <w:sz w:val="24"/>
      <w:szCs w:val="22"/>
      <w:lang w:eastAsia="en-US"/>
    </w:rPr>
  </w:style>
  <w:style w:type="character" w:customStyle="1" w:styleId="value1">
    <w:name w:val="value1"/>
    <w:basedOn w:val="DefaultParagraphFont"/>
    <w:rsid w:val="00487B88"/>
    <w:rPr>
      <w:vanish w:val="0"/>
      <w:webHidden w:val="0"/>
      <w:color w:val="4A6463"/>
      <w:sz w:val="29"/>
      <w:szCs w:val="29"/>
      <w:specVanish w:val="0"/>
    </w:rPr>
  </w:style>
  <w:style w:type="character" w:customStyle="1" w:styleId="label">
    <w:name w:val="label"/>
    <w:basedOn w:val="DefaultParagraphFont"/>
    <w:rsid w:val="00222DF4"/>
    <w:rPr>
      <w:b/>
      <w:bCs/>
      <w:vanish w:val="0"/>
      <w:webHidden w:val="0"/>
      <w:color w:val="637F7E"/>
      <w:sz w:val="24"/>
      <w:szCs w:val="24"/>
      <w:specVanish w:val="0"/>
    </w:rPr>
  </w:style>
  <w:style w:type="character" w:customStyle="1" w:styleId="FootnoteTextChar">
    <w:name w:val="Footnote Text Char"/>
    <w:basedOn w:val="DefaultParagraphFont"/>
    <w:link w:val="FootnoteText"/>
    <w:uiPriority w:val="99"/>
    <w:semiHidden/>
    <w:rsid w:val="004D08BE"/>
    <w:rPr>
      <w:lang w:eastAsia="en-US"/>
    </w:rPr>
  </w:style>
  <w:style w:type="character" w:customStyle="1" w:styleId="st1">
    <w:name w:val="st1"/>
    <w:basedOn w:val="DefaultParagraphFont"/>
    <w:rsid w:val="00B90A16"/>
  </w:style>
  <w:style w:type="character" w:styleId="PlaceholderText">
    <w:name w:val="Placeholder Text"/>
    <w:basedOn w:val="DefaultParagraphFont"/>
    <w:uiPriority w:val="99"/>
    <w:semiHidden/>
    <w:rsid w:val="00D145F5"/>
    <w:rPr>
      <w:color w:val="808080"/>
    </w:rPr>
  </w:style>
  <w:style w:type="paragraph" w:styleId="HTMLPreformatted">
    <w:name w:val="HTML Preformatted"/>
    <w:basedOn w:val="Normal"/>
    <w:link w:val="HTMLPreformattedChar"/>
    <w:uiPriority w:val="99"/>
    <w:unhideWhenUsed/>
    <w:rsid w:val="00C81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C81A6D"/>
    <w:rPr>
      <w:rFonts w:ascii="Courier New" w:hAnsi="Courier New" w:cs="Courier New"/>
    </w:rPr>
  </w:style>
  <w:style w:type="character" w:customStyle="1" w:styleId="apple-converted-space">
    <w:name w:val="apple-converted-space"/>
    <w:basedOn w:val="DefaultParagraphFont"/>
    <w:rsid w:val="007F5C83"/>
  </w:style>
  <w:style w:type="character" w:customStyle="1" w:styleId="maintitle">
    <w:name w:val="maintitle"/>
    <w:basedOn w:val="DefaultParagraphFont"/>
    <w:rsid w:val="007B587B"/>
  </w:style>
  <w:style w:type="paragraph" w:customStyle="1" w:styleId="Sangria">
    <w:name w:val="Sangria"/>
    <w:basedOn w:val="Normal"/>
    <w:rsid w:val="00CD0C60"/>
    <w:pPr>
      <w:tabs>
        <w:tab w:val="left" w:pos="709"/>
      </w:tabs>
      <w:spacing w:after="0" w:line="360" w:lineRule="auto"/>
      <w:ind w:left="851" w:hanging="851"/>
      <w:jc w:val="both"/>
    </w:pPr>
    <w:rPr>
      <w:sz w:val="20"/>
      <w:szCs w:val="20"/>
      <w:lang w:val="en-GB" w:eastAsia="es-ES"/>
    </w:rPr>
  </w:style>
  <w:style w:type="character" w:customStyle="1" w:styleId="Formatmall11pt">
    <w:name w:val="Formatmall 11 pt"/>
    <w:basedOn w:val="DefaultParagraphFont"/>
    <w:rsid w:val="00C4272C"/>
    <w:rPr>
      <w:sz w:val="24"/>
    </w:rPr>
  </w:style>
  <w:style w:type="character" w:customStyle="1" w:styleId="Heading3Char">
    <w:name w:val="Heading 3 Char"/>
    <w:aliases w:val="SAR sub section 1.1.1 Char,ECHA Heading 3 Char"/>
    <w:basedOn w:val="DefaultParagraphFont"/>
    <w:link w:val="Heading3"/>
    <w:uiPriority w:val="99"/>
    <w:rsid w:val="00C629FB"/>
    <w:rPr>
      <w:rFonts w:ascii="Times New Roman Bold" w:hAnsi="Times New Roman Bold"/>
      <w:b/>
      <w:sz w:val="24"/>
      <w:lang w:eastAsia="en-US"/>
    </w:rPr>
  </w:style>
  <w:style w:type="character" w:styleId="Strong">
    <w:name w:val="Strong"/>
    <w:basedOn w:val="DefaultParagraphFont"/>
    <w:uiPriority w:val="22"/>
    <w:qFormat/>
    <w:rsid w:val="003F0F1B"/>
    <w:rPr>
      <w:b/>
      <w:bCs/>
    </w:rPr>
  </w:style>
  <w:style w:type="paragraph" w:customStyle="1" w:styleId="para">
    <w:name w:val="para"/>
    <w:basedOn w:val="Normal"/>
    <w:rsid w:val="0045257E"/>
    <w:pPr>
      <w:spacing w:before="100" w:beforeAutospacing="1" w:after="100" w:afterAutospacing="1"/>
    </w:pPr>
    <w:rPr>
      <w:lang w:val="en-GB" w:eastAsia="en-GB"/>
    </w:rPr>
  </w:style>
  <w:style w:type="paragraph" w:styleId="TOCHeading">
    <w:name w:val="TOC Heading"/>
    <w:basedOn w:val="Heading1"/>
    <w:next w:val="Normal"/>
    <w:uiPriority w:val="39"/>
    <w:semiHidden/>
    <w:unhideWhenUsed/>
    <w:qFormat/>
    <w:rsid w:val="007602A0"/>
    <w:pPr>
      <w:keepLines/>
      <w:numPr>
        <w:numId w:val="0"/>
      </w:numPr>
      <w:tabs>
        <w:tab w:val="clear" w:pos="839"/>
      </w:tab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rPr>
  </w:style>
  <w:style w:type="paragraph" w:styleId="TOC1">
    <w:name w:val="toc 1"/>
    <w:basedOn w:val="Normal"/>
    <w:next w:val="Normal"/>
    <w:autoRedefine/>
    <w:uiPriority w:val="39"/>
    <w:rsid w:val="007602A0"/>
    <w:pPr>
      <w:spacing w:after="100"/>
    </w:pPr>
  </w:style>
  <w:style w:type="paragraph" w:styleId="TOC2">
    <w:name w:val="toc 2"/>
    <w:basedOn w:val="Normal"/>
    <w:next w:val="Normal"/>
    <w:autoRedefine/>
    <w:uiPriority w:val="39"/>
    <w:rsid w:val="007602A0"/>
    <w:pPr>
      <w:spacing w:after="100"/>
      <w:ind w:left="240"/>
    </w:pPr>
  </w:style>
  <w:style w:type="paragraph" w:styleId="TOC3">
    <w:name w:val="toc 3"/>
    <w:basedOn w:val="Normal"/>
    <w:next w:val="Normal"/>
    <w:autoRedefine/>
    <w:uiPriority w:val="39"/>
    <w:rsid w:val="007602A0"/>
    <w:pPr>
      <w:spacing w:after="100"/>
      <w:ind w:left="480"/>
    </w:pPr>
  </w:style>
  <w:style w:type="character" w:customStyle="1" w:styleId="articlecitationyear">
    <w:name w:val="articlecitation_year"/>
    <w:basedOn w:val="DefaultParagraphFont"/>
    <w:rsid w:val="00E94E0C"/>
  </w:style>
  <w:style w:type="character" w:customStyle="1" w:styleId="articlecitationvolume">
    <w:name w:val="articlecitation_volume"/>
    <w:basedOn w:val="DefaultParagraphFont"/>
    <w:rsid w:val="00E94E0C"/>
  </w:style>
  <w:style w:type="character" w:customStyle="1" w:styleId="articlecitationissue">
    <w:name w:val="articlecitation_issue"/>
    <w:basedOn w:val="DefaultParagraphFont"/>
    <w:rsid w:val="00E94E0C"/>
  </w:style>
  <w:style w:type="character" w:customStyle="1" w:styleId="articlecitationpages">
    <w:name w:val="articlecitation_pages"/>
    <w:basedOn w:val="DefaultParagraphFont"/>
    <w:rsid w:val="00E94E0C"/>
  </w:style>
  <w:style w:type="character" w:styleId="HTMLCite">
    <w:name w:val="HTML Cite"/>
    <w:basedOn w:val="DefaultParagraphFont"/>
    <w:uiPriority w:val="99"/>
    <w:unhideWhenUsed/>
    <w:rsid w:val="002D5EFF"/>
    <w:rPr>
      <w:i w:val="0"/>
      <w:iCs w:val="0"/>
      <w:color w:val="006621"/>
    </w:rPr>
  </w:style>
  <w:style w:type="character" w:customStyle="1" w:styleId="value8">
    <w:name w:val="value8"/>
    <w:basedOn w:val="DefaultParagraphFont"/>
    <w:rsid w:val="00865648"/>
    <w:rPr>
      <w:vanish w:val="0"/>
      <w:webHidden w:val="0"/>
      <w:color w:val="4A6463"/>
      <w:sz w:val="29"/>
      <w:szCs w:val="29"/>
      <w:specVanish w:val="0"/>
    </w:rPr>
  </w:style>
  <w:style w:type="paragraph" w:styleId="TableofFigures">
    <w:name w:val="table of figures"/>
    <w:basedOn w:val="Normal"/>
    <w:next w:val="Normal"/>
    <w:uiPriority w:val="99"/>
    <w:rsid w:val="00172668"/>
    <w:pPr>
      <w:spacing w:after="0"/>
    </w:pPr>
  </w:style>
  <w:style w:type="paragraph" w:customStyle="1" w:styleId="Tabletext0">
    <w:name w:val="Tabletext"/>
    <w:basedOn w:val="BodyText"/>
    <w:link w:val="TabletextChar"/>
    <w:rsid w:val="00262869"/>
    <w:pPr>
      <w:widowControl w:val="0"/>
      <w:snapToGrid w:val="0"/>
      <w:spacing w:after="0"/>
      <w:jc w:val="left"/>
    </w:pPr>
    <w:rPr>
      <w:rFonts w:ascii="Verdana" w:hAnsi="Verdana"/>
      <w:sz w:val="18"/>
      <w:lang w:eastAsia="fi-FI"/>
    </w:rPr>
  </w:style>
  <w:style w:type="character" w:customStyle="1" w:styleId="HeaderChar">
    <w:name w:val="Header Char"/>
    <w:basedOn w:val="DefaultParagraphFont"/>
    <w:link w:val="Header"/>
    <w:rsid w:val="00262869"/>
    <w:rPr>
      <w:sz w:val="24"/>
      <w:szCs w:val="24"/>
      <w:lang w:val="en-US" w:eastAsia="en-US"/>
    </w:rPr>
  </w:style>
  <w:style w:type="character" w:customStyle="1" w:styleId="TabletextChar">
    <w:name w:val="Tabletext Char"/>
    <w:basedOn w:val="DefaultParagraphFont"/>
    <w:link w:val="Tabletext0"/>
    <w:rsid w:val="00262869"/>
    <w:rPr>
      <w:rFonts w:ascii="Verdana" w:hAnsi="Verdana"/>
      <w:sz w:val="18"/>
      <w:lang w:eastAsia="fi-FI"/>
    </w:rPr>
  </w:style>
  <w:style w:type="paragraph" w:customStyle="1" w:styleId="manuscript2">
    <w:name w:val="manuscript2"/>
    <w:basedOn w:val="Normal"/>
    <w:link w:val="manuscript2Char"/>
    <w:qFormat/>
    <w:rsid w:val="00A42CC4"/>
    <w:pPr>
      <w:widowControl w:val="0"/>
      <w:wordWrap w:val="0"/>
      <w:autoSpaceDE w:val="0"/>
      <w:autoSpaceDN w:val="0"/>
      <w:spacing w:after="0" w:line="480" w:lineRule="auto"/>
      <w:jc w:val="both"/>
    </w:pPr>
    <w:rPr>
      <w:rFonts w:eastAsia="Malgun Gothic"/>
      <w:lang w:val="x-none" w:eastAsia="x-none"/>
    </w:rPr>
  </w:style>
  <w:style w:type="character" w:customStyle="1" w:styleId="manuscript2Char">
    <w:name w:val="manuscript2 Char"/>
    <w:link w:val="manuscript2"/>
    <w:rsid w:val="00A42CC4"/>
    <w:rPr>
      <w:rFonts w:eastAsia="Malgun Gothic"/>
      <w:sz w:val="24"/>
      <w:szCs w:val="24"/>
      <w:lang w:val="x-none" w:eastAsia="x-none"/>
    </w:rPr>
  </w:style>
  <w:style w:type="character" w:customStyle="1" w:styleId="cli-no-wrap">
    <w:name w:val="cli-no-wrap"/>
    <w:basedOn w:val="DefaultParagraphFont"/>
    <w:rsid w:val="00CF3DEF"/>
  </w:style>
  <w:style w:type="character" w:customStyle="1" w:styleId="clinventoryhelpcursor">
    <w:name w:val="clinventoryhelpcursor"/>
    <w:basedOn w:val="DefaultParagraphFont"/>
    <w:rsid w:val="00CF3DEF"/>
  </w:style>
  <w:style w:type="paragraph" w:customStyle="1" w:styleId="Titleintro">
    <w:name w:val="Title intro"/>
    <w:basedOn w:val="Normal"/>
    <w:link w:val="TitleintroChar"/>
    <w:qFormat/>
    <w:rsid w:val="00661A8A"/>
    <w:pPr>
      <w:spacing w:before="240" w:after="360"/>
      <w:jc w:val="center"/>
    </w:pPr>
    <w:rPr>
      <w:rFonts w:ascii="Verdana" w:hAnsi="Verdana"/>
      <w:b/>
      <w:caps/>
      <w:sz w:val="32"/>
      <w:szCs w:val="32"/>
      <w:lang w:val="en-GB"/>
    </w:rPr>
  </w:style>
  <w:style w:type="character" w:customStyle="1" w:styleId="TitleintroChar">
    <w:name w:val="Title intro Char"/>
    <w:link w:val="Titleintro"/>
    <w:locked/>
    <w:rsid w:val="00661A8A"/>
    <w:rPr>
      <w:rFonts w:ascii="Verdana" w:hAnsi="Verdana"/>
      <w:b/>
      <w:cap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601">
      <w:bodyDiv w:val="1"/>
      <w:marLeft w:val="0"/>
      <w:marRight w:val="0"/>
      <w:marTop w:val="0"/>
      <w:marBottom w:val="0"/>
      <w:divBdr>
        <w:top w:val="none" w:sz="0" w:space="0" w:color="auto"/>
        <w:left w:val="none" w:sz="0" w:space="0" w:color="auto"/>
        <w:bottom w:val="none" w:sz="0" w:space="0" w:color="auto"/>
        <w:right w:val="none" w:sz="0" w:space="0" w:color="auto"/>
      </w:divBdr>
    </w:div>
    <w:div w:id="50085320">
      <w:bodyDiv w:val="1"/>
      <w:marLeft w:val="0"/>
      <w:marRight w:val="0"/>
      <w:marTop w:val="0"/>
      <w:marBottom w:val="0"/>
      <w:divBdr>
        <w:top w:val="none" w:sz="0" w:space="0" w:color="auto"/>
        <w:left w:val="none" w:sz="0" w:space="0" w:color="auto"/>
        <w:bottom w:val="none" w:sz="0" w:space="0" w:color="auto"/>
        <w:right w:val="none" w:sz="0" w:space="0" w:color="auto"/>
      </w:divBdr>
    </w:div>
    <w:div w:id="57478718">
      <w:bodyDiv w:val="1"/>
      <w:marLeft w:val="0"/>
      <w:marRight w:val="0"/>
      <w:marTop w:val="0"/>
      <w:marBottom w:val="0"/>
      <w:divBdr>
        <w:top w:val="none" w:sz="0" w:space="0" w:color="auto"/>
        <w:left w:val="none" w:sz="0" w:space="0" w:color="auto"/>
        <w:bottom w:val="none" w:sz="0" w:space="0" w:color="auto"/>
        <w:right w:val="none" w:sz="0" w:space="0" w:color="auto"/>
      </w:divBdr>
    </w:div>
    <w:div w:id="66149108">
      <w:bodyDiv w:val="1"/>
      <w:marLeft w:val="0"/>
      <w:marRight w:val="0"/>
      <w:marTop w:val="0"/>
      <w:marBottom w:val="0"/>
      <w:divBdr>
        <w:top w:val="none" w:sz="0" w:space="0" w:color="auto"/>
        <w:left w:val="none" w:sz="0" w:space="0" w:color="auto"/>
        <w:bottom w:val="none" w:sz="0" w:space="0" w:color="auto"/>
        <w:right w:val="none" w:sz="0" w:space="0" w:color="auto"/>
      </w:divBdr>
    </w:div>
    <w:div w:id="92286531">
      <w:bodyDiv w:val="1"/>
      <w:marLeft w:val="0"/>
      <w:marRight w:val="0"/>
      <w:marTop w:val="0"/>
      <w:marBottom w:val="0"/>
      <w:divBdr>
        <w:top w:val="none" w:sz="0" w:space="0" w:color="auto"/>
        <w:left w:val="none" w:sz="0" w:space="0" w:color="auto"/>
        <w:bottom w:val="none" w:sz="0" w:space="0" w:color="auto"/>
        <w:right w:val="none" w:sz="0" w:space="0" w:color="auto"/>
      </w:divBdr>
      <w:divsChild>
        <w:div w:id="739406159">
          <w:marLeft w:val="0"/>
          <w:marRight w:val="0"/>
          <w:marTop w:val="0"/>
          <w:marBottom w:val="0"/>
          <w:divBdr>
            <w:top w:val="none" w:sz="0" w:space="0" w:color="auto"/>
            <w:left w:val="none" w:sz="0" w:space="0" w:color="auto"/>
            <w:bottom w:val="none" w:sz="0" w:space="0" w:color="auto"/>
            <w:right w:val="none" w:sz="0" w:space="0" w:color="auto"/>
          </w:divBdr>
        </w:div>
        <w:div w:id="814875679">
          <w:marLeft w:val="0"/>
          <w:marRight w:val="0"/>
          <w:marTop w:val="0"/>
          <w:marBottom w:val="0"/>
          <w:divBdr>
            <w:top w:val="none" w:sz="0" w:space="0" w:color="auto"/>
            <w:left w:val="none" w:sz="0" w:space="0" w:color="auto"/>
            <w:bottom w:val="none" w:sz="0" w:space="0" w:color="auto"/>
            <w:right w:val="none" w:sz="0" w:space="0" w:color="auto"/>
          </w:divBdr>
        </w:div>
        <w:div w:id="1006829878">
          <w:marLeft w:val="0"/>
          <w:marRight w:val="0"/>
          <w:marTop w:val="0"/>
          <w:marBottom w:val="0"/>
          <w:divBdr>
            <w:top w:val="none" w:sz="0" w:space="0" w:color="auto"/>
            <w:left w:val="none" w:sz="0" w:space="0" w:color="auto"/>
            <w:bottom w:val="none" w:sz="0" w:space="0" w:color="auto"/>
            <w:right w:val="none" w:sz="0" w:space="0" w:color="auto"/>
          </w:divBdr>
        </w:div>
        <w:div w:id="1403521700">
          <w:marLeft w:val="0"/>
          <w:marRight w:val="0"/>
          <w:marTop w:val="0"/>
          <w:marBottom w:val="0"/>
          <w:divBdr>
            <w:top w:val="none" w:sz="0" w:space="0" w:color="auto"/>
            <w:left w:val="none" w:sz="0" w:space="0" w:color="auto"/>
            <w:bottom w:val="none" w:sz="0" w:space="0" w:color="auto"/>
            <w:right w:val="none" w:sz="0" w:space="0" w:color="auto"/>
          </w:divBdr>
        </w:div>
        <w:div w:id="1868643270">
          <w:marLeft w:val="0"/>
          <w:marRight w:val="0"/>
          <w:marTop w:val="0"/>
          <w:marBottom w:val="0"/>
          <w:divBdr>
            <w:top w:val="none" w:sz="0" w:space="0" w:color="auto"/>
            <w:left w:val="none" w:sz="0" w:space="0" w:color="auto"/>
            <w:bottom w:val="none" w:sz="0" w:space="0" w:color="auto"/>
            <w:right w:val="none" w:sz="0" w:space="0" w:color="auto"/>
          </w:divBdr>
        </w:div>
        <w:div w:id="1956524031">
          <w:marLeft w:val="0"/>
          <w:marRight w:val="0"/>
          <w:marTop w:val="0"/>
          <w:marBottom w:val="0"/>
          <w:divBdr>
            <w:top w:val="none" w:sz="0" w:space="0" w:color="auto"/>
            <w:left w:val="none" w:sz="0" w:space="0" w:color="auto"/>
            <w:bottom w:val="none" w:sz="0" w:space="0" w:color="auto"/>
            <w:right w:val="none" w:sz="0" w:space="0" w:color="auto"/>
          </w:divBdr>
        </w:div>
      </w:divsChild>
    </w:div>
    <w:div w:id="92287391">
      <w:bodyDiv w:val="1"/>
      <w:marLeft w:val="0"/>
      <w:marRight w:val="0"/>
      <w:marTop w:val="0"/>
      <w:marBottom w:val="0"/>
      <w:divBdr>
        <w:top w:val="none" w:sz="0" w:space="0" w:color="auto"/>
        <w:left w:val="none" w:sz="0" w:space="0" w:color="auto"/>
        <w:bottom w:val="none" w:sz="0" w:space="0" w:color="auto"/>
        <w:right w:val="none" w:sz="0" w:space="0" w:color="auto"/>
      </w:divBdr>
    </w:div>
    <w:div w:id="110441079">
      <w:bodyDiv w:val="1"/>
      <w:marLeft w:val="0"/>
      <w:marRight w:val="0"/>
      <w:marTop w:val="0"/>
      <w:marBottom w:val="0"/>
      <w:divBdr>
        <w:top w:val="none" w:sz="0" w:space="0" w:color="auto"/>
        <w:left w:val="none" w:sz="0" w:space="0" w:color="auto"/>
        <w:bottom w:val="none" w:sz="0" w:space="0" w:color="auto"/>
        <w:right w:val="none" w:sz="0" w:space="0" w:color="auto"/>
      </w:divBdr>
    </w:div>
    <w:div w:id="111824037">
      <w:bodyDiv w:val="1"/>
      <w:marLeft w:val="0"/>
      <w:marRight w:val="0"/>
      <w:marTop w:val="0"/>
      <w:marBottom w:val="0"/>
      <w:divBdr>
        <w:top w:val="none" w:sz="0" w:space="0" w:color="auto"/>
        <w:left w:val="none" w:sz="0" w:space="0" w:color="auto"/>
        <w:bottom w:val="none" w:sz="0" w:space="0" w:color="auto"/>
        <w:right w:val="none" w:sz="0" w:space="0" w:color="auto"/>
      </w:divBdr>
    </w:div>
    <w:div w:id="116603510">
      <w:bodyDiv w:val="1"/>
      <w:marLeft w:val="0"/>
      <w:marRight w:val="0"/>
      <w:marTop w:val="0"/>
      <w:marBottom w:val="0"/>
      <w:divBdr>
        <w:top w:val="none" w:sz="0" w:space="0" w:color="auto"/>
        <w:left w:val="none" w:sz="0" w:space="0" w:color="auto"/>
        <w:bottom w:val="none" w:sz="0" w:space="0" w:color="auto"/>
        <w:right w:val="none" w:sz="0" w:space="0" w:color="auto"/>
      </w:divBdr>
      <w:divsChild>
        <w:div w:id="963732424">
          <w:marLeft w:val="0"/>
          <w:marRight w:val="0"/>
          <w:marTop w:val="0"/>
          <w:marBottom w:val="0"/>
          <w:divBdr>
            <w:top w:val="single" w:sz="2" w:space="0" w:color="2E2E2E"/>
            <w:left w:val="single" w:sz="2" w:space="0" w:color="2E2E2E"/>
            <w:bottom w:val="single" w:sz="2" w:space="0" w:color="2E2E2E"/>
            <w:right w:val="single" w:sz="2" w:space="0" w:color="2E2E2E"/>
          </w:divBdr>
          <w:divsChild>
            <w:div w:id="1374649034">
              <w:marLeft w:val="0"/>
              <w:marRight w:val="0"/>
              <w:marTop w:val="0"/>
              <w:marBottom w:val="0"/>
              <w:divBdr>
                <w:top w:val="single" w:sz="4" w:space="0" w:color="C9C9C9"/>
                <w:left w:val="none" w:sz="0" w:space="0" w:color="auto"/>
                <w:bottom w:val="none" w:sz="0" w:space="0" w:color="auto"/>
                <w:right w:val="none" w:sz="0" w:space="0" w:color="auto"/>
              </w:divBdr>
              <w:divsChild>
                <w:div w:id="243999008">
                  <w:marLeft w:val="0"/>
                  <w:marRight w:val="0"/>
                  <w:marTop w:val="0"/>
                  <w:marBottom w:val="0"/>
                  <w:divBdr>
                    <w:top w:val="none" w:sz="0" w:space="0" w:color="auto"/>
                    <w:left w:val="none" w:sz="0" w:space="0" w:color="auto"/>
                    <w:bottom w:val="none" w:sz="0" w:space="0" w:color="auto"/>
                    <w:right w:val="none" w:sz="0" w:space="0" w:color="auto"/>
                  </w:divBdr>
                  <w:divsChild>
                    <w:div w:id="265432047">
                      <w:marLeft w:val="0"/>
                      <w:marRight w:val="0"/>
                      <w:marTop w:val="0"/>
                      <w:marBottom w:val="0"/>
                      <w:divBdr>
                        <w:top w:val="none" w:sz="0" w:space="0" w:color="auto"/>
                        <w:left w:val="none" w:sz="0" w:space="0" w:color="auto"/>
                        <w:bottom w:val="none" w:sz="0" w:space="0" w:color="auto"/>
                        <w:right w:val="none" w:sz="0" w:space="0" w:color="auto"/>
                      </w:divBdr>
                      <w:divsChild>
                        <w:div w:id="946039455">
                          <w:marLeft w:val="0"/>
                          <w:marRight w:val="0"/>
                          <w:marTop w:val="0"/>
                          <w:marBottom w:val="0"/>
                          <w:divBdr>
                            <w:top w:val="none" w:sz="0" w:space="0" w:color="auto"/>
                            <w:left w:val="none" w:sz="0" w:space="0" w:color="auto"/>
                            <w:bottom w:val="none" w:sz="0" w:space="0" w:color="auto"/>
                            <w:right w:val="none" w:sz="0" w:space="0" w:color="auto"/>
                          </w:divBdr>
                        </w:div>
                        <w:div w:id="1382823887">
                          <w:marLeft w:val="0"/>
                          <w:marRight w:val="0"/>
                          <w:marTop w:val="173"/>
                          <w:marBottom w:val="242"/>
                          <w:divBdr>
                            <w:top w:val="single" w:sz="4" w:space="0" w:color="D7D7D7"/>
                            <w:left w:val="single" w:sz="2" w:space="0" w:color="D7D7D7"/>
                            <w:bottom w:val="single" w:sz="4" w:space="0" w:color="D7D7D7"/>
                            <w:right w:val="single" w:sz="2" w:space="0" w:color="D7D7D7"/>
                          </w:divBdr>
                          <w:divsChild>
                            <w:div w:id="1092582567">
                              <w:marLeft w:val="0"/>
                              <w:marRight w:val="0"/>
                              <w:marTop w:val="0"/>
                              <w:marBottom w:val="0"/>
                              <w:divBdr>
                                <w:top w:val="none" w:sz="0" w:space="0" w:color="auto"/>
                                <w:left w:val="none" w:sz="0" w:space="0" w:color="auto"/>
                                <w:bottom w:val="none" w:sz="0" w:space="0" w:color="auto"/>
                                <w:right w:val="none" w:sz="0" w:space="0" w:color="auto"/>
                              </w:divBdr>
                            </w:div>
                            <w:div w:id="2109153981">
                              <w:marLeft w:val="0"/>
                              <w:marRight w:val="0"/>
                              <w:marTop w:val="0"/>
                              <w:marBottom w:val="0"/>
                              <w:divBdr>
                                <w:top w:val="none" w:sz="0" w:space="0" w:color="auto"/>
                                <w:left w:val="none" w:sz="0" w:space="0" w:color="auto"/>
                                <w:bottom w:val="none" w:sz="0" w:space="0" w:color="auto"/>
                                <w:right w:val="none" w:sz="0" w:space="0" w:color="auto"/>
                              </w:divBdr>
                              <w:divsChild>
                                <w:div w:id="9287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10704">
      <w:bodyDiv w:val="1"/>
      <w:marLeft w:val="0"/>
      <w:marRight w:val="0"/>
      <w:marTop w:val="0"/>
      <w:marBottom w:val="0"/>
      <w:divBdr>
        <w:top w:val="none" w:sz="0" w:space="0" w:color="auto"/>
        <w:left w:val="none" w:sz="0" w:space="0" w:color="auto"/>
        <w:bottom w:val="none" w:sz="0" w:space="0" w:color="auto"/>
        <w:right w:val="none" w:sz="0" w:space="0" w:color="auto"/>
      </w:divBdr>
    </w:div>
    <w:div w:id="197132392">
      <w:bodyDiv w:val="1"/>
      <w:marLeft w:val="0"/>
      <w:marRight w:val="0"/>
      <w:marTop w:val="0"/>
      <w:marBottom w:val="0"/>
      <w:divBdr>
        <w:top w:val="none" w:sz="0" w:space="0" w:color="auto"/>
        <w:left w:val="none" w:sz="0" w:space="0" w:color="auto"/>
        <w:bottom w:val="none" w:sz="0" w:space="0" w:color="auto"/>
        <w:right w:val="none" w:sz="0" w:space="0" w:color="auto"/>
      </w:divBdr>
      <w:divsChild>
        <w:div w:id="1796823900">
          <w:marLeft w:val="0"/>
          <w:marRight w:val="0"/>
          <w:marTop w:val="0"/>
          <w:marBottom w:val="0"/>
          <w:divBdr>
            <w:top w:val="none" w:sz="0" w:space="0" w:color="auto"/>
            <w:left w:val="none" w:sz="0" w:space="0" w:color="auto"/>
            <w:bottom w:val="none" w:sz="0" w:space="0" w:color="auto"/>
            <w:right w:val="none" w:sz="0" w:space="0" w:color="auto"/>
          </w:divBdr>
          <w:divsChild>
            <w:div w:id="1686713941">
              <w:marLeft w:val="0"/>
              <w:marRight w:val="0"/>
              <w:marTop w:val="0"/>
              <w:marBottom w:val="0"/>
              <w:divBdr>
                <w:top w:val="none" w:sz="0" w:space="0" w:color="auto"/>
                <w:left w:val="none" w:sz="0" w:space="0" w:color="auto"/>
                <w:bottom w:val="none" w:sz="0" w:space="0" w:color="auto"/>
                <w:right w:val="none" w:sz="0" w:space="0" w:color="auto"/>
              </w:divBdr>
              <w:divsChild>
                <w:div w:id="1001005561">
                  <w:marLeft w:val="0"/>
                  <w:marRight w:val="0"/>
                  <w:marTop w:val="0"/>
                  <w:marBottom w:val="0"/>
                  <w:divBdr>
                    <w:top w:val="none" w:sz="0" w:space="0" w:color="auto"/>
                    <w:left w:val="none" w:sz="0" w:space="0" w:color="auto"/>
                    <w:bottom w:val="none" w:sz="0" w:space="0" w:color="auto"/>
                    <w:right w:val="none" w:sz="0" w:space="0" w:color="auto"/>
                  </w:divBdr>
                  <w:divsChild>
                    <w:div w:id="2085058109">
                      <w:marLeft w:val="0"/>
                      <w:marRight w:val="0"/>
                      <w:marTop w:val="0"/>
                      <w:marBottom w:val="0"/>
                      <w:divBdr>
                        <w:top w:val="none" w:sz="0" w:space="0" w:color="auto"/>
                        <w:left w:val="none" w:sz="0" w:space="0" w:color="auto"/>
                        <w:bottom w:val="none" w:sz="0" w:space="0" w:color="auto"/>
                        <w:right w:val="none" w:sz="0" w:space="0" w:color="auto"/>
                      </w:divBdr>
                      <w:divsChild>
                        <w:div w:id="321858293">
                          <w:marLeft w:val="0"/>
                          <w:marRight w:val="0"/>
                          <w:marTop w:val="0"/>
                          <w:marBottom w:val="0"/>
                          <w:divBdr>
                            <w:top w:val="none" w:sz="0" w:space="0" w:color="auto"/>
                            <w:left w:val="none" w:sz="0" w:space="0" w:color="auto"/>
                            <w:bottom w:val="none" w:sz="0" w:space="0" w:color="auto"/>
                            <w:right w:val="none" w:sz="0" w:space="0" w:color="auto"/>
                          </w:divBdr>
                          <w:divsChild>
                            <w:div w:id="413361126">
                              <w:marLeft w:val="0"/>
                              <w:marRight w:val="0"/>
                              <w:marTop w:val="0"/>
                              <w:marBottom w:val="0"/>
                              <w:divBdr>
                                <w:top w:val="none" w:sz="0" w:space="0" w:color="auto"/>
                                <w:left w:val="none" w:sz="0" w:space="0" w:color="auto"/>
                                <w:bottom w:val="none" w:sz="0" w:space="0" w:color="auto"/>
                                <w:right w:val="none" w:sz="0" w:space="0" w:color="auto"/>
                              </w:divBdr>
                              <w:divsChild>
                                <w:div w:id="326372894">
                                  <w:marLeft w:val="0"/>
                                  <w:marRight w:val="0"/>
                                  <w:marTop w:val="0"/>
                                  <w:marBottom w:val="0"/>
                                  <w:divBdr>
                                    <w:top w:val="none" w:sz="0" w:space="0" w:color="auto"/>
                                    <w:left w:val="none" w:sz="0" w:space="0" w:color="auto"/>
                                    <w:bottom w:val="none" w:sz="0" w:space="0" w:color="auto"/>
                                    <w:right w:val="none" w:sz="0" w:space="0" w:color="auto"/>
                                  </w:divBdr>
                                  <w:divsChild>
                                    <w:div w:id="1030372697">
                                      <w:marLeft w:val="0"/>
                                      <w:marRight w:val="0"/>
                                      <w:marTop w:val="0"/>
                                      <w:marBottom w:val="0"/>
                                      <w:divBdr>
                                        <w:top w:val="none" w:sz="0" w:space="0" w:color="auto"/>
                                        <w:left w:val="none" w:sz="0" w:space="0" w:color="auto"/>
                                        <w:bottom w:val="none" w:sz="0" w:space="0" w:color="auto"/>
                                        <w:right w:val="none" w:sz="0" w:space="0" w:color="auto"/>
                                      </w:divBdr>
                                      <w:divsChild>
                                        <w:div w:id="4563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1972">
      <w:bodyDiv w:val="1"/>
      <w:marLeft w:val="0"/>
      <w:marRight w:val="0"/>
      <w:marTop w:val="0"/>
      <w:marBottom w:val="0"/>
      <w:divBdr>
        <w:top w:val="none" w:sz="0" w:space="0" w:color="auto"/>
        <w:left w:val="none" w:sz="0" w:space="0" w:color="auto"/>
        <w:bottom w:val="none" w:sz="0" w:space="0" w:color="auto"/>
        <w:right w:val="none" w:sz="0" w:space="0" w:color="auto"/>
      </w:divBdr>
    </w:div>
    <w:div w:id="209655237">
      <w:bodyDiv w:val="1"/>
      <w:marLeft w:val="0"/>
      <w:marRight w:val="0"/>
      <w:marTop w:val="0"/>
      <w:marBottom w:val="0"/>
      <w:divBdr>
        <w:top w:val="none" w:sz="0" w:space="0" w:color="auto"/>
        <w:left w:val="none" w:sz="0" w:space="0" w:color="auto"/>
        <w:bottom w:val="none" w:sz="0" w:space="0" w:color="auto"/>
        <w:right w:val="none" w:sz="0" w:space="0" w:color="auto"/>
      </w:divBdr>
      <w:divsChild>
        <w:div w:id="602347452">
          <w:marLeft w:val="0"/>
          <w:marRight w:val="0"/>
          <w:marTop w:val="0"/>
          <w:marBottom w:val="0"/>
          <w:divBdr>
            <w:top w:val="none" w:sz="0" w:space="0" w:color="auto"/>
            <w:left w:val="none" w:sz="0" w:space="0" w:color="auto"/>
            <w:bottom w:val="none" w:sz="0" w:space="0" w:color="auto"/>
            <w:right w:val="none" w:sz="0" w:space="0" w:color="auto"/>
          </w:divBdr>
          <w:divsChild>
            <w:div w:id="2035960745">
              <w:marLeft w:val="0"/>
              <w:marRight w:val="0"/>
              <w:marTop w:val="0"/>
              <w:marBottom w:val="0"/>
              <w:divBdr>
                <w:top w:val="none" w:sz="0" w:space="0" w:color="auto"/>
                <w:left w:val="none" w:sz="0" w:space="0" w:color="auto"/>
                <w:bottom w:val="none" w:sz="0" w:space="0" w:color="auto"/>
                <w:right w:val="none" w:sz="0" w:space="0" w:color="auto"/>
              </w:divBdr>
              <w:divsChild>
                <w:div w:id="34813358">
                  <w:marLeft w:val="0"/>
                  <w:marRight w:val="0"/>
                  <w:marTop w:val="0"/>
                  <w:marBottom w:val="0"/>
                  <w:divBdr>
                    <w:top w:val="none" w:sz="0" w:space="0" w:color="auto"/>
                    <w:left w:val="none" w:sz="0" w:space="0" w:color="auto"/>
                    <w:bottom w:val="none" w:sz="0" w:space="0" w:color="auto"/>
                    <w:right w:val="none" w:sz="0" w:space="0" w:color="auto"/>
                  </w:divBdr>
                  <w:divsChild>
                    <w:div w:id="594168584">
                      <w:marLeft w:val="0"/>
                      <w:marRight w:val="0"/>
                      <w:marTop w:val="0"/>
                      <w:marBottom w:val="0"/>
                      <w:divBdr>
                        <w:top w:val="none" w:sz="0" w:space="0" w:color="auto"/>
                        <w:left w:val="none" w:sz="0" w:space="0" w:color="auto"/>
                        <w:bottom w:val="none" w:sz="0" w:space="0" w:color="auto"/>
                        <w:right w:val="none" w:sz="0" w:space="0" w:color="auto"/>
                      </w:divBdr>
                      <w:divsChild>
                        <w:div w:id="209264756">
                          <w:marLeft w:val="0"/>
                          <w:marRight w:val="0"/>
                          <w:marTop w:val="0"/>
                          <w:marBottom w:val="0"/>
                          <w:divBdr>
                            <w:top w:val="none" w:sz="0" w:space="0" w:color="auto"/>
                            <w:left w:val="none" w:sz="0" w:space="0" w:color="auto"/>
                            <w:bottom w:val="none" w:sz="0" w:space="0" w:color="auto"/>
                            <w:right w:val="none" w:sz="0" w:space="0" w:color="auto"/>
                          </w:divBdr>
                          <w:divsChild>
                            <w:div w:id="1079132185">
                              <w:marLeft w:val="0"/>
                              <w:marRight w:val="0"/>
                              <w:marTop w:val="115"/>
                              <w:marBottom w:val="115"/>
                              <w:divBdr>
                                <w:top w:val="none" w:sz="0" w:space="0" w:color="auto"/>
                                <w:left w:val="none" w:sz="0" w:space="0" w:color="auto"/>
                                <w:bottom w:val="none" w:sz="0" w:space="0" w:color="auto"/>
                                <w:right w:val="none" w:sz="0" w:space="0" w:color="auto"/>
                              </w:divBdr>
                              <w:divsChild>
                                <w:div w:id="568854433">
                                  <w:marLeft w:val="0"/>
                                  <w:marRight w:val="0"/>
                                  <w:marTop w:val="0"/>
                                  <w:marBottom w:val="0"/>
                                  <w:divBdr>
                                    <w:top w:val="none" w:sz="0" w:space="0" w:color="auto"/>
                                    <w:left w:val="none" w:sz="0" w:space="0" w:color="auto"/>
                                    <w:bottom w:val="dashed" w:sz="4" w:space="0" w:color="C7D9D8"/>
                                    <w:right w:val="none" w:sz="0" w:space="0" w:color="auto"/>
                                  </w:divBdr>
                                </w:div>
                              </w:divsChild>
                            </w:div>
                            <w:div w:id="1447844383">
                              <w:marLeft w:val="0"/>
                              <w:marRight w:val="0"/>
                              <w:marTop w:val="115"/>
                              <w:marBottom w:val="115"/>
                              <w:divBdr>
                                <w:top w:val="none" w:sz="0" w:space="0" w:color="auto"/>
                                <w:left w:val="none" w:sz="0" w:space="0" w:color="auto"/>
                                <w:bottom w:val="none" w:sz="0" w:space="0" w:color="auto"/>
                                <w:right w:val="none" w:sz="0" w:space="0" w:color="auto"/>
                              </w:divBdr>
                              <w:divsChild>
                                <w:div w:id="1860436460">
                                  <w:marLeft w:val="0"/>
                                  <w:marRight w:val="0"/>
                                  <w:marTop w:val="0"/>
                                  <w:marBottom w:val="0"/>
                                  <w:divBdr>
                                    <w:top w:val="none" w:sz="0" w:space="0" w:color="auto"/>
                                    <w:left w:val="none" w:sz="0" w:space="0" w:color="auto"/>
                                    <w:bottom w:val="dashed" w:sz="4" w:space="0" w:color="C7D9D8"/>
                                    <w:right w:val="none" w:sz="0" w:space="0" w:color="auto"/>
                                  </w:divBdr>
                                  <w:divsChild>
                                    <w:div w:id="1462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2017">
      <w:bodyDiv w:val="1"/>
      <w:marLeft w:val="0"/>
      <w:marRight w:val="0"/>
      <w:marTop w:val="0"/>
      <w:marBottom w:val="0"/>
      <w:divBdr>
        <w:top w:val="none" w:sz="0" w:space="0" w:color="auto"/>
        <w:left w:val="none" w:sz="0" w:space="0" w:color="auto"/>
        <w:bottom w:val="none" w:sz="0" w:space="0" w:color="auto"/>
        <w:right w:val="none" w:sz="0" w:space="0" w:color="auto"/>
      </w:divBdr>
      <w:divsChild>
        <w:div w:id="514197114">
          <w:marLeft w:val="0"/>
          <w:marRight w:val="0"/>
          <w:marTop w:val="0"/>
          <w:marBottom w:val="0"/>
          <w:divBdr>
            <w:top w:val="none" w:sz="0" w:space="0" w:color="auto"/>
            <w:left w:val="none" w:sz="0" w:space="0" w:color="auto"/>
            <w:bottom w:val="none" w:sz="0" w:space="0" w:color="auto"/>
            <w:right w:val="none" w:sz="0" w:space="0" w:color="auto"/>
          </w:divBdr>
          <w:divsChild>
            <w:div w:id="2074891878">
              <w:marLeft w:val="0"/>
              <w:marRight w:val="0"/>
              <w:marTop w:val="0"/>
              <w:marBottom w:val="0"/>
              <w:divBdr>
                <w:top w:val="none" w:sz="0" w:space="0" w:color="auto"/>
                <w:left w:val="none" w:sz="0" w:space="0" w:color="auto"/>
                <w:bottom w:val="none" w:sz="0" w:space="0" w:color="auto"/>
                <w:right w:val="none" w:sz="0" w:space="0" w:color="auto"/>
              </w:divBdr>
              <w:divsChild>
                <w:div w:id="1953973873">
                  <w:marLeft w:val="0"/>
                  <w:marRight w:val="0"/>
                  <w:marTop w:val="0"/>
                  <w:marBottom w:val="0"/>
                  <w:divBdr>
                    <w:top w:val="none" w:sz="0" w:space="0" w:color="auto"/>
                    <w:left w:val="none" w:sz="0" w:space="0" w:color="auto"/>
                    <w:bottom w:val="none" w:sz="0" w:space="0" w:color="auto"/>
                    <w:right w:val="none" w:sz="0" w:space="0" w:color="auto"/>
                  </w:divBdr>
                  <w:divsChild>
                    <w:div w:id="2102143649">
                      <w:marLeft w:val="0"/>
                      <w:marRight w:val="0"/>
                      <w:marTop w:val="0"/>
                      <w:marBottom w:val="0"/>
                      <w:divBdr>
                        <w:top w:val="none" w:sz="0" w:space="0" w:color="auto"/>
                        <w:left w:val="none" w:sz="0" w:space="0" w:color="auto"/>
                        <w:bottom w:val="none" w:sz="0" w:space="0" w:color="auto"/>
                        <w:right w:val="none" w:sz="0" w:space="0" w:color="auto"/>
                      </w:divBdr>
                      <w:divsChild>
                        <w:div w:id="1027566930">
                          <w:marLeft w:val="0"/>
                          <w:marRight w:val="0"/>
                          <w:marTop w:val="0"/>
                          <w:marBottom w:val="0"/>
                          <w:divBdr>
                            <w:top w:val="none" w:sz="0" w:space="0" w:color="auto"/>
                            <w:left w:val="none" w:sz="0" w:space="0" w:color="auto"/>
                            <w:bottom w:val="none" w:sz="0" w:space="0" w:color="auto"/>
                            <w:right w:val="none" w:sz="0" w:space="0" w:color="auto"/>
                          </w:divBdr>
                          <w:divsChild>
                            <w:div w:id="194587726">
                              <w:marLeft w:val="0"/>
                              <w:marRight w:val="0"/>
                              <w:marTop w:val="94"/>
                              <w:marBottom w:val="94"/>
                              <w:divBdr>
                                <w:top w:val="none" w:sz="0" w:space="0" w:color="auto"/>
                                <w:left w:val="none" w:sz="0" w:space="0" w:color="auto"/>
                                <w:bottom w:val="none" w:sz="0" w:space="0" w:color="auto"/>
                                <w:right w:val="none" w:sz="0" w:space="0" w:color="auto"/>
                              </w:divBdr>
                              <w:divsChild>
                                <w:div w:id="1152647649">
                                  <w:marLeft w:val="0"/>
                                  <w:marRight w:val="0"/>
                                  <w:marTop w:val="0"/>
                                  <w:marBottom w:val="0"/>
                                  <w:divBdr>
                                    <w:top w:val="none" w:sz="0" w:space="0" w:color="auto"/>
                                    <w:left w:val="none" w:sz="0" w:space="0" w:color="auto"/>
                                    <w:bottom w:val="dashed" w:sz="4" w:space="0" w:color="C7D9D8"/>
                                    <w:right w:val="none" w:sz="0" w:space="0" w:color="auto"/>
                                  </w:divBdr>
                                </w:div>
                              </w:divsChild>
                            </w:div>
                            <w:div w:id="1847743132">
                              <w:marLeft w:val="0"/>
                              <w:marRight w:val="0"/>
                              <w:marTop w:val="94"/>
                              <w:marBottom w:val="94"/>
                              <w:divBdr>
                                <w:top w:val="none" w:sz="0" w:space="0" w:color="auto"/>
                                <w:left w:val="none" w:sz="0" w:space="0" w:color="auto"/>
                                <w:bottom w:val="none" w:sz="0" w:space="0" w:color="auto"/>
                                <w:right w:val="none" w:sz="0" w:space="0" w:color="auto"/>
                              </w:divBdr>
                              <w:divsChild>
                                <w:div w:id="370807622">
                                  <w:marLeft w:val="0"/>
                                  <w:marRight w:val="0"/>
                                  <w:marTop w:val="0"/>
                                  <w:marBottom w:val="0"/>
                                  <w:divBdr>
                                    <w:top w:val="none" w:sz="0" w:space="0" w:color="auto"/>
                                    <w:left w:val="none" w:sz="0" w:space="0" w:color="auto"/>
                                    <w:bottom w:val="dashed" w:sz="4" w:space="0" w:color="C7D9D8"/>
                                    <w:right w:val="none" w:sz="0" w:space="0" w:color="auto"/>
                                  </w:divBdr>
                                  <w:divsChild>
                                    <w:div w:id="9946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388761">
      <w:bodyDiv w:val="1"/>
      <w:marLeft w:val="0"/>
      <w:marRight w:val="0"/>
      <w:marTop w:val="0"/>
      <w:marBottom w:val="0"/>
      <w:divBdr>
        <w:top w:val="none" w:sz="0" w:space="0" w:color="auto"/>
        <w:left w:val="none" w:sz="0" w:space="0" w:color="auto"/>
        <w:bottom w:val="none" w:sz="0" w:space="0" w:color="auto"/>
        <w:right w:val="none" w:sz="0" w:space="0" w:color="auto"/>
      </w:divBdr>
      <w:divsChild>
        <w:div w:id="362831699">
          <w:marLeft w:val="0"/>
          <w:marRight w:val="0"/>
          <w:marTop w:val="0"/>
          <w:marBottom w:val="0"/>
          <w:divBdr>
            <w:top w:val="none" w:sz="0" w:space="0" w:color="auto"/>
            <w:left w:val="none" w:sz="0" w:space="0" w:color="auto"/>
            <w:bottom w:val="none" w:sz="0" w:space="0" w:color="auto"/>
            <w:right w:val="none" w:sz="0" w:space="0" w:color="auto"/>
          </w:divBdr>
          <w:divsChild>
            <w:div w:id="14137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2320">
      <w:bodyDiv w:val="1"/>
      <w:marLeft w:val="0"/>
      <w:marRight w:val="0"/>
      <w:marTop w:val="0"/>
      <w:marBottom w:val="0"/>
      <w:divBdr>
        <w:top w:val="none" w:sz="0" w:space="0" w:color="auto"/>
        <w:left w:val="none" w:sz="0" w:space="0" w:color="auto"/>
        <w:bottom w:val="none" w:sz="0" w:space="0" w:color="auto"/>
        <w:right w:val="none" w:sz="0" w:space="0" w:color="auto"/>
      </w:divBdr>
    </w:div>
    <w:div w:id="356004392">
      <w:bodyDiv w:val="1"/>
      <w:marLeft w:val="0"/>
      <w:marRight w:val="0"/>
      <w:marTop w:val="0"/>
      <w:marBottom w:val="0"/>
      <w:divBdr>
        <w:top w:val="none" w:sz="0" w:space="0" w:color="auto"/>
        <w:left w:val="none" w:sz="0" w:space="0" w:color="auto"/>
        <w:bottom w:val="none" w:sz="0" w:space="0" w:color="auto"/>
        <w:right w:val="none" w:sz="0" w:space="0" w:color="auto"/>
      </w:divBdr>
    </w:div>
    <w:div w:id="381443131">
      <w:bodyDiv w:val="1"/>
      <w:marLeft w:val="0"/>
      <w:marRight w:val="0"/>
      <w:marTop w:val="0"/>
      <w:marBottom w:val="0"/>
      <w:divBdr>
        <w:top w:val="none" w:sz="0" w:space="0" w:color="auto"/>
        <w:left w:val="none" w:sz="0" w:space="0" w:color="auto"/>
        <w:bottom w:val="none" w:sz="0" w:space="0" w:color="auto"/>
        <w:right w:val="none" w:sz="0" w:space="0" w:color="auto"/>
      </w:divBdr>
    </w:div>
    <w:div w:id="383794796">
      <w:bodyDiv w:val="1"/>
      <w:marLeft w:val="0"/>
      <w:marRight w:val="0"/>
      <w:marTop w:val="0"/>
      <w:marBottom w:val="0"/>
      <w:divBdr>
        <w:top w:val="none" w:sz="0" w:space="0" w:color="auto"/>
        <w:left w:val="none" w:sz="0" w:space="0" w:color="auto"/>
        <w:bottom w:val="none" w:sz="0" w:space="0" w:color="auto"/>
        <w:right w:val="none" w:sz="0" w:space="0" w:color="auto"/>
      </w:divBdr>
    </w:div>
    <w:div w:id="398289213">
      <w:bodyDiv w:val="1"/>
      <w:marLeft w:val="0"/>
      <w:marRight w:val="0"/>
      <w:marTop w:val="0"/>
      <w:marBottom w:val="0"/>
      <w:divBdr>
        <w:top w:val="none" w:sz="0" w:space="0" w:color="auto"/>
        <w:left w:val="none" w:sz="0" w:space="0" w:color="auto"/>
        <w:bottom w:val="none" w:sz="0" w:space="0" w:color="auto"/>
        <w:right w:val="none" w:sz="0" w:space="0" w:color="auto"/>
      </w:divBdr>
    </w:div>
    <w:div w:id="406807592">
      <w:bodyDiv w:val="1"/>
      <w:marLeft w:val="0"/>
      <w:marRight w:val="0"/>
      <w:marTop w:val="0"/>
      <w:marBottom w:val="0"/>
      <w:divBdr>
        <w:top w:val="none" w:sz="0" w:space="0" w:color="auto"/>
        <w:left w:val="none" w:sz="0" w:space="0" w:color="auto"/>
        <w:bottom w:val="none" w:sz="0" w:space="0" w:color="auto"/>
        <w:right w:val="none" w:sz="0" w:space="0" w:color="auto"/>
      </w:divBdr>
    </w:div>
    <w:div w:id="413665345">
      <w:bodyDiv w:val="1"/>
      <w:marLeft w:val="0"/>
      <w:marRight w:val="0"/>
      <w:marTop w:val="0"/>
      <w:marBottom w:val="0"/>
      <w:divBdr>
        <w:top w:val="none" w:sz="0" w:space="0" w:color="auto"/>
        <w:left w:val="none" w:sz="0" w:space="0" w:color="auto"/>
        <w:bottom w:val="none" w:sz="0" w:space="0" w:color="auto"/>
        <w:right w:val="none" w:sz="0" w:space="0" w:color="auto"/>
      </w:divBdr>
    </w:div>
    <w:div w:id="429130064">
      <w:bodyDiv w:val="1"/>
      <w:marLeft w:val="0"/>
      <w:marRight w:val="0"/>
      <w:marTop w:val="0"/>
      <w:marBottom w:val="0"/>
      <w:divBdr>
        <w:top w:val="none" w:sz="0" w:space="0" w:color="auto"/>
        <w:left w:val="none" w:sz="0" w:space="0" w:color="auto"/>
        <w:bottom w:val="none" w:sz="0" w:space="0" w:color="auto"/>
        <w:right w:val="none" w:sz="0" w:space="0" w:color="auto"/>
      </w:divBdr>
    </w:div>
    <w:div w:id="457920082">
      <w:bodyDiv w:val="1"/>
      <w:marLeft w:val="0"/>
      <w:marRight w:val="0"/>
      <w:marTop w:val="0"/>
      <w:marBottom w:val="0"/>
      <w:divBdr>
        <w:top w:val="none" w:sz="0" w:space="0" w:color="auto"/>
        <w:left w:val="none" w:sz="0" w:space="0" w:color="auto"/>
        <w:bottom w:val="none" w:sz="0" w:space="0" w:color="auto"/>
        <w:right w:val="none" w:sz="0" w:space="0" w:color="auto"/>
      </w:divBdr>
    </w:div>
    <w:div w:id="484785869">
      <w:bodyDiv w:val="1"/>
      <w:marLeft w:val="0"/>
      <w:marRight w:val="0"/>
      <w:marTop w:val="0"/>
      <w:marBottom w:val="0"/>
      <w:divBdr>
        <w:top w:val="none" w:sz="0" w:space="0" w:color="auto"/>
        <w:left w:val="none" w:sz="0" w:space="0" w:color="auto"/>
        <w:bottom w:val="none" w:sz="0" w:space="0" w:color="auto"/>
        <w:right w:val="none" w:sz="0" w:space="0" w:color="auto"/>
      </w:divBdr>
    </w:div>
    <w:div w:id="487215091">
      <w:bodyDiv w:val="1"/>
      <w:marLeft w:val="0"/>
      <w:marRight w:val="0"/>
      <w:marTop w:val="0"/>
      <w:marBottom w:val="0"/>
      <w:divBdr>
        <w:top w:val="none" w:sz="0" w:space="0" w:color="auto"/>
        <w:left w:val="none" w:sz="0" w:space="0" w:color="auto"/>
        <w:bottom w:val="none" w:sz="0" w:space="0" w:color="auto"/>
        <w:right w:val="none" w:sz="0" w:space="0" w:color="auto"/>
      </w:divBdr>
      <w:divsChild>
        <w:div w:id="1861508749">
          <w:marLeft w:val="0"/>
          <w:marRight w:val="0"/>
          <w:marTop w:val="115"/>
          <w:marBottom w:val="115"/>
          <w:divBdr>
            <w:top w:val="none" w:sz="0" w:space="0" w:color="auto"/>
            <w:left w:val="none" w:sz="0" w:space="0" w:color="auto"/>
            <w:bottom w:val="none" w:sz="0" w:space="0" w:color="auto"/>
            <w:right w:val="none" w:sz="0" w:space="0" w:color="auto"/>
          </w:divBdr>
        </w:div>
        <w:div w:id="2013095757">
          <w:marLeft w:val="0"/>
          <w:marRight w:val="0"/>
          <w:marTop w:val="0"/>
          <w:marBottom w:val="0"/>
          <w:divBdr>
            <w:top w:val="none" w:sz="0" w:space="0" w:color="auto"/>
            <w:left w:val="none" w:sz="0" w:space="0" w:color="auto"/>
            <w:bottom w:val="none" w:sz="0" w:space="0" w:color="auto"/>
            <w:right w:val="none" w:sz="0" w:space="0" w:color="auto"/>
          </w:divBdr>
          <w:divsChild>
            <w:div w:id="2071732910">
              <w:marLeft w:val="0"/>
              <w:marRight w:val="0"/>
              <w:marTop w:val="0"/>
              <w:marBottom w:val="0"/>
              <w:divBdr>
                <w:top w:val="none" w:sz="0" w:space="0" w:color="auto"/>
                <w:left w:val="none" w:sz="0" w:space="0" w:color="auto"/>
                <w:bottom w:val="none" w:sz="0" w:space="0" w:color="auto"/>
                <w:right w:val="none" w:sz="0" w:space="0" w:color="auto"/>
              </w:divBdr>
              <w:divsChild>
                <w:div w:id="220873522">
                  <w:marLeft w:val="0"/>
                  <w:marRight w:val="0"/>
                  <w:marTop w:val="0"/>
                  <w:marBottom w:val="0"/>
                  <w:divBdr>
                    <w:top w:val="none" w:sz="0" w:space="0" w:color="auto"/>
                    <w:left w:val="none" w:sz="0" w:space="0" w:color="auto"/>
                    <w:bottom w:val="none" w:sz="0" w:space="0" w:color="auto"/>
                    <w:right w:val="none" w:sz="0" w:space="0" w:color="auto"/>
                  </w:divBdr>
                  <w:divsChild>
                    <w:div w:id="1064720597">
                      <w:marLeft w:val="0"/>
                      <w:marRight w:val="0"/>
                      <w:marTop w:val="0"/>
                      <w:marBottom w:val="0"/>
                      <w:divBdr>
                        <w:top w:val="none" w:sz="0" w:space="0" w:color="auto"/>
                        <w:left w:val="none" w:sz="0" w:space="0" w:color="auto"/>
                        <w:bottom w:val="none" w:sz="0" w:space="0" w:color="auto"/>
                        <w:right w:val="none" w:sz="0" w:space="0" w:color="auto"/>
                      </w:divBdr>
                      <w:divsChild>
                        <w:div w:id="1290478443">
                          <w:marLeft w:val="0"/>
                          <w:marRight w:val="0"/>
                          <w:marTop w:val="0"/>
                          <w:marBottom w:val="0"/>
                          <w:divBdr>
                            <w:top w:val="none" w:sz="0" w:space="0" w:color="auto"/>
                            <w:left w:val="none" w:sz="0" w:space="0" w:color="auto"/>
                            <w:bottom w:val="none" w:sz="0" w:space="0" w:color="auto"/>
                            <w:right w:val="none" w:sz="0" w:space="0" w:color="auto"/>
                          </w:divBdr>
                          <w:divsChild>
                            <w:div w:id="100927720">
                              <w:marLeft w:val="0"/>
                              <w:marRight w:val="0"/>
                              <w:marTop w:val="115"/>
                              <w:marBottom w:val="115"/>
                              <w:divBdr>
                                <w:top w:val="none" w:sz="0" w:space="0" w:color="auto"/>
                                <w:left w:val="none" w:sz="0" w:space="0" w:color="auto"/>
                                <w:bottom w:val="single" w:sz="4" w:space="0" w:color="77C1BF"/>
                                <w:right w:val="none" w:sz="0" w:space="0" w:color="auto"/>
                              </w:divBdr>
                            </w:div>
                            <w:div w:id="1342317334">
                              <w:marLeft w:val="0"/>
                              <w:marRight w:val="0"/>
                              <w:marTop w:val="115"/>
                              <w:marBottom w:val="115"/>
                              <w:divBdr>
                                <w:top w:val="none" w:sz="0" w:space="0" w:color="auto"/>
                                <w:left w:val="none" w:sz="0" w:space="0" w:color="auto"/>
                                <w:bottom w:val="single" w:sz="4" w:space="0" w:color="77C1BF"/>
                                <w:right w:val="none" w:sz="0" w:space="0" w:color="auto"/>
                              </w:divBdr>
                            </w:div>
                            <w:div w:id="1463036957">
                              <w:marLeft w:val="0"/>
                              <w:marRight w:val="0"/>
                              <w:marTop w:val="115"/>
                              <w:marBottom w:val="115"/>
                              <w:divBdr>
                                <w:top w:val="none" w:sz="0" w:space="0" w:color="auto"/>
                                <w:left w:val="none" w:sz="0" w:space="0" w:color="auto"/>
                                <w:bottom w:val="none" w:sz="0" w:space="0" w:color="auto"/>
                                <w:right w:val="none" w:sz="0" w:space="0" w:color="auto"/>
                              </w:divBdr>
                              <w:divsChild>
                                <w:div w:id="365453271">
                                  <w:marLeft w:val="0"/>
                                  <w:marRight w:val="0"/>
                                  <w:marTop w:val="0"/>
                                  <w:marBottom w:val="0"/>
                                  <w:divBdr>
                                    <w:top w:val="none" w:sz="0" w:space="0" w:color="auto"/>
                                    <w:left w:val="none" w:sz="0" w:space="0" w:color="auto"/>
                                    <w:bottom w:val="dashed" w:sz="4" w:space="0" w:color="C7D9D8"/>
                                    <w:right w:val="none" w:sz="0" w:space="0" w:color="auto"/>
                                  </w:divBdr>
                                </w:div>
                              </w:divsChild>
                            </w:div>
                            <w:div w:id="1541473209">
                              <w:marLeft w:val="0"/>
                              <w:marRight w:val="0"/>
                              <w:marTop w:val="115"/>
                              <w:marBottom w:val="115"/>
                              <w:divBdr>
                                <w:top w:val="none" w:sz="0" w:space="0" w:color="auto"/>
                                <w:left w:val="none" w:sz="0" w:space="0" w:color="auto"/>
                                <w:bottom w:val="none" w:sz="0" w:space="0" w:color="auto"/>
                                <w:right w:val="none" w:sz="0" w:space="0" w:color="auto"/>
                              </w:divBdr>
                              <w:divsChild>
                                <w:div w:id="2008364178">
                                  <w:marLeft w:val="0"/>
                                  <w:marRight w:val="0"/>
                                  <w:marTop w:val="0"/>
                                  <w:marBottom w:val="0"/>
                                  <w:divBdr>
                                    <w:top w:val="none" w:sz="0" w:space="0" w:color="auto"/>
                                    <w:left w:val="none" w:sz="0" w:space="0" w:color="auto"/>
                                    <w:bottom w:val="dashed" w:sz="4" w:space="0" w:color="C7D9D8"/>
                                    <w:right w:val="none" w:sz="0" w:space="0" w:color="auto"/>
                                  </w:divBdr>
                                  <w:divsChild>
                                    <w:div w:id="10546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059">
                              <w:marLeft w:val="0"/>
                              <w:marRight w:val="0"/>
                              <w:marTop w:val="115"/>
                              <w:marBottom w:val="115"/>
                              <w:divBdr>
                                <w:top w:val="none" w:sz="0" w:space="0" w:color="auto"/>
                                <w:left w:val="none" w:sz="0" w:space="0" w:color="auto"/>
                                <w:bottom w:val="single" w:sz="4" w:space="0" w:color="77C1BF"/>
                                <w:right w:val="none" w:sz="0" w:space="0" w:color="auto"/>
                              </w:divBdr>
                            </w:div>
                            <w:div w:id="1705590448">
                              <w:marLeft w:val="0"/>
                              <w:marRight w:val="0"/>
                              <w:marTop w:val="115"/>
                              <w:marBottom w:val="115"/>
                              <w:divBdr>
                                <w:top w:val="none" w:sz="0" w:space="0" w:color="auto"/>
                                <w:left w:val="none" w:sz="0" w:space="0" w:color="auto"/>
                                <w:bottom w:val="none" w:sz="0" w:space="0" w:color="auto"/>
                                <w:right w:val="none" w:sz="0" w:space="0" w:color="auto"/>
                              </w:divBdr>
                              <w:divsChild>
                                <w:div w:id="1965113568">
                                  <w:marLeft w:val="0"/>
                                  <w:marRight w:val="0"/>
                                  <w:marTop w:val="0"/>
                                  <w:marBottom w:val="0"/>
                                  <w:divBdr>
                                    <w:top w:val="none" w:sz="0" w:space="0" w:color="auto"/>
                                    <w:left w:val="none" w:sz="0" w:space="0" w:color="auto"/>
                                    <w:bottom w:val="dashed" w:sz="4" w:space="0" w:color="C7D9D8"/>
                                    <w:right w:val="none" w:sz="0" w:space="0" w:color="auto"/>
                                  </w:divBdr>
                                  <w:divsChild>
                                    <w:div w:id="12269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169285">
                  <w:marLeft w:val="0"/>
                  <w:marRight w:val="0"/>
                  <w:marTop w:val="0"/>
                  <w:marBottom w:val="0"/>
                  <w:divBdr>
                    <w:top w:val="none" w:sz="0" w:space="0" w:color="auto"/>
                    <w:left w:val="none" w:sz="0" w:space="0" w:color="auto"/>
                    <w:bottom w:val="none" w:sz="0" w:space="0" w:color="auto"/>
                    <w:right w:val="none" w:sz="0" w:space="0" w:color="auto"/>
                  </w:divBdr>
                  <w:divsChild>
                    <w:div w:id="399639446">
                      <w:marLeft w:val="0"/>
                      <w:marRight w:val="0"/>
                      <w:marTop w:val="0"/>
                      <w:marBottom w:val="0"/>
                      <w:divBdr>
                        <w:top w:val="none" w:sz="0" w:space="0" w:color="auto"/>
                        <w:left w:val="none" w:sz="0" w:space="0" w:color="auto"/>
                        <w:bottom w:val="none" w:sz="0" w:space="0" w:color="auto"/>
                        <w:right w:val="none" w:sz="0" w:space="0" w:color="auto"/>
                      </w:divBdr>
                      <w:divsChild>
                        <w:div w:id="895121490">
                          <w:marLeft w:val="0"/>
                          <w:marRight w:val="0"/>
                          <w:marTop w:val="0"/>
                          <w:marBottom w:val="0"/>
                          <w:divBdr>
                            <w:top w:val="none" w:sz="0" w:space="0" w:color="auto"/>
                            <w:left w:val="none" w:sz="0" w:space="0" w:color="auto"/>
                            <w:bottom w:val="none" w:sz="0" w:space="0" w:color="auto"/>
                            <w:right w:val="none" w:sz="0" w:space="0" w:color="auto"/>
                          </w:divBdr>
                          <w:divsChild>
                            <w:div w:id="650869885">
                              <w:marLeft w:val="0"/>
                              <w:marRight w:val="0"/>
                              <w:marTop w:val="115"/>
                              <w:marBottom w:val="115"/>
                              <w:divBdr>
                                <w:top w:val="none" w:sz="0" w:space="0" w:color="auto"/>
                                <w:left w:val="none" w:sz="0" w:space="0" w:color="auto"/>
                                <w:bottom w:val="single" w:sz="4" w:space="0" w:color="77C1BF"/>
                                <w:right w:val="none" w:sz="0" w:space="0" w:color="auto"/>
                              </w:divBdr>
                            </w:div>
                            <w:div w:id="1567840090">
                              <w:marLeft w:val="0"/>
                              <w:marRight w:val="0"/>
                              <w:marTop w:val="115"/>
                              <w:marBottom w:val="115"/>
                              <w:divBdr>
                                <w:top w:val="none" w:sz="0" w:space="0" w:color="auto"/>
                                <w:left w:val="none" w:sz="0" w:space="0" w:color="auto"/>
                                <w:bottom w:val="none" w:sz="0" w:space="0" w:color="auto"/>
                                <w:right w:val="none" w:sz="0" w:space="0" w:color="auto"/>
                              </w:divBdr>
                              <w:divsChild>
                                <w:div w:id="979306789">
                                  <w:marLeft w:val="0"/>
                                  <w:marRight w:val="0"/>
                                  <w:marTop w:val="0"/>
                                  <w:marBottom w:val="0"/>
                                  <w:divBdr>
                                    <w:top w:val="none" w:sz="0" w:space="0" w:color="auto"/>
                                    <w:left w:val="none" w:sz="0" w:space="0" w:color="auto"/>
                                    <w:bottom w:val="dashed" w:sz="4" w:space="0" w:color="C7D9D8"/>
                                    <w:right w:val="none" w:sz="0" w:space="0" w:color="auto"/>
                                  </w:divBdr>
                                </w:div>
                                <w:div w:id="1299333920">
                                  <w:marLeft w:val="0"/>
                                  <w:marRight w:val="0"/>
                                  <w:marTop w:val="0"/>
                                  <w:marBottom w:val="0"/>
                                  <w:divBdr>
                                    <w:top w:val="none" w:sz="0" w:space="0" w:color="auto"/>
                                    <w:left w:val="none" w:sz="0" w:space="0" w:color="auto"/>
                                    <w:bottom w:val="dashed" w:sz="4" w:space="0" w:color="C7D9D8"/>
                                    <w:right w:val="none" w:sz="0" w:space="0" w:color="auto"/>
                                  </w:divBdr>
                                </w:div>
                                <w:div w:id="1853107238">
                                  <w:marLeft w:val="0"/>
                                  <w:marRight w:val="0"/>
                                  <w:marTop w:val="0"/>
                                  <w:marBottom w:val="0"/>
                                  <w:divBdr>
                                    <w:top w:val="none" w:sz="0" w:space="0" w:color="auto"/>
                                    <w:left w:val="none" w:sz="0" w:space="0" w:color="auto"/>
                                    <w:bottom w:val="dashed" w:sz="4" w:space="0" w:color="C7D9D8"/>
                                    <w:right w:val="none" w:sz="0" w:space="0" w:color="auto"/>
                                  </w:divBdr>
                                </w:div>
                              </w:divsChild>
                            </w:div>
                          </w:divsChild>
                        </w:div>
                      </w:divsChild>
                    </w:div>
                  </w:divsChild>
                </w:div>
                <w:div w:id="667094412">
                  <w:marLeft w:val="0"/>
                  <w:marRight w:val="0"/>
                  <w:marTop w:val="0"/>
                  <w:marBottom w:val="0"/>
                  <w:divBdr>
                    <w:top w:val="none" w:sz="0" w:space="0" w:color="auto"/>
                    <w:left w:val="none" w:sz="0" w:space="0" w:color="auto"/>
                    <w:bottom w:val="none" w:sz="0" w:space="0" w:color="auto"/>
                    <w:right w:val="none" w:sz="0" w:space="0" w:color="auto"/>
                  </w:divBdr>
                  <w:divsChild>
                    <w:div w:id="396324953">
                      <w:marLeft w:val="0"/>
                      <w:marRight w:val="0"/>
                      <w:marTop w:val="0"/>
                      <w:marBottom w:val="0"/>
                      <w:divBdr>
                        <w:top w:val="none" w:sz="0" w:space="0" w:color="auto"/>
                        <w:left w:val="none" w:sz="0" w:space="0" w:color="auto"/>
                        <w:bottom w:val="none" w:sz="0" w:space="0" w:color="auto"/>
                        <w:right w:val="none" w:sz="0" w:space="0" w:color="auto"/>
                      </w:divBdr>
                      <w:divsChild>
                        <w:div w:id="1261141478">
                          <w:marLeft w:val="0"/>
                          <w:marRight w:val="0"/>
                          <w:marTop w:val="0"/>
                          <w:marBottom w:val="0"/>
                          <w:divBdr>
                            <w:top w:val="none" w:sz="0" w:space="0" w:color="auto"/>
                            <w:left w:val="none" w:sz="0" w:space="0" w:color="auto"/>
                            <w:bottom w:val="none" w:sz="0" w:space="0" w:color="auto"/>
                            <w:right w:val="none" w:sz="0" w:space="0" w:color="auto"/>
                          </w:divBdr>
                          <w:divsChild>
                            <w:div w:id="150221393">
                              <w:marLeft w:val="0"/>
                              <w:marRight w:val="0"/>
                              <w:marTop w:val="115"/>
                              <w:marBottom w:val="115"/>
                              <w:divBdr>
                                <w:top w:val="none" w:sz="0" w:space="0" w:color="auto"/>
                                <w:left w:val="none" w:sz="0" w:space="0" w:color="auto"/>
                                <w:bottom w:val="single" w:sz="4" w:space="0" w:color="77C1BF"/>
                                <w:right w:val="none" w:sz="0" w:space="0" w:color="auto"/>
                              </w:divBdr>
                            </w:div>
                            <w:div w:id="834343675">
                              <w:marLeft w:val="0"/>
                              <w:marRight w:val="0"/>
                              <w:marTop w:val="115"/>
                              <w:marBottom w:val="115"/>
                              <w:divBdr>
                                <w:top w:val="none" w:sz="0" w:space="0" w:color="auto"/>
                                <w:left w:val="none" w:sz="0" w:space="0" w:color="auto"/>
                                <w:bottom w:val="none" w:sz="0" w:space="0" w:color="auto"/>
                                <w:right w:val="none" w:sz="0" w:space="0" w:color="auto"/>
                              </w:divBdr>
                              <w:divsChild>
                                <w:div w:id="1655913137">
                                  <w:marLeft w:val="0"/>
                                  <w:marRight w:val="0"/>
                                  <w:marTop w:val="0"/>
                                  <w:marBottom w:val="0"/>
                                  <w:divBdr>
                                    <w:top w:val="none" w:sz="0" w:space="0" w:color="auto"/>
                                    <w:left w:val="none" w:sz="0" w:space="0" w:color="auto"/>
                                    <w:bottom w:val="dashed" w:sz="4" w:space="0" w:color="C7D9D8"/>
                                    <w:right w:val="none" w:sz="0" w:space="0" w:color="auto"/>
                                  </w:divBdr>
                                </w:div>
                              </w:divsChild>
                            </w:div>
                            <w:div w:id="1022048586">
                              <w:marLeft w:val="0"/>
                              <w:marRight w:val="0"/>
                              <w:marTop w:val="115"/>
                              <w:marBottom w:val="115"/>
                              <w:divBdr>
                                <w:top w:val="none" w:sz="0" w:space="0" w:color="auto"/>
                                <w:left w:val="none" w:sz="0" w:space="0" w:color="auto"/>
                                <w:bottom w:val="single" w:sz="4" w:space="0" w:color="77C1BF"/>
                                <w:right w:val="none" w:sz="0" w:space="0" w:color="auto"/>
                              </w:divBdr>
                            </w:div>
                            <w:div w:id="1558585929">
                              <w:marLeft w:val="0"/>
                              <w:marRight w:val="0"/>
                              <w:marTop w:val="115"/>
                              <w:marBottom w:val="115"/>
                              <w:divBdr>
                                <w:top w:val="none" w:sz="0" w:space="0" w:color="auto"/>
                                <w:left w:val="none" w:sz="0" w:space="0" w:color="auto"/>
                                <w:bottom w:val="none" w:sz="0" w:space="0" w:color="auto"/>
                                <w:right w:val="none" w:sz="0" w:space="0" w:color="auto"/>
                              </w:divBdr>
                              <w:divsChild>
                                <w:div w:id="1287467594">
                                  <w:marLeft w:val="0"/>
                                  <w:marRight w:val="0"/>
                                  <w:marTop w:val="0"/>
                                  <w:marBottom w:val="0"/>
                                  <w:divBdr>
                                    <w:top w:val="none" w:sz="0" w:space="0" w:color="auto"/>
                                    <w:left w:val="none" w:sz="0" w:space="0" w:color="auto"/>
                                    <w:bottom w:val="dashed" w:sz="4" w:space="0" w:color="C7D9D8"/>
                                    <w:right w:val="none" w:sz="0" w:space="0" w:color="auto"/>
                                  </w:divBdr>
                                  <w:divsChild>
                                    <w:div w:id="1635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0130">
                      <w:marLeft w:val="0"/>
                      <w:marRight w:val="0"/>
                      <w:marTop w:val="0"/>
                      <w:marBottom w:val="0"/>
                      <w:divBdr>
                        <w:top w:val="none" w:sz="0" w:space="0" w:color="auto"/>
                        <w:left w:val="none" w:sz="0" w:space="0" w:color="auto"/>
                        <w:bottom w:val="none" w:sz="0" w:space="0" w:color="auto"/>
                        <w:right w:val="none" w:sz="0" w:space="0" w:color="auto"/>
                      </w:divBdr>
                      <w:divsChild>
                        <w:div w:id="526602744">
                          <w:marLeft w:val="0"/>
                          <w:marRight w:val="0"/>
                          <w:marTop w:val="0"/>
                          <w:marBottom w:val="0"/>
                          <w:divBdr>
                            <w:top w:val="none" w:sz="0" w:space="0" w:color="auto"/>
                            <w:left w:val="none" w:sz="0" w:space="0" w:color="auto"/>
                            <w:bottom w:val="none" w:sz="0" w:space="0" w:color="auto"/>
                            <w:right w:val="none" w:sz="0" w:space="0" w:color="auto"/>
                          </w:divBdr>
                          <w:divsChild>
                            <w:div w:id="1705867637">
                              <w:marLeft w:val="0"/>
                              <w:marRight w:val="0"/>
                              <w:marTop w:val="115"/>
                              <w:marBottom w:val="115"/>
                              <w:divBdr>
                                <w:top w:val="none" w:sz="0" w:space="0" w:color="auto"/>
                                <w:left w:val="none" w:sz="0" w:space="0" w:color="auto"/>
                                <w:bottom w:val="single" w:sz="4" w:space="0" w:color="77C1BF"/>
                                <w:right w:val="none" w:sz="0" w:space="0" w:color="auto"/>
                              </w:divBdr>
                            </w:div>
                          </w:divsChild>
                        </w:div>
                      </w:divsChild>
                    </w:div>
                    <w:div w:id="1472019824">
                      <w:marLeft w:val="0"/>
                      <w:marRight w:val="0"/>
                      <w:marTop w:val="0"/>
                      <w:marBottom w:val="0"/>
                      <w:divBdr>
                        <w:top w:val="none" w:sz="0" w:space="0" w:color="auto"/>
                        <w:left w:val="none" w:sz="0" w:space="0" w:color="auto"/>
                        <w:bottom w:val="none" w:sz="0" w:space="0" w:color="auto"/>
                        <w:right w:val="none" w:sz="0" w:space="0" w:color="auto"/>
                      </w:divBdr>
                      <w:divsChild>
                        <w:div w:id="1970696492">
                          <w:marLeft w:val="0"/>
                          <w:marRight w:val="0"/>
                          <w:marTop w:val="0"/>
                          <w:marBottom w:val="0"/>
                          <w:divBdr>
                            <w:top w:val="none" w:sz="0" w:space="0" w:color="auto"/>
                            <w:left w:val="none" w:sz="0" w:space="0" w:color="auto"/>
                            <w:bottom w:val="none" w:sz="0" w:space="0" w:color="auto"/>
                            <w:right w:val="none" w:sz="0" w:space="0" w:color="auto"/>
                          </w:divBdr>
                          <w:divsChild>
                            <w:div w:id="282804">
                              <w:marLeft w:val="0"/>
                              <w:marRight w:val="0"/>
                              <w:marTop w:val="115"/>
                              <w:marBottom w:val="115"/>
                              <w:divBdr>
                                <w:top w:val="none" w:sz="0" w:space="0" w:color="auto"/>
                                <w:left w:val="none" w:sz="0" w:space="0" w:color="auto"/>
                                <w:bottom w:val="single" w:sz="4" w:space="0" w:color="77C1BF"/>
                                <w:right w:val="none" w:sz="0" w:space="0" w:color="auto"/>
                              </w:divBdr>
                            </w:div>
                            <w:div w:id="1255017662">
                              <w:marLeft w:val="0"/>
                              <w:marRight w:val="0"/>
                              <w:marTop w:val="115"/>
                              <w:marBottom w:val="115"/>
                              <w:divBdr>
                                <w:top w:val="none" w:sz="0" w:space="0" w:color="auto"/>
                                <w:left w:val="none" w:sz="0" w:space="0" w:color="auto"/>
                                <w:bottom w:val="none" w:sz="0" w:space="0" w:color="auto"/>
                                <w:right w:val="none" w:sz="0" w:space="0" w:color="auto"/>
                              </w:divBdr>
                              <w:divsChild>
                                <w:div w:id="1870099719">
                                  <w:marLeft w:val="0"/>
                                  <w:marRight w:val="0"/>
                                  <w:marTop w:val="0"/>
                                  <w:marBottom w:val="0"/>
                                  <w:divBdr>
                                    <w:top w:val="none" w:sz="0" w:space="0" w:color="auto"/>
                                    <w:left w:val="none" w:sz="0" w:space="0" w:color="auto"/>
                                    <w:bottom w:val="dashed" w:sz="4" w:space="0" w:color="C7D9D8"/>
                                    <w:right w:val="none" w:sz="0" w:space="0" w:color="auto"/>
                                  </w:divBdr>
                                  <w:divsChild>
                                    <w:div w:id="4851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0005">
                              <w:marLeft w:val="0"/>
                              <w:marRight w:val="0"/>
                              <w:marTop w:val="115"/>
                              <w:marBottom w:val="115"/>
                              <w:divBdr>
                                <w:top w:val="none" w:sz="0" w:space="0" w:color="auto"/>
                                <w:left w:val="none" w:sz="0" w:space="0" w:color="auto"/>
                                <w:bottom w:val="none" w:sz="0" w:space="0" w:color="auto"/>
                                <w:right w:val="none" w:sz="0" w:space="0" w:color="auto"/>
                              </w:divBdr>
                              <w:divsChild>
                                <w:div w:id="1903255317">
                                  <w:marLeft w:val="0"/>
                                  <w:marRight w:val="0"/>
                                  <w:marTop w:val="0"/>
                                  <w:marBottom w:val="0"/>
                                  <w:divBdr>
                                    <w:top w:val="none" w:sz="0" w:space="0" w:color="auto"/>
                                    <w:left w:val="none" w:sz="0" w:space="0" w:color="auto"/>
                                    <w:bottom w:val="dashed" w:sz="4" w:space="0" w:color="C7D9D8"/>
                                    <w:right w:val="none" w:sz="0" w:space="0" w:color="auto"/>
                                  </w:divBdr>
                                  <w:divsChild>
                                    <w:div w:id="13072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3015">
                              <w:marLeft w:val="0"/>
                              <w:marRight w:val="0"/>
                              <w:marTop w:val="115"/>
                              <w:marBottom w:val="115"/>
                              <w:divBdr>
                                <w:top w:val="none" w:sz="0" w:space="0" w:color="auto"/>
                                <w:left w:val="none" w:sz="0" w:space="0" w:color="auto"/>
                                <w:bottom w:val="single" w:sz="4" w:space="0" w:color="77C1BF"/>
                                <w:right w:val="none" w:sz="0" w:space="0" w:color="auto"/>
                              </w:divBdr>
                            </w:div>
                            <w:div w:id="1788694372">
                              <w:marLeft w:val="0"/>
                              <w:marRight w:val="0"/>
                              <w:marTop w:val="115"/>
                              <w:marBottom w:val="115"/>
                              <w:divBdr>
                                <w:top w:val="none" w:sz="0" w:space="0" w:color="auto"/>
                                <w:left w:val="none" w:sz="0" w:space="0" w:color="auto"/>
                                <w:bottom w:val="single" w:sz="4" w:space="0" w:color="77C1BF"/>
                                <w:right w:val="none" w:sz="0" w:space="0" w:color="auto"/>
                              </w:divBdr>
                            </w:div>
                            <w:div w:id="1980067230">
                              <w:marLeft w:val="0"/>
                              <w:marRight w:val="0"/>
                              <w:marTop w:val="115"/>
                              <w:marBottom w:val="115"/>
                              <w:divBdr>
                                <w:top w:val="none" w:sz="0" w:space="0" w:color="auto"/>
                                <w:left w:val="none" w:sz="0" w:space="0" w:color="auto"/>
                                <w:bottom w:val="none" w:sz="0" w:space="0" w:color="auto"/>
                                <w:right w:val="none" w:sz="0" w:space="0" w:color="auto"/>
                              </w:divBdr>
                              <w:divsChild>
                                <w:div w:id="1158619642">
                                  <w:marLeft w:val="0"/>
                                  <w:marRight w:val="0"/>
                                  <w:marTop w:val="0"/>
                                  <w:marBottom w:val="0"/>
                                  <w:divBdr>
                                    <w:top w:val="none" w:sz="0" w:space="0" w:color="auto"/>
                                    <w:left w:val="none" w:sz="0" w:space="0" w:color="auto"/>
                                    <w:bottom w:val="dashed" w:sz="4" w:space="0" w:color="C7D9D8"/>
                                    <w:right w:val="none" w:sz="0" w:space="0" w:color="auto"/>
                                  </w:divBdr>
                                  <w:divsChild>
                                    <w:div w:id="18460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999670">
                  <w:marLeft w:val="0"/>
                  <w:marRight w:val="0"/>
                  <w:marTop w:val="0"/>
                  <w:marBottom w:val="0"/>
                  <w:divBdr>
                    <w:top w:val="none" w:sz="0" w:space="0" w:color="auto"/>
                    <w:left w:val="none" w:sz="0" w:space="0" w:color="auto"/>
                    <w:bottom w:val="none" w:sz="0" w:space="0" w:color="auto"/>
                    <w:right w:val="none" w:sz="0" w:space="0" w:color="auto"/>
                  </w:divBdr>
                  <w:divsChild>
                    <w:div w:id="1700427412">
                      <w:marLeft w:val="0"/>
                      <w:marRight w:val="0"/>
                      <w:marTop w:val="0"/>
                      <w:marBottom w:val="0"/>
                      <w:divBdr>
                        <w:top w:val="none" w:sz="0" w:space="0" w:color="auto"/>
                        <w:left w:val="none" w:sz="0" w:space="0" w:color="auto"/>
                        <w:bottom w:val="none" w:sz="0" w:space="0" w:color="auto"/>
                        <w:right w:val="none" w:sz="0" w:space="0" w:color="auto"/>
                      </w:divBdr>
                      <w:divsChild>
                        <w:div w:id="188952842">
                          <w:marLeft w:val="0"/>
                          <w:marRight w:val="0"/>
                          <w:marTop w:val="0"/>
                          <w:marBottom w:val="0"/>
                          <w:divBdr>
                            <w:top w:val="none" w:sz="0" w:space="0" w:color="auto"/>
                            <w:left w:val="none" w:sz="0" w:space="0" w:color="auto"/>
                            <w:bottom w:val="none" w:sz="0" w:space="0" w:color="auto"/>
                            <w:right w:val="none" w:sz="0" w:space="0" w:color="auto"/>
                          </w:divBdr>
                          <w:divsChild>
                            <w:div w:id="554589277">
                              <w:marLeft w:val="0"/>
                              <w:marRight w:val="0"/>
                              <w:marTop w:val="0"/>
                              <w:marBottom w:val="0"/>
                              <w:divBdr>
                                <w:top w:val="none" w:sz="0" w:space="0" w:color="auto"/>
                                <w:left w:val="none" w:sz="0" w:space="0" w:color="auto"/>
                                <w:bottom w:val="none" w:sz="0" w:space="0" w:color="auto"/>
                                <w:right w:val="none" w:sz="0" w:space="0" w:color="auto"/>
                              </w:divBdr>
                              <w:divsChild>
                                <w:div w:id="1162625495">
                                  <w:marLeft w:val="0"/>
                                  <w:marRight w:val="0"/>
                                  <w:marTop w:val="0"/>
                                  <w:marBottom w:val="0"/>
                                  <w:divBdr>
                                    <w:top w:val="none" w:sz="0" w:space="0" w:color="auto"/>
                                    <w:left w:val="none" w:sz="0" w:space="0" w:color="auto"/>
                                    <w:bottom w:val="dashed" w:sz="4" w:space="0" w:color="C7D9D8"/>
                                    <w:right w:val="none" w:sz="0" w:space="0" w:color="auto"/>
                                  </w:divBdr>
                                </w:div>
                                <w:div w:id="1352685189">
                                  <w:marLeft w:val="0"/>
                                  <w:marRight w:val="0"/>
                                  <w:marTop w:val="0"/>
                                  <w:marBottom w:val="0"/>
                                  <w:divBdr>
                                    <w:top w:val="none" w:sz="0" w:space="0" w:color="auto"/>
                                    <w:left w:val="none" w:sz="0" w:space="0" w:color="auto"/>
                                    <w:bottom w:val="dashed" w:sz="4" w:space="0" w:color="C7D9D8"/>
                                    <w:right w:val="none" w:sz="0" w:space="0" w:color="auto"/>
                                  </w:divBdr>
                                </w:div>
                                <w:div w:id="1645310114">
                                  <w:marLeft w:val="0"/>
                                  <w:marRight w:val="0"/>
                                  <w:marTop w:val="0"/>
                                  <w:marBottom w:val="0"/>
                                  <w:divBdr>
                                    <w:top w:val="none" w:sz="0" w:space="0" w:color="auto"/>
                                    <w:left w:val="none" w:sz="0" w:space="0" w:color="auto"/>
                                    <w:bottom w:val="dashed" w:sz="4" w:space="0" w:color="C7D9D8"/>
                                    <w:right w:val="none" w:sz="0" w:space="0" w:color="auto"/>
                                  </w:divBdr>
                                </w:div>
                                <w:div w:id="1661276333">
                                  <w:marLeft w:val="0"/>
                                  <w:marRight w:val="0"/>
                                  <w:marTop w:val="0"/>
                                  <w:marBottom w:val="0"/>
                                  <w:divBdr>
                                    <w:top w:val="none" w:sz="0" w:space="0" w:color="auto"/>
                                    <w:left w:val="none" w:sz="0" w:space="0" w:color="auto"/>
                                    <w:bottom w:val="dashed" w:sz="4" w:space="0" w:color="C7D9D8"/>
                                    <w:right w:val="none" w:sz="0" w:space="0" w:color="auto"/>
                                  </w:divBdr>
                                </w:div>
                                <w:div w:id="1851412094">
                                  <w:marLeft w:val="0"/>
                                  <w:marRight w:val="0"/>
                                  <w:marTop w:val="0"/>
                                  <w:marBottom w:val="0"/>
                                  <w:divBdr>
                                    <w:top w:val="none" w:sz="0" w:space="0" w:color="auto"/>
                                    <w:left w:val="none" w:sz="0" w:space="0" w:color="auto"/>
                                    <w:bottom w:val="dashed" w:sz="4" w:space="0" w:color="C7D9D8"/>
                                    <w:right w:val="none" w:sz="0" w:space="0" w:color="auto"/>
                                  </w:divBdr>
                                </w:div>
                              </w:divsChild>
                            </w:div>
                          </w:divsChild>
                        </w:div>
                      </w:divsChild>
                    </w:div>
                  </w:divsChild>
                </w:div>
                <w:div w:id="1417363019">
                  <w:marLeft w:val="0"/>
                  <w:marRight w:val="0"/>
                  <w:marTop w:val="0"/>
                  <w:marBottom w:val="0"/>
                  <w:divBdr>
                    <w:top w:val="none" w:sz="0" w:space="0" w:color="auto"/>
                    <w:left w:val="none" w:sz="0" w:space="0" w:color="auto"/>
                    <w:bottom w:val="none" w:sz="0" w:space="0" w:color="auto"/>
                    <w:right w:val="none" w:sz="0" w:space="0" w:color="auto"/>
                  </w:divBdr>
                  <w:divsChild>
                    <w:div w:id="143468365">
                      <w:marLeft w:val="0"/>
                      <w:marRight w:val="0"/>
                      <w:marTop w:val="0"/>
                      <w:marBottom w:val="0"/>
                      <w:divBdr>
                        <w:top w:val="none" w:sz="0" w:space="0" w:color="auto"/>
                        <w:left w:val="none" w:sz="0" w:space="0" w:color="auto"/>
                        <w:bottom w:val="none" w:sz="0" w:space="0" w:color="auto"/>
                        <w:right w:val="none" w:sz="0" w:space="0" w:color="auto"/>
                      </w:divBdr>
                      <w:divsChild>
                        <w:div w:id="1478109617">
                          <w:marLeft w:val="0"/>
                          <w:marRight w:val="0"/>
                          <w:marTop w:val="0"/>
                          <w:marBottom w:val="0"/>
                          <w:divBdr>
                            <w:top w:val="none" w:sz="0" w:space="0" w:color="auto"/>
                            <w:left w:val="none" w:sz="0" w:space="0" w:color="auto"/>
                            <w:bottom w:val="none" w:sz="0" w:space="0" w:color="auto"/>
                            <w:right w:val="none" w:sz="0" w:space="0" w:color="auto"/>
                          </w:divBdr>
                          <w:divsChild>
                            <w:div w:id="166404695">
                              <w:marLeft w:val="0"/>
                              <w:marRight w:val="0"/>
                              <w:marTop w:val="115"/>
                              <w:marBottom w:val="115"/>
                              <w:divBdr>
                                <w:top w:val="none" w:sz="0" w:space="0" w:color="auto"/>
                                <w:left w:val="none" w:sz="0" w:space="0" w:color="auto"/>
                                <w:bottom w:val="none" w:sz="0" w:space="0" w:color="auto"/>
                                <w:right w:val="none" w:sz="0" w:space="0" w:color="auto"/>
                              </w:divBdr>
                              <w:divsChild>
                                <w:div w:id="661394253">
                                  <w:marLeft w:val="0"/>
                                  <w:marRight w:val="0"/>
                                  <w:marTop w:val="0"/>
                                  <w:marBottom w:val="0"/>
                                  <w:divBdr>
                                    <w:top w:val="none" w:sz="0" w:space="0" w:color="auto"/>
                                    <w:left w:val="none" w:sz="0" w:space="0" w:color="auto"/>
                                    <w:bottom w:val="dashed" w:sz="4" w:space="0" w:color="C7D9D8"/>
                                    <w:right w:val="none" w:sz="0" w:space="0" w:color="auto"/>
                                  </w:divBdr>
                                </w:div>
                              </w:divsChild>
                            </w:div>
                            <w:div w:id="300619191">
                              <w:marLeft w:val="0"/>
                              <w:marRight w:val="0"/>
                              <w:marTop w:val="115"/>
                              <w:marBottom w:val="115"/>
                              <w:divBdr>
                                <w:top w:val="none" w:sz="0" w:space="0" w:color="auto"/>
                                <w:left w:val="none" w:sz="0" w:space="0" w:color="auto"/>
                                <w:bottom w:val="single" w:sz="4" w:space="0" w:color="77C1BF"/>
                                <w:right w:val="none" w:sz="0" w:space="0" w:color="auto"/>
                              </w:divBdr>
                            </w:div>
                            <w:div w:id="479152116">
                              <w:marLeft w:val="0"/>
                              <w:marRight w:val="0"/>
                              <w:marTop w:val="115"/>
                              <w:marBottom w:val="115"/>
                              <w:divBdr>
                                <w:top w:val="none" w:sz="0" w:space="0" w:color="auto"/>
                                <w:left w:val="none" w:sz="0" w:space="0" w:color="auto"/>
                                <w:bottom w:val="none" w:sz="0" w:space="0" w:color="auto"/>
                                <w:right w:val="none" w:sz="0" w:space="0" w:color="auto"/>
                              </w:divBdr>
                              <w:divsChild>
                                <w:div w:id="1153837553">
                                  <w:marLeft w:val="0"/>
                                  <w:marRight w:val="0"/>
                                  <w:marTop w:val="0"/>
                                  <w:marBottom w:val="0"/>
                                  <w:divBdr>
                                    <w:top w:val="none" w:sz="0" w:space="0" w:color="auto"/>
                                    <w:left w:val="none" w:sz="0" w:space="0" w:color="auto"/>
                                    <w:bottom w:val="dashed" w:sz="4" w:space="0" w:color="C7D9D8"/>
                                    <w:right w:val="none" w:sz="0" w:space="0" w:color="auto"/>
                                  </w:divBdr>
                                  <w:divsChild>
                                    <w:div w:id="11929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8974">
                              <w:marLeft w:val="0"/>
                              <w:marRight w:val="0"/>
                              <w:marTop w:val="115"/>
                              <w:marBottom w:val="115"/>
                              <w:divBdr>
                                <w:top w:val="none" w:sz="0" w:space="0" w:color="auto"/>
                                <w:left w:val="none" w:sz="0" w:space="0" w:color="auto"/>
                                <w:bottom w:val="none" w:sz="0" w:space="0" w:color="auto"/>
                                <w:right w:val="none" w:sz="0" w:space="0" w:color="auto"/>
                              </w:divBdr>
                              <w:divsChild>
                                <w:div w:id="367799313">
                                  <w:marLeft w:val="0"/>
                                  <w:marRight w:val="0"/>
                                  <w:marTop w:val="0"/>
                                  <w:marBottom w:val="0"/>
                                  <w:divBdr>
                                    <w:top w:val="none" w:sz="0" w:space="0" w:color="auto"/>
                                    <w:left w:val="none" w:sz="0" w:space="0" w:color="auto"/>
                                    <w:bottom w:val="dashed" w:sz="4" w:space="0" w:color="C7D9D8"/>
                                    <w:right w:val="none" w:sz="0" w:space="0" w:color="auto"/>
                                  </w:divBdr>
                                </w:div>
                              </w:divsChild>
                            </w:div>
                            <w:div w:id="751315843">
                              <w:marLeft w:val="0"/>
                              <w:marRight w:val="0"/>
                              <w:marTop w:val="115"/>
                              <w:marBottom w:val="115"/>
                              <w:divBdr>
                                <w:top w:val="none" w:sz="0" w:space="0" w:color="auto"/>
                                <w:left w:val="none" w:sz="0" w:space="0" w:color="auto"/>
                                <w:bottom w:val="none" w:sz="0" w:space="0" w:color="auto"/>
                                <w:right w:val="none" w:sz="0" w:space="0" w:color="auto"/>
                              </w:divBdr>
                              <w:divsChild>
                                <w:div w:id="554780047">
                                  <w:marLeft w:val="0"/>
                                  <w:marRight w:val="0"/>
                                  <w:marTop w:val="0"/>
                                  <w:marBottom w:val="0"/>
                                  <w:divBdr>
                                    <w:top w:val="none" w:sz="0" w:space="0" w:color="auto"/>
                                    <w:left w:val="none" w:sz="0" w:space="0" w:color="auto"/>
                                    <w:bottom w:val="dashed" w:sz="4" w:space="0" w:color="C7D9D8"/>
                                    <w:right w:val="none" w:sz="0" w:space="0" w:color="auto"/>
                                  </w:divBdr>
                                  <w:divsChild>
                                    <w:div w:id="10440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9115">
                              <w:marLeft w:val="0"/>
                              <w:marRight w:val="0"/>
                              <w:marTop w:val="115"/>
                              <w:marBottom w:val="115"/>
                              <w:divBdr>
                                <w:top w:val="none" w:sz="0" w:space="0" w:color="auto"/>
                                <w:left w:val="none" w:sz="0" w:space="0" w:color="auto"/>
                                <w:bottom w:val="single" w:sz="4" w:space="0" w:color="77C1BF"/>
                                <w:right w:val="none" w:sz="0" w:space="0" w:color="auto"/>
                              </w:divBdr>
                            </w:div>
                            <w:div w:id="924995875">
                              <w:marLeft w:val="0"/>
                              <w:marRight w:val="0"/>
                              <w:marTop w:val="115"/>
                              <w:marBottom w:val="115"/>
                              <w:divBdr>
                                <w:top w:val="none" w:sz="0" w:space="0" w:color="auto"/>
                                <w:left w:val="none" w:sz="0" w:space="0" w:color="auto"/>
                                <w:bottom w:val="none" w:sz="0" w:space="0" w:color="auto"/>
                                <w:right w:val="none" w:sz="0" w:space="0" w:color="auto"/>
                              </w:divBdr>
                              <w:divsChild>
                                <w:div w:id="1131173442">
                                  <w:marLeft w:val="0"/>
                                  <w:marRight w:val="0"/>
                                  <w:marTop w:val="0"/>
                                  <w:marBottom w:val="0"/>
                                  <w:divBdr>
                                    <w:top w:val="none" w:sz="0" w:space="0" w:color="auto"/>
                                    <w:left w:val="none" w:sz="0" w:space="0" w:color="auto"/>
                                    <w:bottom w:val="dashed" w:sz="4" w:space="0" w:color="C7D9D8"/>
                                    <w:right w:val="none" w:sz="0" w:space="0" w:color="auto"/>
                                  </w:divBdr>
                                  <w:divsChild>
                                    <w:div w:id="11716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2078">
                              <w:marLeft w:val="0"/>
                              <w:marRight w:val="0"/>
                              <w:marTop w:val="115"/>
                              <w:marBottom w:val="115"/>
                              <w:divBdr>
                                <w:top w:val="none" w:sz="0" w:space="0" w:color="auto"/>
                                <w:left w:val="none" w:sz="0" w:space="0" w:color="auto"/>
                                <w:bottom w:val="single" w:sz="4" w:space="0" w:color="77C1BF"/>
                                <w:right w:val="none" w:sz="0" w:space="0" w:color="auto"/>
                              </w:divBdr>
                            </w:div>
                            <w:div w:id="1102797197">
                              <w:marLeft w:val="0"/>
                              <w:marRight w:val="0"/>
                              <w:marTop w:val="115"/>
                              <w:marBottom w:val="115"/>
                              <w:divBdr>
                                <w:top w:val="none" w:sz="0" w:space="0" w:color="auto"/>
                                <w:left w:val="none" w:sz="0" w:space="0" w:color="auto"/>
                                <w:bottom w:val="single" w:sz="4" w:space="0" w:color="77C1BF"/>
                                <w:right w:val="none" w:sz="0" w:space="0" w:color="auto"/>
                              </w:divBdr>
                            </w:div>
                            <w:div w:id="1104347491">
                              <w:marLeft w:val="0"/>
                              <w:marRight w:val="0"/>
                              <w:marTop w:val="115"/>
                              <w:marBottom w:val="115"/>
                              <w:divBdr>
                                <w:top w:val="none" w:sz="0" w:space="0" w:color="auto"/>
                                <w:left w:val="none" w:sz="0" w:space="0" w:color="auto"/>
                                <w:bottom w:val="single" w:sz="4" w:space="0" w:color="77C1BF"/>
                                <w:right w:val="none" w:sz="0" w:space="0" w:color="auto"/>
                              </w:divBdr>
                            </w:div>
                            <w:div w:id="1284772473">
                              <w:marLeft w:val="0"/>
                              <w:marRight w:val="0"/>
                              <w:marTop w:val="115"/>
                              <w:marBottom w:val="115"/>
                              <w:divBdr>
                                <w:top w:val="none" w:sz="0" w:space="0" w:color="auto"/>
                                <w:left w:val="none" w:sz="0" w:space="0" w:color="auto"/>
                                <w:bottom w:val="single" w:sz="4" w:space="0" w:color="77C1BF"/>
                                <w:right w:val="none" w:sz="0" w:space="0" w:color="auto"/>
                              </w:divBdr>
                            </w:div>
                            <w:div w:id="1360594088">
                              <w:marLeft w:val="0"/>
                              <w:marRight w:val="0"/>
                              <w:marTop w:val="115"/>
                              <w:marBottom w:val="115"/>
                              <w:divBdr>
                                <w:top w:val="none" w:sz="0" w:space="0" w:color="auto"/>
                                <w:left w:val="none" w:sz="0" w:space="0" w:color="auto"/>
                                <w:bottom w:val="none" w:sz="0" w:space="0" w:color="auto"/>
                                <w:right w:val="none" w:sz="0" w:space="0" w:color="auto"/>
                              </w:divBdr>
                              <w:divsChild>
                                <w:div w:id="1413163093">
                                  <w:marLeft w:val="0"/>
                                  <w:marRight w:val="0"/>
                                  <w:marTop w:val="0"/>
                                  <w:marBottom w:val="0"/>
                                  <w:divBdr>
                                    <w:top w:val="none" w:sz="0" w:space="0" w:color="auto"/>
                                    <w:left w:val="none" w:sz="0" w:space="0" w:color="auto"/>
                                    <w:bottom w:val="dashed" w:sz="4" w:space="0" w:color="C7D9D8"/>
                                    <w:right w:val="none" w:sz="0" w:space="0" w:color="auto"/>
                                  </w:divBdr>
                                  <w:divsChild>
                                    <w:div w:id="10013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7422">
                              <w:marLeft w:val="0"/>
                              <w:marRight w:val="0"/>
                              <w:marTop w:val="115"/>
                              <w:marBottom w:val="115"/>
                              <w:divBdr>
                                <w:top w:val="none" w:sz="0" w:space="0" w:color="auto"/>
                                <w:left w:val="none" w:sz="0" w:space="0" w:color="auto"/>
                                <w:bottom w:val="single" w:sz="4" w:space="0" w:color="77C1BF"/>
                                <w:right w:val="none" w:sz="0" w:space="0" w:color="auto"/>
                              </w:divBdr>
                            </w:div>
                            <w:div w:id="1628315793">
                              <w:marLeft w:val="0"/>
                              <w:marRight w:val="0"/>
                              <w:marTop w:val="115"/>
                              <w:marBottom w:val="115"/>
                              <w:divBdr>
                                <w:top w:val="none" w:sz="0" w:space="0" w:color="auto"/>
                                <w:left w:val="none" w:sz="0" w:space="0" w:color="auto"/>
                                <w:bottom w:val="none" w:sz="0" w:space="0" w:color="auto"/>
                                <w:right w:val="none" w:sz="0" w:space="0" w:color="auto"/>
                              </w:divBdr>
                              <w:divsChild>
                                <w:div w:id="581377859">
                                  <w:marLeft w:val="0"/>
                                  <w:marRight w:val="0"/>
                                  <w:marTop w:val="0"/>
                                  <w:marBottom w:val="0"/>
                                  <w:divBdr>
                                    <w:top w:val="none" w:sz="0" w:space="0" w:color="auto"/>
                                    <w:left w:val="none" w:sz="0" w:space="0" w:color="auto"/>
                                    <w:bottom w:val="dashed" w:sz="4" w:space="0" w:color="C7D9D8"/>
                                    <w:right w:val="none" w:sz="0" w:space="0" w:color="auto"/>
                                  </w:divBdr>
                                  <w:divsChild>
                                    <w:div w:id="3849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0131">
                              <w:marLeft w:val="0"/>
                              <w:marRight w:val="0"/>
                              <w:marTop w:val="115"/>
                              <w:marBottom w:val="115"/>
                              <w:divBdr>
                                <w:top w:val="none" w:sz="0" w:space="0" w:color="auto"/>
                                <w:left w:val="none" w:sz="0" w:space="0" w:color="auto"/>
                                <w:bottom w:val="none" w:sz="0" w:space="0" w:color="auto"/>
                                <w:right w:val="none" w:sz="0" w:space="0" w:color="auto"/>
                              </w:divBdr>
                              <w:divsChild>
                                <w:div w:id="2047943425">
                                  <w:marLeft w:val="0"/>
                                  <w:marRight w:val="0"/>
                                  <w:marTop w:val="0"/>
                                  <w:marBottom w:val="0"/>
                                  <w:divBdr>
                                    <w:top w:val="none" w:sz="0" w:space="0" w:color="auto"/>
                                    <w:left w:val="none" w:sz="0" w:space="0" w:color="auto"/>
                                    <w:bottom w:val="dashed" w:sz="4" w:space="0" w:color="C7D9D8"/>
                                    <w:right w:val="none" w:sz="0" w:space="0" w:color="auto"/>
                                  </w:divBdr>
                                  <w:divsChild>
                                    <w:div w:id="4606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2326">
                              <w:marLeft w:val="0"/>
                              <w:marRight w:val="0"/>
                              <w:marTop w:val="115"/>
                              <w:marBottom w:val="115"/>
                              <w:divBdr>
                                <w:top w:val="none" w:sz="0" w:space="0" w:color="auto"/>
                                <w:left w:val="none" w:sz="0" w:space="0" w:color="auto"/>
                                <w:bottom w:val="none" w:sz="0" w:space="0" w:color="auto"/>
                                <w:right w:val="none" w:sz="0" w:space="0" w:color="auto"/>
                              </w:divBdr>
                              <w:divsChild>
                                <w:div w:id="1749384937">
                                  <w:marLeft w:val="0"/>
                                  <w:marRight w:val="0"/>
                                  <w:marTop w:val="0"/>
                                  <w:marBottom w:val="0"/>
                                  <w:divBdr>
                                    <w:top w:val="none" w:sz="0" w:space="0" w:color="auto"/>
                                    <w:left w:val="none" w:sz="0" w:space="0" w:color="auto"/>
                                    <w:bottom w:val="dashed" w:sz="4" w:space="0" w:color="C7D9D8"/>
                                    <w:right w:val="none" w:sz="0" w:space="0" w:color="auto"/>
                                  </w:divBdr>
                                </w:div>
                              </w:divsChild>
                            </w:div>
                            <w:div w:id="1728868969">
                              <w:marLeft w:val="0"/>
                              <w:marRight w:val="0"/>
                              <w:marTop w:val="115"/>
                              <w:marBottom w:val="115"/>
                              <w:divBdr>
                                <w:top w:val="none" w:sz="0" w:space="0" w:color="auto"/>
                                <w:left w:val="none" w:sz="0" w:space="0" w:color="auto"/>
                                <w:bottom w:val="none" w:sz="0" w:space="0" w:color="auto"/>
                                <w:right w:val="none" w:sz="0" w:space="0" w:color="auto"/>
                              </w:divBdr>
                              <w:divsChild>
                                <w:div w:id="1589459491">
                                  <w:marLeft w:val="0"/>
                                  <w:marRight w:val="0"/>
                                  <w:marTop w:val="0"/>
                                  <w:marBottom w:val="0"/>
                                  <w:divBdr>
                                    <w:top w:val="none" w:sz="0" w:space="0" w:color="auto"/>
                                    <w:left w:val="none" w:sz="0" w:space="0" w:color="auto"/>
                                    <w:bottom w:val="dashed" w:sz="4" w:space="0" w:color="C7D9D8"/>
                                    <w:right w:val="none" w:sz="0" w:space="0" w:color="auto"/>
                                  </w:divBdr>
                                  <w:divsChild>
                                    <w:div w:id="18898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7513">
                              <w:marLeft w:val="0"/>
                              <w:marRight w:val="0"/>
                              <w:marTop w:val="115"/>
                              <w:marBottom w:val="115"/>
                              <w:divBdr>
                                <w:top w:val="none" w:sz="0" w:space="0" w:color="auto"/>
                                <w:left w:val="none" w:sz="0" w:space="0" w:color="auto"/>
                                <w:bottom w:val="single" w:sz="4" w:space="0" w:color="77C1BF"/>
                                <w:right w:val="none" w:sz="0" w:space="0" w:color="auto"/>
                              </w:divBdr>
                            </w:div>
                            <w:div w:id="1975718717">
                              <w:marLeft w:val="0"/>
                              <w:marRight w:val="0"/>
                              <w:marTop w:val="115"/>
                              <w:marBottom w:val="115"/>
                              <w:divBdr>
                                <w:top w:val="none" w:sz="0" w:space="0" w:color="auto"/>
                                <w:left w:val="none" w:sz="0" w:space="0" w:color="auto"/>
                                <w:bottom w:val="single" w:sz="4" w:space="0" w:color="77C1BF"/>
                                <w:right w:val="none" w:sz="0" w:space="0" w:color="auto"/>
                              </w:divBdr>
                            </w:div>
                            <w:div w:id="2070416833">
                              <w:marLeft w:val="0"/>
                              <w:marRight w:val="0"/>
                              <w:marTop w:val="115"/>
                              <w:marBottom w:val="115"/>
                              <w:divBdr>
                                <w:top w:val="none" w:sz="0" w:space="0" w:color="auto"/>
                                <w:left w:val="none" w:sz="0" w:space="0" w:color="auto"/>
                                <w:bottom w:val="single" w:sz="4" w:space="0" w:color="77C1BF"/>
                                <w:right w:val="none" w:sz="0" w:space="0" w:color="auto"/>
                              </w:divBdr>
                            </w:div>
                          </w:divsChild>
                        </w:div>
                      </w:divsChild>
                    </w:div>
                    <w:div w:id="947278610">
                      <w:marLeft w:val="0"/>
                      <w:marRight w:val="0"/>
                      <w:marTop w:val="0"/>
                      <w:marBottom w:val="0"/>
                      <w:divBdr>
                        <w:top w:val="none" w:sz="0" w:space="0" w:color="auto"/>
                        <w:left w:val="none" w:sz="0" w:space="0" w:color="auto"/>
                        <w:bottom w:val="none" w:sz="0" w:space="0" w:color="auto"/>
                        <w:right w:val="none" w:sz="0" w:space="0" w:color="auto"/>
                      </w:divBdr>
                      <w:divsChild>
                        <w:div w:id="1417551505">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115"/>
                              <w:marBottom w:val="115"/>
                              <w:divBdr>
                                <w:top w:val="none" w:sz="0" w:space="0" w:color="auto"/>
                                <w:left w:val="none" w:sz="0" w:space="0" w:color="auto"/>
                                <w:bottom w:val="single" w:sz="4" w:space="0" w:color="77C1BF"/>
                                <w:right w:val="none" w:sz="0" w:space="0" w:color="auto"/>
                              </w:divBdr>
                            </w:div>
                            <w:div w:id="434709317">
                              <w:marLeft w:val="0"/>
                              <w:marRight w:val="0"/>
                              <w:marTop w:val="115"/>
                              <w:marBottom w:val="115"/>
                              <w:divBdr>
                                <w:top w:val="none" w:sz="0" w:space="0" w:color="auto"/>
                                <w:left w:val="none" w:sz="0" w:space="0" w:color="auto"/>
                                <w:bottom w:val="single" w:sz="4" w:space="0" w:color="77C1BF"/>
                                <w:right w:val="none" w:sz="0" w:space="0" w:color="auto"/>
                              </w:divBdr>
                            </w:div>
                            <w:div w:id="1229606977">
                              <w:marLeft w:val="0"/>
                              <w:marRight w:val="0"/>
                              <w:marTop w:val="115"/>
                              <w:marBottom w:val="115"/>
                              <w:divBdr>
                                <w:top w:val="none" w:sz="0" w:space="0" w:color="auto"/>
                                <w:left w:val="none" w:sz="0" w:space="0" w:color="auto"/>
                                <w:bottom w:val="none" w:sz="0" w:space="0" w:color="auto"/>
                                <w:right w:val="none" w:sz="0" w:space="0" w:color="auto"/>
                              </w:divBdr>
                              <w:divsChild>
                                <w:div w:id="1916814543">
                                  <w:marLeft w:val="0"/>
                                  <w:marRight w:val="0"/>
                                  <w:marTop w:val="0"/>
                                  <w:marBottom w:val="0"/>
                                  <w:divBdr>
                                    <w:top w:val="none" w:sz="0" w:space="0" w:color="auto"/>
                                    <w:left w:val="none" w:sz="0" w:space="0" w:color="auto"/>
                                    <w:bottom w:val="dashed" w:sz="4" w:space="0" w:color="C7D9D8"/>
                                    <w:right w:val="none" w:sz="0" w:space="0" w:color="auto"/>
                                  </w:divBdr>
                                </w:div>
                              </w:divsChild>
                            </w:div>
                            <w:div w:id="1571770027">
                              <w:marLeft w:val="0"/>
                              <w:marRight w:val="0"/>
                              <w:marTop w:val="115"/>
                              <w:marBottom w:val="115"/>
                              <w:divBdr>
                                <w:top w:val="none" w:sz="0" w:space="0" w:color="auto"/>
                                <w:left w:val="none" w:sz="0" w:space="0" w:color="auto"/>
                                <w:bottom w:val="none" w:sz="0" w:space="0" w:color="auto"/>
                                <w:right w:val="none" w:sz="0" w:space="0" w:color="auto"/>
                              </w:divBdr>
                              <w:divsChild>
                                <w:div w:id="1478957027">
                                  <w:marLeft w:val="0"/>
                                  <w:marRight w:val="0"/>
                                  <w:marTop w:val="0"/>
                                  <w:marBottom w:val="0"/>
                                  <w:divBdr>
                                    <w:top w:val="none" w:sz="0" w:space="0" w:color="auto"/>
                                    <w:left w:val="none" w:sz="0" w:space="0" w:color="auto"/>
                                    <w:bottom w:val="dashed" w:sz="4" w:space="0" w:color="C7D9D8"/>
                                    <w:right w:val="none" w:sz="0" w:space="0" w:color="auto"/>
                                  </w:divBdr>
                                </w:div>
                              </w:divsChild>
                            </w:div>
                            <w:div w:id="1790123913">
                              <w:marLeft w:val="0"/>
                              <w:marRight w:val="0"/>
                              <w:marTop w:val="115"/>
                              <w:marBottom w:val="115"/>
                              <w:divBdr>
                                <w:top w:val="none" w:sz="0" w:space="0" w:color="auto"/>
                                <w:left w:val="none" w:sz="0" w:space="0" w:color="auto"/>
                                <w:bottom w:val="none" w:sz="0" w:space="0" w:color="auto"/>
                                <w:right w:val="none" w:sz="0" w:space="0" w:color="auto"/>
                              </w:divBdr>
                              <w:divsChild>
                                <w:div w:id="221866675">
                                  <w:marLeft w:val="0"/>
                                  <w:marRight w:val="0"/>
                                  <w:marTop w:val="0"/>
                                  <w:marBottom w:val="0"/>
                                  <w:divBdr>
                                    <w:top w:val="none" w:sz="0" w:space="0" w:color="auto"/>
                                    <w:left w:val="none" w:sz="0" w:space="0" w:color="auto"/>
                                    <w:bottom w:val="dashed" w:sz="4" w:space="0" w:color="C7D9D8"/>
                                    <w:right w:val="none" w:sz="0" w:space="0" w:color="auto"/>
                                  </w:divBdr>
                                  <w:divsChild>
                                    <w:div w:id="2835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6293">
                              <w:marLeft w:val="0"/>
                              <w:marRight w:val="0"/>
                              <w:marTop w:val="115"/>
                              <w:marBottom w:val="115"/>
                              <w:divBdr>
                                <w:top w:val="none" w:sz="0" w:space="0" w:color="auto"/>
                                <w:left w:val="none" w:sz="0" w:space="0" w:color="auto"/>
                                <w:bottom w:val="single" w:sz="4" w:space="0" w:color="77C1BF"/>
                                <w:right w:val="none" w:sz="0" w:space="0" w:color="auto"/>
                              </w:divBdr>
                            </w:div>
                            <w:div w:id="1997800768">
                              <w:marLeft w:val="0"/>
                              <w:marRight w:val="0"/>
                              <w:marTop w:val="115"/>
                              <w:marBottom w:val="115"/>
                              <w:divBdr>
                                <w:top w:val="none" w:sz="0" w:space="0" w:color="auto"/>
                                <w:left w:val="none" w:sz="0" w:space="0" w:color="auto"/>
                                <w:bottom w:val="none" w:sz="0" w:space="0" w:color="auto"/>
                                <w:right w:val="none" w:sz="0" w:space="0" w:color="auto"/>
                              </w:divBdr>
                              <w:divsChild>
                                <w:div w:id="802842531">
                                  <w:marLeft w:val="0"/>
                                  <w:marRight w:val="0"/>
                                  <w:marTop w:val="0"/>
                                  <w:marBottom w:val="0"/>
                                  <w:divBdr>
                                    <w:top w:val="none" w:sz="0" w:space="0" w:color="auto"/>
                                    <w:left w:val="none" w:sz="0" w:space="0" w:color="auto"/>
                                    <w:bottom w:val="dashed" w:sz="4" w:space="0" w:color="C7D9D8"/>
                                    <w:right w:val="none" w:sz="0" w:space="0" w:color="auto"/>
                                  </w:divBdr>
                                </w:div>
                              </w:divsChild>
                            </w:div>
                            <w:div w:id="2039238488">
                              <w:marLeft w:val="0"/>
                              <w:marRight w:val="0"/>
                              <w:marTop w:val="115"/>
                              <w:marBottom w:val="115"/>
                              <w:divBdr>
                                <w:top w:val="none" w:sz="0" w:space="0" w:color="auto"/>
                                <w:left w:val="none" w:sz="0" w:space="0" w:color="auto"/>
                                <w:bottom w:val="single" w:sz="4" w:space="0" w:color="77C1BF"/>
                                <w:right w:val="none" w:sz="0" w:space="0" w:color="auto"/>
                              </w:divBdr>
                            </w:div>
                          </w:divsChild>
                        </w:div>
                      </w:divsChild>
                    </w:div>
                    <w:div w:id="1239166936">
                      <w:marLeft w:val="0"/>
                      <w:marRight w:val="0"/>
                      <w:marTop w:val="0"/>
                      <w:marBottom w:val="0"/>
                      <w:divBdr>
                        <w:top w:val="none" w:sz="0" w:space="0" w:color="auto"/>
                        <w:left w:val="none" w:sz="0" w:space="0" w:color="auto"/>
                        <w:bottom w:val="none" w:sz="0" w:space="0" w:color="auto"/>
                        <w:right w:val="none" w:sz="0" w:space="0" w:color="auto"/>
                      </w:divBdr>
                      <w:divsChild>
                        <w:div w:id="1692683084">
                          <w:marLeft w:val="0"/>
                          <w:marRight w:val="0"/>
                          <w:marTop w:val="0"/>
                          <w:marBottom w:val="0"/>
                          <w:divBdr>
                            <w:top w:val="none" w:sz="0" w:space="0" w:color="auto"/>
                            <w:left w:val="none" w:sz="0" w:space="0" w:color="auto"/>
                            <w:bottom w:val="none" w:sz="0" w:space="0" w:color="auto"/>
                            <w:right w:val="none" w:sz="0" w:space="0" w:color="auto"/>
                          </w:divBdr>
                          <w:divsChild>
                            <w:div w:id="215119727">
                              <w:marLeft w:val="0"/>
                              <w:marRight w:val="0"/>
                              <w:marTop w:val="115"/>
                              <w:marBottom w:val="115"/>
                              <w:divBdr>
                                <w:top w:val="none" w:sz="0" w:space="0" w:color="auto"/>
                                <w:left w:val="none" w:sz="0" w:space="0" w:color="auto"/>
                                <w:bottom w:val="single" w:sz="4" w:space="0" w:color="77C1BF"/>
                                <w:right w:val="none" w:sz="0" w:space="0" w:color="auto"/>
                              </w:divBdr>
                            </w:div>
                            <w:div w:id="370959791">
                              <w:marLeft w:val="0"/>
                              <w:marRight w:val="0"/>
                              <w:marTop w:val="115"/>
                              <w:marBottom w:val="115"/>
                              <w:divBdr>
                                <w:top w:val="none" w:sz="0" w:space="0" w:color="auto"/>
                                <w:left w:val="none" w:sz="0" w:space="0" w:color="auto"/>
                                <w:bottom w:val="none" w:sz="0" w:space="0" w:color="auto"/>
                                <w:right w:val="none" w:sz="0" w:space="0" w:color="auto"/>
                              </w:divBdr>
                              <w:divsChild>
                                <w:div w:id="2039231258">
                                  <w:marLeft w:val="0"/>
                                  <w:marRight w:val="0"/>
                                  <w:marTop w:val="0"/>
                                  <w:marBottom w:val="0"/>
                                  <w:divBdr>
                                    <w:top w:val="none" w:sz="0" w:space="0" w:color="auto"/>
                                    <w:left w:val="none" w:sz="0" w:space="0" w:color="auto"/>
                                    <w:bottom w:val="dashed" w:sz="4" w:space="0" w:color="C7D9D8"/>
                                    <w:right w:val="none" w:sz="0" w:space="0" w:color="auto"/>
                                  </w:divBdr>
                                </w:div>
                              </w:divsChild>
                            </w:div>
                            <w:div w:id="399327941">
                              <w:marLeft w:val="0"/>
                              <w:marRight w:val="0"/>
                              <w:marTop w:val="115"/>
                              <w:marBottom w:val="115"/>
                              <w:divBdr>
                                <w:top w:val="none" w:sz="0" w:space="0" w:color="auto"/>
                                <w:left w:val="none" w:sz="0" w:space="0" w:color="auto"/>
                                <w:bottom w:val="single" w:sz="4" w:space="0" w:color="77C1BF"/>
                                <w:right w:val="none" w:sz="0" w:space="0" w:color="auto"/>
                              </w:divBdr>
                            </w:div>
                            <w:div w:id="805119982">
                              <w:marLeft w:val="0"/>
                              <w:marRight w:val="0"/>
                              <w:marTop w:val="115"/>
                              <w:marBottom w:val="115"/>
                              <w:divBdr>
                                <w:top w:val="none" w:sz="0" w:space="0" w:color="auto"/>
                                <w:left w:val="none" w:sz="0" w:space="0" w:color="auto"/>
                                <w:bottom w:val="none" w:sz="0" w:space="0" w:color="auto"/>
                                <w:right w:val="none" w:sz="0" w:space="0" w:color="auto"/>
                              </w:divBdr>
                              <w:divsChild>
                                <w:div w:id="701244476">
                                  <w:marLeft w:val="0"/>
                                  <w:marRight w:val="0"/>
                                  <w:marTop w:val="0"/>
                                  <w:marBottom w:val="0"/>
                                  <w:divBdr>
                                    <w:top w:val="none" w:sz="0" w:space="0" w:color="auto"/>
                                    <w:left w:val="none" w:sz="0" w:space="0" w:color="auto"/>
                                    <w:bottom w:val="dashed" w:sz="4" w:space="0" w:color="C7D9D8"/>
                                    <w:right w:val="none" w:sz="0" w:space="0" w:color="auto"/>
                                  </w:divBdr>
                                </w:div>
                              </w:divsChild>
                            </w:div>
                            <w:div w:id="928657419">
                              <w:marLeft w:val="0"/>
                              <w:marRight w:val="0"/>
                              <w:marTop w:val="115"/>
                              <w:marBottom w:val="115"/>
                              <w:divBdr>
                                <w:top w:val="none" w:sz="0" w:space="0" w:color="auto"/>
                                <w:left w:val="none" w:sz="0" w:space="0" w:color="auto"/>
                                <w:bottom w:val="single" w:sz="4" w:space="0" w:color="77C1BF"/>
                                <w:right w:val="none" w:sz="0" w:space="0" w:color="auto"/>
                              </w:divBdr>
                            </w:div>
                            <w:div w:id="1002665904">
                              <w:marLeft w:val="0"/>
                              <w:marRight w:val="0"/>
                              <w:marTop w:val="115"/>
                              <w:marBottom w:val="115"/>
                              <w:divBdr>
                                <w:top w:val="none" w:sz="0" w:space="0" w:color="auto"/>
                                <w:left w:val="none" w:sz="0" w:space="0" w:color="auto"/>
                                <w:bottom w:val="none" w:sz="0" w:space="0" w:color="auto"/>
                                <w:right w:val="none" w:sz="0" w:space="0" w:color="auto"/>
                              </w:divBdr>
                              <w:divsChild>
                                <w:div w:id="413018036">
                                  <w:marLeft w:val="0"/>
                                  <w:marRight w:val="0"/>
                                  <w:marTop w:val="0"/>
                                  <w:marBottom w:val="0"/>
                                  <w:divBdr>
                                    <w:top w:val="none" w:sz="0" w:space="0" w:color="auto"/>
                                    <w:left w:val="none" w:sz="0" w:space="0" w:color="auto"/>
                                    <w:bottom w:val="dashed" w:sz="4" w:space="0" w:color="C7D9D8"/>
                                    <w:right w:val="none" w:sz="0" w:space="0" w:color="auto"/>
                                  </w:divBdr>
                                  <w:divsChild>
                                    <w:div w:id="1625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1017">
                              <w:marLeft w:val="0"/>
                              <w:marRight w:val="0"/>
                              <w:marTop w:val="115"/>
                              <w:marBottom w:val="115"/>
                              <w:divBdr>
                                <w:top w:val="none" w:sz="0" w:space="0" w:color="auto"/>
                                <w:left w:val="none" w:sz="0" w:space="0" w:color="auto"/>
                                <w:bottom w:val="none" w:sz="0" w:space="0" w:color="auto"/>
                                <w:right w:val="none" w:sz="0" w:space="0" w:color="auto"/>
                              </w:divBdr>
                              <w:divsChild>
                                <w:div w:id="584728172">
                                  <w:marLeft w:val="0"/>
                                  <w:marRight w:val="0"/>
                                  <w:marTop w:val="0"/>
                                  <w:marBottom w:val="0"/>
                                  <w:divBdr>
                                    <w:top w:val="none" w:sz="0" w:space="0" w:color="auto"/>
                                    <w:left w:val="none" w:sz="0" w:space="0" w:color="auto"/>
                                    <w:bottom w:val="dashed" w:sz="4" w:space="0" w:color="C7D9D8"/>
                                    <w:right w:val="none" w:sz="0" w:space="0" w:color="auto"/>
                                  </w:divBdr>
                                </w:div>
                              </w:divsChild>
                            </w:div>
                            <w:div w:id="1147092216">
                              <w:marLeft w:val="0"/>
                              <w:marRight w:val="0"/>
                              <w:marTop w:val="115"/>
                              <w:marBottom w:val="115"/>
                              <w:divBdr>
                                <w:top w:val="none" w:sz="0" w:space="0" w:color="auto"/>
                                <w:left w:val="none" w:sz="0" w:space="0" w:color="auto"/>
                                <w:bottom w:val="single" w:sz="4" w:space="0" w:color="77C1BF"/>
                                <w:right w:val="none" w:sz="0" w:space="0" w:color="auto"/>
                              </w:divBdr>
                            </w:div>
                            <w:div w:id="1529878536">
                              <w:marLeft w:val="0"/>
                              <w:marRight w:val="0"/>
                              <w:marTop w:val="115"/>
                              <w:marBottom w:val="115"/>
                              <w:divBdr>
                                <w:top w:val="none" w:sz="0" w:space="0" w:color="auto"/>
                                <w:left w:val="none" w:sz="0" w:space="0" w:color="auto"/>
                                <w:bottom w:val="single" w:sz="4" w:space="0" w:color="77C1BF"/>
                                <w:right w:val="none" w:sz="0" w:space="0" w:color="auto"/>
                              </w:divBdr>
                            </w:div>
                            <w:div w:id="2117821229">
                              <w:marLeft w:val="0"/>
                              <w:marRight w:val="0"/>
                              <w:marTop w:val="115"/>
                              <w:marBottom w:val="115"/>
                              <w:divBdr>
                                <w:top w:val="none" w:sz="0" w:space="0" w:color="auto"/>
                                <w:left w:val="none" w:sz="0" w:space="0" w:color="auto"/>
                                <w:bottom w:val="none" w:sz="0" w:space="0" w:color="auto"/>
                                <w:right w:val="none" w:sz="0" w:space="0" w:color="auto"/>
                              </w:divBdr>
                              <w:divsChild>
                                <w:div w:id="465002513">
                                  <w:marLeft w:val="0"/>
                                  <w:marRight w:val="0"/>
                                  <w:marTop w:val="0"/>
                                  <w:marBottom w:val="0"/>
                                  <w:divBdr>
                                    <w:top w:val="none" w:sz="0" w:space="0" w:color="auto"/>
                                    <w:left w:val="none" w:sz="0" w:space="0" w:color="auto"/>
                                    <w:bottom w:val="dashed" w:sz="4" w:space="0" w:color="C7D9D8"/>
                                    <w:right w:val="none" w:sz="0" w:space="0" w:color="auto"/>
                                  </w:divBdr>
                                </w:div>
                              </w:divsChild>
                            </w:div>
                          </w:divsChild>
                        </w:div>
                      </w:divsChild>
                    </w:div>
                    <w:div w:id="1352993286">
                      <w:marLeft w:val="0"/>
                      <w:marRight w:val="0"/>
                      <w:marTop w:val="0"/>
                      <w:marBottom w:val="0"/>
                      <w:divBdr>
                        <w:top w:val="none" w:sz="0" w:space="0" w:color="auto"/>
                        <w:left w:val="none" w:sz="0" w:space="0" w:color="auto"/>
                        <w:bottom w:val="none" w:sz="0" w:space="0" w:color="auto"/>
                        <w:right w:val="none" w:sz="0" w:space="0" w:color="auto"/>
                      </w:divBdr>
                      <w:divsChild>
                        <w:div w:id="1704019034">
                          <w:marLeft w:val="0"/>
                          <w:marRight w:val="0"/>
                          <w:marTop w:val="0"/>
                          <w:marBottom w:val="0"/>
                          <w:divBdr>
                            <w:top w:val="none" w:sz="0" w:space="0" w:color="auto"/>
                            <w:left w:val="none" w:sz="0" w:space="0" w:color="auto"/>
                            <w:bottom w:val="none" w:sz="0" w:space="0" w:color="auto"/>
                            <w:right w:val="none" w:sz="0" w:space="0" w:color="auto"/>
                          </w:divBdr>
                          <w:divsChild>
                            <w:div w:id="100145642">
                              <w:marLeft w:val="0"/>
                              <w:marRight w:val="0"/>
                              <w:marTop w:val="115"/>
                              <w:marBottom w:val="115"/>
                              <w:divBdr>
                                <w:top w:val="none" w:sz="0" w:space="0" w:color="auto"/>
                                <w:left w:val="none" w:sz="0" w:space="0" w:color="auto"/>
                                <w:bottom w:val="single" w:sz="4" w:space="0" w:color="77C1BF"/>
                                <w:right w:val="none" w:sz="0" w:space="0" w:color="auto"/>
                              </w:divBdr>
                            </w:div>
                            <w:div w:id="697659250">
                              <w:marLeft w:val="0"/>
                              <w:marRight w:val="0"/>
                              <w:marTop w:val="115"/>
                              <w:marBottom w:val="115"/>
                              <w:divBdr>
                                <w:top w:val="none" w:sz="0" w:space="0" w:color="auto"/>
                                <w:left w:val="none" w:sz="0" w:space="0" w:color="auto"/>
                                <w:bottom w:val="single" w:sz="4" w:space="0" w:color="77C1BF"/>
                                <w:right w:val="none" w:sz="0" w:space="0" w:color="auto"/>
                              </w:divBdr>
                            </w:div>
                            <w:div w:id="1413237946">
                              <w:marLeft w:val="0"/>
                              <w:marRight w:val="0"/>
                              <w:marTop w:val="115"/>
                              <w:marBottom w:val="115"/>
                              <w:divBdr>
                                <w:top w:val="none" w:sz="0" w:space="0" w:color="auto"/>
                                <w:left w:val="none" w:sz="0" w:space="0" w:color="auto"/>
                                <w:bottom w:val="single" w:sz="4" w:space="0" w:color="77C1BF"/>
                                <w:right w:val="none" w:sz="0" w:space="0" w:color="auto"/>
                              </w:divBdr>
                            </w:div>
                            <w:div w:id="1453161943">
                              <w:marLeft w:val="0"/>
                              <w:marRight w:val="0"/>
                              <w:marTop w:val="115"/>
                              <w:marBottom w:val="115"/>
                              <w:divBdr>
                                <w:top w:val="none" w:sz="0" w:space="0" w:color="auto"/>
                                <w:left w:val="none" w:sz="0" w:space="0" w:color="auto"/>
                                <w:bottom w:val="none" w:sz="0" w:space="0" w:color="auto"/>
                                <w:right w:val="none" w:sz="0" w:space="0" w:color="auto"/>
                              </w:divBdr>
                              <w:divsChild>
                                <w:div w:id="2084720491">
                                  <w:marLeft w:val="0"/>
                                  <w:marRight w:val="0"/>
                                  <w:marTop w:val="0"/>
                                  <w:marBottom w:val="0"/>
                                  <w:divBdr>
                                    <w:top w:val="none" w:sz="0" w:space="0" w:color="auto"/>
                                    <w:left w:val="none" w:sz="0" w:space="0" w:color="auto"/>
                                    <w:bottom w:val="dashed" w:sz="4" w:space="0" w:color="C7D9D8"/>
                                    <w:right w:val="none" w:sz="0" w:space="0" w:color="auto"/>
                                  </w:divBdr>
                                </w:div>
                              </w:divsChild>
                            </w:div>
                            <w:div w:id="1471633097">
                              <w:marLeft w:val="0"/>
                              <w:marRight w:val="0"/>
                              <w:marTop w:val="115"/>
                              <w:marBottom w:val="115"/>
                              <w:divBdr>
                                <w:top w:val="none" w:sz="0" w:space="0" w:color="auto"/>
                                <w:left w:val="none" w:sz="0" w:space="0" w:color="auto"/>
                                <w:bottom w:val="none" w:sz="0" w:space="0" w:color="auto"/>
                                <w:right w:val="none" w:sz="0" w:space="0" w:color="auto"/>
                              </w:divBdr>
                              <w:divsChild>
                                <w:div w:id="491414210">
                                  <w:marLeft w:val="0"/>
                                  <w:marRight w:val="0"/>
                                  <w:marTop w:val="0"/>
                                  <w:marBottom w:val="0"/>
                                  <w:divBdr>
                                    <w:top w:val="none" w:sz="0" w:space="0" w:color="auto"/>
                                    <w:left w:val="none" w:sz="0" w:space="0" w:color="auto"/>
                                    <w:bottom w:val="dashed" w:sz="4" w:space="0" w:color="C7D9D8"/>
                                    <w:right w:val="none" w:sz="0" w:space="0" w:color="auto"/>
                                  </w:divBdr>
                                </w:div>
                              </w:divsChild>
                            </w:div>
                            <w:div w:id="1559634342">
                              <w:marLeft w:val="0"/>
                              <w:marRight w:val="0"/>
                              <w:marTop w:val="115"/>
                              <w:marBottom w:val="115"/>
                              <w:divBdr>
                                <w:top w:val="none" w:sz="0" w:space="0" w:color="auto"/>
                                <w:left w:val="none" w:sz="0" w:space="0" w:color="auto"/>
                                <w:bottom w:val="none" w:sz="0" w:space="0" w:color="auto"/>
                                <w:right w:val="none" w:sz="0" w:space="0" w:color="auto"/>
                              </w:divBdr>
                              <w:divsChild>
                                <w:div w:id="1391726572">
                                  <w:marLeft w:val="0"/>
                                  <w:marRight w:val="0"/>
                                  <w:marTop w:val="0"/>
                                  <w:marBottom w:val="0"/>
                                  <w:divBdr>
                                    <w:top w:val="none" w:sz="0" w:space="0" w:color="auto"/>
                                    <w:left w:val="none" w:sz="0" w:space="0" w:color="auto"/>
                                    <w:bottom w:val="dashed" w:sz="4" w:space="0" w:color="C7D9D8"/>
                                    <w:right w:val="none" w:sz="0" w:space="0" w:color="auto"/>
                                  </w:divBdr>
                                  <w:divsChild>
                                    <w:div w:id="506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92912">
                              <w:marLeft w:val="0"/>
                              <w:marRight w:val="0"/>
                              <w:marTop w:val="115"/>
                              <w:marBottom w:val="115"/>
                              <w:divBdr>
                                <w:top w:val="none" w:sz="0" w:space="0" w:color="auto"/>
                                <w:left w:val="none" w:sz="0" w:space="0" w:color="auto"/>
                                <w:bottom w:val="none" w:sz="0" w:space="0" w:color="auto"/>
                                <w:right w:val="none" w:sz="0" w:space="0" w:color="auto"/>
                              </w:divBdr>
                              <w:divsChild>
                                <w:div w:id="915747709">
                                  <w:marLeft w:val="0"/>
                                  <w:marRight w:val="0"/>
                                  <w:marTop w:val="0"/>
                                  <w:marBottom w:val="0"/>
                                  <w:divBdr>
                                    <w:top w:val="none" w:sz="0" w:space="0" w:color="auto"/>
                                    <w:left w:val="none" w:sz="0" w:space="0" w:color="auto"/>
                                    <w:bottom w:val="dashed" w:sz="4" w:space="0" w:color="C7D9D8"/>
                                    <w:right w:val="none" w:sz="0" w:space="0" w:color="auto"/>
                                  </w:divBdr>
                                </w:div>
                              </w:divsChild>
                            </w:div>
                            <w:div w:id="2090224121">
                              <w:marLeft w:val="0"/>
                              <w:marRight w:val="0"/>
                              <w:marTop w:val="115"/>
                              <w:marBottom w:val="115"/>
                              <w:divBdr>
                                <w:top w:val="none" w:sz="0" w:space="0" w:color="auto"/>
                                <w:left w:val="none" w:sz="0" w:space="0" w:color="auto"/>
                                <w:bottom w:val="single" w:sz="4" w:space="0" w:color="77C1BF"/>
                                <w:right w:val="none" w:sz="0" w:space="0" w:color="auto"/>
                              </w:divBdr>
                            </w:div>
                          </w:divsChild>
                        </w:div>
                      </w:divsChild>
                    </w:div>
                  </w:divsChild>
                </w:div>
              </w:divsChild>
            </w:div>
          </w:divsChild>
        </w:div>
      </w:divsChild>
    </w:div>
    <w:div w:id="542979489">
      <w:bodyDiv w:val="1"/>
      <w:marLeft w:val="0"/>
      <w:marRight w:val="0"/>
      <w:marTop w:val="0"/>
      <w:marBottom w:val="0"/>
      <w:divBdr>
        <w:top w:val="none" w:sz="0" w:space="0" w:color="auto"/>
        <w:left w:val="none" w:sz="0" w:space="0" w:color="auto"/>
        <w:bottom w:val="none" w:sz="0" w:space="0" w:color="auto"/>
        <w:right w:val="none" w:sz="0" w:space="0" w:color="auto"/>
      </w:divBdr>
    </w:div>
    <w:div w:id="604309043">
      <w:bodyDiv w:val="1"/>
      <w:marLeft w:val="0"/>
      <w:marRight w:val="0"/>
      <w:marTop w:val="0"/>
      <w:marBottom w:val="0"/>
      <w:divBdr>
        <w:top w:val="none" w:sz="0" w:space="0" w:color="auto"/>
        <w:left w:val="none" w:sz="0" w:space="0" w:color="auto"/>
        <w:bottom w:val="none" w:sz="0" w:space="0" w:color="auto"/>
        <w:right w:val="none" w:sz="0" w:space="0" w:color="auto"/>
      </w:divBdr>
    </w:div>
    <w:div w:id="617565764">
      <w:bodyDiv w:val="1"/>
      <w:marLeft w:val="0"/>
      <w:marRight w:val="0"/>
      <w:marTop w:val="0"/>
      <w:marBottom w:val="0"/>
      <w:divBdr>
        <w:top w:val="none" w:sz="0" w:space="0" w:color="auto"/>
        <w:left w:val="none" w:sz="0" w:space="0" w:color="auto"/>
        <w:bottom w:val="none" w:sz="0" w:space="0" w:color="auto"/>
        <w:right w:val="none" w:sz="0" w:space="0" w:color="auto"/>
      </w:divBdr>
    </w:div>
    <w:div w:id="637565586">
      <w:bodyDiv w:val="1"/>
      <w:marLeft w:val="0"/>
      <w:marRight w:val="0"/>
      <w:marTop w:val="0"/>
      <w:marBottom w:val="0"/>
      <w:divBdr>
        <w:top w:val="none" w:sz="0" w:space="0" w:color="auto"/>
        <w:left w:val="none" w:sz="0" w:space="0" w:color="auto"/>
        <w:bottom w:val="none" w:sz="0" w:space="0" w:color="auto"/>
        <w:right w:val="none" w:sz="0" w:space="0" w:color="auto"/>
      </w:divBdr>
    </w:div>
    <w:div w:id="661859590">
      <w:bodyDiv w:val="1"/>
      <w:marLeft w:val="0"/>
      <w:marRight w:val="0"/>
      <w:marTop w:val="0"/>
      <w:marBottom w:val="0"/>
      <w:divBdr>
        <w:top w:val="none" w:sz="0" w:space="0" w:color="auto"/>
        <w:left w:val="none" w:sz="0" w:space="0" w:color="auto"/>
        <w:bottom w:val="none" w:sz="0" w:space="0" w:color="auto"/>
        <w:right w:val="none" w:sz="0" w:space="0" w:color="auto"/>
      </w:divBdr>
    </w:div>
    <w:div w:id="665473997">
      <w:bodyDiv w:val="1"/>
      <w:marLeft w:val="0"/>
      <w:marRight w:val="0"/>
      <w:marTop w:val="0"/>
      <w:marBottom w:val="0"/>
      <w:divBdr>
        <w:top w:val="none" w:sz="0" w:space="0" w:color="auto"/>
        <w:left w:val="none" w:sz="0" w:space="0" w:color="auto"/>
        <w:bottom w:val="none" w:sz="0" w:space="0" w:color="auto"/>
        <w:right w:val="none" w:sz="0" w:space="0" w:color="auto"/>
      </w:divBdr>
    </w:div>
    <w:div w:id="697776651">
      <w:bodyDiv w:val="1"/>
      <w:marLeft w:val="0"/>
      <w:marRight w:val="0"/>
      <w:marTop w:val="0"/>
      <w:marBottom w:val="0"/>
      <w:divBdr>
        <w:top w:val="none" w:sz="0" w:space="0" w:color="auto"/>
        <w:left w:val="none" w:sz="0" w:space="0" w:color="auto"/>
        <w:bottom w:val="none" w:sz="0" w:space="0" w:color="auto"/>
        <w:right w:val="none" w:sz="0" w:space="0" w:color="auto"/>
      </w:divBdr>
      <w:divsChild>
        <w:div w:id="1335452820">
          <w:marLeft w:val="0"/>
          <w:marRight w:val="0"/>
          <w:marTop w:val="0"/>
          <w:marBottom w:val="0"/>
          <w:divBdr>
            <w:top w:val="single" w:sz="2" w:space="0" w:color="2E2E2E"/>
            <w:left w:val="single" w:sz="2" w:space="0" w:color="2E2E2E"/>
            <w:bottom w:val="single" w:sz="2" w:space="0" w:color="2E2E2E"/>
            <w:right w:val="single" w:sz="2" w:space="0" w:color="2E2E2E"/>
          </w:divBdr>
          <w:divsChild>
            <w:div w:id="1617717217">
              <w:marLeft w:val="0"/>
              <w:marRight w:val="0"/>
              <w:marTop w:val="0"/>
              <w:marBottom w:val="0"/>
              <w:divBdr>
                <w:top w:val="single" w:sz="4" w:space="0" w:color="C9C9C9"/>
                <w:left w:val="none" w:sz="0" w:space="0" w:color="auto"/>
                <w:bottom w:val="none" w:sz="0" w:space="0" w:color="auto"/>
                <w:right w:val="none" w:sz="0" w:space="0" w:color="auto"/>
              </w:divBdr>
              <w:divsChild>
                <w:div w:id="1686130075">
                  <w:marLeft w:val="0"/>
                  <w:marRight w:val="0"/>
                  <w:marTop w:val="0"/>
                  <w:marBottom w:val="0"/>
                  <w:divBdr>
                    <w:top w:val="none" w:sz="0" w:space="0" w:color="auto"/>
                    <w:left w:val="none" w:sz="0" w:space="0" w:color="auto"/>
                    <w:bottom w:val="none" w:sz="0" w:space="0" w:color="auto"/>
                    <w:right w:val="none" w:sz="0" w:space="0" w:color="auto"/>
                  </w:divBdr>
                  <w:divsChild>
                    <w:div w:id="1452363557">
                      <w:marLeft w:val="0"/>
                      <w:marRight w:val="0"/>
                      <w:marTop w:val="0"/>
                      <w:marBottom w:val="0"/>
                      <w:divBdr>
                        <w:top w:val="none" w:sz="0" w:space="0" w:color="auto"/>
                        <w:left w:val="none" w:sz="0" w:space="0" w:color="auto"/>
                        <w:bottom w:val="none" w:sz="0" w:space="0" w:color="auto"/>
                        <w:right w:val="none" w:sz="0" w:space="0" w:color="auto"/>
                      </w:divBdr>
                      <w:divsChild>
                        <w:div w:id="2104064151">
                          <w:marLeft w:val="0"/>
                          <w:marRight w:val="0"/>
                          <w:marTop w:val="0"/>
                          <w:marBottom w:val="0"/>
                          <w:divBdr>
                            <w:top w:val="none" w:sz="0" w:space="0" w:color="auto"/>
                            <w:left w:val="none" w:sz="0" w:space="0" w:color="auto"/>
                            <w:bottom w:val="none" w:sz="0" w:space="0" w:color="auto"/>
                            <w:right w:val="none" w:sz="0" w:space="0" w:color="auto"/>
                          </w:divBdr>
                          <w:divsChild>
                            <w:div w:id="11738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20307">
      <w:bodyDiv w:val="1"/>
      <w:marLeft w:val="0"/>
      <w:marRight w:val="0"/>
      <w:marTop w:val="0"/>
      <w:marBottom w:val="0"/>
      <w:divBdr>
        <w:top w:val="none" w:sz="0" w:space="0" w:color="auto"/>
        <w:left w:val="none" w:sz="0" w:space="0" w:color="auto"/>
        <w:bottom w:val="none" w:sz="0" w:space="0" w:color="auto"/>
        <w:right w:val="none" w:sz="0" w:space="0" w:color="auto"/>
      </w:divBdr>
      <w:divsChild>
        <w:div w:id="1110667334">
          <w:marLeft w:val="0"/>
          <w:marRight w:val="0"/>
          <w:marTop w:val="0"/>
          <w:marBottom w:val="0"/>
          <w:divBdr>
            <w:top w:val="none" w:sz="0" w:space="0" w:color="auto"/>
            <w:left w:val="none" w:sz="0" w:space="0" w:color="auto"/>
            <w:bottom w:val="none" w:sz="0" w:space="0" w:color="auto"/>
            <w:right w:val="none" w:sz="0" w:space="0" w:color="auto"/>
          </w:divBdr>
        </w:div>
        <w:div w:id="1517497355">
          <w:marLeft w:val="0"/>
          <w:marRight w:val="0"/>
          <w:marTop w:val="0"/>
          <w:marBottom w:val="0"/>
          <w:divBdr>
            <w:top w:val="none" w:sz="0" w:space="0" w:color="auto"/>
            <w:left w:val="none" w:sz="0" w:space="0" w:color="auto"/>
            <w:bottom w:val="none" w:sz="0" w:space="0" w:color="auto"/>
            <w:right w:val="none" w:sz="0" w:space="0" w:color="auto"/>
          </w:divBdr>
        </w:div>
        <w:div w:id="1541547694">
          <w:marLeft w:val="0"/>
          <w:marRight w:val="0"/>
          <w:marTop w:val="0"/>
          <w:marBottom w:val="0"/>
          <w:divBdr>
            <w:top w:val="none" w:sz="0" w:space="0" w:color="auto"/>
            <w:left w:val="none" w:sz="0" w:space="0" w:color="auto"/>
            <w:bottom w:val="none" w:sz="0" w:space="0" w:color="auto"/>
            <w:right w:val="none" w:sz="0" w:space="0" w:color="auto"/>
          </w:divBdr>
        </w:div>
        <w:div w:id="1703047624">
          <w:marLeft w:val="0"/>
          <w:marRight w:val="0"/>
          <w:marTop w:val="0"/>
          <w:marBottom w:val="0"/>
          <w:divBdr>
            <w:top w:val="none" w:sz="0" w:space="0" w:color="auto"/>
            <w:left w:val="none" w:sz="0" w:space="0" w:color="auto"/>
            <w:bottom w:val="none" w:sz="0" w:space="0" w:color="auto"/>
            <w:right w:val="none" w:sz="0" w:space="0" w:color="auto"/>
          </w:divBdr>
        </w:div>
        <w:div w:id="1944848221">
          <w:marLeft w:val="0"/>
          <w:marRight w:val="0"/>
          <w:marTop w:val="0"/>
          <w:marBottom w:val="0"/>
          <w:divBdr>
            <w:top w:val="none" w:sz="0" w:space="0" w:color="auto"/>
            <w:left w:val="none" w:sz="0" w:space="0" w:color="auto"/>
            <w:bottom w:val="none" w:sz="0" w:space="0" w:color="auto"/>
            <w:right w:val="none" w:sz="0" w:space="0" w:color="auto"/>
          </w:divBdr>
        </w:div>
        <w:div w:id="2118869692">
          <w:marLeft w:val="0"/>
          <w:marRight w:val="0"/>
          <w:marTop w:val="0"/>
          <w:marBottom w:val="0"/>
          <w:divBdr>
            <w:top w:val="none" w:sz="0" w:space="0" w:color="auto"/>
            <w:left w:val="none" w:sz="0" w:space="0" w:color="auto"/>
            <w:bottom w:val="none" w:sz="0" w:space="0" w:color="auto"/>
            <w:right w:val="none" w:sz="0" w:space="0" w:color="auto"/>
          </w:divBdr>
        </w:div>
      </w:divsChild>
    </w:div>
    <w:div w:id="777065672">
      <w:bodyDiv w:val="1"/>
      <w:marLeft w:val="0"/>
      <w:marRight w:val="0"/>
      <w:marTop w:val="0"/>
      <w:marBottom w:val="0"/>
      <w:divBdr>
        <w:top w:val="none" w:sz="0" w:space="0" w:color="auto"/>
        <w:left w:val="none" w:sz="0" w:space="0" w:color="auto"/>
        <w:bottom w:val="none" w:sz="0" w:space="0" w:color="auto"/>
        <w:right w:val="none" w:sz="0" w:space="0" w:color="auto"/>
      </w:divBdr>
    </w:div>
    <w:div w:id="793329833">
      <w:bodyDiv w:val="1"/>
      <w:marLeft w:val="0"/>
      <w:marRight w:val="0"/>
      <w:marTop w:val="0"/>
      <w:marBottom w:val="0"/>
      <w:divBdr>
        <w:top w:val="none" w:sz="0" w:space="0" w:color="auto"/>
        <w:left w:val="none" w:sz="0" w:space="0" w:color="auto"/>
        <w:bottom w:val="none" w:sz="0" w:space="0" w:color="auto"/>
        <w:right w:val="none" w:sz="0" w:space="0" w:color="auto"/>
      </w:divBdr>
      <w:divsChild>
        <w:div w:id="937062696">
          <w:marLeft w:val="0"/>
          <w:marRight w:val="0"/>
          <w:marTop w:val="0"/>
          <w:marBottom w:val="0"/>
          <w:divBdr>
            <w:top w:val="none" w:sz="0" w:space="0" w:color="auto"/>
            <w:left w:val="none" w:sz="0" w:space="0" w:color="auto"/>
            <w:bottom w:val="none" w:sz="0" w:space="0" w:color="auto"/>
            <w:right w:val="none" w:sz="0" w:space="0" w:color="auto"/>
          </w:divBdr>
          <w:divsChild>
            <w:div w:id="1749034728">
              <w:marLeft w:val="0"/>
              <w:marRight w:val="0"/>
              <w:marTop w:val="0"/>
              <w:marBottom w:val="0"/>
              <w:divBdr>
                <w:top w:val="none" w:sz="0" w:space="0" w:color="auto"/>
                <w:left w:val="none" w:sz="0" w:space="0" w:color="auto"/>
                <w:bottom w:val="none" w:sz="0" w:space="0" w:color="auto"/>
                <w:right w:val="none" w:sz="0" w:space="0" w:color="auto"/>
              </w:divBdr>
              <w:divsChild>
                <w:div w:id="1668290074">
                  <w:marLeft w:val="1920"/>
                  <w:marRight w:val="2160"/>
                  <w:marTop w:val="0"/>
                  <w:marBottom w:val="0"/>
                  <w:divBdr>
                    <w:top w:val="single" w:sz="8" w:space="0" w:color="C0C0C0"/>
                    <w:left w:val="single" w:sz="8" w:space="0" w:color="C0C0C0"/>
                    <w:bottom w:val="single" w:sz="8" w:space="0" w:color="C0C0C0"/>
                    <w:right w:val="single" w:sz="8" w:space="0" w:color="C0C0C0"/>
                  </w:divBdr>
                  <w:divsChild>
                    <w:div w:id="1237086325">
                      <w:marLeft w:val="0"/>
                      <w:marRight w:val="0"/>
                      <w:marTop w:val="0"/>
                      <w:marBottom w:val="0"/>
                      <w:divBdr>
                        <w:top w:val="single" w:sz="8" w:space="0" w:color="C0C0C0"/>
                        <w:left w:val="none" w:sz="0" w:space="0" w:color="auto"/>
                        <w:bottom w:val="single" w:sz="8" w:space="31" w:color="C0C0C0"/>
                        <w:right w:val="none" w:sz="0" w:space="0" w:color="auto"/>
                      </w:divBdr>
                      <w:divsChild>
                        <w:div w:id="528026184">
                          <w:marLeft w:val="240"/>
                          <w:marRight w:val="0"/>
                          <w:marTop w:val="0"/>
                          <w:marBottom w:val="240"/>
                          <w:divBdr>
                            <w:top w:val="none" w:sz="0" w:space="0" w:color="auto"/>
                            <w:left w:val="none" w:sz="0" w:space="0" w:color="auto"/>
                            <w:bottom w:val="none" w:sz="0" w:space="0" w:color="auto"/>
                            <w:right w:val="none" w:sz="0" w:space="0" w:color="auto"/>
                          </w:divBdr>
                        </w:div>
                        <w:div w:id="1008367498">
                          <w:marLeft w:val="240"/>
                          <w:marRight w:val="0"/>
                          <w:marTop w:val="0"/>
                          <w:marBottom w:val="240"/>
                          <w:divBdr>
                            <w:top w:val="none" w:sz="0" w:space="0" w:color="auto"/>
                            <w:left w:val="none" w:sz="0" w:space="0" w:color="auto"/>
                            <w:bottom w:val="none" w:sz="0" w:space="0" w:color="auto"/>
                            <w:right w:val="none" w:sz="0" w:space="0" w:color="auto"/>
                          </w:divBdr>
                        </w:div>
                        <w:div w:id="1687707299">
                          <w:marLeft w:val="240"/>
                          <w:marRight w:val="0"/>
                          <w:marTop w:val="0"/>
                          <w:marBottom w:val="240"/>
                          <w:divBdr>
                            <w:top w:val="none" w:sz="0" w:space="0" w:color="auto"/>
                            <w:left w:val="none" w:sz="0" w:space="0" w:color="auto"/>
                            <w:bottom w:val="none" w:sz="0" w:space="0" w:color="auto"/>
                            <w:right w:val="none" w:sz="0" w:space="0" w:color="auto"/>
                          </w:divBdr>
                        </w:div>
                        <w:div w:id="19543611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4367288">
      <w:bodyDiv w:val="1"/>
      <w:marLeft w:val="0"/>
      <w:marRight w:val="0"/>
      <w:marTop w:val="0"/>
      <w:marBottom w:val="0"/>
      <w:divBdr>
        <w:top w:val="none" w:sz="0" w:space="0" w:color="auto"/>
        <w:left w:val="none" w:sz="0" w:space="0" w:color="auto"/>
        <w:bottom w:val="none" w:sz="0" w:space="0" w:color="auto"/>
        <w:right w:val="none" w:sz="0" w:space="0" w:color="auto"/>
      </w:divBdr>
    </w:div>
    <w:div w:id="809446958">
      <w:bodyDiv w:val="1"/>
      <w:marLeft w:val="0"/>
      <w:marRight w:val="0"/>
      <w:marTop w:val="0"/>
      <w:marBottom w:val="0"/>
      <w:divBdr>
        <w:top w:val="none" w:sz="0" w:space="0" w:color="auto"/>
        <w:left w:val="none" w:sz="0" w:space="0" w:color="auto"/>
        <w:bottom w:val="none" w:sz="0" w:space="0" w:color="auto"/>
        <w:right w:val="none" w:sz="0" w:space="0" w:color="auto"/>
      </w:divBdr>
      <w:divsChild>
        <w:div w:id="1347830586">
          <w:marLeft w:val="0"/>
          <w:marRight w:val="0"/>
          <w:marTop w:val="0"/>
          <w:marBottom w:val="0"/>
          <w:divBdr>
            <w:top w:val="none" w:sz="0" w:space="0" w:color="auto"/>
            <w:left w:val="none" w:sz="0" w:space="0" w:color="auto"/>
            <w:bottom w:val="none" w:sz="0" w:space="0" w:color="auto"/>
            <w:right w:val="none" w:sz="0" w:space="0" w:color="auto"/>
          </w:divBdr>
          <w:divsChild>
            <w:div w:id="148986702">
              <w:marLeft w:val="0"/>
              <w:marRight w:val="0"/>
              <w:marTop w:val="0"/>
              <w:marBottom w:val="0"/>
              <w:divBdr>
                <w:top w:val="none" w:sz="0" w:space="0" w:color="auto"/>
                <w:left w:val="none" w:sz="0" w:space="0" w:color="auto"/>
                <w:bottom w:val="none" w:sz="0" w:space="0" w:color="auto"/>
                <w:right w:val="none" w:sz="0" w:space="0" w:color="auto"/>
              </w:divBdr>
              <w:divsChild>
                <w:div w:id="1001398057">
                  <w:marLeft w:val="0"/>
                  <w:marRight w:val="0"/>
                  <w:marTop w:val="0"/>
                  <w:marBottom w:val="0"/>
                  <w:divBdr>
                    <w:top w:val="none" w:sz="0" w:space="0" w:color="auto"/>
                    <w:left w:val="none" w:sz="0" w:space="0" w:color="auto"/>
                    <w:bottom w:val="none" w:sz="0" w:space="0" w:color="auto"/>
                    <w:right w:val="none" w:sz="0" w:space="0" w:color="auto"/>
                  </w:divBdr>
                  <w:divsChild>
                    <w:div w:id="1675064089">
                      <w:marLeft w:val="0"/>
                      <w:marRight w:val="0"/>
                      <w:marTop w:val="0"/>
                      <w:marBottom w:val="0"/>
                      <w:divBdr>
                        <w:top w:val="none" w:sz="0" w:space="0" w:color="auto"/>
                        <w:left w:val="none" w:sz="0" w:space="0" w:color="auto"/>
                        <w:bottom w:val="none" w:sz="0" w:space="0" w:color="auto"/>
                        <w:right w:val="none" w:sz="0" w:space="0" w:color="auto"/>
                      </w:divBdr>
                      <w:divsChild>
                        <w:div w:id="1800413079">
                          <w:marLeft w:val="0"/>
                          <w:marRight w:val="0"/>
                          <w:marTop w:val="0"/>
                          <w:marBottom w:val="0"/>
                          <w:divBdr>
                            <w:top w:val="none" w:sz="0" w:space="0" w:color="auto"/>
                            <w:left w:val="none" w:sz="0" w:space="0" w:color="auto"/>
                            <w:bottom w:val="none" w:sz="0" w:space="0" w:color="auto"/>
                            <w:right w:val="none" w:sz="0" w:space="0" w:color="auto"/>
                          </w:divBdr>
                          <w:divsChild>
                            <w:div w:id="87585412">
                              <w:marLeft w:val="0"/>
                              <w:marRight w:val="0"/>
                              <w:marTop w:val="0"/>
                              <w:marBottom w:val="0"/>
                              <w:divBdr>
                                <w:top w:val="none" w:sz="0" w:space="0" w:color="auto"/>
                                <w:left w:val="none" w:sz="0" w:space="0" w:color="auto"/>
                                <w:bottom w:val="none" w:sz="0" w:space="0" w:color="auto"/>
                                <w:right w:val="none" w:sz="0" w:space="0" w:color="auto"/>
                              </w:divBdr>
                              <w:divsChild>
                                <w:div w:id="417213119">
                                  <w:marLeft w:val="0"/>
                                  <w:marRight w:val="0"/>
                                  <w:marTop w:val="0"/>
                                  <w:marBottom w:val="0"/>
                                  <w:divBdr>
                                    <w:top w:val="none" w:sz="0" w:space="0" w:color="auto"/>
                                    <w:left w:val="none" w:sz="0" w:space="0" w:color="auto"/>
                                    <w:bottom w:val="dashed" w:sz="6" w:space="0" w:color="C7D9D8"/>
                                    <w:right w:val="none" w:sz="0" w:space="0" w:color="auto"/>
                                  </w:divBdr>
                                </w:div>
                              </w:divsChild>
                            </w:div>
                          </w:divsChild>
                        </w:div>
                      </w:divsChild>
                    </w:div>
                  </w:divsChild>
                </w:div>
              </w:divsChild>
            </w:div>
          </w:divsChild>
        </w:div>
      </w:divsChild>
    </w:div>
    <w:div w:id="814950162">
      <w:bodyDiv w:val="1"/>
      <w:marLeft w:val="0"/>
      <w:marRight w:val="0"/>
      <w:marTop w:val="0"/>
      <w:marBottom w:val="0"/>
      <w:divBdr>
        <w:top w:val="none" w:sz="0" w:space="0" w:color="auto"/>
        <w:left w:val="none" w:sz="0" w:space="0" w:color="auto"/>
        <w:bottom w:val="none" w:sz="0" w:space="0" w:color="auto"/>
        <w:right w:val="none" w:sz="0" w:space="0" w:color="auto"/>
      </w:divBdr>
    </w:div>
    <w:div w:id="841890415">
      <w:bodyDiv w:val="1"/>
      <w:marLeft w:val="0"/>
      <w:marRight w:val="0"/>
      <w:marTop w:val="0"/>
      <w:marBottom w:val="0"/>
      <w:divBdr>
        <w:top w:val="none" w:sz="0" w:space="0" w:color="auto"/>
        <w:left w:val="none" w:sz="0" w:space="0" w:color="auto"/>
        <w:bottom w:val="none" w:sz="0" w:space="0" w:color="auto"/>
        <w:right w:val="none" w:sz="0" w:space="0" w:color="auto"/>
      </w:divBdr>
    </w:div>
    <w:div w:id="899556260">
      <w:bodyDiv w:val="1"/>
      <w:marLeft w:val="0"/>
      <w:marRight w:val="0"/>
      <w:marTop w:val="0"/>
      <w:marBottom w:val="0"/>
      <w:divBdr>
        <w:top w:val="none" w:sz="0" w:space="0" w:color="auto"/>
        <w:left w:val="none" w:sz="0" w:space="0" w:color="auto"/>
        <w:bottom w:val="none" w:sz="0" w:space="0" w:color="auto"/>
        <w:right w:val="none" w:sz="0" w:space="0" w:color="auto"/>
      </w:divBdr>
    </w:div>
    <w:div w:id="904341385">
      <w:bodyDiv w:val="1"/>
      <w:marLeft w:val="0"/>
      <w:marRight w:val="0"/>
      <w:marTop w:val="0"/>
      <w:marBottom w:val="0"/>
      <w:divBdr>
        <w:top w:val="none" w:sz="0" w:space="0" w:color="auto"/>
        <w:left w:val="none" w:sz="0" w:space="0" w:color="auto"/>
        <w:bottom w:val="none" w:sz="0" w:space="0" w:color="auto"/>
        <w:right w:val="none" w:sz="0" w:space="0" w:color="auto"/>
      </w:divBdr>
    </w:div>
    <w:div w:id="939794862">
      <w:bodyDiv w:val="1"/>
      <w:marLeft w:val="0"/>
      <w:marRight w:val="0"/>
      <w:marTop w:val="0"/>
      <w:marBottom w:val="0"/>
      <w:divBdr>
        <w:top w:val="none" w:sz="0" w:space="0" w:color="auto"/>
        <w:left w:val="none" w:sz="0" w:space="0" w:color="auto"/>
        <w:bottom w:val="none" w:sz="0" w:space="0" w:color="auto"/>
        <w:right w:val="none" w:sz="0" w:space="0" w:color="auto"/>
      </w:divBdr>
      <w:divsChild>
        <w:div w:id="1098797430">
          <w:marLeft w:val="0"/>
          <w:marRight w:val="0"/>
          <w:marTop w:val="0"/>
          <w:marBottom w:val="0"/>
          <w:divBdr>
            <w:top w:val="none" w:sz="0" w:space="0" w:color="auto"/>
            <w:left w:val="none" w:sz="0" w:space="0" w:color="auto"/>
            <w:bottom w:val="none" w:sz="0" w:space="0" w:color="auto"/>
            <w:right w:val="none" w:sz="0" w:space="0" w:color="auto"/>
          </w:divBdr>
          <w:divsChild>
            <w:div w:id="1037042283">
              <w:marLeft w:val="0"/>
              <w:marRight w:val="0"/>
              <w:marTop w:val="0"/>
              <w:marBottom w:val="0"/>
              <w:divBdr>
                <w:top w:val="none" w:sz="0" w:space="0" w:color="auto"/>
                <w:left w:val="none" w:sz="0" w:space="0" w:color="auto"/>
                <w:bottom w:val="none" w:sz="0" w:space="0" w:color="auto"/>
                <w:right w:val="none" w:sz="0" w:space="0" w:color="auto"/>
              </w:divBdr>
              <w:divsChild>
                <w:div w:id="936331871">
                  <w:marLeft w:val="0"/>
                  <w:marRight w:val="0"/>
                  <w:marTop w:val="0"/>
                  <w:marBottom w:val="0"/>
                  <w:divBdr>
                    <w:top w:val="none" w:sz="0" w:space="0" w:color="auto"/>
                    <w:left w:val="none" w:sz="0" w:space="0" w:color="auto"/>
                    <w:bottom w:val="none" w:sz="0" w:space="0" w:color="auto"/>
                    <w:right w:val="none" w:sz="0" w:space="0" w:color="auto"/>
                  </w:divBdr>
                  <w:divsChild>
                    <w:div w:id="869731527">
                      <w:marLeft w:val="0"/>
                      <w:marRight w:val="0"/>
                      <w:marTop w:val="0"/>
                      <w:marBottom w:val="0"/>
                      <w:divBdr>
                        <w:top w:val="none" w:sz="0" w:space="0" w:color="auto"/>
                        <w:left w:val="none" w:sz="0" w:space="0" w:color="auto"/>
                        <w:bottom w:val="none" w:sz="0" w:space="0" w:color="auto"/>
                        <w:right w:val="none" w:sz="0" w:space="0" w:color="auto"/>
                      </w:divBdr>
                      <w:divsChild>
                        <w:div w:id="220290326">
                          <w:marLeft w:val="0"/>
                          <w:marRight w:val="0"/>
                          <w:marTop w:val="0"/>
                          <w:marBottom w:val="0"/>
                          <w:divBdr>
                            <w:top w:val="none" w:sz="0" w:space="0" w:color="auto"/>
                            <w:left w:val="none" w:sz="0" w:space="0" w:color="auto"/>
                            <w:bottom w:val="none" w:sz="0" w:space="0" w:color="auto"/>
                            <w:right w:val="none" w:sz="0" w:space="0" w:color="auto"/>
                          </w:divBdr>
                          <w:divsChild>
                            <w:div w:id="49697248">
                              <w:marLeft w:val="0"/>
                              <w:marRight w:val="0"/>
                              <w:marTop w:val="0"/>
                              <w:marBottom w:val="0"/>
                              <w:divBdr>
                                <w:top w:val="none" w:sz="0" w:space="0" w:color="auto"/>
                                <w:left w:val="none" w:sz="0" w:space="0" w:color="auto"/>
                                <w:bottom w:val="none" w:sz="0" w:space="0" w:color="auto"/>
                                <w:right w:val="none" w:sz="0" w:space="0" w:color="auto"/>
                              </w:divBdr>
                              <w:divsChild>
                                <w:div w:id="952127500">
                                  <w:marLeft w:val="0"/>
                                  <w:marRight w:val="0"/>
                                  <w:marTop w:val="0"/>
                                  <w:marBottom w:val="0"/>
                                  <w:divBdr>
                                    <w:top w:val="none" w:sz="0" w:space="0" w:color="auto"/>
                                    <w:left w:val="none" w:sz="0" w:space="0" w:color="auto"/>
                                    <w:bottom w:val="dashed" w:sz="4" w:space="0" w:color="C7D9D8"/>
                                    <w:right w:val="none" w:sz="0" w:space="0" w:color="auto"/>
                                  </w:divBdr>
                                </w:div>
                              </w:divsChild>
                            </w:div>
                          </w:divsChild>
                        </w:div>
                      </w:divsChild>
                    </w:div>
                  </w:divsChild>
                </w:div>
              </w:divsChild>
            </w:div>
          </w:divsChild>
        </w:div>
      </w:divsChild>
    </w:div>
    <w:div w:id="1068191197">
      <w:bodyDiv w:val="1"/>
      <w:marLeft w:val="0"/>
      <w:marRight w:val="0"/>
      <w:marTop w:val="0"/>
      <w:marBottom w:val="0"/>
      <w:divBdr>
        <w:top w:val="none" w:sz="0" w:space="0" w:color="auto"/>
        <w:left w:val="none" w:sz="0" w:space="0" w:color="auto"/>
        <w:bottom w:val="none" w:sz="0" w:space="0" w:color="auto"/>
        <w:right w:val="none" w:sz="0" w:space="0" w:color="auto"/>
      </w:divBdr>
      <w:divsChild>
        <w:div w:id="1219517411">
          <w:marLeft w:val="0"/>
          <w:marRight w:val="0"/>
          <w:marTop w:val="0"/>
          <w:marBottom w:val="0"/>
          <w:divBdr>
            <w:top w:val="none" w:sz="0" w:space="0" w:color="auto"/>
            <w:left w:val="none" w:sz="0" w:space="0" w:color="auto"/>
            <w:bottom w:val="none" w:sz="0" w:space="0" w:color="auto"/>
            <w:right w:val="none" w:sz="0" w:space="0" w:color="auto"/>
          </w:divBdr>
          <w:divsChild>
            <w:div w:id="460347643">
              <w:marLeft w:val="0"/>
              <w:marRight w:val="0"/>
              <w:marTop w:val="0"/>
              <w:marBottom w:val="0"/>
              <w:divBdr>
                <w:top w:val="none" w:sz="0" w:space="0" w:color="auto"/>
                <w:left w:val="none" w:sz="0" w:space="0" w:color="auto"/>
                <w:bottom w:val="none" w:sz="0" w:space="0" w:color="auto"/>
                <w:right w:val="none" w:sz="0" w:space="0" w:color="auto"/>
              </w:divBdr>
              <w:divsChild>
                <w:div w:id="2093744572">
                  <w:marLeft w:val="0"/>
                  <w:marRight w:val="0"/>
                  <w:marTop w:val="0"/>
                  <w:marBottom w:val="0"/>
                  <w:divBdr>
                    <w:top w:val="none" w:sz="0" w:space="0" w:color="auto"/>
                    <w:left w:val="none" w:sz="0" w:space="0" w:color="auto"/>
                    <w:bottom w:val="none" w:sz="0" w:space="0" w:color="auto"/>
                    <w:right w:val="none" w:sz="0" w:space="0" w:color="auto"/>
                  </w:divBdr>
                  <w:divsChild>
                    <w:div w:id="582180447">
                      <w:marLeft w:val="0"/>
                      <w:marRight w:val="0"/>
                      <w:marTop w:val="0"/>
                      <w:marBottom w:val="0"/>
                      <w:divBdr>
                        <w:top w:val="none" w:sz="0" w:space="0" w:color="auto"/>
                        <w:left w:val="none" w:sz="0" w:space="0" w:color="auto"/>
                        <w:bottom w:val="none" w:sz="0" w:space="0" w:color="auto"/>
                        <w:right w:val="none" w:sz="0" w:space="0" w:color="auto"/>
                      </w:divBdr>
                      <w:divsChild>
                        <w:div w:id="322634626">
                          <w:marLeft w:val="0"/>
                          <w:marRight w:val="0"/>
                          <w:marTop w:val="0"/>
                          <w:marBottom w:val="0"/>
                          <w:divBdr>
                            <w:top w:val="none" w:sz="0" w:space="0" w:color="auto"/>
                            <w:left w:val="none" w:sz="0" w:space="0" w:color="auto"/>
                            <w:bottom w:val="none" w:sz="0" w:space="0" w:color="auto"/>
                            <w:right w:val="none" w:sz="0" w:space="0" w:color="auto"/>
                          </w:divBdr>
                          <w:divsChild>
                            <w:div w:id="124392536">
                              <w:marLeft w:val="0"/>
                              <w:marRight w:val="0"/>
                              <w:marTop w:val="150"/>
                              <w:marBottom w:val="150"/>
                              <w:divBdr>
                                <w:top w:val="none" w:sz="0" w:space="0" w:color="auto"/>
                                <w:left w:val="none" w:sz="0" w:space="0" w:color="auto"/>
                                <w:bottom w:val="single" w:sz="6" w:space="0" w:color="77C1BF"/>
                                <w:right w:val="none" w:sz="0" w:space="0" w:color="auto"/>
                              </w:divBdr>
                            </w:div>
                          </w:divsChild>
                        </w:div>
                        <w:div w:id="419765577">
                          <w:marLeft w:val="0"/>
                          <w:marRight w:val="0"/>
                          <w:marTop w:val="0"/>
                          <w:marBottom w:val="0"/>
                          <w:divBdr>
                            <w:top w:val="none" w:sz="0" w:space="0" w:color="auto"/>
                            <w:left w:val="none" w:sz="0" w:space="0" w:color="auto"/>
                            <w:bottom w:val="none" w:sz="0" w:space="0" w:color="auto"/>
                            <w:right w:val="none" w:sz="0" w:space="0" w:color="auto"/>
                          </w:divBdr>
                          <w:divsChild>
                            <w:div w:id="1563952703">
                              <w:marLeft w:val="0"/>
                              <w:marRight w:val="0"/>
                              <w:marTop w:val="150"/>
                              <w:marBottom w:val="150"/>
                              <w:divBdr>
                                <w:top w:val="none" w:sz="0" w:space="0" w:color="auto"/>
                                <w:left w:val="none" w:sz="0" w:space="0" w:color="auto"/>
                                <w:bottom w:val="none" w:sz="0" w:space="0" w:color="auto"/>
                                <w:right w:val="none" w:sz="0" w:space="0" w:color="auto"/>
                              </w:divBdr>
                              <w:divsChild>
                                <w:div w:id="1565800558">
                                  <w:marLeft w:val="0"/>
                                  <w:marRight w:val="0"/>
                                  <w:marTop w:val="0"/>
                                  <w:marBottom w:val="0"/>
                                  <w:divBdr>
                                    <w:top w:val="none" w:sz="0" w:space="0" w:color="auto"/>
                                    <w:left w:val="none" w:sz="0" w:space="0" w:color="auto"/>
                                    <w:bottom w:val="dashed" w:sz="6" w:space="0" w:color="C7D9D8"/>
                                    <w:right w:val="none" w:sz="0" w:space="0" w:color="auto"/>
                                  </w:divBdr>
                                </w:div>
                                <w:div w:id="1871214356">
                                  <w:marLeft w:val="0"/>
                                  <w:marRight w:val="0"/>
                                  <w:marTop w:val="0"/>
                                  <w:marBottom w:val="0"/>
                                  <w:divBdr>
                                    <w:top w:val="none" w:sz="0" w:space="0" w:color="auto"/>
                                    <w:left w:val="none" w:sz="0" w:space="0" w:color="auto"/>
                                    <w:bottom w:val="dashed" w:sz="6" w:space="0" w:color="C7D9D8"/>
                                    <w:right w:val="none" w:sz="0" w:space="0" w:color="auto"/>
                                  </w:divBdr>
                                  <w:divsChild>
                                    <w:div w:id="1851993134">
                                      <w:marLeft w:val="0"/>
                                      <w:marRight w:val="0"/>
                                      <w:marTop w:val="0"/>
                                      <w:marBottom w:val="0"/>
                                      <w:divBdr>
                                        <w:top w:val="none" w:sz="0" w:space="0" w:color="auto"/>
                                        <w:left w:val="none" w:sz="0" w:space="0" w:color="auto"/>
                                        <w:bottom w:val="none" w:sz="0" w:space="0" w:color="auto"/>
                                        <w:right w:val="none" w:sz="0" w:space="0" w:color="auto"/>
                                      </w:divBdr>
                                    </w:div>
                                    <w:div w:id="20990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549442">
      <w:bodyDiv w:val="1"/>
      <w:marLeft w:val="0"/>
      <w:marRight w:val="0"/>
      <w:marTop w:val="0"/>
      <w:marBottom w:val="0"/>
      <w:divBdr>
        <w:top w:val="none" w:sz="0" w:space="0" w:color="auto"/>
        <w:left w:val="none" w:sz="0" w:space="0" w:color="auto"/>
        <w:bottom w:val="none" w:sz="0" w:space="0" w:color="auto"/>
        <w:right w:val="none" w:sz="0" w:space="0" w:color="auto"/>
      </w:divBdr>
    </w:div>
    <w:div w:id="1112363136">
      <w:bodyDiv w:val="1"/>
      <w:marLeft w:val="0"/>
      <w:marRight w:val="0"/>
      <w:marTop w:val="0"/>
      <w:marBottom w:val="0"/>
      <w:divBdr>
        <w:top w:val="none" w:sz="0" w:space="0" w:color="auto"/>
        <w:left w:val="none" w:sz="0" w:space="0" w:color="auto"/>
        <w:bottom w:val="none" w:sz="0" w:space="0" w:color="auto"/>
        <w:right w:val="none" w:sz="0" w:space="0" w:color="auto"/>
      </w:divBdr>
    </w:div>
    <w:div w:id="1116405865">
      <w:bodyDiv w:val="1"/>
      <w:marLeft w:val="0"/>
      <w:marRight w:val="0"/>
      <w:marTop w:val="0"/>
      <w:marBottom w:val="0"/>
      <w:divBdr>
        <w:top w:val="none" w:sz="0" w:space="0" w:color="auto"/>
        <w:left w:val="none" w:sz="0" w:space="0" w:color="auto"/>
        <w:bottom w:val="none" w:sz="0" w:space="0" w:color="auto"/>
        <w:right w:val="none" w:sz="0" w:space="0" w:color="auto"/>
      </w:divBdr>
    </w:div>
    <w:div w:id="1126661716">
      <w:bodyDiv w:val="1"/>
      <w:marLeft w:val="0"/>
      <w:marRight w:val="0"/>
      <w:marTop w:val="0"/>
      <w:marBottom w:val="0"/>
      <w:divBdr>
        <w:top w:val="none" w:sz="0" w:space="0" w:color="auto"/>
        <w:left w:val="none" w:sz="0" w:space="0" w:color="auto"/>
        <w:bottom w:val="none" w:sz="0" w:space="0" w:color="auto"/>
        <w:right w:val="none" w:sz="0" w:space="0" w:color="auto"/>
      </w:divBdr>
    </w:div>
    <w:div w:id="1136487678">
      <w:bodyDiv w:val="1"/>
      <w:marLeft w:val="0"/>
      <w:marRight w:val="0"/>
      <w:marTop w:val="0"/>
      <w:marBottom w:val="0"/>
      <w:divBdr>
        <w:top w:val="none" w:sz="0" w:space="0" w:color="auto"/>
        <w:left w:val="none" w:sz="0" w:space="0" w:color="auto"/>
        <w:bottom w:val="none" w:sz="0" w:space="0" w:color="auto"/>
        <w:right w:val="none" w:sz="0" w:space="0" w:color="auto"/>
      </w:divBdr>
      <w:divsChild>
        <w:div w:id="1855150461">
          <w:marLeft w:val="0"/>
          <w:marRight w:val="0"/>
          <w:marTop w:val="0"/>
          <w:marBottom w:val="0"/>
          <w:divBdr>
            <w:top w:val="none" w:sz="0" w:space="0" w:color="auto"/>
            <w:left w:val="none" w:sz="0" w:space="0" w:color="auto"/>
            <w:bottom w:val="none" w:sz="0" w:space="0" w:color="auto"/>
            <w:right w:val="none" w:sz="0" w:space="0" w:color="auto"/>
          </w:divBdr>
          <w:divsChild>
            <w:div w:id="592007560">
              <w:marLeft w:val="0"/>
              <w:marRight w:val="0"/>
              <w:marTop w:val="0"/>
              <w:marBottom w:val="0"/>
              <w:divBdr>
                <w:top w:val="none" w:sz="0" w:space="0" w:color="auto"/>
                <w:left w:val="none" w:sz="0" w:space="0" w:color="auto"/>
                <w:bottom w:val="none" w:sz="0" w:space="0" w:color="auto"/>
                <w:right w:val="none" w:sz="0" w:space="0" w:color="auto"/>
              </w:divBdr>
              <w:divsChild>
                <w:div w:id="131019300">
                  <w:marLeft w:val="0"/>
                  <w:marRight w:val="0"/>
                  <w:marTop w:val="0"/>
                  <w:marBottom w:val="0"/>
                  <w:divBdr>
                    <w:top w:val="none" w:sz="0" w:space="0" w:color="auto"/>
                    <w:left w:val="none" w:sz="0" w:space="0" w:color="auto"/>
                    <w:bottom w:val="none" w:sz="0" w:space="0" w:color="auto"/>
                    <w:right w:val="none" w:sz="0" w:space="0" w:color="auto"/>
                  </w:divBdr>
                  <w:divsChild>
                    <w:div w:id="2008625969">
                      <w:marLeft w:val="0"/>
                      <w:marRight w:val="0"/>
                      <w:marTop w:val="0"/>
                      <w:marBottom w:val="0"/>
                      <w:divBdr>
                        <w:top w:val="none" w:sz="0" w:space="0" w:color="auto"/>
                        <w:left w:val="none" w:sz="0" w:space="0" w:color="auto"/>
                        <w:bottom w:val="none" w:sz="0" w:space="0" w:color="auto"/>
                        <w:right w:val="none" w:sz="0" w:space="0" w:color="auto"/>
                      </w:divBdr>
                      <w:divsChild>
                        <w:div w:id="630402258">
                          <w:marLeft w:val="0"/>
                          <w:marRight w:val="0"/>
                          <w:marTop w:val="0"/>
                          <w:marBottom w:val="0"/>
                          <w:divBdr>
                            <w:top w:val="none" w:sz="0" w:space="0" w:color="auto"/>
                            <w:left w:val="none" w:sz="0" w:space="0" w:color="auto"/>
                            <w:bottom w:val="none" w:sz="0" w:space="0" w:color="auto"/>
                            <w:right w:val="none" w:sz="0" w:space="0" w:color="auto"/>
                          </w:divBdr>
                          <w:divsChild>
                            <w:div w:id="220023935">
                              <w:marLeft w:val="0"/>
                              <w:marRight w:val="0"/>
                              <w:marTop w:val="115"/>
                              <w:marBottom w:val="115"/>
                              <w:divBdr>
                                <w:top w:val="none" w:sz="0" w:space="0" w:color="auto"/>
                                <w:left w:val="none" w:sz="0" w:space="0" w:color="auto"/>
                                <w:bottom w:val="single" w:sz="4" w:space="0" w:color="77C1BF"/>
                                <w:right w:val="none" w:sz="0" w:space="0" w:color="auto"/>
                              </w:divBdr>
                            </w:div>
                            <w:div w:id="367069459">
                              <w:marLeft w:val="0"/>
                              <w:marRight w:val="0"/>
                              <w:marTop w:val="115"/>
                              <w:marBottom w:val="115"/>
                              <w:divBdr>
                                <w:top w:val="none" w:sz="0" w:space="0" w:color="auto"/>
                                <w:left w:val="none" w:sz="0" w:space="0" w:color="auto"/>
                                <w:bottom w:val="none" w:sz="0" w:space="0" w:color="auto"/>
                                <w:right w:val="none" w:sz="0" w:space="0" w:color="auto"/>
                              </w:divBdr>
                              <w:divsChild>
                                <w:div w:id="1786730045">
                                  <w:marLeft w:val="0"/>
                                  <w:marRight w:val="0"/>
                                  <w:marTop w:val="0"/>
                                  <w:marBottom w:val="0"/>
                                  <w:divBdr>
                                    <w:top w:val="none" w:sz="0" w:space="0" w:color="auto"/>
                                    <w:left w:val="none" w:sz="0" w:space="0" w:color="auto"/>
                                    <w:bottom w:val="dashed" w:sz="4" w:space="0" w:color="C7D9D8"/>
                                    <w:right w:val="none" w:sz="0" w:space="0" w:color="auto"/>
                                  </w:divBdr>
                                  <w:divsChild>
                                    <w:div w:id="13334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5115">
                              <w:marLeft w:val="0"/>
                              <w:marRight w:val="0"/>
                              <w:marTop w:val="115"/>
                              <w:marBottom w:val="115"/>
                              <w:divBdr>
                                <w:top w:val="none" w:sz="0" w:space="0" w:color="auto"/>
                                <w:left w:val="none" w:sz="0" w:space="0" w:color="auto"/>
                                <w:bottom w:val="none" w:sz="0" w:space="0" w:color="auto"/>
                                <w:right w:val="none" w:sz="0" w:space="0" w:color="auto"/>
                              </w:divBdr>
                              <w:divsChild>
                                <w:div w:id="2074808450">
                                  <w:marLeft w:val="0"/>
                                  <w:marRight w:val="0"/>
                                  <w:marTop w:val="0"/>
                                  <w:marBottom w:val="0"/>
                                  <w:divBdr>
                                    <w:top w:val="none" w:sz="0" w:space="0" w:color="auto"/>
                                    <w:left w:val="none" w:sz="0" w:space="0" w:color="auto"/>
                                    <w:bottom w:val="dashed" w:sz="4" w:space="0" w:color="C7D9D8"/>
                                    <w:right w:val="none" w:sz="0" w:space="0" w:color="auto"/>
                                  </w:divBdr>
                                </w:div>
                              </w:divsChild>
                            </w:div>
                            <w:div w:id="1677615817">
                              <w:marLeft w:val="0"/>
                              <w:marRight w:val="0"/>
                              <w:marTop w:val="115"/>
                              <w:marBottom w:val="115"/>
                              <w:divBdr>
                                <w:top w:val="none" w:sz="0" w:space="0" w:color="auto"/>
                                <w:left w:val="none" w:sz="0" w:space="0" w:color="auto"/>
                                <w:bottom w:val="single" w:sz="4" w:space="0" w:color="77C1BF"/>
                                <w:right w:val="none" w:sz="0" w:space="0" w:color="auto"/>
                              </w:divBdr>
                            </w:div>
                            <w:div w:id="2075009717">
                              <w:marLeft w:val="0"/>
                              <w:marRight w:val="0"/>
                              <w:marTop w:val="115"/>
                              <w:marBottom w:val="115"/>
                              <w:divBdr>
                                <w:top w:val="none" w:sz="0" w:space="0" w:color="auto"/>
                                <w:left w:val="none" w:sz="0" w:space="0" w:color="auto"/>
                                <w:bottom w:val="single" w:sz="4" w:space="0" w:color="77C1BF"/>
                                <w:right w:val="none" w:sz="0" w:space="0" w:color="auto"/>
                              </w:divBdr>
                            </w:div>
                            <w:div w:id="2118598300">
                              <w:marLeft w:val="0"/>
                              <w:marRight w:val="0"/>
                              <w:marTop w:val="115"/>
                              <w:marBottom w:val="115"/>
                              <w:divBdr>
                                <w:top w:val="none" w:sz="0" w:space="0" w:color="auto"/>
                                <w:left w:val="none" w:sz="0" w:space="0" w:color="auto"/>
                                <w:bottom w:val="none" w:sz="0" w:space="0" w:color="auto"/>
                                <w:right w:val="none" w:sz="0" w:space="0" w:color="auto"/>
                              </w:divBdr>
                              <w:divsChild>
                                <w:div w:id="355732998">
                                  <w:marLeft w:val="0"/>
                                  <w:marRight w:val="0"/>
                                  <w:marTop w:val="0"/>
                                  <w:marBottom w:val="0"/>
                                  <w:divBdr>
                                    <w:top w:val="none" w:sz="0" w:space="0" w:color="auto"/>
                                    <w:left w:val="none" w:sz="0" w:space="0" w:color="auto"/>
                                    <w:bottom w:val="dashed" w:sz="4" w:space="0" w:color="C7D9D8"/>
                                    <w:right w:val="none" w:sz="0" w:space="0" w:color="auto"/>
                                  </w:divBdr>
                                  <w:divsChild>
                                    <w:div w:id="16614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77840">
                  <w:marLeft w:val="0"/>
                  <w:marRight w:val="0"/>
                  <w:marTop w:val="0"/>
                  <w:marBottom w:val="0"/>
                  <w:divBdr>
                    <w:top w:val="none" w:sz="0" w:space="0" w:color="auto"/>
                    <w:left w:val="none" w:sz="0" w:space="0" w:color="auto"/>
                    <w:bottom w:val="none" w:sz="0" w:space="0" w:color="auto"/>
                    <w:right w:val="none" w:sz="0" w:space="0" w:color="auto"/>
                  </w:divBdr>
                  <w:divsChild>
                    <w:div w:id="358169471">
                      <w:marLeft w:val="0"/>
                      <w:marRight w:val="0"/>
                      <w:marTop w:val="0"/>
                      <w:marBottom w:val="0"/>
                      <w:divBdr>
                        <w:top w:val="none" w:sz="0" w:space="0" w:color="auto"/>
                        <w:left w:val="none" w:sz="0" w:space="0" w:color="auto"/>
                        <w:bottom w:val="none" w:sz="0" w:space="0" w:color="auto"/>
                        <w:right w:val="none" w:sz="0" w:space="0" w:color="auto"/>
                      </w:divBdr>
                      <w:divsChild>
                        <w:div w:id="1925529825">
                          <w:marLeft w:val="0"/>
                          <w:marRight w:val="0"/>
                          <w:marTop w:val="0"/>
                          <w:marBottom w:val="0"/>
                          <w:divBdr>
                            <w:top w:val="none" w:sz="0" w:space="0" w:color="auto"/>
                            <w:left w:val="none" w:sz="0" w:space="0" w:color="auto"/>
                            <w:bottom w:val="none" w:sz="0" w:space="0" w:color="auto"/>
                            <w:right w:val="none" w:sz="0" w:space="0" w:color="auto"/>
                          </w:divBdr>
                          <w:divsChild>
                            <w:div w:id="40444983">
                              <w:marLeft w:val="0"/>
                              <w:marRight w:val="0"/>
                              <w:marTop w:val="115"/>
                              <w:marBottom w:val="115"/>
                              <w:divBdr>
                                <w:top w:val="none" w:sz="0" w:space="0" w:color="auto"/>
                                <w:left w:val="none" w:sz="0" w:space="0" w:color="auto"/>
                                <w:bottom w:val="none" w:sz="0" w:space="0" w:color="auto"/>
                                <w:right w:val="none" w:sz="0" w:space="0" w:color="auto"/>
                              </w:divBdr>
                              <w:divsChild>
                                <w:div w:id="415633893">
                                  <w:marLeft w:val="0"/>
                                  <w:marRight w:val="0"/>
                                  <w:marTop w:val="0"/>
                                  <w:marBottom w:val="0"/>
                                  <w:divBdr>
                                    <w:top w:val="none" w:sz="0" w:space="0" w:color="auto"/>
                                    <w:left w:val="none" w:sz="0" w:space="0" w:color="auto"/>
                                    <w:bottom w:val="dashed" w:sz="4" w:space="0" w:color="C7D9D8"/>
                                    <w:right w:val="none" w:sz="0" w:space="0" w:color="auto"/>
                                  </w:divBdr>
                                </w:div>
                              </w:divsChild>
                            </w:div>
                            <w:div w:id="236860612">
                              <w:marLeft w:val="0"/>
                              <w:marRight w:val="0"/>
                              <w:marTop w:val="115"/>
                              <w:marBottom w:val="115"/>
                              <w:divBdr>
                                <w:top w:val="none" w:sz="0" w:space="0" w:color="auto"/>
                                <w:left w:val="none" w:sz="0" w:space="0" w:color="auto"/>
                                <w:bottom w:val="none" w:sz="0" w:space="0" w:color="auto"/>
                                <w:right w:val="none" w:sz="0" w:space="0" w:color="auto"/>
                              </w:divBdr>
                              <w:divsChild>
                                <w:div w:id="492765471">
                                  <w:marLeft w:val="0"/>
                                  <w:marRight w:val="0"/>
                                  <w:marTop w:val="0"/>
                                  <w:marBottom w:val="0"/>
                                  <w:divBdr>
                                    <w:top w:val="none" w:sz="0" w:space="0" w:color="auto"/>
                                    <w:left w:val="none" w:sz="0" w:space="0" w:color="auto"/>
                                    <w:bottom w:val="dashed" w:sz="4" w:space="0" w:color="C7D9D8"/>
                                    <w:right w:val="none" w:sz="0" w:space="0" w:color="auto"/>
                                  </w:divBdr>
                                </w:div>
                              </w:divsChild>
                            </w:div>
                            <w:div w:id="912281735">
                              <w:marLeft w:val="0"/>
                              <w:marRight w:val="0"/>
                              <w:marTop w:val="115"/>
                              <w:marBottom w:val="115"/>
                              <w:divBdr>
                                <w:top w:val="none" w:sz="0" w:space="0" w:color="auto"/>
                                <w:left w:val="none" w:sz="0" w:space="0" w:color="auto"/>
                                <w:bottom w:val="none" w:sz="0" w:space="0" w:color="auto"/>
                                <w:right w:val="none" w:sz="0" w:space="0" w:color="auto"/>
                              </w:divBdr>
                              <w:divsChild>
                                <w:div w:id="2110663304">
                                  <w:marLeft w:val="0"/>
                                  <w:marRight w:val="0"/>
                                  <w:marTop w:val="0"/>
                                  <w:marBottom w:val="0"/>
                                  <w:divBdr>
                                    <w:top w:val="none" w:sz="0" w:space="0" w:color="auto"/>
                                    <w:left w:val="none" w:sz="0" w:space="0" w:color="auto"/>
                                    <w:bottom w:val="dashed" w:sz="4" w:space="0" w:color="C7D9D8"/>
                                    <w:right w:val="none" w:sz="0" w:space="0" w:color="auto"/>
                                  </w:divBdr>
                                  <w:divsChild>
                                    <w:div w:id="16352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5722">
                              <w:marLeft w:val="0"/>
                              <w:marRight w:val="0"/>
                              <w:marTop w:val="115"/>
                              <w:marBottom w:val="115"/>
                              <w:divBdr>
                                <w:top w:val="none" w:sz="0" w:space="0" w:color="auto"/>
                                <w:left w:val="none" w:sz="0" w:space="0" w:color="auto"/>
                                <w:bottom w:val="single" w:sz="4" w:space="0" w:color="77C1BF"/>
                                <w:right w:val="none" w:sz="0" w:space="0" w:color="auto"/>
                              </w:divBdr>
                            </w:div>
                            <w:div w:id="1475104734">
                              <w:marLeft w:val="0"/>
                              <w:marRight w:val="0"/>
                              <w:marTop w:val="115"/>
                              <w:marBottom w:val="115"/>
                              <w:divBdr>
                                <w:top w:val="none" w:sz="0" w:space="0" w:color="auto"/>
                                <w:left w:val="none" w:sz="0" w:space="0" w:color="auto"/>
                                <w:bottom w:val="single" w:sz="4" w:space="0" w:color="77C1BF"/>
                                <w:right w:val="none" w:sz="0" w:space="0" w:color="auto"/>
                              </w:divBdr>
                            </w:div>
                            <w:div w:id="1504708976">
                              <w:marLeft w:val="0"/>
                              <w:marRight w:val="0"/>
                              <w:marTop w:val="115"/>
                              <w:marBottom w:val="115"/>
                              <w:divBdr>
                                <w:top w:val="none" w:sz="0" w:space="0" w:color="auto"/>
                                <w:left w:val="none" w:sz="0" w:space="0" w:color="auto"/>
                                <w:bottom w:val="single" w:sz="4" w:space="0" w:color="77C1BF"/>
                                <w:right w:val="none" w:sz="0" w:space="0" w:color="auto"/>
                              </w:divBdr>
                            </w:div>
                            <w:div w:id="1673291021">
                              <w:marLeft w:val="0"/>
                              <w:marRight w:val="0"/>
                              <w:marTop w:val="115"/>
                              <w:marBottom w:val="115"/>
                              <w:divBdr>
                                <w:top w:val="none" w:sz="0" w:space="0" w:color="auto"/>
                                <w:left w:val="none" w:sz="0" w:space="0" w:color="auto"/>
                                <w:bottom w:val="single" w:sz="4" w:space="0" w:color="77C1BF"/>
                                <w:right w:val="none" w:sz="0" w:space="0" w:color="auto"/>
                              </w:divBdr>
                            </w:div>
                            <w:div w:id="1899124867">
                              <w:marLeft w:val="0"/>
                              <w:marRight w:val="0"/>
                              <w:marTop w:val="115"/>
                              <w:marBottom w:val="115"/>
                              <w:divBdr>
                                <w:top w:val="none" w:sz="0" w:space="0" w:color="auto"/>
                                <w:left w:val="none" w:sz="0" w:space="0" w:color="auto"/>
                                <w:bottom w:val="none" w:sz="0" w:space="0" w:color="auto"/>
                                <w:right w:val="none" w:sz="0" w:space="0" w:color="auto"/>
                              </w:divBdr>
                              <w:divsChild>
                                <w:div w:id="1045179488">
                                  <w:marLeft w:val="0"/>
                                  <w:marRight w:val="0"/>
                                  <w:marTop w:val="0"/>
                                  <w:marBottom w:val="0"/>
                                  <w:divBdr>
                                    <w:top w:val="none" w:sz="0" w:space="0" w:color="auto"/>
                                    <w:left w:val="none" w:sz="0" w:space="0" w:color="auto"/>
                                    <w:bottom w:val="dashed" w:sz="4" w:space="0" w:color="C7D9D8"/>
                                    <w:right w:val="none" w:sz="0" w:space="0" w:color="auto"/>
                                  </w:divBdr>
                                </w:div>
                              </w:divsChild>
                            </w:div>
                          </w:divsChild>
                        </w:div>
                      </w:divsChild>
                    </w:div>
                    <w:div w:id="1185823887">
                      <w:marLeft w:val="0"/>
                      <w:marRight w:val="0"/>
                      <w:marTop w:val="0"/>
                      <w:marBottom w:val="0"/>
                      <w:divBdr>
                        <w:top w:val="none" w:sz="0" w:space="0" w:color="auto"/>
                        <w:left w:val="none" w:sz="0" w:space="0" w:color="auto"/>
                        <w:bottom w:val="none" w:sz="0" w:space="0" w:color="auto"/>
                        <w:right w:val="none" w:sz="0" w:space="0" w:color="auto"/>
                      </w:divBdr>
                      <w:divsChild>
                        <w:div w:id="810172255">
                          <w:marLeft w:val="0"/>
                          <w:marRight w:val="0"/>
                          <w:marTop w:val="0"/>
                          <w:marBottom w:val="0"/>
                          <w:divBdr>
                            <w:top w:val="none" w:sz="0" w:space="0" w:color="auto"/>
                            <w:left w:val="none" w:sz="0" w:space="0" w:color="auto"/>
                            <w:bottom w:val="none" w:sz="0" w:space="0" w:color="auto"/>
                            <w:right w:val="none" w:sz="0" w:space="0" w:color="auto"/>
                          </w:divBdr>
                          <w:divsChild>
                            <w:div w:id="188686329">
                              <w:marLeft w:val="0"/>
                              <w:marRight w:val="0"/>
                              <w:marTop w:val="115"/>
                              <w:marBottom w:val="115"/>
                              <w:divBdr>
                                <w:top w:val="none" w:sz="0" w:space="0" w:color="auto"/>
                                <w:left w:val="none" w:sz="0" w:space="0" w:color="auto"/>
                                <w:bottom w:val="none" w:sz="0" w:space="0" w:color="auto"/>
                                <w:right w:val="none" w:sz="0" w:space="0" w:color="auto"/>
                              </w:divBdr>
                              <w:divsChild>
                                <w:div w:id="671420357">
                                  <w:marLeft w:val="0"/>
                                  <w:marRight w:val="0"/>
                                  <w:marTop w:val="0"/>
                                  <w:marBottom w:val="0"/>
                                  <w:divBdr>
                                    <w:top w:val="none" w:sz="0" w:space="0" w:color="auto"/>
                                    <w:left w:val="none" w:sz="0" w:space="0" w:color="auto"/>
                                    <w:bottom w:val="dashed" w:sz="4" w:space="0" w:color="C7D9D8"/>
                                    <w:right w:val="none" w:sz="0" w:space="0" w:color="auto"/>
                                  </w:divBdr>
                                </w:div>
                              </w:divsChild>
                            </w:div>
                            <w:div w:id="230316289">
                              <w:marLeft w:val="0"/>
                              <w:marRight w:val="0"/>
                              <w:marTop w:val="115"/>
                              <w:marBottom w:val="115"/>
                              <w:divBdr>
                                <w:top w:val="none" w:sz="0" w:space="0" w:color="auto"/>
                                <w:left w:val="none" w:sz="0" w:space="0" w:color="auto"/>
                                <w:bottom w:val="single" w:sz="4" w:space="0" w:color="77C1BF"/>
                                <w:right w:val="none" w:sz="0" w:space="0" w:color="auto"/>
                              </w:divBdr>
                            </w:div>
                            <w:div w:id="292442603">
                              <w:marLeft w:val="0"/>
                              <w:marRight w:val="0"/>
                              <w:marTop w:val="115"/>
                              <w:marBottom w:val="115"/>
                              <w:divBdr>
                                <w:top w:val="none" w:sz="0" w:space="0" w:color="auto"/>
                                <w:left w:val="none" w:sz="0" w:space="0" w:color="auto"/>
                                <w:bottom w:val="none" w:sz="0" w:space="0" w:color="auto"/>
                                <w:right w:val="none" w:sz="0" w:space="0" w:color="auto"/>
                              </w:divBdr>
                              <w:divsChild>
                                <w:div w:id="19550734">
                                  <w:marLeft w:val="0"/>
                                  <w:marRight w:val="0"/>
                                  <w:marTop w:val="0"/>
                                  <w:marBottom w:val="0"/>
                                  <w:divBdr>
                                    <w:top w:val="none" w:sz="0" w:space="0" w:color="auto"/>
                                    <w:left w:val="none" w:sz="0" w:space="0" w:color="auto"/>
                                    <w:bottom w:val="dashed" w:sz="4" w:space="0" w:color="C7D9D8"/>
                                    <w:right w:val="none" w:sz="0" w:space="0" w:color="auto"/>
                                  </w:divBdr>
                                  <w:divsChild>
                                    <w:div w:id="711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2244">
                              <w:marLeft w:val="0"/>
                              <w:marRight w:val="0"/>
                              <w:marTop w:val="115"/>
                              <w:marBottom w:val="115"/>
                              <w:divBdr>
                                <w:top w:val="none" w:sz="0" w:space="0" w:color="auto"/>
                                <w:left w:val="none" w:sz="0" w:space="0" w:color="auto"/>
                                <w:bottom w:val="single" w:sz="4" w:space="0" w:color="77C1BF"/>
                                <w:right w:val="none" w:sz="0" w:space="0" w:color="auto"/>
                              </w:divBdr>
                            </w:div>
                            <w:div w:id="688413350">
                              <w:marLeft w:val="0"/>
                              <w:marRight w:val="0"/>
                              <w:marTop w:val="115"/>
                              <w:marBottom w:val="115"/>
                              <w:divBdr>
                                <w:top w:val="none" w:sz="0" w:space="0" w:color="auto"/>
                                <w:left w:val="none" w:sz="0" w:space="0" w:color="auto"/>
                                <w:bottom w:val="none" w:sz="0" w:space="0" w:color="auto"/>
                                <w:right w:val="none" w:sz="0" w:space="0" w:color="auto"/>
                              </w:divBdr>
                              <w:divsChild>
                                <w:div w:id="809251744">
                                  <w:marLeft w:val="0"/>
                                  <w:marRight w:val="0"/>
                                  <w:marTop w:val="0"/>
                                  <w:marBottom w:val="0"/>
                                  <w:divBdr>
                                    <w:top w:val="none" w:sz="0" w:space="0" w:color="auto"/>
                                    <w:left w:val="none" w:sz="0" w:space="0" w:color="auto"/>
                                    <w:bottom w:val="dashed" w:sz="4" w:space="0" w:color="C7D9D8"/>
                                    <w:right w:val="none" w:sz="0" w:space="0" w:color="auto"/>
                                  </w:divBdr>
                                </w:div>
                              </w:divsChild>
                            </w:div>
                            <w:div w:id="799612246">
                              <w:marLeft w:val="0"/>
                              <w:marRight w:val="0"/>
                              <w:marTop w:val="115"/>
                              <w:marBottom w:val="115"/>
                              <w:divBdr>
                                <w:top w:val="none" w:sz="0" w:space="0" w:color="auto"/>
                                <w:left w:val="none" w:sz="0" w:space="0" w:color="auto"/>
                                <w:bottom w:val="none" w:sz="0" w:space="0" w:color="auto"/>
                                <w:right w:val="none" w:sz="0" w:space="0" w:color="auto"/>
                              </w:divBdr>
                              <w:divsChild>
                                <w:div w:id="599263464">
                                  <w:marLeft w:val="0"/>
                                  <w:marRight w:val="0"/>
                                  <w:marTop w:val="0"/>
                                  <w:marBottom w:val="0"/>
                                  <w:divBdr>
                                    <w:top w:val="none" w:sz="0" w:space="0" w:color="auto"/>
                                    <w:left w:val="none" w:sz="0" w:space="0" w:color="auto"/>
                                    <w:bottom w:val="dashed" w:sz="4" w:space="0" w:color="C7D9D8"/>
                                    <w:right w:val="none" w:sz="0" w:space="0" w:color="auto"/>
                                  </w:divBdr>
                                </w:div>
                              </w:divsChild>
                            </w:div>
                            <w:div w:id="950353855">
                              <w:marLeft w:val="0"/>
                              <w:marRight w:val="0"/>
                              <w:marTop w:val="115"/>
                              <w:marBottom w:val="115"/>
                              <w:divBdr>
                                <w:top w:val="none" w:sz="0" w:space="0" w:color="auto"/>
                                <w:left w:val="none" w:sz="0" w:space="0" w:color="auto"/>
                                <w:bottom w:val="single" w:sz="4" w:space="0" w:color="77C1BF"/>
                                <w:right w:val="none" w:sz="0" w:space="0" w:color="auto"/>
                              </w:divBdr>
                            </w:div>
                            <w:div w:id="1203126808">
                              <w:marLeft w:val="0"/>
                              <w:marRight w:val="0"/>
                              <w:marTop w:val="115"/>
                              <w:marBottom w:val="115"/>
                              <w:divBdr>
                                <w:top w:val="none" w:sz="0" w:space="0" w:color="auto"/>
                                <w:left w:val="none" w:sz="0" w:space="0" w:color="auto"/>
                                <w:bottom w:val="single" w:sz="4" w:space="0" w:color="77C1BF"/>
                                <w:right w:val="none" w:sz="0" w:space="0" w:color="auto"/>
                              </w:divBdr>
                            </w:div>
                            <w:div w:id="1881933187">
                              <w:marLeft w:val="0"/>
                              <w:marRight w:val="0"/>
                              <w:marTop w:val="115"/>
                              <w:marBottom w:val="115"/>
                              <w:divBdr>
                                <w:top w:val="none" w:sz="0" w:space="0" w:color="auto"/>
                                <w:left w:val="none" w:sz="0" w:space="0" w:color="auto"/>
                                <w:bottom w:val="none" w:sz="0" w:space="0" w:color="auto"/>
                                <w:right w:val="none" w:sz="0" w:space="0" w:color="auto"/>
                              </w:divBdr>
                              <w:divsChild>
                                <w:div w:id="550073665">
                                  <w:marLeft w:val="0"/>
                                  <w:marRight w:val="0"/>
                                  <w:marTop w:val="0"/>
                                  <w:marBottom w:val="0"/>
                                  <w:divBdr>
                                    <w:top w:val="none" w:sz="0" w:space="0" w:color="auto"/>
                                    <w:left w:val="none" w:sz="0" w:space="0" w:color="auto"/>
                                    <w:bottom w:val="dashed" w:sz="4" w:space="0" w:color="C7D9D8"/>
                                    <w:right w:val="none" w:sz="0" w:space="0" w:color="auto"/>
                                  </w:divBdr>
                                </w:div>
                              </w:divsChild>
                            </w:div>
                            <w:div w:id="1957446318">
                              <w:marLeft w:val="0"/>
                              <w:marRight w:val="0"/>
                              <w:marTop w:val="115"/>
                              <w:marBottom w:val="115"/>
                              <w:divBdr>
                                <w:top w:val="none" w:sz="0" w:space="0" w:color="auto"/>
                                <w:left w:val="none" w:sz="0" w:space="0" w:color="auto"/>
                                <w:bottom w:val="single" w:sz="4" w:space="0" w:color="77C1BF"/>
                                <w:right w:val="none" w:sz="0" w:space="0" w:color="auto"/>
                              </w:divBdr>
                            </w:div>
                          </w:divsChild>
                        </w:div>
                      </w:divsChild>
                    </w:div>
                    <w:div w:id="1217281436">
                      <w:marLeft w:val="0"/>
                      <w:marRight w:val="0"/>
                      <w:marTop w:val="0"/>
                      <w:marBottom w:val="0"/>
                      <w:divBdr>
                        <w:top w:val="none" w:sz="0" w:space="0" w:color="auto"/>
                        <w:left w:val="none" w:sz="0" w:space="0" w:color="auto"/>
                        <w:bottom w:val="none" w:sz="0" w:space="0" w:color="auto"/>
                        <w:right w:val="none" w:sz="0" w:space="0" w:color="auto"/>
                      </w:divBdr>
                      <w:divsChild>
                        <w:div w:id="1574007147">
                          <w:marLeft w:val="0"/>
                          <w:marRight w:val="0"/>
                          <w:marTop w:val="0"/>
                          <w:marBottom w:val="0"/>
                          <w:divBdr>
                            <w:top w:val="none" w:sz="0" w:space="0" w:color="auto"/>
                            <w:left w:val="none" w:sz="0" w:space="0" w:color="auto"/>
                            <w:bottom w:val="none" w:sz="0" w:space="0" w:color="auto"/>
                            <w:right w:val="none" w:sz="0" w:space="0" w:color="auto"/>
                          </w:divBdr>
                          <w:divsChild>
                            <w:div w:id="135412002">
                              <w:marLeft w:val="0"/>
                              <w:marRight w:val="0"/>
                              <w:marTop w:val="115"/>
                              <w:marBottom w:val="115"/>
                              <w:divBdr>
                                <w:top w:val="none" w:sz="0" w:space="0" w:color="auto"/>
                                <w:left w:val="none" w:sz="0" w:space="0" w:color="auto"/>
                                <w:bottom w:val="single" w:sz="4" w:space="0" w:color="77C1BF"/>
                                <w:right w:val="none" w:sz="0" w:space="0" w:color="auto"/>
                              </w:divBdr>
                            </w:div>
                            <w:div w:id="263271592">
                              <w:marLeft w:val="0"/>
                              <w:marRight w:val="0"/>
                              <w:marTop w:val="115"/>
                              <w:marBottom w:val="115"/>
                              <w:divBdr>
                                <w:top w:val="none" w:sz="0" w:space="0" w:color="auto"/>
                                <w:left w:val="none" w:sz="0" w:space="0" w:color="auto"/>
                                <w:bottom w:val="single" w:sz="4" w:space="0" w:color="77C1BF"/>
                                <w:right w:val="none" w:sz="0" w:space="0" w:color="auto"/>
                              </w:divBdr>
                            </w:div>
                            <w:div w:id="314258085">
                              <w:marLeft w:val="0"/>
                              <w:marRight w:val="0"/>
                              <w:marTop w:val="115"/>
                              <w:marBottom w:val="115"/>
                              <w:divBdr>
                                <w:top w:val="none" w:sz="0" w:space="0" w:color="auto"/>
                                <w:left w:val="none" w:sz="0" w:space="0" w:color="auto"/>
                                <w:bottom w:val="single" w:sz="4" w:space="0" w:color="77C1BF"/>
                                <w:right w:val="none" w:sz="0" w:space="0" w:color="auto"/>
                              </w:divBdr>
                            </w:div>
                            <w:div w:id="360015102">
                              <w:marLeft w:val="0"/>
                              <w:marRight w:val="0"/>
                              <w:marTop w:val="115"/>
                              <w:marBottom w:val="115"/>
                              <w:divBdr>
                                <w:top w:val="none" w:sz="0" w:space="0" w:color="auto"/>
                                <w:left w:val="none" w:sz="0" w:space="0" w:color="auto"/>
                                <w:bottom w:val="none" w:sz="0" w:space="0" w:color="auto"/>
                                <w:right w:val="none" w:sz="0" w:space="0" w:color="auto"/>
                              </w:divBdr>
                              <w:divsChild>
                                <w:div w:id="350763142">
                                  <w:marLeft w:val="0"/>
                                  <w:marRight w:val="0"/>
                                  <w:marTop w:val="0"/>
                                  <w:marBottom w:val="0"/>
                                  <w:divBdr>
                                    <w:top w:val="none" w:sz="0" w:space="0" w:color="auto"/>
                                    <w:left w:val="none" w:sz="0" w:space="0" w:color="auto"/>
                                    <w:bottom w:val="dashed" w:sz="4" w:space="0" w:color="C7D9D8"/>
                                    <w:right w:val="none" w:sz="0" w:space="0" w:color="auto"/>
                                  </w:divBdr>
                                </w:div>
                              </w:divsChild>
                            </w:div>
                            <w:div w:id="493690378">
                              <w:marLeft w:val="0"/>
                              <w:marRight w:val="0"/>
                              <w:marTop w:val="115"/>
                              <w:marBottom w:val="115"/>
                              <w:divBdr>
                                <w:top w:val="none" w:sz="0" w:space="0" w:color="auto"/>
                                <w:left w:val="none" w:sz="0" w:space="0" w:color="auto"/>
                                <w:bottom w:val="none" w:sz="0" w:space="0" w:color="auto"/>
                                <w:right w:val="none" w:sz="0" w:space="0" w:color="auto"/>
                              </w:divBdr>
                              <w:divsChild>
                                <w:div w:id="798840218">
                                  <w:marLeft w:val="0"/>
                                  <w:marRight w:val="0"/>
                                  <w:marTop w:val="0"/>
                                  <w:marBottom w:val="0"/>
                                  <w:divBdr>
                                    <w:top w:val="none" w:sz="0" w:space="0" w:color="auto"/>
                                    <w:left w:val="none" w:sz="0" w:space="0" w:color="auto"/>
                                    <w:bottom w:val="dashed" w:sz="4" w:space="0" w:color="C7D9D8"/>
                                    <w:right w:val="none" w:sz="0" w:space="0" w:color="auto"/>
                                  </w:divBdr>
                                </w:div>
                              </w:divsChild>
                            </w:div>
                            <w:div w:id="1061948089">
                              <w:marLeft w:val="0"/>
                              <w:marRight w:val="0"/>
                              <w:marTop w:val="115"/>
                              <w:marBottom w:val="115"/>
                              <w:divBdr>
                                <w:top w:val="none" w:sz="0" w:space="0" w:color="auto"/>
                                <w:left w:val="none" w:sz="0" w:space="0" w:color="auto"/>
                                <w:bottom w:val="none" w:sz="0" w:space="0" w:color="auto"/>
                                <w:right w:val="none" w:sz="0" w:space="0" w:color="auto"/>
                              </w:divBdr>
                              <w:divsChild>
                                <w:div w:id="2075622297">
                                  <w:marLeft w:val="0"/>
                                  <w:marRight w:val="0"/>
                                  <w:marTop w:val="0"/>
                                  <w:marBottom w:val="0"/>
                                  <w:divBdr>
                                    <w:top w:val="none" w:sz="0" w:space="0" w:color="auto"/>
                                    <w:left w:val="none" w:sz="0" w:space="0" w:color="auto"/>
                                    <w:bottom w:val="dashed" w:sz="4" w:space="0" w:color="C7D9D8"/>
                                    <w:right w:val="none" w:sz="0" w:space="0" w:color="auto"/>
                                  </w:divBdr>
                                  <w:divsChild>
                                    <w:div w:id="1984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4969">
                              <w:marLeft w:val="0"/>
                              <w:marRight w:val="0"/>
                              <w:marTop w:val="115"/>
                              <w:marBottom w:val="115"/>
                              <w:divBdr>
                                <w:top w:val="none" w:sz="0" w:space="0" w:color="auto"/>
                                <w:left w:val="none" w:sz="0" w:space="0" w:color="auto"/>
                                <w:bottom w:val="single" w:sz="4" w:space="0" w:color="77C1BF"/>
                                <w:right w:val="none" w:sz="0" w:space="0" w:color="auto"/>
                              </w:divBdr>
                            </w:div>
                            <w:div w:id="2091852502">
                              <w:marLeft w:val="0"/>
                              <w:marRight w:val="0"/>
                              <w:marTop w:val="115"/>
                              <w:marBottom w:val="115"/>
                              <w:divBdr>
                                <w:top w:val="none" w:sz="0" w:space="0" w:color="auto"/>
                                <w:left w:val="none" w:sz="0" w:space="0" w:color="auto"/>
                                <w:bottom w:val="none" w:sz="0" w:space="0" w:color="auto"/>
                                <w:right w:val="none" w:sz="0" w:space="0" w:color="auto"/>
                              </w:divBdr>
                              <w:divsChild>
                                <w:div w:id="1771731116">
                                  <w:marLeft w:val="0"/>
                                  <w:marRight w:val="0"/>
                                  <w:marTop w:val="0"/>
                                  <w:marBottom w:val="0"/>
                                  <w:divBdr>
                                    <w:top w:val="none" w:sz="0" w:space="0" w:color="auto"/>
                                    <w:left w:val="none" w:sz="0" w:space="0" w:color="auto"/>
                                    <w:bottom w:val="dashed" w:sz="4" w:space="0" w:color="C7D9D8"/>
                                    <w:right w:val="none" w:sz="0" w:space="0" w:color="auto"/>
                                  </w:divBdr>
                                </w:div>
                              </w:divsChild>
                            </w:div>
                          </w:divsChild>
                        </w:div>
                      </w:divsChild>
                    </w:div>
                    <w:div w:id="1235699110">
                      <w:marLeft w:val="0"/>
                      <w:marRight w:val="0"/>
                      <w:marTop w:val="0"/>
                      <w:marBottom w:val="0"/>
                      <w:divBdr>
                        <w:top w:val="none" w:sz="0" w:space="0" w:color="auto"/>
                        <w:left w:val="none" w:sz="0" w:space="0" w:color="auto"/>
                        <w:bottom w:val="none" w:sz="0" w:space="0" w:color="auto"/>
                        <w:right w:val="none" w:sz="0" w:space="0" w:color="auto"/>
                      </w:divBdr>
                      <w:divsChild>
                        <w:div w:id="1133906720">
                          <w:marLeft w:val="0"/>
                          <w:marRight w:val="0"/>
                          <w:marTop w:val="0"/>
                          <w:marBottom w:val="0"/>
                          <w:divBdr>
                            <w:top w:val="none" w:sz="0" w:space="0" w:color="auto"/>
                            <w:left w:val="none" w:sz="0" w:space="0" w:color="auto"/>
                            <w:bottom w:val="none" w:sz="0" w:space="0" w:color="auto"/>
                            <w:right w:val="none" w:sz="0" w:space="0" w:color="auto"/>
                          </w:divBdr>
                          <w:divsChild>
                            <w:div w:id="216935781">
                              <w:marLeft w:val="0"/>
                              <w:marRight w:val="0"/>
                              <w:marTop w:val="115"/>
                              <w:marBottom w:val="115"/>
                              <w:divBdr>
                                <w:top w:val="none" w:sz="0" w:space="0" w:color="auto"/>
                                <w:left w:val="none" w:sz="0" w:space="0" w:color="auto"/>
                                <w:bottom w:val="none" w:sz="0" w:space="0" w:color="auto"/>
                                <w:right w:val="none" w:sz="0" w:space="0" w:color="auto"/>
                              </w:divBdr>
                              <w:divsChild>
                                <w:div w:id="45956507">
                                  <w:marLeft w:val="0"/>
                                  <w:marRight w:val="0"/>
                                  <w:marTop w:val="0"/>
                                  <w:marBottom w:val="0"/>
                                  <w:divBdr>
                                    <w:top w:val="none" w:sz="0" w:space="0" w:color="auto"/>
                                    <w:left w:val="none" w:sz="0" w:space="0" w:color="auto"/>
                                    <w:bottom w:val="dashed" w:sz="4" w:space="0" w:color="C7D9D8"/>
                                    <w:right w:val="none" w:sz="0" w:space="0" w:color="auto"/>
                                  </w:divBdr>
                                </w:div>
                              </w:divsChild>
                            </w:div>
                            <w:div w:id="247274369">
                              <w:marLeft w:val="0"/>
                              <w:marRight w:val="0"/>
                              <w:marTop w:val="115"/>
                              <w:marBottom w:val="115"/>
                              <w:divBdr>
                                <w:top w:val="none" w:sz="0" w:space="0" w:color="auto"/>
                                <w:left w:val="none" w:sz="0" w:space="0" w:color="auto"/>
                                <w:bottom w:val="single" w:sz="4" w:space="0" w:color="77C1BF"/>
                                <w:right w:val="none" w:sz="0" w:space="0" w:color="auto"/>
                              </w:divBdr>
                            </w:div>
                            <w:div w:id="424424185">
                              <w:marLeft w:val="0"/>
                              <w:marRight w:val="0"/>
                              <w:marTop w:val="115"/>
                              <w:marBottom w:val="115"/>
                              <w:divBdr>
                                <w:top w:val="none" w:sz="0" w:space="0" w:color="auto"/>
                                <w:left w:val="none" w:sz="0" w:space="0" w:color="auto"/>
                                <w:bottom w:val="single" w:sz="4" w:space="0" w:color="77C1BF"/>
                                <w:right w:val="none" w:sz="0" w:space="0" w:color="auto"/>
                              </w:divBdr>
                            </w:div>
                            <w:div w:id="437141483">
                              <w:marLeft w:val="0"/>
                              <w:marRight w:val="0"/>
                              <w:marTop w:val="115"/>
                              <w:marBottom w:val="115"/>
                              <w:divBdr>
                                <w:top w:val="none" w:sz="0" w:space="0" w:color="auto"/>
                                <w:left w:val="none" w:sz="0" w:space="0" w:color="auto"/>
                                <w:bottom w:val="none" w:sz="0" w:space="0" w:color="auto"/>
                                <w:right w:val="none" w:sz="0" w:space="0" w:color="auto"/>
                              </w:divBdr>
                              <w:divsChild>
                                <w:div w:id="70281037">
                                  <w:marLeft w:val="0"/>
                                  <w:marRight w:val="0"/>
                                  <w:marTop w:val="0"/>
                                  <w:marBottom w:val="0"/>
                                  <w:divBdr>
                                    <w:top w:val="none" w:sz="0" w:space="0" w:color="auto"/>
                                    <w:left w:val="none" w:sz="0" w:space="0" w:color="auto"/>
                                    <w:bottom w:val="dashed" w:sz="4" w:space="0" w:color="C7D9D8"/>
                                    <w:right w:val="none" w:sz="0" w:space="0" w:color="auto"/>
                                  </w:divBdr>
                                  <w:divsChild>
                                    <w:div w:id="8780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27698">
                              <w:marLeft w:val="0"/>
                              <w:marRight w:val="0"/>
                              <w:marTop w:val="115"/>
                              <w:marBottom w:val="115"/>
                              <w:divBdr>
                                <w:top w:val="none" w:sz="0" w:space="0" w:color="auto"/>
                                <w:left w:val="none" w:sz="0" w:space="0" w:color="auto"/>
                                <w:bottom w:val="single" w:sz="4" w:space="0" w:color="77C1BF"/>
                                <w:right w:val="none" w:sz="0" w:space="0" w:color="auto"/>
                              </w:divBdr>
                            </w:div>
                            <w:div w:id="717322757">
                              <w:marLeft w:val="0"/>
                              <w:marRight w:val="0"/>
                              <w:marTop w:val="115"/>
                              <w:marBottom w:val="115"/>
                              <w:divBdr>
                                <w:top w:val="none" w:sz="0" w:space="0" w:color="auto"/>
                                <w:left w:val="none" w:sz="0" w:space="0" w:color="auto"/>
                                <w:bottom w:val="single" w:sz="4" w:space="0" w:color="77C1BF"/>
                                <w:right w:val="none" w:sz="0" w:space="0" w:color="auto"/>
                              </w:divBdr>
                            </w:div>
                            <w:div w:id="751124122">
                              <w:marLeft w:val="0"/>
                              <w:marRight w:val="0"/>
                              <w:marTop w:val="115"/>
                              <w:marBottom w:val="115"/>
                              <w:divBdr>
                                <w:top w:val="none" w:sz="0" w:space="0" w:color="auto"/>
                                <w:left w:val="none" w:sz="0" w:space="0" w:color="auto"/>
                                <w:bottom w:val="none" w:sz="0" w:space="0" w:color="auto"/>
                                <w:right w:val="none" w:sz="0" w:space="0" w:color="auto"/>
                              </w:divBdr>
                              <w:divsChild>
                                <w:div w:id="130052622">
                                  <w:marLeft w:val="0"/>
                                  <w:marRight w:val="0"/>
                                  <w:marTop w:val="0"/>
                                  <w:marBottom w:val="0"/>
                                  <w:divBdr>
                                    <w:top w:val="none" w:sz="0" w:space="0" w:color="auto"/>
                                    <w:left w:val="none" w:sz="0" w:space="0" w:color="auto"/>
                                    <w:bottom w:val="dashed" w:sz="4" w:space="0" w:color="C7D9D8"/>
                                    <w:right w:val="none" w:sz="0" w:space="0" w:color="auto"/>
                                  </w:divBdr>
                                  <w:divsChild>
                                    <w:div w:id="9863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89901">
                              <w:marLeft w:val="0"/>
                              <w:marRight w:val="0"/>
                              <w:marTop w:val="115"/>
                              <w:marBottom w:val="115"/>
                              <w:divBdr>
                                <w:top w:val="none" w:sz="0" w:space="0" w:color="auto"/>
                                <w:left w:val="none" w:sz="0" w:space="0" w:color="auto"/>
                                <w:bottom w:val="none" w:sz="0" w:space="0" w:color="auto"/>
                                <w:right w:val="none" w:sz="0" w:space="0" w:color="auto"/>
                              </w:divBdr>
                              <w:divsChild>
                                <w:div w:id="1194540711">
                                  <w:marLeft w:val="0"/>
                                  <w:marRight w:val="0"/>
                                  <w:marTop w:val="0"/>
                                  <w:marBottom w:val="0"/>
                                  <w:divBdr>
                                    <w:top w:val="none" w:sz="0" w:space="0" w:color="auto"/>
                                    <w:left w:val="none" w:sz="0" w:space="0" w:color="auto"/>
                                    <w:bottom w:val="dashed" w:sz="4" w:space="0" w:color="C7D9D8"/>
                                    <w:right w:val="none" w:sz="0" w:space="0" w:color="auto"/>
                                  </w:divBdr>
                                  <w:divsChild>
                                    <w:div w:id="10635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7107">
                              <w:marLeft w:val="0"/>
                              <w:marRight w:val="0"/>
                              <w:marTop w:val="115"/>
                              <w:marBottom w:val="115"/>
                              <w:divBdr>
                                <w:top w:val="none" w:sz="0" w:space="0" w:color="auto"/>
                                <w:left w:val="none" w:sz="0" w:space="0" w:color="auto"/>
                                <w:bottom w:val="none" w:sz="0" w:space="0" w:color="auto"/>
                                <w:right w:val="none" w:sz="0" w:space="0" w:color="auto"/>
                              </w:divBdr>
                              <w:divsChild>
                                <w:div w:id="943810135">
                                  <w:marLeft w:val="0"/>
                                  <w:marRight w:val="0"/>
                                  <w:marTop w:val="0"/>
                                  <w:marBottom w:val="0"/>
                                  <w:divBdr>
                                    <w:top w:val="none" w:sz="0" w:space="0" w:color="auto"/>
                                    <w:left w:val="none" w:sz="0" w:space="0" w:color="auto"/>
                                    <w:bottom w:val="dashed" w:sz="4" w:space="0" w:color="C7D9D8"/>
                                    <w:right w:val="none" w:sz="0" w:space="0" w:color="auto"/>
                                  </w:divBdr>
                                  <w:divsChild>
                                    <w:div w:id="11991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3291">
                              <w:marLeft w:val="0"/>
                              <w:marRight w:val="0"/>
                              <w:marTop w:val="115"/>
                              <w:marBottom w:val="115"/>
                              <w:divBdr>
                                <w:top w:val="none" w:sz="0" w:space="0" w:color="auto"/>
                                <w:left w:val="none" w:sz="0" w:space="0" w:color="auto"/>
                                <w:bottom w:val="single" w:sz="4" w:space="0" w:color="77C1BF"/>
                                <w:right w:val="none" w:sz="0" w:space="0" w:color="auto"/>
                              </w:divBdr>
                            </w:div>
                            <w:div w:id="1201478566">
                              <w:marLeft w:val="0"/>
                              <w:marRight w:val="0"/>
                              <w:marTop w:val="115"/>
                              <w:marBottom w:val="115"/>
                              <w:divBdr>
                                <w:top w:val="none" w:sz="0" w:space="0" w:color="auto"/>
                                <w:left w:val="none" w:sz="0" w:space="0" w:color="auto"/>
                                <w:bottom w:val="none" w:sz="0" w:space="0" w:color="auto"/>
                                <w:right w:val="none" w:sz="0" w:space="0" w:color="auto"/>
                              </w:divBdr>
                              <w:divsChild>
                                <w:div w:id="613289456">
                                  <w:marLeft w:val="0"/>
                                  <w:marRight w:val="0"/>
                                  <w:marTop w:val="0"/>
                                  <w:marBottom w:val="0"/>
                                  <w:divBdr>
                                    <w:top w:val="none" w:sz="0" w:space="0" w:color="auto"/>
                                    <w:left w:val="none" w:sz="0" w:space="0" w:color="auto"/>
                                    <w:bottom w:val="dashed" w:sz="4" w:space="0" w:color="C7D9D8"/>
                                    <w:right w:val="none" w:sz="0" w:space="0" w:color="auto"/>
                                  </w:divBdr>
                                </w:div>
                              </w:divsChild>
                            </w:div>
                            <w:div w:id="1262101748">
                              <w:marLeft w:val="0"/>
                              <w:marRight w:val="0"/>
                              <w:marTop w:val="115"/>
                              <w:marBottom w:val="115"/>
                              <w:divBdr>
                                <w:top w:val="none" w:sz="0" w:space="0" w:color="auto"/>
                                <w:left w:val="none" w:sz="0" w:space="0" w:color="auto"/>
                                <w:bottom w:val="single" w:sz="4" w:space="0" w:color="77C1BF"/>
                                <w:right w:val="none" w:sz="0" w:space="0" w:color="auto"/>
                              </w:divBdr>
                            </w:div>
                            <w:div w:id="1274944289">
                              <w:marLeft w:val="0"/>
                              <w:marRight w:val="0"/>
                              <w:marTop w:val="115"/>
                              <w:marBottom w:val="115"/>
                              <w:divBdr>
                                <w:top w:val="none" w:sz="0" w:space="0" w:color="auto"/>
                                <w:left w:val="none" w:sz="0" w:space="0" w:color="auto"/>
                                <w:bottom w:val="single" w:sz="4" w:space="0" w:color="77C1BF"/>
                                <w:right w:val="none" w:sz="0" w:space="0" w:color="auto"/>
                              </w:divBdr>
                            </w:div>
                            <w:div w:id="1406296540">
                              <w:marLeft w:val="0"/>
                              <w:marRight w:val="0"/>
                              <w:marTop w:val="115"/>
                              <w:marBottom w:val="115"/>
                              <w:divBdr>
                                <w:top w:val="none" w:sz="0" w:space="0" w:color="auto"/>
                                <w:left w:val="none" w:sz="0" w:space="0" w:color="auto"/>
                                <w:bottom w:val="none" w:sz="0" w:space="0" w:color="auto"/>
                                <w:right w:val="none" w:sz="0" w:space="0" w:color="auto"/>
                              </w:divBdr>
                              <w:divsChild>
                                <w:div w:id="641616146">
                                  <w:marLeft w:val="0"/>
                                  <w:marRight w:val="0"/>
                                  <w:marTop w:val="0"/>
                                  <w:marBottom w:val="0"/>
                                  <w:divBdr>
                                    <w:top w:val="none" w:sz="0" w:space="0" w:color="auto"/>
                                    <w:left w:val="none" w:sz="0" w:space="0" w:color="auto"/>
                                    <w:bottom w:val="dashed" w:sz="4" w:space="0" w:color="C7D9D8"/>
                                    <w:right w:val="none" w:sz="0" w:space="0" w:color="auto"/>
                                  </w:divBdr>
                                </w:div>
                              </w:divsChild>
                            </w:div>
                            <w:div w:id="1487432930">
                              <w:marLeft w:val="0"/>
                              <w:marRight w:val="0"/>
                              <w:marTop w:val="115"/>
                              <w:marBottom w:val="115"/>
                              <w:divBdr>
                                <w:top w:val="none" w:sz="0" w:space="0" w:color="auto"/>
                                <w:left w:val="none" w:sz="0" w:space="0" w:color="auto"/>
                                <w:bottom w:val="single" w:sz="4" w:space="0" w:color="77C1BF"/>
                                <w:right w:val="none" w:sz="0" w:space="0" w:color="auto"/>
                              </w:divBdr>
                            </w:div>
                            <w:div w:id="1628122445">
                              <w:marLeft w:val="0"/>
                              <w:marRight w:val="0"/>
                              <w:marTop w:val="115"/>
                              <w:marBottom w:val="115"/>
                              <w:divBdr>
                                <w:top w:val="none" w:sz="0" w:space="0" w:color="auto"/>
                                <w:left w:val="none" w:sz="0" w:space="0" w:color="auto"/>
                                <w:bottom w:val="none" w:sz="0" w:space="0" w:color="auto"/>
                                <w:right w:val="none" w:sz="0" w:space="0" w:color="auto"/>
                              </w:divBdr>
                              <w:divsChild>
                                <w:div w:id="247808197">
                                  <w:marLeft w:val="0"/>
                                  <w:marRight w:val="0"/>
                                  <w:marTop w:val="0"/>
                                  <w:marBottom w:val="0"/>
                                  <w:divBdr>
                                    <w:top w:val="none" w:sz="0" w:space="0" w:color="auto"/>
                                    <w:left w:val="none" w:sz="0" w:space="0" w:color="auto"/>
                                    <w:bottom w:val="dashed" w:sz="4" w:space="0" w:color="C7D9D8"/>
                                    <w:right w:val="none" w:sz="0" w:space="0" w:color="auto"/>
                                  </w:divBdr>
                                  <w:divsChild>
                                    <w:div w:id="13551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9243">
                              <w:marLeft w:val="0"/>
                              <w:marRight w:val="0"/>
                              <w:marTop w:val="115"/>
                              <w:marBottom w:val="115"/>
                              <w:divBdr>
                                <w:top w:val="none" w:sz="0" w:space="0" w:color="auto"/>
                                <w:left w:val="none" w:sz="0" w:space="0" w:color="auto"/>
                                <w:bottom w:val="none" w:sz="0" w:space="0" w:color="auto"/>
                                <w:right w:val="none" w:sz="0" w:space="0" w:color="auto"/>
                              </w:divBdr>
                              <w:divsChild>
                                <w:div w:id="45840635">
                                  <w:marLeft w:val="0"/>
                                  <w:marRight w:val="0"/>
                                  <w:marTop w:val="0"/>
                                  <w:marBottom w:val="0"/>
                                  <w:divBdr>
                                    <w:top w:val="none" w:sz="0" w:space="0" w:color="auto"/>
                                    <w:left w:val="none" w:sz="0" w:space="0" w:color="auto"/>
                                    <w:bottom w:val="dashed" w:sz="4" w:space="0" w:color="C7D9D8"/>
                                    <w:right w:val="none" w:sz="0" w:space="0" w:color="auto"/>
                                  </w:divBdr>
                                  <w:divsChild>
                                    <w:div w:id="1273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9362">
                              <w:marLeft w:val="0"/>
                              <w:marRight w:val="0"/>
                              <w:marTop w:val="115"/>
                              <w:marBottom w:val="115"/>
                              <w:divBdr>
                                <w:top w:val="none" w:sz="0" w:space="0" w:color="auto"/>
                                <w:left w:val="none" w:sz="0" w:space="0" w:color="auto"/>
                                <w:bottom w:val="single" w:sz="4" w:space="0" w:color="77C1BF"/>
                                <w:right w:val="none" w:sz="0" w:space="0" w:color="auto"/>
                              </w:divBdr>
                            </w:div>
                            <w:div w:id="1783920277">
                              <w:marLeft w:val="0"/>
                              <w:marRight w:val="0"/>
                              <w:marTop w:val="115"/>
                              <w:marBottom w:val="115"/>
                              <w:divBdr>
                                <w:top w:val="none" w:sz="0" w:space="0" w:color="auto"/>
                                <w:left w:val="none" w:sz="0" w:space="0" w:color="auto"/>
                                <w:bottom w:val="none" w:sz="0" w:space="0" w:color="auto"/>
                                <w:right w:val="none" w:sz="0" w:space="0" w:color="auto"/>
                              </w:divBdr>
                              <w:divsChild>
                                <w:div w:id="2030183095">
                                  <w:marLeft w:val="0"/>
                                  <w:marRight w:val="0"/>
                                  <w:marTop w:val="0"/>
                                  <w:marBottom w:val="0"/>
                                  <w:divBdr>
                                    <w:top w:val="none" w:sz="0" w:space="0" w:color="auto"/>
                                    <w:left w:val="none" w:sz="0" w:space="0" w:color="auto"/>
                                    <w:bottom w:val="dashed" w:sz="4" w:space="0" w:color="C7D9D8"/>
                                    <w:right w:val="none" w:sz="0" w:space="0" w:color="auto"/>
                                  </w:divBdr>
                                  <w:divsChild>
                                    <w:div w:id="17236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9934">
                              <w:marLeft w:val="0"/>
                              <w:marRight w:val="0"/>
                              <w:marTop w:val="115"/>
                              <w:marBottom w:val="115"/>
                              <w:divBdr>
                                <w:top w:val="none" w:sz="0" w:space="0" w:color="auto"/>
                                <w:left w:val="none" w:sz="0" w:space="0" w:color="auto"/>
                                <w:bottom w:val="single" w:sz="4" w:space="0" w:color="77C1BF"/>
                                <w:right w:val="none" w:sz="0" w:space="0" w:color="auto"/>
                              </w:divBdr>
                            </w:div>
                          </w:divsChild>
                        </w:div>
                      </w:divsChild>
                    </w:div>
                  </w:divsChild>
                </w:div>
                <w:div w:id="369115204">
                  <w:marLeft w:val="0"/>
                  <w:marRight w:val="0"/>
                  <w:marTop w:val="0"/>
                  <w:marBottom w:val="0"/>
                  <w:divBdr>
                    <w:top w:val="none" w:sz="0" w:space="0" w:color="auto"/>
                    <w:left w:val="none" w:sz="0" w:space="0" w:color="auto"/>
                    <w:bottom w:val="none" w:sz="0" w:space="0" w:color="auto"/>
                    <w:right w:val="none" w:sz="0" w:space="0" w:color="auto"/>
                  </w:divBdr>
                  <w:divsChild>
                    <w:div w:id="1665544499">
                      <w:marLeft w:val="0"/>
                      <w:marRight w:val="0"/>
                      <w:marTop w:val="0"/>
                      <w:marBottom w:val="0"/>
                      <w:divBdr>
                        <w:top w:val="none" w:sz="0" w:space="0" w:color="auto"/>
                        <w:left w:val="none" w:sz="0" w:space="0" w:color="auto"/>
                        <w:bottom w:val="none" w:sz="0" w:space="0" w:color="auto"/>
                        <w:right w:val="none" w:sz="0" w:space="0" w:color="auto"/>
                      </w:divBdr>
                      <w:divsChild>
                        <w:div w:id="543055638">
                          <w:marLeft w:val="0"/>
                          <w:marRight w:val="0"/>
                          <w:marTop w:val="0"/>
                          <w:marBottom w:val="0"/>
                          <w:divBdr>
                            <w:top w:val="none" w:sz="0" w:space="0" w:color="auto"/>
                            <w:left w:val="none" w:sz="0" w:space="0" w:color="auto"/>
                            <w:bottom w:val="none" w:sz="0" w:space="0" w:color="auto"/>
                            <w:right w:val="none" w:sz="0" w:space="0" w:color="auto"/>
                          </w:divBdr>
                          <w:divsChild>
                            <w:div w:id="661397340">
                              <w:marLeft w:val="0"/>
                              <w:marRight w:val="0"/>
                              <w:marTop w:val="0"/>
                              <w:marBottom w:val="0"/>
                              <w:divBdr>
                                <w:top w:val="none" w:sz="0" w:space="0" w:color="auto"/>
                                <w:left w:val="none" w:sz="0" w:space="0" w:color="auto"/>
                                <w:bottom w:val="none" w:sz="0" w:space="0" w:color="auto"/>
                                <w:right w:val="none" w:sz="0" w:space="0" w:color="auto"/>
                              </w:divBdr>
                              <w:divsChild>
                                <w:div w:id="107163709">
                                  <w:marLeft w:val="0"/>
                                  <w:marRight w:val="0"/>
                                  <w:marTop w:val="0"/>
                                  <w:marBottom w:val="0"/>
                                  <w:divBdr>
                                    <w:top w:val="none" w:sz="0" w:space="0" w:color="auto"/>
                                    <w:left w:val="none" w:sz="0" w:space="0" w:color="auto"/>
                                    <w:bottom w:val="dashed" w:sz="4" w:space="0" w:color="C7D9D8"/>
                                    <w:right w:val="none" w:sz="0" w:space="0" w:color="auto"/>
                                  </w:divBdr>
                                </w:div>
                                <w:div w:id="656151207">
                                  <w:marLeft w:val="0"/>
                                  <w:marRight w:val="0"/>
                                  <w:marTop w:val="0"/>
                                  <w:marBottom w:val="0"/>
                                  <w:divBdr>
                                    <w:top w:val="none" w:sz="0" w:space="0" w:color="auto"/>
                                    <w:left w:val="none" w:sz="0" w:space="0" w:color="auto"/>
                                    <w:bottom w:val="dashed" w:sz="4" w:space="0" w:color="C7D9D8"/>
                                    <w:right w:val="none" w:sz="0" w:space="0" w:color="auto"/>
                                  </w:divBdr>
                                </w:div>
                                <w:div w:id="1416904918">
                                  <w:marLeft w:val="0"/>
                                  <w:marRight w:val="0"/>
                                  <w:marTop w:val="0"/>
                                  <w:marBottom w:val="0"/>
                                  <w:divBdr>
                                    <w:top w:val="none" w:sz="0" w:space="0" w:color="auto"/>
                                    <w:left w:val="none" w:sz="0" w:space="0" w:color="auto"/>
                                    <w:bottom w:val="dashed" w:sz="4" w:space="0" w:color="C7D9D8"/>
                                    <w:right w:val="none" w:sz="0" w:space="0" w:color="auto"/>
                                  </w:divBdr>
                                </w:div>
                                <w:div w:id="2125879462">
                                  <w:marLeft w:val="0"/>
                                  <w:marRight w:val="0"/>
                                  <w:marTop w:val="0"/>
                                  <w:marBottom w:val="0"/>
                                  <w:divBdr>
                                    <w:top w:val="none" w:sz="0" w:space="0" w:color="auto"/>
                                    <w:left w:val="none" w:sz="0" w:space="0" w:color="auto"/>
                                    <w:bottom w:val="dashed" w:sz="4" w:space="0" w:color="C7D9D8"/>
                                    <w:right w:val="none" w:sz="0" w:space="0" w:color="auto"/>
                                  </w:divBdr>
                                </w:div>
                              </w:divsChild>
                            </w:div>
                          </w:divsChild>
                        </w:div>
                      </w:divsChild>
                    </w:div>
                  </w:divsChild>
                </w:div>
                <w:div w:id="1112094650">
                  <w:marLeft w:val="0"/>
                  <w:marRight w:val="0"/>
                  <w:marTop w:val="0"/>
                  <w:marBottom w:val="0"/>
                  <w:divBdr>
                    <w:top w:val="none" w:sz="0" w:space="0" w:color="auto"/>
                    <w:left w:val="none" w:sz="0" w:space="0" w:color="auto"/>
                    <w:bottom w:val="none" w:sz="0" w:space="0" w:color="auto"/>
                    <w:right w:val="none" w:sz="0" w:space="0" w:color="auto"/>
                  </w:divBdr>
                  <w:divsChild>
                    <w:div w:id="507646505">
                      <w:marLeft w:val="0"/>
                      <w:marRight w:val="0"/>
                      <w:marTop w:val="0"/>
                      <w:marBottom w:val="0"/>
                      <w:divBdr>
                        <w:top w:val="none" w:sz="0" w:space="0" w:color="auto"/>
                        <w:left w:val="none" w:sz="0" w:space="0" w:color="auto"/>
                        <w:bottom w:val="none" w:sz="0" w:space="0" w:color="auto"/>
                        <w:right w:val="none" w:sz="0" w:space="0" w:color="auto"/>
                      </w:divBdr>
                      <w:divsChild>
                        <w:div w:id="1787655147">
                          <w:marLeft w:val="0"/>
                          <w:marRight w:val="0"/>
                          <w:marTop w:val="0"/>
                          <w:marBottom w:val="0"/>
                          <w:divBdr>
                            <w:top w:val="none" w:sz="0" w:space="0" w:color="auto"/>
                            <w:left w:val="none" w:sz="0" w:space="0" w:color="auto"/>
                            <w:bottom w:val="none" w:sz="0" w:space="0" w:color="auto"/>
                            <w:right w:val="none" w:sz="0" w:space="0" w:color="auto"/>
                          </w:divBdr>
                          <w:divsChild>
                            <w:div w:id="238291534">
                              <w:marLeft w:val="0"/>
                              <w:marRight w:val="0"/>
                              <w:marTop w:val="115"/>
                              <w:marBottom w:val="115"/>
                              <w:divBdr>
                                <w:top w:val="none" w:sz="0" w:space="0" w:color="auto"/>
                                <w:left w:val="none" w:sz="0" w:space="0" w:color="auto"/>
                                <w:bottom w:val="single" w:sz="4" w:space="0" w:color="77C1BF"/>
                                <w:right w:val="none" w:sz="0" w:space="0" w:color="auto"/>
                              </w:divBdr>
                            </w:div>
                            <w:div w:id="2059933590">
                              <w:marLeft w:val="0"/>
                              <w:marRight w:val="0"/>
                              <w:marTop w:val="115"/>
                              <w:marBottom w:val="115"/>
                              <w:divBdr>
                                <w:top w:val="none" w:sz="0" w:space="0" w:color="auto"/>
                                <w:left w:val="none" w:sz="0" w:space="0" w:color="auto"/>
                                <w:bottom w:val="none" w:sz="0" w:space="0" w:color="auto"/>
                                <w:right w:val="none" w:sz="0" w:space="0" w:color="auto"/>
                              </w:divBdr>
                              <w:divsChild>
                                <w:div w:id="1737362576">
                                  <w:marLeft w:val="0"/>
                                  <w:marRight w:val="0"/>
                                  <w:marTop w:val="0"/>
                                  <w:marBottom w:val="0"/>
                                  <w:divBdr>
                                    <w:top w:val="none" w:sz="0" w:space="0" w:color="auto"/>
                                    <w:left w:val="none" w:sz="0" w:space="0" w:color="auto"/>
                                    <w:bottom w:val="dashed" w:sz="4" w:space="0" w:color="C7D9D8"/>
                                    <w:right w:val="none" w:sz="0" w:space="0" w:color="auto"/>
                                  </w:divBdr>
                                </w:div>
                              </w:divsChild>
                            </w:div>
                          </w:divsChild>
                        </w:div>
                      </w:divsChild>
                    </w:div>
                    <w:div w:id="943735142">
                      <w:marLeft w:val="0"/>
                      <w:marRight w:val="0"/>
                      <w:marTop w:val="0"/>
                      <w:marBottom w:val="0"/>
                      <w:divBdr>
                        <w:top w:val="none" w:sz="0" w:space="0" w:color="auto"/>
                        <w:left w:val="none" w:sz="0" w:space="0" w:color="auto"/>
                        <w:bottom w:val="none" w:sz="0" w:space="0" w:color="auto"/>
                        <w:right w:val="none" w:sz="0" w:space="0" w:color="auto"/>
                      </w:divBdr>
                      <w:divsChild>
                        <w:div w:id="1993095827">
                          <w:marLeft w:val="0"/>
                          <w:marRight w:val="0"/>
                          <w:marTop w:val="0"/>
                          <w:marBottom w:val="0"/>
                          <w:divBdr>
                            <w:top w:val="none" w:sz="0" w:space="0" w:color="auto"/>
                            <w:left w:val="none" w:sz="0" w:space="0" w:color="auto"/>
                            <w:bottom w:val="none" w:sz="0" w:space="0" w:color="auto"/>
                            <w:right w:val="none" w:sz="0" w:space="0" w:color="auto"/>
                          </w:divBdr>
                          <w:divsChild>
                            <w:div w:id="2056272803">
                              <w:marLeft w:val="0"/>
                              <w:marRight w:val="0"/>
                              <w:marTop w:val="115"/>
                              <w:marBottom w:val="115"/>
                              <w:divBdr>
                                <w:top w:val="none" w:sz="0" w:space="0" w:color="auto"/>
                                <w:left w:val="none" w:sz="0" w:space="0" w:color="auto"/>
                                <w:bottom w:val="single" w:sz="4" w:space="0" w:color="77C1BF"/>
                                <w:right w:val="none" w:sz="0" w:space="0" w:color="auto"/>
                              </w:divBdr>
                            </w:div>
                          </w:divsChild>
                        </w:div>
                      </w:divsChild>
                    </w:div>
                    <w:div w:id="1542590836">
                      <w:marLeft w:val="0"/>
                      <w:marRight w:val="0"/>
                      <w:marTop w:val="0"/>
                      <w:marBottom w:val="0"/>
                      <w:divBdr>
                        <w:top w:val="none" w:sz="0" w:space="0" w:color="auto"/>
                        <w:left w:val="none" w:sz="0" w:space="0" w:color="auto"/>
                        <w:bottom w:val="none" w:sz="0" w:space="0" w:color="auto"/>
                        <w:right w:val="none" w:sz="0" w:space="0" w:color="auto"/>
                      </w:divBdr>
                      <w:divsChild>
                        <w:div w:id="1875312846">
                          <w:marLeft w:val="0"/>
                          <w:marRight w:val="0"/>
                          <w:marTop w:val="0"/>
                          <w:marBottom w:val="0"/>
                          <w:divBdr>
                            <w:top w:val="none" w:sz="0" w:space="0" w:color="auto"/>
                            <w:left w:val="none" w:sz="0" w:space="0" w:color="auto"/>
                            <w:bottom w:val="none" w:sz="0" w:space="0" w:color="auto"/>
                            <w:right w:val="none" w:sz="0" w:space="0" w:color="auto"/>
                          </w:divBdr>
                          <w:divsChild>
                            <w:div w:id="306319176">
                              <w:marLeft w:val="0"/>
                              <w:marRight w:val="0"/>
                              <w:marTop w:val="115"/>
                              <w:marBottom w:val="115"/>
                              <w:divBdr>
                                <w:top w:val="none" w:sz="0" w:space="0" w:color="auto"/>
                                <w:left w:val="none" w:sz="0" w:space="0" w:color="auto"/>
                                <w:bottom w:val="single" w:sz="4" w:space="0" w:color="77C1BF"/>
                                <w:right w:val="none" w:sz="0" w:space="0" w:color="auto"/>
                              </w:divBdr>
                            </w:div>
                            <w:div w:id="318770270">
                              <w:marLeft w:val="0"/>
                              <w:marRight w:val="0"/>
                              <w:marTop w:val="115"/>
                              <w:marBottom w:val="115"/>
                              <w:divBdr>
                                <w:top w:val="none" w:sz="0" w:space="0" w:color="auto"/>
                                <w:left w:val="none" w:sz="0" w:space="0" w:color="auto"/>
                                <w:bottom w:val="single" w:sz="4" w:space="0" w:color="77C1BF"/>
                                <w:right w:val="none" w:sz="0" w:space="0" w:color="auto"/>
                              </w:divBdr>
                            </w:div>
                            <w:div w:id="321080094">
                              <w:marLeft w:val="0"/>
                              <w:marRight w:val="0"/>
                              <w:marTop w:val="115"/>
                              <w:marBottom w:val="115"/>
                              <w:divBdr>
                                <w:top w:val="none" w:sz="0" w:space="0" w:color="auto"/>
                                <w:left w:val="none" w:sz="0" w:space="0" w:color="auto"/>
                                <w:bottom w:val="single" w:sz="4" w:space="0" w:color="77C1BF"/>
                                <w:right w:val="none" w:sz="0" w:space="0" w:color="auto"/>
                              </w:divBdr>
                            </w:div>
                            <w:div w:id="691995357">
                              <w:marLeft w:val="0"/>
                              <w:marRight w:val="0"/>
                              <w:marTop w:val="115"/>
                              <w:marBottom w:val="115"/>
                              <w:divBdr>
                                <w:top w:val="none" w:sz="0" w:space="0" w:color="auto"/>
                                <w:left w:val="none" w:sz="0" w:space="0" w:color="auto"/>
                                <w:bottom w:val="none" w:sz="0" w:space="0" w:color="auto"/>
                                <w:right w:val="none" w:sz="0" w:space="0" w:color="auto"/>
                              </w:divBdr>
                              <w:divsChild>
                                <w:div w:id="823081379">
                                  <w:marLeft w:val="0"/>
                                  <w:marRight w:val="0"/>
                                  <w:marTop w:val="0"/>
                                  <w:marBottom w:val="0"/>
                                  <w:divBdr>
                                    <w:top w:val="none" w:sz="0" w:space="0" w:color="auto"/>
                                    <w:left w:val="none" w:sz="0" w:space="0" w:color="auto"/>
                                    <w:bottom w:val="dashed" w:sz="4" w:space="0" w:color="C7D9D8"/>
                                    <w:right w:val="none" w:sz="0" w:space="0" w:color="auto"/>
                                  </w:divBdr>
                                </w:div>
                                <w:div w:id="982779899">
                                  <w:marLeft w:val="0"/>
                                  <w:marRight w:val="0"/>
                                  <w:marTop w:val="0"/>
                                  <w:marBottom w:val="0"/>
                                  <w:divBdr>
                                    <w:top w:val="none" w:sz="0" w:space="0" w:color="auto"/>
                                    <w:left w:val="none" w:sz="0" w:space="0" w:color="auto"/>
                                    <w:bottom w:val="dashed" w:sz="4" w:space="0" w:color="C7D9D8"/>
                                    <w:right w:val="none" w:sz="0" w:space="0" w:color="auto"/>
                                  </w:divBdr>
                                </w:div>
                              </w:divsChild>
                            </w:div>
                            <w:div w:id="857088720">
                              <w:marLeft w:val="0"/>
                              <w:marRight w:val="0"/>
                              <w:marTop w:val="115"/>
                              <w:marBottom w:val="115"/>
                              <w:divBdr>
                                <w:top w:val="none" w:sz="0" w:space="0" w:color="auto"/>
                                <w:left w:val="none" w:sz="0" w:space="0" w:color="auto"/>
                                <w:bottom w:val="none" w:sz="0" w:space="0" w:color="auto"/>
                                <w:right w:val="none" w:sz="0" w:space="0" w:color="auto"/>
                              </w:divBdr>
                              <w:divsChild>
                                <w:div w:id="720325505">
                                  <w:marLeft w:val="0"/>
                                  <w:marRight w:val="0"/>
                                  <w:marTop w:val="0"/>
                                  <w:marBottom w:val="0"/>
                                  <w:divBdr>
                                    <w:top w:val="none" w:sz="0" w:space="0" w:color="auto"/>
                                    <w:left w:val="none" w:sz="0" w:space="0" w:color="auto"/>
                                    <w:bottom w:val="dashed" w:sz="4" w:space="0" w:color="C7D9D8"/>
                                    <w:right w:val="none" w:sz="0" w:space="0" w:color="auto"/>
                                  </w:divBdr>
                                  <w:divsChild>
                                    <w:div w:id="6912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6114">
                              <w:marLeft w:val="0"/>
                              <w:marRight w:val="0"/>
                              <w:marTop w:val="115"/>
                              <w:marBottom w:val="115"/>
                              <w:divBdr>
                                <w:top w:val="none" w:sz="0" w:space="0" w:color="auto"/>
                                <w:left w:val="none" w:sz="0" w:space="0" w:color="auto"/>
                                <w:bottom w:val="none" w:sz="0" w:space="0" w:color="auto"/>
                                <w:right w:val="none" w:sz="0" w:space="0" w:color="auto"/>
                              </w:divBdr>
                              <w:divsChild>
                                <w:div w:id="287006518">
                                  <w:marLeft w:val="0"/>
                                  <w:marRight w:val="0"/>
                                  <w:marTop w:val="0"/>
                                  <w:marBottom w:val="0"/>
                                  <w:divBdr>
                                    <w:top w:val="none" w:sz="0" w:space="0" w:color="auto"/>
                                    <w:left w:val="none" w:sz="0" w:space="0" w:color="auto"/>
                                    <w:bottom w:val="dashed" w:sz="4" w:space="0" w:color="C7D9D8"/>
                                    <w:right w:val="none" w:sz="0" w:space="0" w:color="auto"/>
                                  </w:divBdr>
                                  <w:divsChild>
                                    <w:div w:id="17248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7142">
                              <w:marLeft w:val="0"/>
                              <w:marRight w:val="0"/>
                              <w:marTop w:val="115"/>
                              <w:marBottom w:val="115"/>
                              <w:divBdr>
                                <w:top w:val="none" w:sz="0" w:space="0" w:color="auto"/>
                                <w:left w:val="none" w:sz="0" w:space="0" w:color="auto"/>
                                <w:bottom w:val="none" w:sz="0" w:space="0" w:color="auto"/>
                                <w:right w:val="none" w:sz="0" w:space="0" w:color="auto"/>
                              </w:divBdr>
                              <w:divsChild>
                                <w:div w:id="1392532255">
                                  <w:marLeft w:val="0"/>
                                  <w:marRight w:val="0"/>
                                  <w:marTop w:val="0"/>
                                  <w:marBottom w:val="0"/>
                                  <w:divBdr>
                                    <w:top w:val="none" w:sz="0" w:space="0" w:color="auto"/>
                                    <w:left w:val="none" w:sz="0" w:space="0" w:color="auto"/>
                                    <w:bottom w:val="dashed" w:sz="4" w:space="0" w:color="C7D9D8"/>
                                    <w:right w:val="none" w:sz="0" w:space="0" w:color="auto"/>
                                  </w:divBdr>
                                </w:div>
                                <w:div w:id="1643806026">
                                  <w:marLeft w:val="0"/>
                                  <w:marRight w:val="0"/>
                                  <w:marTop w:val="0"/>
                                  <w:marBottom w:val="0"/>
                                  <w:divBdr>
                                    <w:top w:val="none" w:sz="0" w:space="0" w:color="auto"/>
                                    <w:left w:val="none" w:sz="0" w:space="0" w:color="auto"/>
                                    <w:bottom w:val="dashed" w:sz="4" w:space="0" w:color="C7D9D8"/>
                                    <w:right w:val="none" w:sz="0" w:space="0" w:color="auto"/>
                                  </w:divBdr>
                                </w:div>
                              </w:divsChild>
                            </w:div>
                            <w:div w:id="1503814627">
                              <w:marLeft w:val="0"/>
                              <w:marRight w:val="0"/>
                              <w:marTop w:val="115"/>
                              <w:marBottom w:val="115"/>
                              <w:divBdr>
                                <w:top w:val="none" w:sz="0" w:space="0" w:color="auto"/>
                                <w:left w:val="none" w:sz="0" w:space="0" w:color="auto"/>
                                <w:bottom w:val="single" w:sz="4" w:space="0" w:color="77C1BF"/>
                                <w:right w:val="none" w:sz="0" w:space="0" w:color="auto"/>
                              </w:divBdr>
                            </w:div>
                            <w:div w:id="1801652141">
                              <w:marLeft w:val="0"/>
                              <w:marRight w:val="0"/>
                              <w:marTop w:val="115"/>
                              <w:marBottom w:val="115"/>
                              <w:divBdr>
                                <w:top w:val="none" w:sz="0" w:space="0" w:color="auto"/>
                                <w:left w:val="none" w:sz="0" w:space="0" w:color="auto"/>
                                <w:bottom w:val="none" w:sz="0" w:space="0" w:color="auto"/>
                                <w:right w:val="none" w:sz="0" w:space="0" w:color="auto"/>
                              </w:divBdr>
                              <w:divsChild>
                                <w:div w:id="1427575432">
                                  <w:marLeft w:val="0"/>
                                  <w:marRight w:val="0"/>
                                  <w:marTop w:val="0"/>
                                  <w:marBottom w:val="0"/>
                                  <w:divBdr>
                                    <w:top w:val="none" w:sz="0" w:space="0" w:color="auto"/>
                                    <w:left w:val="none" w:sz="0" w:space="0" w:color="auto"/>
                                    <w:bottom w:val="dashed" w:sz="4" w:space="0" w:color="C7D9D8"/>
                                    <w:right w:val="none" w:sz="0" w:space="0" w:color="auto"/>
                                  </w:divBdr>
                                  <w:divsChild>
                                    <w:div w:id="17988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23508">
                  <w:marLeft w:val="0"/>
                  <w:marRight w:val="0"/>
                  <w:marTop w:val="0"/>
                  <w:marBottom w:val="0"/>
                  <w:divBdr>
                    <w:top w:val="none" w:sz="0" w:space="0" w:color="auto"/>
                    <w:left w:val="none" w:sz="0" w:space="0" w:color="auto"/>
                    <w:bottom w:val="none" w:sz="0" w:space="0" w:color="auto"/>
                    <w:right w:val="none" w:sz="0" w:space="0" w:color="auto"/>
                  </w:divBdr>
                  <w:divsChild>
                    <w:div w:id="1200583209">
                      <w:marLeft w:val="0"/>
                      <w:marRight w:val="0"/>
                      <w:marTop w:val="0"/>
                      <w:marBottom w:val="0"/>
                      <w:divBdr>
                        <w:top w:val="none" w:sz="0" w:space="0" w:color="auto"/>
                        <w:left w:val="none" w:sz="0" w:space="0" w:color="auto"/>
                        <w:bottom w:val="none" w:sz="0" w:space="0" w:color="auto"/>
                        <w:right w:val="none" w:sz="0" w:space="0" w:color="auto"/>
                      </w:divBdr>
                      <w:divsChild>
                        <w:div w:id="816801110">
                          <w:marLeft w:val="0"/>
                          <w:marRight w:val="0"/>
                          <w:marTop w:val="0"/>
                          <w:marBottom w:val="0"/>
                          <w:divBdr>
                            <w:top w:val="none" w:sz="0" w:space="0" w:color="auto"/>
                            <w:left w:val="none" w:sz="0" w:space="0" w:color="auto"/>
                            <w:bottom w:val="none" w:sz="0" w:space="0" w:color="auto"/>
                            <w:right w:val="none" w:sz="0" w:space="0" w:color="auto"/>
                          </w:divBdr>
                          <w:divsChild>
                            <w:div w:id="517547761">
                              <w:marLeft w:val="0"/>
                              <w:marRight w:val="0"/>
                              <w:marTop w:val="115"/>
                              <w:marBottom w:val="115"/>
                              <w:divBdr>
                                <w:top w:val="none" w:sz="0" w:space="0" w:color="auto"/>
                                <w:left w:val="none" w:sz="0" w:space="0" w:color="auto"/>
                                <w:bottom w:val="single" w:sz="4" w:space="0" w:color="77C1BF"/>
                                <w:right w:val="none" w:sz="0" w:space="0" w:color="auto"/>
                              </w:divBdr>
                            </w:div>
                            <w:div w:id="1751076737">
                              <w:marLeft w:val="0"/>
                              <w:marRight w:val="0"/>
                              <w:marTop w:val="115"/>
                              <w:marBottom w:val="115"/>
                              <w:divBdr>
                                <w:top w:val="none" w:sz="0" w:space="0" w:color="auto"/>
                                <w:left w:val="none" w:sz="0" w:space="0" w:color="auto"/>
                                <w:bottom w:val="none" w:sz="0" w:space="0" w:color="auto"/>
                                <w:right w:val="none" w:sz="0" w:space="0" w:color="auto"/>
                              </w:divBdr>
                              <w:divsChild>
                                <w:div w:id="75136465">
                                  <w:marLeft w:val="0"/>
                                  <w:marRight w:val="0"/>
                                  <w:marTop w:val="0"/>
                                  <w:marBottom w:val="0"/>
                                  <w:divBdr>
                                    <w:top w:val="none" w:sz="0" w:space="0" w:color="auto"/>
                                    <w:left w:val="none" w:sz="0" w:space="0" w:color="auto"/>
                                    <w:bottom w:val="dashed" w:sz="4" w:space="0" w:color="C7D9D8"/>
                                    <w:right w:val="none" w:sz="0" w:space="0" w:color="auto"/>
                                  </w:divBdr>
                                </w:div>
                                <w:div w:id="85273813">
                                  <w:marLeft w:val="0"/>
                                  <w:marRight w:val="0"/>
                                  <w:marTop w:val="0"/>
                                  <w:marBottom w:val="0"/>
                                  <w:divBdr>
                                    <w:top w:val="none" w:sz="0" w:space="0" w:color="auto"/>
                                    <w:left w:val="none" w:sz="0" w:space="0" w:color="auto"/>
                                    <w:bottom w:val="dashed" w:sz="4" w:space="0" w:color="C7D9D8"/>
                                    <w:right w:val="none" w:sz="0" w:space="0" w:color="auto"/>
                                  </w:divBdr>
                                </w:div>
                                <w:div w:id="1739474718">
                                  <w:marLeft w:val="0"/>
                                  <w:marRight w:val="0"/>
                                  <w:marTop w:val="0"/>
                                  <w:marBottom w:val="0"/>
                                  <w:divBdr>
                                    <w:top w:val="none" w:sz="0" w:space="0" w:color="auto"/>
                                    <w:left w:val="none" w:sz="0" w:space="0" w:color="auto"/>
                                    <w:bottom w:val="dashed" w:sz="4" w:space="0" w:color="C7D9D8"/>
                                    <w:right w:val="none" w:sz="0" w:space="0" w:color="auto"/>
                                  </w:divBdr>
                                </w:div>
                              </w:divsChild>
                            </w:div>
                          </w:divsChild>
                        </w:div>
                      </w:divsChild>
                    </w:div>
                  </w:divsChild>
                </w:div>
              </w:divsChild>
            </w:div>
          </w:divsChild>
        </w:div>
        <w:div w:id="1946617575">
          <w:marLeft w:val="0"/>
          <w:marRight w:val="0"/>
          <w:marTop w:val="115"/>
          <w:marBottom w:val="115"/>
          <w:divBdr>
            <w:top w:val="none" w:sz="0" w:space="0" w:color="auto"/>
            <w:left w:val="none" w:sz="0" w:space="0" w:color="auto"/>
            <w:bottom w:val="none" w:sz="0" w:space="0" w:color="auto"/>
            <w:right w:val="none" w:sz="0" w:space="0" w:color="auto"/>
          </w:divBdr>
        </w:div>
      </w:divsChild>
    </w:div>
    <w:div w:id="1142191307">
      <w:bodyDiv w:val="1"/>
      <w:marLeft w:val="0"/>
      <w:marRight w:val="0"/>
      <w:marTop w:val="0"/>
      <w:marBottom w:val="0"/>
      <w:divBdr>
        <w:top w:val="none" w:sz="0" w:space="0" w:color="auto"/>
        <w:left w:val="none" w:sz="0" w:space="0" w:color="auto"/>
        <w:bottom w:val="none" w:sz="0" w:space="0" w:color="auto"/>
        <w:right w:val="none" w:sz="0" w:space="0" w:color="auto"/>
      </w:divBdr>
    </w:div>
    <w:div w:id="1158955161">
      <w:bodyDiv w:val="1"/>
      <w:marLeft w:val="0"/>
      <w:marRight w:val="0"/>
      <w:marTop w:val="0"/>
      <w:marBottom w:val="0"/>
      <w:divBdr>
        <w:top w:val="none" w:sz="0" w:space="0" w:color="auto"/>
        <w:left w:val="none" w:sz="0" w:space="0" w:color="auto"/>
        <w:bottom w:val="none" w:sz="0" w:space="0" w:color="auto"/>
        <w:right w:val="none" w:sz="0" w:space="0" w:color="auto"/>
      </w:divBdr>
    </w:div>
    <w:div w:id="1189835712">
      <w:bodyDiv w:val="1"/>
      <w:marLeft w:val="0"/>
      <w:marRight w:val="0"/>
      <w:marTop w:val="0"/>
      <w:marBottom w:val="0"/>
      <w:divBdr>
        <w:top w:val="none" w:sz="0" w:space="0" w:color="auto"/>
        <w:left w:val="none" w:sz="0" w:space="0" w:color="auto"/>
        <w:bottom w:val="none" w:sz="0" w:space="0" w:color="auto"/>
        <w:right w:val="none" w:sz="0" w:space="0" w:color="auto"/>
      </w:divBdr>
    </w:div>
    <w:div w:id="1195922838">
      <w:bodyDiv w:val="1"/>
      <w:marLeft w:val="0"/>
      <w:marRight w:val="0"/>
      <w:marTop w:val="0"/>
      <w:marBottom w:val="0"/>
      <w:divBdr>
        <w:top w:val="none" w:sz="0" w:space="0" w:color="auto"/>
        <w:left w:val="none" w:sz="0" w:space="0" w:color="auto"/>
        <w:bottom w:val="none" w:sz="0" w:space="0" w:color="auto"/>
        <w:right w:val="none" w:sz="0" w:space="0" w:color="auto"/>
      </w:divBdr>
    </w:div>
    <w:div w:id="1201359840">
      <w:bodyDiv w:val="1"/>
      <w:marLeft w:val="0"/>
      <w:marRight w:val="0"/>
      <w:marTop w:val="0"/>
      <w:marBottom w:val="0"/>
      <w:divBdr>
        <w:top w:val="none" w:sz="0" w:space="0" w:color="auto"/>
        <w:left w:val="none" w:sz="0" w:space="0" w:color="auto"/>
        <w:bottom w:val="none" w:sz="0" w:space="0" w:color="auto"/>
        <w:right w:val="none" w:sz="0" w:space="0" w:color="auto"/>
      </w:divBdr>
    </w:div>
    <w:div w:id="1259828450">
      <w:bodyDiv w:val="1"/>
      <w:marLeft w:val="0"/>
      <w:marRight w:val="0"/>
      <w:marTop w:val="0"/>
      <w:marBottom w:val="0"/>
      <w:divBdr>
        <w:top w:val="none" w:sz="0" w:space="0" w:color="auto"/>
        <w:left w:val="none" w:sz="0" w:space="0" w:color="auto"/>
        <w:bottom w:val="none" w:sz="0" w:space="0" w:color="auto"/>
        <w:right w:val="none" w:sz="0" w:space="0" w:color="auto"/>
      </w:divBdr>
    </w:div>
    <w:div w:id="1266310774">
      <w:bodyDiv w:val="1"/>
      <w:marLeft w:val="0"/>
      <w:marRight w:val="0"/>
      <w:marTop w:val="0"/>
      <w:marBottom w:val="0"/>
      <w:divBdr>
        <w:top w:val="none" w:sz="0" w:space="0" w:color="auto"/>
        <w:left w:val="none" w:sz="0" w:space="0" w:color="auto"/>
        <w:bottom w:val="none" w:sz="0" w:space="0" w:color="auto"/>
        <w:right w:val="none" w:sz="0" w:space="0" w:color="auto"/>
      </w:divBdr>
    </w:div>
    <w:div w:id="1294336792">
      <w:bodyDiv w:val="1"/>
      <w:marLeft w:val="0"/>
      <w:marRight w:val="0"/>
      <w:marTop w:val="0"/>
      <w:marBottom w:val="0"/>
      <w:divBdr>
        <w:top w:val="none" w:sz="0" w:space="0" w:color="auto"/>
        <w:left w:val="none" w:sz="0" w:space="0" w:color="auto"/>
        <w:bottom w:val="none" w:sz="0" w:space="0" w:color="auto"/>
        <w:right w:val="none" w:sz="0" w:space="0" w:color="auto"/>
      </w:divBdr>
    </w:div>
    <w:div w:id="1321540888">
      <w:bodyDiv w:val="1"/>
      <w:marLeft w:val="0"/>
      <w:marRight w:val="0"/>
      <w:marTop w:val="0"/>
      <w:marBottom w:val="0"/>
      <w:divBdr>
        <w:top w:val="none" w:sz="0" w:space="0" w:color="auto"/>
        <w:left w:val="none" w:sz="0" w:space="0" w:color="auto"/>
        <w:bottom w:val="none" w:sz="0" w:space="0" w:color="auto"/>
        <w:right w:val="none" w:sz="0" w:space="0" w:color="auto"/>
      </w:divBdr>
      <w:divsChild>
        <w:div w:id="1871718421">
          <w:marLeft w:val="0"/>
          <w:marRight w:val="0"/>
          <w:marTop w:val="0"/>
          <w:marBottom w:val="230"/>
          <w:divBdr>
            <w:top w:val="none" w:sz="0" w:space="0" w:color="auto"/>
            <w:left w:val="none" w:sz="0" w:space="0" w:color="auto"/>
            <w:bottom w:val="none" w:sz="0" w:space="0" w:color="auto"/>
            <w:right w:val="none" w:sz="0" w:space="0" w:color="auto"/>
          </w:divBdr>
          <w:divsChild>
            <w:div w:id="294145492">
              <w:marLeft w:val="0"/>
              <w:marRight w:val="0"/>
              <w:marTop w:val="0"/>
              <w:marBottom w:val="81"/>
              <w:divBdr>
                <w:top w:val="none" w:sz="0" w:space="0" w:color="auto"/>
                <w:left w:val="none" w:sz="0" w:space="0" w:color="auto"/>
                <w:bottom w:val="none" w:sz="0" w:space="0" w:color="auto"/>
                <w:right w:val="none" w:sz="0" w:space="0" w:color="auto"/>
              </w:divBdr>
              <w:divsChild>
                <w:div w:id="1002317727">
                  <w:marLeft w:val="58"/>
                  <w:marRight w:val="0"/>
                  <w:marTop w:val="0"/>
                  <w:marBottom w:val="230"/>
                  <w:divBdr>
                    <w:top w:val="single" w:sz="4" w:space="0" w:color="B6B6E1"/>
                    <w:left w:val="single" w:sz="4" w:space="0" w:color="B6B6E1"/>
                    <w:bottom w:val="single" w:sz="4" w:space="0" w:color="B6B6E1"/>
                    <w:right w:val="single" w:sz="4" w:space="0" w:color="B6B6E1"/>
                  </w:divBdr>
                  <w:divsChild>
                    <w:div w:id="705833218">
                      <w:marLeft w:val="115"/>
                      <w:marRight w:val="0"/>
                      <w:marTop w:val="0"/>
                      <w:marBottom w:val="0"/>
                      <w:divBdr>
                        <w:top w:val="none" w:sz="0" w:space="0" w:color="auto"/>
                        <w:left w:val="none" w:sz="0" w:space="0" w:color="auto"/>
                        <w:bottom w:val="none" w:sz="0" w:space="0" w:color="auto"/>
                        <w:right w:val="none" w:sz="0" w:space="0" w:color="auto"/>
                      </w:divBdr>
                      <w:divsChild>
                        <w:div w:id="1929340009">
                          <w:marLeft w:val="0"/>
                          <w:marRight w:val="0"/>
                          <w:marTop w:val="0"/>
                          <w:marBottom w:val="0"/>
                          <w:divBdr>
                            <w:top w:val="none" w:sz="0" w:space="0" w:color="auto"/>
                            <w:left w:val="none" w:sz="0" w:space="0" w:color="auto"/>
                            <w:bottom w:val="none" w:sz="0" w:space="0" w:color="auto"/>
                            <w:right w:val="none" w:sz="0" w:space="0" w:color="auto"/>
                          </w:divBdr>
                          <w:divsChild>
                            <w:div w:id="1025667994">
                              <w:marLeft w:val="0"/>
                              <w:marRight w:val="0"/>
                              <w:marTop w:val="0"/>
                              <w:marBottom w:val="0"/>
                              <w:divBdr>
                                <w:top w:val="none" w:sz="0" w:space="0" w:color="auto"/>
                                <w:left w:val="none" w:sz="0" w:space="0" w:color="auto"/>
                                <w:bottom w:val="none" w:sz="0" w:space="0" w:color="auto"/>
                                <w:right w:val="none" w:sz="0" w:space="0" w:color="auto"/>
                              </w:divBdr>
                              <w:divsChild>
                                <w:div w:id="206066742">
                                  <w:marLeft w:val="0"/>
                                  <w:marRight w:val="0"/>
                                  <w:marTop w:val="0"/>
                                  <w:marBottom w:val="0"/>
                                  <w:divBdr>
                                    <w:top w:val="none" w:sz="0" w:space="0" w:color="auto"/>
                                    <w:left w:val="none" w:sz="0" w:space="0" w:color="auto"/>
                                    <w:bottom w:val="none" w:sz="0" w:space="0" w:color="auto"/>
                                    <w:right w:val="none" w:sz="0" w:space="0" w:color="auto"/>
                                  </w:divBdr>
                                  <w:divsChild>
                                    <w:div w:id="789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115901">
      <w:bodyDiv w:val="1"/>
      <w:marLeft w:val="0"/>
      <w:marRight w:val="0"/>
      <w:marTop w:val="0"/>
      <w:marBottom w:val="0"/>
      <w:divBdr>
        <w:top w:val="none" w:sz="0" w:space="0" w:color="auto"/>
        <w:left w:val="none" w:sz="0" w:space="0" w:color="auto"/>
        <w:bottom w:val="none" w:sz="0" w:space="0" w:color="auto"/>
        <w:right w:val="none" w:sz="0" w:space="0" w:color="auto"/>
      </w:divBdr>
    </w:div>
    <w:div w:id="1407604492">
      <w:bodyDiv w:val="1"/>
      <w:marLeft w:val="0"/>
      <w:marRight w:val="0"/>
      <w:marTop w:val="0"/>
      <w:marBottom w:val="0"/>
      <w:divBdr>
        <w:top w:val="none" w:sz="0" w:space="0" w:color="auto"/>
        <w:left w:val="none" w:sz="0" w:space="0" w:color="auto"/>
        <w:bottom w:val="none" w:sz="0" w:space="0" w:color="auto"/>
        <w:right w:val="none" w:sz="0" w:space="0" w:color="auto"/>
      </w:divBdr>
    </w:div>
    <w:div w:id="1440952938">
      <w:bodyDiv w:val="1"/>
      <w:marLeft w:val="0"/>
      <w:marRight w:val="0"/>
      <w:marTop w:val="0"/>
      <w:marBottom w:val="0"/>
      <w:divBdr>
        <w:top w:val="none" w:sz="0" w:space="0" w:color="auto"/>
        <w:left w:val="none" w:sz="0" w:space="0" w:color="auto"/>
        <w:bottom w:val="none" w:sz="0" w:space="0" w:color="auto"/>
        <w:right w:val="none" w:sz="0" w:space="0" w:color="auto"/>
      </w:divBdr>
      <w:divsChild>
        <w:div w:id="1851211692">
          <w:marLeft w:val="0"/>
          <w:marRight w:val="0"/>
          <w:marTop w:val="0"/>
          <w:marBottom w:val="0"/>
          <w:divBdr>
            <w:top w:val="none" w:sz="0" w:space="0" w:color="auto"/>
            <w:left w:val="none" w:sz="0" w:space="0" w:color="auto"/>
            <w:bottom w:val="none" w:sz="0" w:space="0" w:color="auto"/>
            <w:right w:val="none" w:sz="0" w:space="0" w:color="auto"/>
          </w:divBdr>
          <w:divsChild>
            <w:div w:id="751123333">
              <w:marLeft w:val="0"/>
              <w:marRight w:val="0"/>
              <w:marTop w:val="0"/>
              <w:marBottom w:val="0"/>
              <w:divBdr>
                <w:top w:val="none" w:sz="0" w:space="0" w:color="auto"/>
                <w:left w:val="none" w:sz="0" w:space="0" w:color="auto"/>
                <w:bottom w:val="none" w:sz="0" w:space="0" w:color="auto"/>
                <w:right w:val="none" w:sz="0" w:space="0" w:color="auto"/>
              </w:divBdr>
              <w:divsChild>
                <w:div w:id="4631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7594">
      <w:bodyDiv w:val="1"/>
      <w:marLeft w:val="0"/>
      <w:marRight w:val="0"/>
      <w:marTop w:val="0"/>
      <w:marBottom w:val="0"/>
      <w:divBdr>
        <w:top w:val="none" w:sz="0" w:space="0" w:color="auto"/>
        <w:left w:val="none" w:sz="0" w:space="0" w:color="auto"/>
        <w:bottom w:val="none" w:sz="0" w:space="0" w:color="auto"/>
        <w:right w:val="none" w:sz="0" w:space="0" w:color="auto"/>
      </w:divBdr>
    </w:div>
    <w:div w:id="1490054424">
      <w:bodyDiv w:val="1"/>
      <w:marLeft w:val="0"/>
      <w:marRight w:val="0"/>
      <w:marTop w:val="0"/>
      <w:marBottom w:val="0"/>
      <w:divBdr>
        <w:top w:val="none" w:sz="0" w:space="0" w:color="auto"/>
        <w:left w:val="none" w:sz="0" w:space="0" w:color="auto"/>
        <w:bottom w:val="none" w:sz="0" w:space="0" w:color="auto"/>
        <w:right w:val="none" w:sz="0" w:space="0" w:color="auto"/>
      </w:divBdr>
    </w:div>
    <w:div w:id="1524051003">
      <w:bodyDiv w:val="1"/>
      <w:marLeft w:val="0"/>
      <w:marRight w:val="0"/>
      <w:marTop w:val="0"/>
      <w:marBottom w:val="0"/>
      <w:divBdr>
        <w:top w:val="none" w:sz="0" w:space="0" w:color="auto"/>
        <w:left w:val="none" w:sz="0" w:space="0" w:color="auto"/>
        <w:bottom w:val="none" w:sz="0" w:space="0" w:color="auto"/>
        <w:right w:val="none" w:sz="0" w:space="0" w:color="auto"/>
      </w:divBdr>
    </w:div>
    <w:div w:id="1592079399">
      <w:bodyDiv w:val="1"/>
      <w:marLeft w:val="0"/>
      <w:marRight w:val="0"/>
      <w:marTop w:val="0"/>
      <w:marBottom w:val="0"/>
      <w:divBdr>
        <w:top w:val="none" w:sz="0" w:space="0" w:color="auto"/>
        <w:left w:val="none" w:sz="0" w:space="0" w:color="auto"/>
        <w:bottom w:val="none" w:sz="0" w:space="0" w:color="auto"/>
        <w:right w:val="none" w:sz="0" w:space="0" w:color="auto"/>
      </w:divBdr>
    </w:div>
    <w:div w:id="1595891794">
      <w:bodyDiv w:val="1"/>
      <w:marLeft w:val="0"/>
      <w:marRight w:val="0"/>
      <w:marTop w:val="0"/>
      <w:marBottom w:val="0"/>
      <w:divBdr>
        <w:top w:val="none" w:sz="0" w:space="0" w:color="auto"/>
        <w:left w:val="none" w:sz="0" w:space="0" w:color="auto"/>
        <w:bottom w:val="none" w:sz="0" w:space="0" w:color="auto"/>
        <w:right w:val="none" w:sz="0" w:space="0" w:color="auto"/>
      </w:divBdr>
    </w:div>
    <w:div w:id="1619021210">
      <w:bodyDiv w:val="1"/>
      <w:marLeft w:val="0"/>
      <w:marRight w:val="0"/>
      <w:marTop w:val="0"/>
      <w:marBottom w:val="0"/>
      <w:divBdr>
        <w:top w:val="none" w:sz="0" w:space="0" w:color="auto"/>
        <w:left w:val="none" w:sz="0" w:space="0" w:color="auto"/>
        <w:bottom w:val="none" w:sz="0" w:space="0" w:color="auto"/>
        <w:right w:val="none" w:sz="0" w:space="0" w:color="auto"/>
      </w:divBdr>
    </w:div>
    <w:div w:id="1630895577">
      <w:bodyDiv w:val="1"/>
      <w:marLeft w:val="0"/>
      <w:marRight w:val="0"/>
      <w:marTop w:val="0"/>
      <w:marBottom w:val="0"/>
      <w:divBdr>
        <w:top w:val="none" w:sz="0" w:space="0" w:color="auto"/>
        <w:left w:val="none" w:sz="0" w:space="0" w:color="auto"/>
        <w:bottom w:val="none" w:sz="0" w:space="0" w:color="auto"/>
        <w:right w:val="none" w:sz="0" w:space="0" w:color="auto"/>
      </w:divBdr>
    </w:div>
    <w:div w:id="1673219613">
      <w:bodyDiv w:val="1"/>
      <w:marLeft w:val="0"/>
      <w:marRight w:val="0"/>
      <w:marTop w:val="0"/>
      <w:marBottom w:val="0"/>
      <w:divBdr>
        <w:top w:val="none" w:sz="0" w:space="0" w:color="auto"/>
        <w:left w:val="none" w:sz="0" w:space="0" w:color="auto"/>
        <w:bottom w:val="none" w:sz="0" w:space="0" w:color="auto"/>
        <w:right w:val="none" w:sz="0" w:space="0" w:color="auto"/>
      </w:divBdr>
      <w:divsChild>
        <w:div w:id="323708758">
          <w:marLeft w:val="0"/>
          <w:marRight w:val="0"/>
          <w:marTop w:val="0"/>
          <w:marBottom w:val="0"/>
          <w:divBdr>
            <w:top w:val="single" w:sz="2" w:space="0" w:color="2E2E2E"/>
            <w:left w:val="single" w:sz="2" w:space="0" w:color="2E2E2E"/>
            <w:bottom w:val="single" w:sz="2" w:space="0" w:color="2E2E2E"/>
            <w:right w:val="single" w:sz="2" w:space="0" w:color="2E2E2E"/>
          </w:divBdr>
          <w:divsChild>
            <w:div w:id="1217201566">
              <w:marLeft w:val="0"/>
              <w:marRight w:val="0"/>
              <w:marTop w:val="0"/>
              <w:marBottom w:val="0"/>
              <w:divBdr>
                <w:top w:val="single" w:sz="2" w:space="0" w:color="C9C9C9"/>
                <w:left w:val="none" w:sz="0" w:space="0" w:color="auto"/>
                <w:bottom w:val="none" w:sz="0" w:space="0" w:color="auto"/>
                <w:right w:val="none" w:sz="0" w:space="0" w:color="auto"/>
              </w:divBdr>
              <w:divsChild>
                <w:div w:id="572669104">
                  <w:marLeft w:val="0"/>
                  <w:marRight w:val="0"/>
                  <w:marTop w:val="0"/>
                  <w:marBottom w:val="0"/>
                  <w:divBdr>
                    <w:top w:val="none" w:sz="0" w:space="0" w:color="auto"/>
                    <w:left w:val="none" w:sz="0" w:space="0" w:color="auto"/>
                    <w:bottom w:val="none" w:sz="0" w:space="0" w:color="auto"/>
                    <w:right w:val="none" w:sz="0" w:space="0" w:color="auto"/>
                  </w:divBdr>
                  <w:divsChild>
                    <w:div w:id="115028362">
                      <w:marLeft w:val="0"/>
                      <w:marRight w:val="0"/>
                      <w:marTop w:val="0"/>
                      <w:marBottom w:val="0"/>
                      <w:divBdr>
                        <w:top w:val="none" w:sz="0" w:space="0" w:color="auto"/>
                        <w:left w:val="none" w:sz="0" w:space="0" w:color="auto"/>
                        <w:bottom w:val="none" w:sz="0" w:space="0" w:color="auto"/>
                        <w:right w:val="none" w:sz="0" w:space="0" w:color="auto"/>
                      </w:divBdr>
                      <w:divsChild>
                        <w:div w:id="175196315">
                          <w:marLeft w:val="0"/>
                          <w:marRight w:val="0"/>
                          <w:marTop w:val="125"/>
                          <w:marBottom w:val="175"/>
                          <w:divBdr>
                            <w:top w:val="single" w:sz="2" w:space="0" w:color="D7D7D7"/>
                            <w:left w:val="single" w:sz="2" w:space="0" w:color="D7D7D7"/>
                            <w:bottom w:val="single" w:sz="2" w:space="0" w:color="D7D7D7"/>
                            <w:right w:val="single" w:sz="2" w:space="0" w:color="D7D7D7"/>
                          </w:divBdr>
                          <w:divsChild>
                            <w:div w:id="2137287724">
                              <w:marLeft w:val="0"/>
                              <w:marRight w:val="0"/>
                              <w:marTop w:val="0"/>
                              <w:marBottom w:val="0"/>
                              <w:divBdr>
                                <w:top w:val="none" w:sz="0" w:space="0" w:color="auto"/>
                                <w:left w:val="none" w:sz="0" w:space="0" w:color="auto"/>
                                <w:bottom w:val="none" w:sz="0" w:space="0" w:color="auto"/>
                                <w:right w:val="none" w:sz="0" w:space="0" w:color="auto"/>
                              </w:divBdr>
                              <w:divsChild>
                                <w:div w:id="14068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749298">
      <w:bodyDiv w:val="1"/>
      <w:marLeft w:val="0"/>
      <w:marRight w:val="0"/>
      <w:marTop w:val="0"/>
      <w:marBottom w:val="0"/>
      <w:divBdr>
        <w:top w:val="none" w:sz="0" w:space="0" w:color="auto"/>
        <w:left w:val="none" w:sz="0" w:space="0" w:color="auto"/>
        <w:bottom w:val="none" w:sz="0" w:space="0" w:color="auto"/>
        <w:right w:val="none" w:sz="0" w:space="0" w:color="auto"/>
      </w:divBdr>
    </w:div>
    <w:div w:id="1705322120">
      <w:bodyDiv w:val="1"/>
      <w:marLeft w:val="0"/>
      <w:marRight w:val="0"/>
      <w:marTop w:val="0"/>
      <w:marBottom w:val="0"/>
      <w:divBdr>
        <w:top w:val="none" w:sz="0" w:space="0" w:color="auto"/>
        <w:left w:val="none" w:sz="0" w:space="0" w:color="auto"/>
        <w:bottom w:val="none" w:sz="0" w:space="0" w:color="auto"/>
        <w:right w:val="none" w:sz="0" w:space="0" w:color="auto"/>
      </w:divBdr>
    </w:div>
    <w:div w:id="1728723452">
      <w:bodyDiv w:val="1"/>
      <w:marLeft w:val="0"/>
      <w:marRight w:val="0"/>
      <w:marTop w:val="0"/>
      <w:marBottom w:val="0"/>
      <w:divBdr>
        <w:top w:val="none" w:sz="0" w:space="0" w:color="auto"/>
        <w:left w:val="none" w:sz="0" w:space="0" w:color="auto"/>
        <w:bottom w:val="none" w:sz="0" w:space="0" w:color="auto"/>
        <w:right w:val="none" w:sz="0" w:space="0" w:color="auto"/>
      </w:divBdr>
    </w:div>
    <w:div w:id="1807354112">
      <w:bodyDiv w:val="1"/>
      <w:marLeft w:val="0"/>
      <w:marRight w:val="0"/>
      <w:marTop w:val="0"/>
      <w:marBottom w:val="0"/>
      <w:divBdr>
        <w:top w:val="none" w:sz="0" w:space="0" w:color="auto"/>
        <w:left w:val="none" w:sz="0" w:space="0" w:color="auto"/>
        <w:bottom w:val="none" w:sz="0" w:space="0" w:color="auto"/>
        <w:right w:val="none" w:sz="0" w:space="0" w:color="auto"/>
      </w:divBdr>
      <w:divsChild>
        <w:div w:id="906570187">
          <w:marLeft w:val="0"/>
          <w:marRight w:val="0"/>
          <w:marTop w:val="0"/>
          <w:marBottom w:val="0"/>
          <w:divBdr>
            <w:top w:val="none" w:sz="0" w:space="0" w:color="auto"/>
            <w:left w:val="none" w:sz="0" w:space="0" w:color="auto"/>
            <w:bottom w:val="none" w:sz="0" w:space="0" w:color="auto"/>
            <w:right w:val="none" w:sz="0" w:space="0" w:color="auto"/>
          </w:divBdr>
        </w:div>
        <w:div w:id="2035108500">
          <w:marLeft w:val="0"/>
          <w:marRight w:val="0"/>
          <w:marTop w:val="0"/>
          <w:marBottom w:val="0"/>
          <w:divBdr>
            <w:top w:val="none" w:sz="0" w:space="0" w:color="auto"/>
            <w:left w:val="none" w:sz="0" w:space="0" w:color="auto"/>
            <w:bottom w:val="none" w:sz="0" w:space="0" w:color="auto"/>
            <w:right w:val="none" w:sz="0" w:space="0" w:color="auto"/>
          </w:divBdr>
        </w:div>
      </w:divsChild>
    </w:div>
    <w:div w:id="1881042760">
      <w:bodyDiv w:val="1"/>
      <w:marLeft w:val="0"/>
      <w:marRight w:val="0"/>
      <w:marTop w:val="0"/>
      <w:marBottom w:val="0"/>
      <w:divBdr>
        <w:top w:val="none" w:sz="0" w:space="0" w:color="auto"/>
        <w:left w:val="none" w:sz="0" w:space="0" w:color="auto"/>
        <w:bottom w:val="none" w:sz="0" w:space="0" w:color="auto"/>
        <w:right w:val="none" w:sz="0" w:space="0" w:color="auto"/>
      </w:divBdr>
    </w:div>
    <w:div w:id="1911310107">
      <w:bodyDiv w:val="1"/>
      <w:marLeft w:val="0"/>
      <w:marRight w:val="0"/>
      <w:marTop w:val="0"/>
      <w:marBottom w:val="0"/>
      <w:divBdr>
        <w:top w:val="none" w:sz="0" w:space="0" w:color="auto"/>
        <w:left w:val="none" w:sz="0" w:space="0" w:color="auto"/>
        <w:bottom w:val="none" w:sz="0" w:space="0" w:color="auto"/>
        <w:right w:val="none" w:sz="0" w:space="0" w:color="auto"/>
      </w:divBdr>
    </w:div>
    <w:div w:id="1916816387">
      <w:bodyDiv w:val="1"/>
      <w:marLeft w:val="0"/>
      <w:marRight w:val="0"/>
      <w:marTop w:val="0"/>
      <w:marBottom w:val="0"/>
      <w:divBdr>
        <w:top w:val="none" w:sz="0" w:space="0" w:color="auto"/>
        <w:left w:val="none" w:sz="0" w:space="0" w:color="auto"/>
        <w:bottom w:val="none" w:sz="0" w:space="0" w:color="auto"/>
        <w:right w:val="none" w:sz="0" w:space="0" w:color="auto"/>
      </w:divBdr>
      <w:divsChild>
        <w:div w:id="1544976672">
          <w:marLeft w:val="0"/>
          <w:marRight w:val="0"/>
          <w:marTop w:val="0"/>
          <w:marBottom w:val="0"/>
          <w:divBdr>
            <w:top w:val="none" w:sz="0" w:space="0" w:color="auto"/>
            <w:left w:val="none" w:sz="0" w:space="0" w:color="auto"/>
            <w:bottom w:val="none" w:sz="0" w:space="0" w:color="auto"/>
            <w:right w:val="none" w:sz="0" w:space="0" w:color="auto"/>
          </w:divBdr>
          <w:divsChild>
            <w:div w:id="1071539560">
              <w:marLeft w:val="0"/>
              <w:marRight w:val="0"/>
              <w:marTop w:val="0"/>
              <w:marBottom w:val="0"/>
              <w:divBdr>
                <w:top w:val="none" w:sz="0" w:space="0" w:color="auto"/>
                <w:left w:val="none" w:sz="0" w:space="0" w:color="auto"/>
                <w:bottom w:val="none" w:sz="0" w:space="0" w:color="auto"/>
                <w:right w:val="none" w:sz="0" w:space="0" w:color="auto"/>
              </w:divBdr>
              <w:divsChild>
                <w:div w:id="1616642847">
                  <w:marLeft w:val="0"/>
                  <w:marRight w:val="0"/>
                  <w:marTop w:val="0"/>
                  <w:marBottom w:val="0"/>
                  <w:divBdr>
                    <w:top w:val="none" w:sz="0" w:space="0" w:color="auto"/>
                    <w:left w:val="none" w:sz="0" w:space="0" w:color="auto"/>
                    <w:bottom w:val="none" w:sz="0" w:space="0" w:color="auto"/>
                    <w:right w:val="none" w:sz="0" w:space="0" w:color="auto"/>
                  </w:divBdr>
                  <w:divsChild>
                    <w:div w:id="343947520">
                      <w:marLeft w:val="0"/>
                      <w:marRight w:val="0"/>
                      <w:marTop w:val="0"/>
                      <w:marBottom w:val="0"/>
                      <w:divBdr>
                        <w:top w:val="none" w:sz="0" w:space="0" w:color="auto"/>
                        <w:left w:val="none" w:sz="0" w:space="0" w:color="auto"/>
                        <w:bottom w:val="none" w:sz="0" w:space="0" w:color="auto"/>
                        <w:right w:val="none" w:sz="0" w:space="0" w:color="auto"/>
                      </w:divBdr>
                      <w:divsChild>
                        <w:div w:id="156189614">
                          <w:marLeft w:val="0"/>
                          <w:marRight w:val="0"/>
                          <w:marTop w:val="0"/>
                          <w:marBottom w:val="0"/>
                          <w:divBdr>
                            <w:top w:val="none" w:sz="0" w:space="0" w:color="auto"/>
                            <w:left w:val="none" w:sz="0" w:space="0" w:color="auto"/>
                            <w:bottom w:val="none" w:sz="0" w:space="0" w:color="auto"/>
                            <w:right w:val="none" w:sz="0" w:space="0" w:color="auto"/>
                          </w:divBdr>
                          <w:divsChild>
                            <w:div w:id="3220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504491">
      <w:bodyDiv w:val="1"/>
      <w:marLeft w:val="0"/>
      <w:marRight w:val="0"/>
      <w:marTop w:val="0"/>
      <w:marBottom w:val="0"/>
      <w:divBdr>
        <w:top w:val="none" w:sz="0" w:space="0" w:color="auto"/>
        <w:left w:val="none" w:sz="0" w:space="0" w:color="auto"/>
        <w:bottom w:val="none" w:sz="0" w:space="0" w:color="auto"/>
        <w:right w:val="none" w:sz="0" w:space="0" w:color="auto"/>
      </w:divBdr>
      <w:divsChild>
        <w:div w:id="1076853188">
          <w:marLeft w:val="0"/>
          <w:marRight w:val="0"/>
          <w:marTop w:val="0"/>
          <w:marBottom w:val="0"/>
          <w:divBdr>
            <w:top w:val="none" w:sz="0" w:space="0" w:color="auto"/>
            <w:left w:val="none" w:sz="0" w:space="0" w:color="auto"/>
            <w:bottom w:val="none" w:sz="0" w:space="0" w:color="auto"/>
            <w:right w:val="none" w:sz="0" w:space="0" w:color="auto"/>
          </w:divBdr>
          <w:divsChild>
            <w:div w:id="1228028600">
              <w:marLeft w:val="0"/>
              <w:marRight w:val="0"/>
              <w:marTop w:val="0"/>
              <w:marBottom w:val="0"/>
              <w:divBdr>
                <w:top w:val="none" w:sz="0" w:space="0" w:color="auto"/>
                <w:left w:val="none" w:sz="0" w:space="0" w:color="auto"/>
                <w:bottom w:val="none" w:sz="0" w:space="0" w:color="auto"/>
                <w:right w:val="none" w:sz="0" w:space="0" w:color="auto"/>
              </w:divBdr>
              <w:divsChild>
                <w:div w:id="1416829108">
                  <w:marLeft w:val="0"/>
                  <w:marRight w:val="0"/>
                  <w:marTop w:val="0"/>
                  <w:marBottom w:val="0"/>
                  <w:divBdr>
                    <w:top w:val="none" w:sz="0" w:space="0" w:color="auto"/>
                    <w:left w:val="none" w:sz="0" w:space="0" w:color="auto"/>
                    <w:bottom w:val="none" w:sz="0" w:space="0" w:color="auto"/>
                    <w:right w:val="none" w:sz="0" w:space="0" w:color="auto"/>
                  </w:divBdr>
                  <w:divsChild>
                    <w:div w:id="1149789727">
                      <w:marLeft w:val="0"/>
                      <w:marRight w:val="0"/>
                      <w:marTop w:val="0"/>
                      <w:marBottom w:val="0"/>
                      <w:divBdr>
                        <w:top w:val="none" w:sz="0" w:space="0" w:color="auto"/>
                        <w:left w:val="none" w:sz="0" w:space="0" w:color="auto"/>
                        <w:bottom w:val="none" w:sz="0" w:space="0" w:color="auto"/>
                        <w:right w:val="none" w:sz="0" w:space="0" w:color="auto"/>
                      </w:divBdr>
                      <w:divsChild>
                        <w:div w:id="300110478">
                          <w:marLeft w:val="0"/>
                          <w:marRight w:val="0"/>
                          <w:marTop w:val="0"/>
                          <w:marBottom w:val="0"/>
                          <w:divBdr>
                            <w:top w:val="none" w:sz="0" w:space="0" w:color="auto"/>
                            <w:left w:val="none" w:sz="0" w:space="0" w:color="auto"/>
                            <w:bottom w:val="none" w:sz="0" w:space="0" w:color="auto"/>
                            <w:right w:val="none" w:sz="0" w:space="0" w:color="auto"/>
                          </w:divBdr>
                          <w:divsChild>
                            <w:div w:id="386879557">
                              <w:marLeft w:val="0"/>
                              <w:marRight w:val="0"/>
                              <w:marTop w:val="0"/>
                              <w:marBottom w:val="0"/>
                              <w:divBdr>
                                <w:top w:val="none" w:sz="0" w:space="0" w:color="auto"/>
                                <w:left w:val="none" w:sz="0" w:space="0" w:color="auto"/>
                                <w:bottom w:val="none" w:sz="0" w:space="0" w:color="auto"/>
                                <w:right w:val="none" w:sz="0" w:space="0" w:color="auto"/>
                              </w:divBdr>
                              <w:divsChild>
                                <w:div w:id="1520049875">
                                  <w:marLeft w:val="0"/>
                                  <w:marRight w:val="0"/>
                                  <w:marTop w:val="0"/>
                                  <w:marBottom w:val="0"/>
                                  <w:divBdr>
                                    <w:top w:val="none" w:sz="0" w:space="0" w:color="auto"/>
                                    <w:left w:val="none" w:sz="0" w:space="0" w:color="auto"/>
                                    <w:bottom w:val="dashed" w:sz="6" w:space="0" w:color="C7D9D8"/>
                                    <w:right w:val="none" w:sz="0" w:space="0" w:color="auto"/>
                                  </w:divBdr>
                                </w:div>
                              </w:divsChild>
                            </w:div>
                          </w:divsChild>
                        </w:div>
                      </w:divsChild>
                    </w:div>
                  </w:divsChild>
                </w:div>
              </w:divsChild>
            </w:div>
          </w:divsChild>
        </w:div>
      </w:divsChild>
    </w:div>
    <w:div w:id="1955403448">
      <w:bodyDiv w:val="1"/>
      <w:marLeft w:val="0"/>
      <w:marRight w:val="0"/>
      <w:marTop w:val="0"/>
      <w:marBottom w:val="0"/>
      <w:divBdr>
        <w:top w:val="none" w:sz="0" w:space="0" w:color="auto"/>
        <w:left w:val="none" w:sz="0" w:space="0" w:color="auto"/>
        <w:bottom w:val="none" w:sz="0" w:space="0" w:color="auto"/>
        <w:right w:val="none" w:sz="0" w:space="0" w:color="auto"/>
      </w:divBdr>
      <w:divsChild>
        <w:div w:id="1493830750">
          <w:marLeft w:val="0"/>
          <w:marRight w:val="0"/>
          <w:marTop w:val="0"/>
          <w:marBottom w:val="0"/>
          <w:divBdr>
            <w:top w:val="single" w:sz="2" w:space="0" w:color="2E2E2E"/>
            <w:left w:val="single" w:sz="2" w:space="0" w:color="2E2E2E"/>
            <w:bottom w:val="single" w:sz="2" w:space="0" w:color="2E2E2E"/>
            <w:right w:val="single" w:sz="2" w:space="0" w:color="2E2E2E"/>
          </w:divBdr>
          <w:divsChild>
            <w:div w:id="928776227">
              <w:marLeft w:val="0"/>
              <w:marRight w:val="0"/>
              <w:marTop w:val="0"/>
              <w:marBottom w:val="0"/>
              <w:divBdr>
                <w:top w:val="single" w:sz="4" w:space="0" w:color="C9C9C9"/>
                <w:left w:val="none" w:sz="0" w:space="0" w:color="auto"/>
                <w:bottom w:val="none" w:sz="0" w:space="0" w:color="auto"/>
                <w:right w:val="none" w:sz="0" w:space="0" w:color="auto"/>
              </w:divBdr>
              <w:divsChild>
                <w:div w:id="183252840">
                  <w:marLeft w:val="0"/>
                  <w:marRight w:val="0"/>
                  <w:marTop w:val="0"/>
                  <w:marBottom w:val="0"/>
                  <w:divBdr>
                    <w:top w:val="none" w:sz="0" w:space="0" w:color="auto"/>
                    <w:left w:val="none" w:sz="0" w:space="0" w:color="auto"/>
                    <w:bottom w:val="none" w:sz="0" w:space="0" w:color="auto"/>
                    <w:right w:val="none" w:sz="0" w:space="0" w:color="auto"/>
                  </w:divBdr>
                  <w:divsChild>
                    <w:div w:id="499584825">
                      <w:marLeft w:val="0"/>
                      <w:marRight w:val="0"/>
                      <w:marTop w:val="0"/>
                      <w:marBottom w:val="0"/>
                      <w:divBdr>
                        <w:top w:val="none" w:sz="0" w:space="0" w:color="auto"/>
                        <w:left w:val="none" w:sz="0" w:space="0" w:color="auto"/>
                        <w:bottom w:val="none" w:sz="0" w:space="0" w:color="auto"/>
                        <w:right w:val="none" w:sz="0" w:space="0" w:color="auto"/>
                      </w:divBdr>
                      <w:divsChild>
                        <w:div w:id="12314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17782">
      <w:bodyDiv w:val="1"/>
      <w:marLeft w:val="0"/>
      <w:marRight w:val="0"/>
      <w:marTop w:val="0"/>
      <w:marBottom w:val="0"/>
      <w:divBdr>
        <w:top w:val="none" w:sz="0" w:space="0" w:color="auto"/>
        <w:left w:val="none" w:sz="0" w:space="0" w:color="auto"/>
        <w:bottom w:val="none" w:sz="0" w:space="0" w:color="auto"/>
        <w:right w:val="none" w:sz="0" w:space="0" w:color="auto"/>
      </w:divBdr>
    </w:div>
    <w:div w:id="1966932001">
      <w:bodyDiv w:val="1"/>
      <w:marLeft w:val="0"/>
      <w:marRight w:val="0"/>
      <w:marTop w:val="0"/>
      <w:marBottom w:val="0"/>
      <w:divBdr>
        <w:top w:val="none" w:sz="0" w:space="0" w:color="auto"/>
        <w:left w:val="none" w:sz="0" w:space="0" w:color="auto"/>
        <w:bottom w:val="none" w:sz="0" w:space="0" w:color="auto"/>
        <w:right w:val="none" w:sz="0" w:space="0" w:color="auto"/>
      </w:divBdr>
    </w:div>
    <w:div w:id="1981304898">
      <w:bodyDiv w:val="1"/>
      <w:marLeft w:val="0"/>
      <w:marRight w:val="0"/>
      <w:marTop w:val="0"/>
      <w:marBottom w:val="0"/>
      <w:divBdr>
        <w:top w:val="none" w:sz="0" w:space="0" w:color="auto"/>
        <w:left w:val="none" w:sz="0" w:space="0" w:color="auto"/>
        <w:bottom w:val="none" w:sz="0" w:space="0" w:color="auto"/>
        <w:right w:val="none" w:sz="0" w:space="0" w:color="auto"/>
      </w:divBdr>
      <w:divsChild>
        <w:div w:id="1310405769">
          <w:marLeft w:val="0"/>
          <w:marRight w:val="0"/>
          <w:marTop w:val="0"/>
          <w:marBottom w:val="0"/>
          <w:divBdr>
            <w:top w:val="single" w:sz="2" w:space="0" w:color="2E2E2E"/>
            <w:left w:val="single" w:sz="2" w:space="0" w:color="2E2E2E"/>
            <w:bottom w:val="single" w:sz="2" w:space="0" w:color="2E2E2E"/>
            <w:right w:val="single" w:sz="2" w:space="0" w:color="2E2E2E"/>
          </w:divBdr>
          <w:divsChild>
            <w:div w:id="125783387">
              <w:marLeft w:val="0"/>
              <w:marRight w:val="0"/>
              <w:marTop w:val="0"/>
              <w:marBottom w:val="0"/>
              <w:divBdr>
                <w:top w:val="single" w:sz="4" w:space="0" w:color="C9C9C9"/>
                <w:left w:val="none" w:sz="0" w:space="0" w:color="auto"/>
                <w:bottom w:val="none" w:sz="0" w:space="0" w:color="auto"/>
                <w:right w:val="none" w:sz="0" w:space="0" w:color="auto"/>
              </w:divBdr>
              <w:divsChild>
                <w:div w:id="1756168863">
                  <w:marLeft w:val="0"/>
                  <w:marRight w:val="0"/>
                  <w:marTop w:val="0"/>
                  <w:marBottom w:val="0"/>
                  <w:divBdr>
                    <w:top w:val="none" w:sz="0" w:space="0" w:color="auto"/>
                    <w:left w:val="none" w:sz="0" w:space="0" w:color="auto"/>
                    <w:bottom w:val="none" w:sz="0" w:space="0" w:color="auto"/>
                    <w:right w:val="none" w:sz="0" w:space="0" w:color="auto"/>
                  </w:divBdr>
                  <w:divsChild>
                    <w:div w:id="1279485214">
                      <w:marLeft w:val="0"/>
                      <w:marRight w:val="0"/>
                      <w:marTop w:val="0"/>
                      <w:marBottom w:val="0"/>
                      <w:divBdr>
                        <w:top w:val="none" w:sz="0" w:space="0" w:color="auto"/>
                        <w:left w:val="none" w:sz="0" w:space="0" w:color="auto"/>
                        <w:bottom w:val="none" w:sz="0" w:space="0" w:color="auto"/>
                        <w:right w:val="none" w:sz="0" w:space="0" w:color="auto"/>
                      </w:divBdr>
                      <w:divsChild>
                        <w:div w:id="1531332932">
                          <w:marLeft w:val="0"/>
                          <w:marRight w:val="0"/>
                          <w:marTop w:val="0"/>
                          <w:marBottom w:val="0"/>
                          <w:divBdr>
                            <w:top w:val="none" w:sz="0" w:space="0" w:color="auto"/>
                            <w:left w:val="none" w:sz="0" w:space="0" w:color="auto"/>
                            <w:bottom w:val="none" w:sz="0" w:space="0" w:color="auto"/>
                            <w:right w:val="none" w:sz="0" w:space="0" w:color="auto"/>
                          </w:divBdr>
                          <w:divsChild>
                            <w:div w:id="21099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047613">
      <w:bodyDiv w:val="1"/>
      <w:marLeft w:val="0"/>
      <w:marRight w:val="0"/>
      <w:marTop w:val="0"/>
      <w:marBottom w:val="0"/>
      <w:divBdr>
        <w:top w:val="none" w:sz="0" w:space="0" w:color="auto"/>
        <w:left w:val="none" w:sz="0" w:space="0" w:color="auto"/>
        <w:bottom w:val="none" w:sz="0" w:space="0" w:color="auto"/>
        <w:right w:val="none" w:sz="0" w:space="0" w:color="auto"/>
      </w:divBdr>
    </w:div>
    <w:div w:id="2007321168">
      <w:bodyDiv w:val="1"/>
      <w:marLeft w:val="0"/>
      <w:marRight w:val="0"/>
      <w:marTop w:val="0"/>
      <w:marBottom w:val="0"/>
      <w:divBdr>
        <w:top w:val="none" w:sz="0" w:space="0" w:color="auto"/>
        <w:left w:val="none" w:sz="0" w:space="0" w:color="auto"/>
        <w:bottom w:val="none" w:sz="0" w:space="0" w:color="auto"/>
        <w:right w:val="none" w:sz="0" w:space="0" w:color="auto"/>
      </w:divBdr>
    </w:div>
    <w:div w:id="2011442418">
      <w:bodyDiv w:val="1"/>
      <w:marLeft w:val="0"/>
      <w:marRight w:val="0"/>
      <w:marTop w:val="0"/>
      <w:marBottom w:val="0"/>
      <w:divBdr>
        <w:top w:val="none" w:sz="0" w:space="0" w:color="auto"/>
        <w:left w:val="none" w:sz="0" w:space="0" w:color="auto"/>
        <w:bottom w:val="none" w:sz="0" w:space="0" w:color="auto"/>
        <w:right w:val="none" w:sz="0" w:space="0" w:color="auto"/>
      </w:divBdr>
    </w:div>
    <w:div w:id="2016640882">
      <w:bodyDiv w:val="1"/>
      <w:marLeft w:val="0"/>
      <w:marRight w:val="0"/>
      <w:marTop w:val="0"/>
      <w:marBottom w:val="0"/>
      <w:divBdr>
        <w:top w:val="none" w:sz="0" w:space="0" w:color="auto"/>
        <w:left w:val="none" w:sz="0" w:space="0" w:color="auto"/>
        <w:bottom w:val="none" w:sz="0" w:space="0" w:color="auto"/>
        <w:right w:val="none" w:sz="0" w:space="0" w:color="auto"/>
      </w:divBdr>
      <w:divsChild>
        <w:div w:id="1488009947">
          <w:marLeft w:val="0"/>
          <w:marRight w:val="0"/>
          <w:marTop w:val="0"/>
          <w:marBottom w:val="0"/>
          <w:divBdr>
            <w:top w:val="none" w:sz="0" w:space="0" w:color="auto"/>
            <w:left w:val="none" w:sz="0" w:space="0" w:color="auto"/>
            <w:bottom w:val="none" w:sz="0" w:space="0" w:color="auto"/>
            <w:right w:val="none" w:sz="0" w:space="0" w:color="auto"/>
          </w:divBdr>
          <w:divsChild>
            <w:div w:id="612791093">
              <w:marLeft w:val="0"/>
              <w:marRight w:val="0"/>
              <w:marTop w:val="0"/>
              <w:marBottom w:val="0"/>
              <w:divBdr>
                <w:top w:val="none" w:sz="0" w:space="0" w:color="auto"/>
                <w:left w:val="none" w:sz="0" w:space="0" w:color="auto"/>
                <w:bottom w:val="none" w:sz="0" w:space="0" w:color="auto"/>
                <w:right w:val="none" w:sz="0" w:space="0" w:color="auto"/>
              </w:divBdr>
              <w:divsChild>
                <w:div w:id="467093713">
                  <w:marLeft w:val="0"/>
                  <w:marRight w:val="0"/>
                  <w:marTop w:val="0"/>
                  <w:marBottom w:val="0"/>
                  <w:divBdr>
                    <w:top w:val="none" w:sz="0" w:space="0" w:color="auto"/>
                    <w:left w:val="none" w:sz="0" w:space="0" w:color="auto"/>
                    <w:bottom w:val="none" w:sz="0" w:space="0" w:color="auto"/>
                    <w:right w:val="none" w:sz="0" w:space="0" w:color="auto"/>
                  </w:divBdr>
                  <w:divsChild>
                    <w:div w:id="1282961320">
                      <w:marLeft w:val="0"/>
                      <w:marRight w:val="0"/>
                      <w:marTop w:val="0"/>
                      <w:marBottom w:val="0"/>
                      <w:divBdr>
                        <w:top w:val="none" w:sz="0" w:space="0" w:color="auto"/>
                        <w:left w:val="none" w:sz="0" w:space="0" w:color="auto"/>
                        <w:bottom w:val="none" w:sz="0" w:space="0" w:color="auto"/>
                        <w:right w:val="none" w:sz="0" w:space="0" w:color="auto"/>
                      </w:divBdr>
                      <w:divsChild>
                        <w:div w:id="1027558777">
                          <w:marLeft w:val="0"/>
                          <w:marRight w:val="0"/>
                          <w:marTop w:val="0"/>
                          <w:marBottom w:val="0"/>
                          <w:divBdr>
                            <w:top w:val="none" w:sz="0" w:space="0" w:color="auto"/>
                            <w:left w:val="none" w:sz="0" w:space="0" w:color="auto"/>
                            <w:bottom w:val="none" w:sz="0" w:space="0" w:color="auto"/>
                            <w:right w:val="none" w:sz="0" w:space="0" w:color="auto"/>
                          </w:divBdr>
                          <w:divsChild>
                            <w:div w:id="1995833899">
                              <w:marLeft w:val="0"/>
                              <w:marRight w:val="0"/>
                              <w:marTop w:val="0"/>
                              <w:marBottom w:val="0"/>
                              <w:divBdr>
                                <w:top w:val="none" w:sz="0" w:space="0" w:color="auto"/>
                                <w:left w:val="none" w:sz="0" w:space="0" w:color="auto"/>
                                <w:bottom w:val="none" w:sz="0" w:space="0" w:color="auto"/>
                                <w:right w:val="none" w:sz="0" w:space="0" w:color="auto"/>
                              </w:divBdr>
                              <w:divsChild>
                                <w:div w:id="819271645">
                                  <w:marLeft w:val="0"/>
                                  <w:marRight w:val="0"/>
                                  <w:marTop w:val="0"/>
                                  <w:marBottom w:val="0"/>
                                  <w:divBdr>
                                    <w:top w:val="none" w:sz="0" w:space="0" w:color="auto"/>
                                    <w:left w:val="none" w:sz="0" w:space="0" w:color="auto"/>
                                    <w:bottom w:val="none" w:sz="0" w:space="0" w:color="auto"/>
                                    <w:right w:val="none" w:sz="0" w:space="0" w:color="auto"/>
                                  </w:divBdr>
                                  <w:divsChild>
                                    <w:div w:id="20664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540124">
      <w:bodyDiv w:val="1"/>
      <w:marLeft w:val="0"/>
      <w:marRight w:val="0"/>
      <w:marTop w:val="0"/>
      <w:marBottom w:val="0"/>
      <w:divBdr>
        <w:top w:val="none" w:sz="0" w:space="0" w:color="auto"/>
        <w:left w:val="none" w:sz="0" w:space="0" w:color="auto"/>
        <w:bottom w:val="none" w:sz="0" w:space="0" w:color="auto"/>
        <w:right w:val="none" w:sz="0" w:space="0" w:color="auto"/>
      </w:divBdr>
      <w:divsChild>
        <w:div w:id="167908269">
          <w:marLeft w:val="0"/>
          <w:marRight w:val="0"/>
          <w:marTop w:val="0"/>
          <w:marBottom w:val="58"/>
          <w:divBdr>
            <w:top w:val="none" w:sz="0" w:space="0" w:color="auto"/>
            <w:left w:val="none" w:sz="0" w:space="0" w:color="auto"/>
            <w:bottom w:val="none" w:sz="0" w:space="0" w:color="auto"/>
            <w:right w:val="none" w:sz="0" w:space="0" w:color="auto"/>
          </w:divBdr>
        </w:div>
        <w:div w:id="1781531361">
          <w:marLeft w:val="0"/>
          <w:marRight w:val="0"/>
          <w:marTop w:val="0"/>
          <w:marBottom w:val="0"/>
          <w:divBdr>
            <w:top w:val="none" w:sz="0" w:space="0" w:color="auto"/>
            <w:left w:val="none" w:sz="0" w:space="0" w:color="auto"/>
            <w:bottom w:val="none" w:sz="0" w:space="0" w:color="auto"/>
            <w:right w:val="none" w:sz="0" w:space="0" w:color="auto"/>
          </w:divBdr>
          <w:divsChild>
            <w:div w:id="713383812">
              <w:marLeft w:val="0"/>
              <w:marRight w:val="0"/>
              <w:marTop w:val="0"/>
              <w:marBottom w:val="0"/>
              <w:divBdr>
                <w:top w:val="none" w:sz="0" w:space="0" w:color="auto"/>
                <w:left w:val="none" w:sz="0" w:space="0" w:color="auto"/>
                <w:bottom w:val="none" w:sz="0" w:space="0" w:color="auto"/>
                <w:right w:val="none" w:sz="0" w:space="0" w:color="auto"/>
              </w:divBdr>
              <w:divsChild>
                <w:div w:id="1651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9373">
      <w:bodyDiv w:val="1"/>
      <w:marLeft w:val="0"/>
      <w:marRight w:val="0"/>
      <w:marTop w:val="0"/>
      <w:marBottom w:val="0"/>
      <w:divBdr>
        <w:top w:val="none" w:sz="0" w:space="0" w:color="auto"/>
        <w:left w:val="none" w:sz="0" w:space="0" w:color="auto"/>
        <w:bottom w:val="none" w:sz="0" w:space="0" w:color="auto"/>
        <w:right w:val="none" w:sz="0" w:space="0" w:color="auto"/>
      </w:divBdr>
    </w:div>
    <w:div w:id="2045514843">
      <w:bodyDiv w:val="1"/>
      <w:marLeft w:val="0"/>
      <w:marRight w:val="0"/>
      <w:marTop w:val="0"/>
      <w:marBottom w:val="0"/>
      <w:divBdr>
        <w:top w:val="none" w:sz="0" w:space="0" w:color="auto"/>
        <w:left w:val="none" w:sz="0" w:space="0" w:color="auto"/>
        <w:bottom w:val="none" w:sz="0" w:space="0" w:color="auto"/>
        <w:right w:val="none" w:sz="0" w:space="0" w:color="auto"/>
      </w:divBdr>
    </w:div>
    <w:div w:id="2060938551">
      <w:bodyDiv w:val="1"/>
      <w:marLeft w:val="0"/>
      <w:marRight w:val="0"/>
      <w:marTop w:val="0"/>
      <w:marBottom w:val="0"/>
      <w:divBdr>
        <w:top w:val="none" w:sz="0" w:space="0" w:color="auto"/>
        <w:left w:val="none" w:sz="0" w:space="0" w:color="auto"/>
        <w:bottom w:val="none" w:sz="0" w:space="0" w:color="auto"/>
        <w:right w:val="none" w:sz="0" w:space="0" w:color="auto"/>
      </w:divBdr>
    </w:div>
    <w:div w:id="2098138669">
      <w:bodyDiv w:val="1"/>
      <w:marLeft w:val="0"/>
      <w:marRight w:val="0"/>
      <w:marTop w:val="0"/>
      <w:marBottom w:val="0"/>
      <w:divBdr>
        <w:top w:val="none" w:sz="0" w:space="0" w:color="auto"/>
        <w:left w:val="none" w:sz="0" w:space="0" w:color="auto"/>
        <w:bottom w:val="none" w:sz="0" w:space="0" w:color="auto"/>
        <w:right w:val="none" w:sz="0" w:space="0" w:color="auto"/>
      </w:divBdr>
    </w:div>
    <w:div w:id="2107312255">
      <w:bodyDiv w:val="1"/>
      <w:marLeft w:val="0"/>
      <w:marRight w:val="0"/>
      <w:marTop w:val="0"/>
      <w:marBottom w:val="0"/>
      <w:divBdr>
        <w:top w:val="none" w:sz="0" w:space="0" w:color="auto"/>
        <w:left w:val="none" w:sz="0" w:space="0" w:color="auto"/>
        <w:bottom w:val="none" w:sz="0" w:space="0" w:color="auto"/>
        <w:right w:val="none" w:sz="0" w:space="0" w:color="auto"/>
      </w:divBdr>
    </w:div>
    <w:div w:id="2117019069">
      <w:bodyDiv w:val="1"/>
      <w:marLeft w:val="0"/>
      <w:marRight w:val="0"/>
      <w:marTop w:val="0"/>
      <w:marBottom w:val="0"/>
      <w:divBdr>
        <w:top w:val="none" w:sz="0" w:space="0" w:color="auto"/>
        <w:left w:val="none" w:sz="0" w:space="0" w:color="auto"/>
        <w:bottom w:val="none" w:sz="0" w:space="0" w:color="auto"/>
        <w:right w:val="none" w:sz="0" w:space="0" w:color="auto"/>
      </w:divBdr>
    </w:div>
    <w:div w:id="21276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www.scopus.com/source/sourceInfo.url?sourceId=33413&amp;origin=recordpag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www.scopus.com/authid/detail.url?authorId=55937286200&amp;amp;eid=2-s2.0-84888199338"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www.scopus.com/authid/detail.url?authorId=7102105799&amp;amp;eid=2-s2.0-0020165045" TargetMode="External"/><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yperlink" Target="http://www.sciencedirect.com/science/journal/00456535/9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scopus.com/authid/detail.url?authorId=7201458253&amp;amp;eid=2-s2.0-0020165045" TargetMode="External"/><Relationship Id="rId32" Type="http://schemas.openxmlformats.org/officeDocument/2006/relationships/image" Target="media/image12.emf"/><Relationship Id="rId37" Type="http://schemas.openxmlformats.org/officeDocument/2006/relationships/hyperlink" Target="http://www.sciencedirect.com/science/article/pii/S0045653514004858"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sciencedirect.com/science/article/pii/S0165993611000859" TargetMode="External"/><Relationship Id="rId28" Type="http://schemas.openxmlformats.org/officeDocument/2006/relationships/hyperlink" Target="http://www.sciencedirect.com/science/journal/00456535" TargetMode="External"/><Relationship Id="rId36" Type="http://schemas.openxmlformats.org/officeDocument/2006/relationships/hyperlink" Target="http://www.fishbase.gr/Summary/speciesSummary.php?id=4755&amp;lang=scchinese" TargetMode="Externa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shbase.org" TargetMode="External"/><Relationship Id="rId22" Type="http://schemas.openxmlformats.org/officeDocument/2006/relationships/hyperlink" Target="http://www.sciencedirect.com/science/article/pii/S0165993611000859" TargetMode="External"/><Relationship Id="rId27" Type="http://schemas.openxmlformats.org/officeDocument/2006/relationships/hyperlink" Target="http://www.dmu.dk/Pub/TR19.pdf" TargetMode="External"/><Relationship Id="rId30" Type="http://schemas.openxmlformats.org/officeDocument/2006/relationships/image" Target="media/image10.emf"/><Relationship Id="rId35" Type="http://schemas.openxmlformats.org/officeDocument/2006/relationships/hyperlink" Target="http://www.scopus.com/authid/detail.url?authorId=55937286200&amp;amp;eid=2-s2.0-8488819933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tsdr.cdc.gov/ToxProfiles/tp.asp?id=142&amp;tid=26" TargetMode="External"/><Relationship Id="rId3" Type="http://schemas.openxmlformats.org/officeDocument/2006/relationships/hyperlink" Target="http://ambit.sourceforge.net/euras/" TargetMode="External"/><Relationship Id="rId7" Type="http://schemas.openxmlformats.org/officeDocument/2006/relationships/hyperlink" Target="http://www.fishbase.org/summary/Misgurnus-anguillicaudatus.html" TargetMode="External"/><Relationship Id="rId2" Type="http://schemas.openxmlformats.org/officeDocument/2006/relationships/hyperlink" Target="http://www.cefic-lri.org/lri-toolbox/bcf" TargetMode="External"/><Relationship Id="rId1" Type="http://schemas.openxmlformats.org/officeDocument/2006/relationships/hyperlink" Target="http://www.safe.nite.go.jp/english/db.html" TargetMode="External"/><Relationship Id="rId6" Type="http://schemas.openxmlformats.org/officeDocument/2006/relationships/hyperlink" Target="http://www.glerl.noaa.gov/pubs/brochures/foodweb/LOfoodweb.pdf" TargetMode="External"/><Relationship Id="rId5" Type="http://schemas.openxmlformats.org/officeDocument/2006/relationships/hyperlink" Target="http://www.glerl.noaa.gov/pubs/brochures/foodweb/LEfoodweb.pdf" TargetMode="External"/><Relationship Id="rId4" Type="http://schemas.openxmlformats.org/officeDocument/2006/relationships/hyperlink" Target="http://www.biosch.hku.hk/ecology/hkreptiles/snake/Enhydris_chinen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8F16-F82C-4F71-81EB-234F7A6B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81DAFD8A.dotm</Template>
  <TotalTime>201</TotalTime>
  <Pages>167</Pages>
  <Words>70494</Words>
  <Characters>382166</Characters>
  <Application>Microsoft Office Word</Application>
  <DocSecurity>0</DocSecurity>
  <Lines>3184</Lines>
  <Paragraphs>903</Paragraphs>
  <ScaleCrop>false</ScaleCrop>
  <HeadingPairs>
    <vt:vector size="2" baseType="variant">
      <vt:variant>
        <vt:lpstr>Title</vt:lpstr>
      </vt:variant>
      <vt:variant>
        <vt:i4>1</vt:i4>
      </vt:variant>
    </vt:vector>
  </HeadingPairs>
  <TitlesOfParts>
    <vt:vector size="1" baseType="lpstr">
      <vt:lpstr>Dechlorane plus</vt:lpstr>
    </vt:vector>
  </TitlesOfParts>
  <Company>European Chemicals Agency</Company>
  <LinksUpToDate>false</LinksUpToDate>
  <CharactersWithSpaces>451757</CharactersWithSpaces>
  <SharedDoc>false</SharedDoc>
  <HLinks>
    <vt:vector size="90" baseType="variant">
      <vt:variant>
        <vt:i4>5177432</vt:i4>
      </vt:variant>
      <vt:variant>
        <vt:i4>60</vt:i4>
      </vt:variant>
      <vt:variant>
        <vt:i4>0</vt:i4>
      </vt:variant>
      <vt:variant>
        <vt:i4>5</vt:i4>
      </vt:variant>
      <vt:variant>
        <vt:lpwstr>http://www.epa.gov/opptintr/exposure/pubs/episuitedl.htm</vt:lpwstr>
      </vt:variant>
      <vt:variant>
        <vt:lpwstr/>
      </vt:variant>
      <vt:variant>
        <vt:i4>6750293</vt:i4>
      </vt:variant>
      <vt:variant>
        <vt:i4>57</vt:i4>
      </vt:variant>
      <vt:variant>
        <vt:i4>0</vt:i4>
      </vt:variant>
      <vt:variant>
        <vt:i4>5</vt:i4>
      </vt:variant>
      <vt:variant>
        <vt:lpwstr>http://www.oxy.com/OurBusinesses/Chemicals/Products/Documents/dechloraneplus/dechlorane_plus.pdf</vt:lpwstr>
      </vt:variant>
      <vt:variant>
        <vt:lpwstr/>
      </vt:variant>
      <vt:variant>
        <vt:i4>5374020</vt:i4>
      </vt:variant>
      <vt:variant>
        <vt:i4>54</vt:i4>
      </vt:variant>
      <vt:variant>
        <vt:i4>0</vt:i4>
      </vt:variant>
      <vt:variant>
        <vt:i4>5</vt:i4>
      </vt:variant>
      <vt:variant>
        <vt:lpwstr>http://www.env.go.jp/chemi/sesaku/02e.pdf</vt:lpwstr>
      </vt:variant>
      <vt:variant>
        <vt:lpwstr/>
      </vt:variant>
      <vt:variant>
        <vt:i4>7733304</vt:i4>
      </vt:variant>
      <vt:variant>
        <vt:i4>51</vt:i4>
      </vt:variant>
      <vt:variant>
        <vt:i4>0</vt:i4>
      </vt:variant>
      <vt:variant>
        <vt:i4>5</vt:i4>
      </vt:variant>
      <vt:variant>
        <vt:lpwstr>http://www.trentu.ca/academic/aminss/envmodel/models/L3280.html</vt:lpwstr>
      </vt:variant>
      <vt:variant>
        <vt:lpwstr/>
      </vt:variant>
      <vt:variant>
        <vt:i4>65563</vt:i4>
      </vt:variant>
      <vt:variant>
        <vt:i4>48</vt:i4>
      </vt:variant>
      <vt:variant>
        <vt:i4>0</vt:i4>
      </vt:variant>
      <vt:variant>
        <vt:i4>5</vt:i4>
      </vt:variant>
      <vt:variant>
        <vt:lpwstr>http://oehha.ca.gov/multimedia/biomon/pdf/120408flamedoc.pdf</vt:lpwstr>
      </vt:variant>
      <vt:variant>
        <vt:lpwstr/>
      </vt:variant>
      <vt:variant>
        <vt:i4>3932262</vt:i4>
      </vt:variant>
      <vt:variant>
        <vt:i4>39</vt:i4>
      </vt:variant>
      <vt:variant>
        <vt:i4>0</vt:i4>
      </vt:variant>
      <vt:variant>
        <vt:i4>5</vt:i4>
      </vt:variant>
      <vt:variant>
        <vt:lpwstr>http://www.glerl.noaa.gov/pubs/brochures/foodweb/LOfoodweb.pdf</vt:lpwstr>
      </vt:variant>
      <vt:variant>
        <vt:lpwstr/>
      </vt:variant>
      <vt:variant>
        <vt:i4>3932268</vt:i4>
      </vt:variant>
      <vt:variant>
        <vt:i4>36</vt:i4>
      </vt:variant>
      <vt:variant>
        <vt:i4>0</vt:i4>
      </vt:variant>
      <vt:variant>
        <vt:i4>5</vt:i4>
      </vt:variant>
      <vt:variant>
        <vt:lpwstr>http://www.glerl.noaa.gov/pubs/brochures/foodweb/LEfoodweb.pdf</vt:lpwstr>
      </vt:variant>
      <vt:variant>
        <vt:lpwstr/>
      </vt:variant>
      <vt:variant>
        <vt:i4>1835133</vt:i4>
      </vt:variant>
      <vt:variant>
        <vt:i4>0</vt:i4>
      </vt:variant>
      <vt:variant>
        <vt:i4>0</vt:i4>
      </vt:variant>
      <vt:variant>
        <vt:i4>5</vt:i4>
      </vt:variant>
      <vt:variant>
        <vt:lpwstr>http://apps.echa.europa.eu/registered/data/dossiers/DISS-dffb4072-e357-47ae-e044-00144f67d031/DISS-dffb4072-e357-47ae-e044-00144f67d031_DISS-dffb4072-e357-47ae-e044-00144f67d031.html</vt:lpwstr>
      </vt:variant>
      <vt:variant>
        <vt:lpwstr/>
      </vt:variant>
      <vt:variant>
        <vt:i4>6750293</vt:i4>
      </vt:variant>
      <vt:variant>
        <vt:i4>18</vt:i4>
      </vt:variant>
      <vt:variant>
        <vt:i4>0</vt:i4>
      </vt:variant>
      <vt:variant>
        <vt:i4>5</vt:i4>
      </vt:variant>
      <vt:variant>
        <vt:lpwstr>http://www.oxy.com/OurBusinesses/Chemicals/Products/Documents/dechloraneplus/dechlorane_plus.pdf</vt:lpwstr>
      </vt:variant>
      <vt:variant>
        <vt:lpwstr/>
      </vt:variant>
      <vt:variant>
        <vt:i4>5570584</vt:i4>
      </vt:variant>
      <vt:variant>
        <vt:i4>15</vt:i4>
      </vt:variant>
      <vt:variant>
        <vt:i4>0</vt:i4>
      </vt:variant>
      <vt:variant>
        <vt:i4>5</vt:i4>
      </vt:variant>
      <vt:variant>
        <vt:lpwstr>http://www.oxy.com/ourbusinesses/chemicals/products/pages/chlorineandderivatives.aspx</vt:lpwstr>
      </vt:variant>
      <vt:variant>
        <vt:lpwstr/>
      </vt:variant>
      <vt:variant>
        <vt:i4>3538979</vt:i4>
      </vt:variant>
      <vt:variant>
        <vt:i4>12</vt:i4>
      </vt:variant>
      <vt:variant>
        <vt:i4>0</vt:i4>
      </vt:variant>
      <vt:variant>
        <vt:i4>5</vt:i4>
      </vt:variant>
      <vt:variant>
        <vt:lpwstr>http://ambit.sourceforge.net/euras/</vt:lpwstr>
      </vt:variant>
      <vt:variant>
        <vt:lpwstr/>
      </vt:variant>
      <vt:variant>
        <vt:i4>5111918</vt:i4>
      </vt:variant>
      <vt:variant>
        <vt:i4>9</vt:i4>
      </vt:variant>
      <vt:variant>
        <vt:i4>0</vt:i4>
      </vt:variant>
      <vt:variant>
        <vt:i4>5</vt:i4>
      </vt:variant>
      <vt:variant>
        <vt:lpwstr>http://www.safe.nite.go.jp/english/sougou/view/Disclaimer_en.faces</vt:lpwstr>
      </vt:variant>
      <vt:variant>
        <vt:lpwstr/>
      </vt:variant>
      <vt:variant>
        <vt:i4>65564</vt:i4>
      </vt:variant>
      <vt:variant>
        <vt:i4>6</vt:i4>
      </vt:variant>
      <vt:variant>
        <vt:i4>0</vt:i4>
      </vt:variant>
      <vt:variant>
        <vt:i4>5</vt:i4>
      </vt:variant>
      <vt:variant>
        <vt:lpwstr>http://a0768b4a8a31e106d8b0-50dc802554eb38a24458b98ff72d550b.r19.cf3.rackcdn.com/scho0811buce-e-e.pdf</vt:lpwstr>
      </vt:variant>
      <vt:variant>
        <vt:lpwstr/>
      </vt:variant>
      <vt:variant>
        <vt:i4>5111918</vt:i4>
      </vt:variant>
      <vt:variant>
        <vt:i4>3</vt:i4>
      </vt:variant>
      <vt:variant>
        <vt:i4>0</vt:i4>
      </vt:variant>
      <vt:variant>
        <vt:i4>5</vt:i4>
      </vt:variant>
      <vt:variant>
        <vt:lpwstr>http://www.safe.nite.go.jp/english/sougou/view/Disclaimer_en.faces</vt:lpwstr>
      </vt:variant>
      <vt:variant>
        <vt:lpwstr/>
      </vt:variant>
      <vt:variant>
        <vt:i4>3932279</vt:i4>
      </vt:variant>
      <vt:variant>
        <vt:i4>0</vt:i4>
      </vt:variant>
      <vt:variant>
        <vt:i4>0</vt:i4>
      </vt:variant>
      <vt:variant>
        <vt:i4>5</vt:i4>
      </vt:variant>
      <vt:variant>
        <vt:lpwstr>http://www.epa.gov/chemrtk/hpvis/index.html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Dechlorane plus</dc:title>
  <dc:subject/>
  <dc:creator>UK EA</dc:creator>
  <cp:keywords/>
  <dc:description/>
  <cp:lastModifiedBy>O'FARRELL Norah</cp:lastModifiedBy>
  <cp:revision>16</cp:revision>
  <cp:lastPrinted>2015-01-08T15:49:00Z</cp:lastPrinted>
  <dcterms:created xsi:type="dcterms:W3CDTF">2017-08-17T07:37:00Z</dcterms:created>
  <dcterms:modified xsi:type="dcterms:W3CDTF">2017-08-30T13:33:00Z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