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23F5F" w14:textId="77777777" w:rsidR="0082331B" w:rsidRDefault="0082331B" w:rsidP="00B12C39">
      <w:pPr>
        <w:pStyle w:val="Covertitle"/>
      </w:pPr>
    </w:p>
    <w:p w14:paraId="090615AD" w14:textId="77777777" w:rsidR="00B12C39" w:rsidRPr="00E43F1D" w:rsidRDefault="00B12C39" w:rsidP="00B12C39">
      <w:pPr>
        <w:pStyle w:val="Covertitle"/>
      </w:pPr>
      <w:r w:rsidRPr="00E43F1D">
        <w:t xml:space="preserve">Annex XV </w:t>
      </w:r>
      <w:r>
        <w:t>report</w:t>
      </w:r>
    </w:p>
    <w:p w14:paraId="497A528F" w14:textId="77777777" w:rsidR="00B12C39" w:rsidRPr="00E43F1D" w:rsidRDefault="00B12C39" w:rsidP="00B12C39">
      <w:pPr>
        <w:pStyle w:val="Covertitle"/>
      </w:pPr>
      <w:r w:rsidRPr="00E43F1D">
        <w:t xml:space="preserve">PROPOSAL FOR IDENTIFICATION OF A </w:t>
      </w:r>
      <w:r w:rsidR="002B58B6">
        <w:t>SUBSTANCE OF VERY HIGH CONCERN</w:t>
      </w:r>
      <w:r w:rsidR="003C419D">
        <w:t xml:space="preserve"> </w:t>
      </w:r>
      <w:proofErr w:type="gramStart"/>
      <w:r w:rsidR="003C419D">
        <w:t>ON THE BASIS OF</w:t>
      </w:r>
      <w:proofErr w:type="gramEnd"/>
      <w:r w:rsidR="003C419D">
        <w:t xml:space="preserve"> </w:t>
      </w:r>
      <w:r w:rsidR="003909BD">
        <w:t xml:space="preserve">THE </w:t>
      </w:r>
      <w:r w:rsidR="003C419D">
        <w:t>CRITERIA SET OUT IN REACH ARTICLE 57</w:t>
      </w:r>
    </w:p>
    <w:p w14:paraId="74BE0114" w14:textId="77777777" w:rsidR="00B12C39" w:rsidRDefault="00B12C39" w:rsidP="00B12C39">
      <w:pPr>
        <w:widowControl/>
        <w:spacing w:after="180"/>
        <w:jc w:val="both"/>
        <w:rPr>
          <w:szCs w:val="24"/>
          <w:lang w:eastAsia="en-US"/>
        </w:rPr>
      </w:pPr>
    </w:p>
    <w:p w14:paraId="383C40E5" w14:textId="77777777" w:rsidR="00B12C39" w:rsidRDefault="00B12C39" w:rsidP="00B12C39">
      <w:pPr>
        <w:widowControl/>
        <w:spacing w:after="180"/>
        <w:jc w:val="both"/>
        <w:rPr>
          <w:szCs w:val="24"/>
          <w:lang w:eastAsia="en-US"/>
        </w:rPr>
      </w:pPr>
    </w:p>
    <w:p w14:paraId="7A9268EE" w14:textId="77777777" w:rsidR="00B12C39" w:rsidRDefault="00B12C39" w:rsidP="00B12C39">
      <w:pPr>
        <w:widowControl/>
        <w:spacing w:after="180"/>
        <w:jc w:val="both"/>
        <w:rPr>
          <w:szCs w:val="24"/>
          <w:lang w:eastAsia="en-US"/>
        </w:rPr>
      </w:pPr>
    </w:p>
    <w:p w14:paraId="5DD06733" w14:textId="77777777" w:rsidR="00B12C39" w:rsidRPr="00E43F1D" w:rsidRDefault="00B12C39" w:rsidP="00B12C39">
      <w:pPr>
        <w:widowControl/>
        <w:spacing w:after="180"/>
        <w:jc w:val="both"/>
        <w:rPr>
          <w:szCs w:val="24"/>
          <w:lang w:eastAsia="en-US"/>
        </w:rPr>
      </w:pPr>
    </w:p>
    <w:p w14:paraId="1F13E95E" w14:textId="7B1FC238" w:rsidR="00B12C39" w:rsidRPr="006F4B04" w:rsidRDefault="00B12C39" w:rsidP="00B12C39">
      <w:pPr>
        <w:widowControl/>
        <w:spacing w:after="180"/>
        <w:jc w:val="both"/>
        <w:rPr>
          <w:rStyle w:val="Strong"/>
          <w:bCs/>
        </w:rPr>
      </w:pPr>
      <w:r w:rsidRPr="006F4B04">
        <w:rPr>
          <w:rStyle w:val="Strong"/>
          <w:bCs/>
        </w:rPr>
        <w:t xml:space="preserve">Substance Name: </w:t>
      </w:r>
      <w:r w:rsidR="001C73E1" w:rsidRPr="002C58FB">
        <w:t xml:space="preserve">Cadmium hydroxide, </w:t>
      </w:r>
      <w:proofErr w:type="gramStart"/>
      <w:r w:rsidR="001C73E1" w:rsidRPr="002C58FB">
        <w:t>Cd(</w:t>
      </w:r>
      <w:proofErr w:type="gramEnd"/>
      <w:r w:rsidR="001C73E1" w:rsidRPr="002C58FB">
        <w:t>OH)</w:t>
      </w:r>
      <w:r w:rsidR="001C73E1" w:rsidRPr="002C58FB">
        <w:rPr>
          <w:vertAlign w:val="subscript"/>
        </w:rPr>
        <w:t>2</w:t>
      </w:r>
    </w:p>
    <w:p w14:paraId="59EC8CD2" w14:textId="4AE56B19" w:rsidR="00B12C39" w:rsidRPr="006F4B04" w:rsidRDefault="00B12C39" w:rsidP="00B12C39">
      <w:pPr>
        <w:widowControl/>
        <w:spacing w:after="180"/>
        <w:jc w:val="both"/>
        <w:rPr>
          <w:rStyle w:val="Strong"/>
          <w:bCs/>
        </w:rPr>
      </w:pPr>
      <w:r w:rsidRPr="006F4B04">
        <w:rPr>
          <w:rStyle w:val="Strong"/>
          <w:bCs/>
        </w:rPr>
        <w:t xml:space="preserve">EC Number: </w:t>
      </w:r>
      <w:r w:rsidR="001C73E1" w:rsidRPr="002C58FB">
        <w:t>244-168-5</w:t>
      </w:r>
    </w:p>
    <w:p w14:paraId="62E32DAD" w14:textId="20350CDA" w:rsidR="00B12C39" w:rsidRPr="006F4B04" w:rsidRDefault="00B12C39" w:rsidP="00B12C39">
      <w:pPr>
        <w:widowControl/>
        <w:spacing w:after="180"/>
        <w:jc w:val="both"/>
        <w:rPr>
          <w:rStyle w:val="Strong"/>
          <w:bCs/>
        </w:rPr>
      </w:pPr>
      <w:r w:rsidRPr="006F4B04">
        <w:rPr>
          <w:rStyle w:val="Strong"/>
          <w:bCs/>
        </w:rPr>
        <w:t xml:space="preserve">CAS Number: </w:t>
      </w:r>
      <w:r w:rsidR="001C73E1" w:rsidRPr="002C58FB">
        <w:t>21041-95-2</w:t>
      </w:r>
    </w:p>
    <w:p w14:paraId="405C3A70" w14:textId="77777777" w:rsidR="00B12C39" w:rsidRPr="006F4B04" w:rsidRDefault="00B12C39" w:rsidP="00B12C39">
      <w:pPr>
        <w:widowControl/>
        <w:spacing w:after="180"/>
        <w:jc w:val="both"/>
        <w:rPr>
          <w:rStyle w:val="Strong"/>
          <w:bCs/>
        </w:rPr>
      </w:pPr>
    </w:p>
    <w:p w14:paraId="2D3AA671" w14:textId="7581DACF" w:rsidR="00B12C39" w:rsidRPr="00673080" w:rsidRDefault="00B12C39" w:rsidP="00B12C39">
      <w:pPr>
        <w:widowControl/>
        <w:spacing w:after="180"/>
        <w:jc w:val="both"/>
        <w:rPr>
          <w:rStyle w:val="Strong"/>
          <w:b w:val="0"/>
          <w:bCs/>
        </w:rPr>
      </w:pPr>
      <w:r w:rsidRPr="006F4B04">
        <w:rPr>
          <w:rStyle w:val="Strong"/>
          <w:bCs/>
        </w:rPr>
        <w:t xml:space="preserve">Submitted by: </w:t>
      </w:r>
      <w:r w:rsidR="00F142D2" w:rsidRPr="00673080">
        <w:rPr>
          <w:rStyle w:val="Strong"/>
          <w:b w:val="0"/>
          <w:bCs/>
        </w:rPr>
        <w:t>Swed</w:t>
      </w:r>
      <w:r w:rsidR="0050718F" w:rsidRPr="00673080">
        <w:rPr>
          <w:rStyle w:val="Strong"/>
          <w:b w:val="0"/>
          <w:bCs/>
        </w:rPr>
        <w:t>ish Chemicals Agency</w:t>
      </w:r>
    </w:p>
    <w:p w14:paraId="3E100907" w14:textId="1359F450" w:rsidR="00B12C39" w:rsidRPr="00E43F1D" w:rsidRDefault="00B12C39" w:rsidP="00B12C39">
      <w:pPr>
        <w:widowControl/>
        <w:spacing w:after="180"/>
        <w:jc w:val="both"/>
        <w:rPr>
          <w:szCs w:val="24"/>
          <w:lang w:eastAsia="en-US"/>
        </w:rPr>
      </w:pPr>
      <w:r w:rsidRPr="006F4B04">
        <w:rPr>
          <w:rStyle w:val="Strong"/>
          <w:bCs/>
        </w:rPr>
        <w:t>Date:</w:t>
      </w:r>
      <w:r w:rsidRPr="00BC0999">
        <w:rPr>
          <w:b/>
          <w:szCs w:val="24"/>
          <w:lang w:eastAsia="en-US"/>
        </w:rPr>
        <w:t xml:space="preserve"> </w:t>
      </w:r>
      <w:r w:rsidR="000A4278" w:rsidRPr="00673080">
        <w:rPr>
          <w:szCs w:val="24"/>
          <w:lang w:eastAsia="en-US"/>
        </w:rPr>
        <w:t>2017-</w:t>
      </w:r>
      <w:r w:rsidR="00936C1F" w:rsidRPr="00673080">
        <w:rPr>
          <w:szCs w:val="24"/>
          <w:lang w:eastAsia="en-US"/>
        </w:rPr>
        <w:t>08-2</w:t>
      </w:r>
      <w:r w:rsidR="00E00DE2" w:rsidRPr="00673080">
        <w:rPr>
          <w:szCs w:val="24"/>
          <w:lang w:eastAsia="en-US"/>
        </w:rPr>
        <w:t>9</w:t>
      </w:r>
    </w:p>
    <w:p w14:paraId="10A92FB6" w14:textId="77777777" w:rsidR="00AA511C" w:rsidRDefault="00AA511C" w:rsidP="008A3E90">
      <w:bookmarkStart w:id="0" w:name="_Toc316637271"/>
    </w:p>
    <w:p w14:paraId="51CEDA8D" w14:textId="0D304A90" w:rsidR="008A3E90" w:rsidRDefault="008A3E90" w:rsidP="008A3E90">
      <w:pPr>
        <w:rPr>
          <w:color w:val="000000"/>
        </w:rPr>
      </w:pPr>
      <w:r w:rsidRPr="001A11A1">
        <w:t xml:space="preserve">This document has been prepared according to template: </w:t>
      </w:r>
      <w:r w:rsidRPr="001A11A1">
        <w:rPr>
          <w:color w:val="000000"/>
        </w:rPr>
        <w:t>TEM-0049.03</w:t>
      </w:r>
    </w:p>
    <w:p w14:paraId="07A3457E" w14:textId="77777777" w:rsidR="008A3E90" w:rsidRPr="001A11A1" w:rsidRDefault="008A3E90" w:rsidP="008A3E90">
      <w:pPr>
        <w:rPr>
          <w:color w:val="000000"/>
        </w:rPr>
      </w:pPr>
    </w:p>
    <w:p w14:paraId="1DADA654" w14:textId="77777777" w:rsidR="00B12C39" w:rsidRDefault="00B12C39" w:rsidP="00B12C39">
      <w:pPr>
        <w:pStyle w:val="Titleintro"/>
      </w:pPr>
      <w:r w:rsidRPr="00AC092B">
        <w:t>CONTENTS</w:t>
      </w:r>
      <w:bookmarkEnd w:id="0"/>
    </w:p>
    <w:sdt>
      <w:sdtPr>
        <w:rPr>
          <w:rFonts w:ascii="Verdana" w:hAnsi="Verdana" w:cs="Times New Roman"/>
          <w:b w:val="0"/>
          <w:bCs w:val="0"/>
          <w:caps w:val="0"/>
        </w:rPr>
        <w:id w:val="2094358525"/>
        <w:docPartObj>
          <w:docPartGallery w:val="Table of Contents"/>
          <w:docPartUnique/>
        </w:docPartObj>
      </w:sdtPr>
      <w:sdtEndPr>
        <w:rPr>
          <w:noProof/>
        </w:rPr>
      </w:sdtEndPr>
      <w:sdtContent>
        <w:p w14:paraId="57C697E8" w14:textId="4A201DF4" w:rsidR="0087074B" w:rsidRDefault="000721AD">
          <w:pPr>
            <w:pStyle w:val="TOC1"/>
            <w:rPr>
              <w:rFonts w:asciiTheme="minorHAnsi" w:eastAsiaTheme="minorEastAsia" w:hAnsiTheme="minorHAnsi" w:cstheme="minorBidi"/>
              <w:b w:val="0"/>
              <w:bCs w:val="0"/>
              <w:caps w:val="0"/>
              <w:noProof/>
              <w:sz w:val="22"/>
              <w:szCs w:val="22"/>
              <w:lang w:val="sv-SE" w:eastAsia="sv-SE"/>
            </w:rPr>
          </w:pPr>
          <w:r>
            <w:fldChar w:fldCharType="begin"/>
          </w:r>
          <w:r w:rsidR="004607CB">
            <w:instrText xml:space="preserve"> TOC \o "1-3" \h \z \u </w:instrText>
          </w:r>
          <w:r>
            <w:fldChar w:fldCharType="separate"/>
          </w:r>
          <w:hyperlink w:anchor="_Toc491435619" w:history="1">
            <w:r w:rsidR="0087074B" w:rsidRPr="00644219">
              <w:rPr>
                <w:rStyle w:val="Hyperlink"/>
                <w:noProof/>
              </w:rPr>
              <w:t>PROPOSAL FOR IDENTIFICATION OF A SUBSTANCE OF VERY HIGH CONCERN ON THE BASIS OF THE CRITERIA SET OUT IN REACH ARTICLE 57</w:t>
            </w:r>
            <w:r w:rsidR="0087074B">
              <w:rPr>
                <w:noProof/>
                <w:webHidden/>
              </w:rPr>
              <w:tab/>
            </w:r>
            <w:r w:rsidR="0087074B">
              <w:rPr>
                <w:noProof/>
                <w:webHidden/>
              </w:rPr>
              <w:fldChar w:fldCharType="begin"/>
            </w:r>
            <w:r w:rsidR="0087074B">
              <w:rPr>
                <w:noProof/>
                <w:webHidden/>
              </w:rPr>
              <w:instrText xml:space="preserve"> PAGEREF _Toc491435619 \h </w:instrText>
            </w:r>
            <w:r w:rsidR="0087074B">
              <w:rPr>
                <w:noProof/>
                <w:webHidden/>
              </w:rPr>
            </w:r>
            <w:r w:rsidR="0087074B">
              <w:rPr>
                <w:noProof/>
                <w:webHidden/>
              </w:rPr>
              <w:fldChar w:fldCharType="separate"/>
            </w:r>
            <w:r w:rsidR="0087074B">
              <w:rPr>
                <w:noProof/>
                <w:webHidden/>
              </w:rPr>
              <w:t>4</w:t>
            </w:r>
            <w:r w:rsidR="0087074B">
              <w:rPr>
                <w:noProof/>
                <w:webHidden/>
              </w:rPr>
              <w:fldChar w:fldCharType="end"/>
            </w:r>
          </w:hyperlink>
        </w:p>
        <w:p w14:paraId="78BE797E" w14:textId="5E8EE8EC" w:rsidR="0087074B" w:rsidRDefault="00673080">
          <w:pPr>
            <w:pStyle w:val="TOC1"/>
            <w:rPr>
              <w:rFonts w:asciiTheme="minorHAnsi" w:eastAsiaTheme="minorEastAsia" w:hAnsiTheme="minorHAnsi" w:cstheme="minorBidi"/>
              <w:b w:val="0"/>
              <w:bCs w:val="0"/>
              <w:caps w:val="0"/>
              <w:noProof/>
              <w:sz w:val="22"/>
              <w:szCs w:val="22"/>
              <w:lang w:val="sv-SE" w:eastAsia="sv-SE"/>
            </w:rPr>
          </w:pPr>
          <w:hyperlink w:anchor="_Toc491435620" w:history="1">
            <w:r w:rsidR="0087074B" w:rsidRPr="00644219">
              <w:rPr>
                <w:rStyle w:val="Hyperlink"/>
                <w:noProof/>
              </w:rPr>
              <w:t>PART I</w:t>
            </w:r>
            <w:r w:rsidR="0087074B">
              <w:rPr>
                <w:noProof/>
                <w:webHidden/>
              </w:rPr>
              <w:tab/>
            </w:r>
            <w:r w:rsidR="0087074B">
              <w:rPr>
                <w:noProof/>
                <w:webHidden/>
              </w:rPr>
              <w:fldChar w:fldCharType="begin"/>
            </w:r>
            <w:r w:rsidR="0087074B">
              <w:rPr>
                <w:noProof/>
                <w:webHidden/>
              </w:rPr>
              <w:instrText xml:space="preserve"> PAGEREF _Toc491435620 \h </w:instrText>
            </w:r>
            <w:r w:rsidR="0087074B">
              <w:rPr>
                <w:noProof/>
                <w:webHidden/>
              </w:rPr>
            </w:r>
            <w:r w:rsidR="0087074B">
              <w:rPr>
                <w:noProof/>
                <w:webHidden/>
              </w:rPr>
              <w:fldChar w:fldCharType="separate"/>
            </w:r>
            <w:r w:rsidR="0087074B">
              <w:rPr>
                <w:noProof/>
                <w:webHidden/>
              </w:rPr>
              <w:t>8</w:t>
            </w:r>
            <w:r w:rsidR="0087074B">
              <w:rPr>
                <w:noProof/>
                <w:webHidden/>
              </w:rPr>
              <w:fldChar w:fldCharType="end"/>
            </w:r>
          </w:hyperlink>
        </w:p>
        <w:p w14:paraId="3E47CB4A" w14:textId="7D3885F5" w:rsidR="0087074B" w:rsidRDefault="00673080">
          <w:pPr>
            <w:pStyle w:val="TOC1"/>
            <w:rPr>
              <w:rFonts w:asciiTheme="minorHAnsi" w:eastAsiaTheme="minorEastAsia" w:hAnsiTheme="minorHAnsi" w:cstheme="minorBidi"/>
              <w:b w:val="0"/>
              <w:bCs w:val="0"/>
              <w:caps w:val="0"/>
              <w:noProof/>
              <w:sz w:val="22"/>
              <w:szCs w:val="22"/>
              <w:lang w:val="sv-SE" w:eastAsia="sv-SE"/>
            </w:rPr>
          </w:pPr>
          <w:hyperlink w:anchor="_Toc491435621" w:history="1">
            <w:r w:rsidR="0087074B" w:rsidRPr="00644219">
              <w:rPr>
                <w:rStyle w:val="Hyperlink"/>
                <w:noProof/>
              </w:rPr>
              <w:t>Justification</w:t>
            </w:r>
            <w:r w:rsidR="0087074B">
              <w:rPr>
                <w:noProof/>
                <w:webHidden/>
              </w:rPr>
              <w:tab/>
            </w:r>
            <w:r w:rsidR="0087074B">
              <w:rPr>
                <w:noProof/>
                <w:webHidden/>
              </w:rPr>
              <w:fldChar w:fldCharType="begin"/>
            </w:r>
            <w:r w:rsidR="0087074B">
              <w:rPr>
                <w:noProof/>
                <w:webHidden/>
              </w:rPr>
              <w:instrText xml:space="preserve"> PAGEREF _Toc491435621 \h </w:instrText>
            </w:r>
            <w:r w:rsidR="0087074B">
              <w:rPr>
                <w:noProof/>
                <w:webHidden/>
              </w:rPr>
            </w:r>
            <w:r w:rsidR="0087074B">
              <w:rPr>
                <w:noProof/>
                <w:webHidden/>
              </w:rPr>
              <w:fldChar w:fldCharType="separate"/>
            </w:r>
            <w:r w:rsidR="0087074B">
              <w:rPr>
                <w:noProof/>
                <w:webHidden/>
              </w:rPr>
              <w:t>8</w:t>
            </w:r>
            <w:r w:rsidR="0087074B">
              <w:rPr>
                <w:noProof/>
                <w:webHidden/>
              </w:rPr>
              <w:fldChar w:fldCharType="end"/>
            </w:r>
          </w:hyperlink>
        </w:p>
        <w:p w14:paraId="634E9ABD" w14:textId="21AF2425" w:rsidR="0087074B" w:rsidRDefault="00673080">
          <w:pPr>
            <w:pStyle w:val="TOC1"/>
            <w:rPr>
              <w:rFonts w:asciiTheme="minorHAnsi" w:eastAsiaTheme="minorEastAsia" w:hAnsiTheme="minorHAnsi" w:cstheme="minorBidi"/>
              <w:b w:val="0"/>
              <w:bCs w:val="0"/>
              <w:caps w:val="0"/>
              <w:noProof/>
              <w:sz w:val="22"/>
              <w:szCs w:val="22"/>
              <w:lang w:val="sv-SE" w:eastAsia="sv-SE"/>
            </w:rPr>
          </w:pPr>
          <w:hyperlink w:anchor="_Toc491435622" w:history="1">
            <w:r w:rsidR="0087074B" w:rsidRPr="00644219">
              <w:rPr>
                <w:rStyle w:val="Hyperlink"/>
                <w:noProof/>
              </w:rPr>
              <w:t>1. Identity of the substance and physical and chemical properties</w:t>
            </w:r>
            <w:r w:rsidR="0087074B">
              <w:rPr>
                <w:noProof/>
                <w:webHidden/>
              </w:rPr>
              <w:tab/>
            </w:r>
            <w:r w:rsidR="0087074B">
              <w:rPr>
                <w:noProof/>
                <w:webHidden/>
              </w:rPr>
              <w:fldChar w:fldCharType="begin"/>
            </w:r>
            <w:r w:rsidR="0087074B">
              <w:rPr>
                <w:noProof/>
                <w:webHidden/>
              </w:rPr>
              <w:instrText xml:space="preserve"> PAGEREF _Toc491435622 \h </w:instrText>
            </w:r>
            <w:r w:rsidR="0087074B">
              <w:rPr>
                <w:noProof/>
                <w:webHidden/>
              </w:rPr>
            </w:r>
            <w:r w:rsidR="0087074B">
              <w:rPr>
                <w:noProof/>
                <w:webHidden/>
              </w:rPr>
              <w:fldChar w:fldCharType="separate"/>
            </w:r>
            <w:r w:rsidR="0087074B">
              <w:rPr>
                <w:noProof/>
                <w:webHidden/>
              </w:rPr>
              <w:t>8</w:t>
            </w:r>
            <w:r w:rsidR="0087074B">
              <w:rPr>
                <w:noProof/>
                <w:webHidden/>
              </w:rPr>
              <w:fldChar w:fldCharType="end"/>
            </w:r>
          </w:hyperlink>
        </w:p>
        <w:p w14:paraId="59934217" w14:textId="477F94F7" w:rsidR="0087074B" w:rsidRDefault="00673080">
          <w:pPr>
            <w:pStyle w:val="TOC2"/>
            <w:tabs>
              <w:tab w:val="left" w:pos="800"/>
            </w:tabs>
            <w:rPr>
              <w:rFonts w:asciiTheme="minorHAnsi" w:eastAsiaTheme="minorEastAsia" w:hAnsiTheme="minorHAnsi" w:cstheme="minorBidi"/>
              <w:noProof/>
              <w:sz w:val="22"/>
              <w:szCs w:val="22"/>
              <w:lang w:val="sv-SE" w:eastAsia="sv-SE"/>
            </w:rPr>
          </w:pPr>
          <w:hyperlink w:anchor="_Toc491435623" w:history="1">
            <w:r w:rsidR="0087074B" w:rsidRPr="00644219">
              <w:rPr>
                <w:rStyle w:val="Hyperlink"/>
                <w:rFonts w:cs="Times New Roman"/>
                <w:noProof/>
              </w:rPr>
              <w:t>1.1</w:t>
            </w:r>
            <w:r w:rsidR="0087074B">
              <w:rPr>
                <w:rFonts w:asciiTheme="minorHAnsi" w:eastAsiaTheme="minorEastAsia" w:hAnsiTheme="minorHAnsi" w:cstheme="minorBidi"/>
                <w:noProof/>
                <w:sz w:val="22"/>
                <w:szCs w:val="22"/>
                <w:lang w:val="sv-SE" w:eastAsia="sv-SE"/>
              </w:rPr>
              <w:tab/>
            </w:r>
            <w:r w:rsidR="0087074B" w:rsidRPr="00644219">
              <w:rPr>
                <w:rStyle w:val="Hyperlink"/>
                <w:noProof/>
              </w:rPr>
              <w:t>Name and other identifiers of the substance</w:t>
            </w:r>
            <w:r w:rsidR="0087074B">
              <w:rPr>
                <w:noProof/>
                <w:webHidden/>
              </w:rPr>
              <w:tab/>
            </w:r>
            <w:r w:rsidR="0087074B">
              <w:rPr>
                <w:noProof/>
                <w:webHidden/>
              </w:rPr>
              <w:fldChar w:fldCharType="begin"/>
            </w:r>
            <w:r w:rsidR="0087074B">
              <w:rPr>
                <w:noProof/>
                <w:webHidden/>
              </w:rPr>
              <w:instrText xml:space="preserve"> PAGEREF _Toc491435623 \h </w:instrText>
            </w:r>
            <w:r w:rsidR="0087074B">
              <w:rPr>
                <w:noProof/>
                <w:webHidden/>
              </w:rPr>
            </w:r>
            <w:r w:rsidR="0087074B">
              <w:rPr>
                <w:noProof/>
                <w:webHidden/>
              </w:rPr>
              <w:fldChar w:fldCharType="separate"/>
            </w:r>
            <w:r w:rsidR="0087074B">
              <w:rPr>
                <w:noProof/>
                <w:webHidden/>
              </w:rPr>
              <w:t>8</w:t>
            </w:r>
            <w:r w:rsidR="0087074B">
              <w:rPr>
                <w:noProof/>
                <w:webHidden/>
              </w:rPr>
              <w:fldChar w:fldCharType="end"/>
            </w:r>
          </w:hyperlink>
        </w:p>
        <w:p w14:paraId="015B48BF" w14:textId="24EFD385" w:rsidR="0087074B" w:rsidRDefault="00673080">
          <w:pPr>
            <w:pStyle w:val="TOC2"/>
            <w:rPr>
              <w:rFonts w:asciiTheme="minorHAnsi" w:eastAsiaTheme="minorEastAsia" w:hAnsiTheme="minorHAnsi" w:cstheme="minorBidi"/>
              <w:noProof/>
              <w:sz w:val="22"/>
              <w:szCs w:val="22"/>
              <w:lang w:val="sv-SE" w:eastAsia="sv-SE"/>
            </w:rPr>
          </w:pPr>
          <w:hyperlink w:anchor="_Toc491435624" w:history="1">
            <w:r w:rsidR="0087074B" w:rsidRPr="00644219">
              <w:rPr>
                <w:rStyle w:val="Hyperlink"/>
                <w:noProof/>
              </w:rPr>
              <w:t>1.2 Composition of the substance</w:t>
            </w:r>
            <w:r w:rsidR="0087074B">
              <w:rPr>
                <w:noProof/>
                <w:webHidden/>
              </w:rPr>
              <w:tab/>
            </w:r>
            <w:r w:rsidR="0087074B">
              <w:rPr>
                <w:noProof/>
                <w:webHidden/>
              </w:rPr>
              <w:fldChar w:fldCharType="begin"/>
            </w:r>
            <w:r w:rsidR="0087074B">
              <w:rPr>
                <w:noProof/>
                <w:webHidden/>
              </w:rPr>
              <w:instrText xml:space="preserve"> PAGEREF _Toc491435624 \h </w:instrText>
            </w:r>
            <w:r w:rsidR="0087074B">
              <w:rPr>
                <w:noProof/>
                <w:webHidden/>
              </w:rPr>
            </w:r>
            <w:r w:rsidR="0087074B">
              <w:rPr>
                <w:noProof/>
                <w:webHidden/>
              </w:rPr>
              <w:fldChar w:fldCharType="separate"/>
            </w:r>
            <w:r w:rsidR="0087074B">
              <w:rPr>
                <w:noProof/>
                <w:webHidden/>
              </w:rPr>
              <w:t>8</w:t>
            </w:r>
            <w:r w:rsidR="0087074B">
              <w:rPr>
                <w:noProof/>
                <w:webHidden/>
              </w:rPr>
              <w:fldChar w:fldCharType="end"/>
            </w:r>
          </w:hyperlink>
        </w:p>
        <w:p w14:paraId="26027971" w14:textId="4D46BFA7" w:rsidR="0087074B" w:rsidRDefault="00673080">
          <w:pPr>
            <w:pStyle w:val="TOC2"/>
            <w:rPr>
              <w:rFonts w:asciiTheme="minorHAnsi" w:eastAsiaTheme="minorEastAsia" w:hAnsiTheme="minorHAnsi" w:cstheme="minorBidi"/>
              <w:noProof/>
              <w:sz w:val="22"/>
              <w:szCs w:val="22"/>
              <w:lang w:val="sv-SE" w:eastAsia="sv-SE"/>
            </w:rPr>
          </w:pPr>
          <w:hyperlink w:anchor="_Toc491435625" w:history="1">
            <w:r w:rsidR="0087074B" w:rsidRPr="00644219">
              <w:rPr>
                <w:rStyle w:val="Hyperlink"/>
                <w:noProof/>
              </w:rPr>
              <w:t>1.3 Identity and composition of structurally related substances (used in a grouping or read-across approach)</w:t>
            </w:r>
            <w:r w:rsidR="0087074B">
              <w:rPr>
                <w:noProof/>
                <w:webHidden/>
              </w:rPr>
              <w:tab/>
            </w:r>
            <w:r w:rsidR="0087074B">
              <w:rPr>
                <w:noProof/>
                <w:webHidden/>
              </w:rPr>
              <w:fldChar w:fldCharType="begin"/>
            </w:r>
            <w:r w:rsidR="0087074B">
              <w:rPr>
                <w:noProof/>
                <w:webHidden/>
              </w:rPr>
              <w:instrText xml:space="preserve"> PAGEREF _Toc491435625 \h </w:instrText>
            </w:r>
            <w:r w:rsidR="0087074B">
              <w:rPr>
                <w:noProof/>
                <w:webHidden/>
              </w:rPr>
            </w:r>
            <w:r w:rsidR="0087074B">
              <w:rPr>
                <w:noProof/>
                <w:webHidden/>
              </w:rPr>
              <w:fldChar w:fldCharType="separate"/>
            </w:r>
            <w:r w:rsidR="0087074B">
              <w:rPr>
                <w:noProof/>
                <w:webHidden/>
              </w:rPr>
              <w:t>9</w:t>
            </w:r>
            <w:r w:rsidR="0087074B">
              <w:rPr>
                <w:noProof/>
                <w:webHidden/>
              </w:rPr>
              <w:fldChar w:fldCharType="end"/>
            </w:r>
          </w:hyperlink>
        </w:p>
        <w:p w14:paraId="47F9A46A" w14:textId="0343BAC7" w:rsidR="0087074B" w:rsidRDefault="00673080">
          <w:pPr>
            <w:pStyle w:val="TOC2"/>
            <w:rPr>
              <w:rFonts w:asciiTheme="minorHAnsi" w:eastAsiaTheme="minorEastAsia" w:hAnsiTheme="minorHAnsi" w:cstheme="minorBidi"/>
              <w:noProof/>
              <w:sz w:val="22"/>
              <w:szCs w:val="22"/>
              <w:lang w:val="sv-SE" w:eastAsia="sv-SE"/>
            </w:rPr>
          </w:pPr>
          <w:hyperlink w:anchor="_Toc491435626" w:history="1">
            <w:r w:rsidR="0087074B" w:rsidRPr="00644219">
              <w:rPr>
                <w:rStyle w:val="Hyperlink"/>
                <w:noProof/>
              </w:rPr>
              <w:t>1.4 Physicochemical properties</w:t>
            </w:r>
            <w:r w:rsidR="0087074B">
              <w:rPr>
                <w:noProof/>
                <w:webHidden/>
              </w:rPr>
              <w:tab/>
            </w:r>
            <w:r w:rsidR="0087074B">
              <w:rPr>
                <w:noProof/>
                <w:webHidden/>
              </w:rPr>
              <w:fldChar w:fldCharType="begin"/>
            </w:r>
            <w:r w:rsidR="0087074B">
              <w:rPr>
                <w:noProof/>
                <w:webHidden/>
              </w:rPr>
              <w:instrText xml:space="preserve"> PAGEREF _Toc491435626 \h </w:instrText>
            </w:r>
            <w:r w:rsidR="0087074B">
              <w:rPr>
                <w:noProof/>
                <w:webHidden/>
              </w:rPr>
            </w:r>
            <w:r w:rsidR="0087074B">
              <w:rPr>
                <w:noProof/>
                <w:webHidden/>
              </w:rPr>
              <w:fldChar w:fldCharType="separate"/>
            </w:r>
            <w:r w:rsidR="0087074B">
              <w:rPr>
                <w:noProof/>
                <w:webHidden/>
              </w:rPr>
              <w:t>9</w:t>
            </w:r>
            <w:r w:rsidR="0087074B">
              <w:rPr>
                <w:noProof/>
                <w:webHidden/>
              </w:rPr>
              <w:fldChar w:fldCharType="end"/>
            </w:r>
          </w:hyperlink>
        </w:p>
        <w:p w14:paraId="4F255CF9" w14:textId="1EDCBDA0" w:rsidR="0087074B" w:rsidRDefault="00673080">
          <w:pPr>
            <w:pStyle w:val="TOC1"/>
            <w:rPr>
              <w:rFonts w:asciiTheme="minorHAnsi" w:eastAsiaTheme="minorEastAsia" w:hAnsiTheme="minorHAnsi" w:cstheme="minorBidi"/>
              <w:b w:val="0"/>
              <w:bCs w:val="0"/>
              <w:caps w:val="0"/>
              <w:noProof/>
              <w:sz w:val="22"/>
              <w:szCs w:val="22"/>
              <w:lang w:val="sv-SE" w:eastAsia="sv-SE"/>
            </w:rPr>
          </w:pPr>
          <w:hyperlink w:anchor="_Toc491435627" w:history="1">
            <w:r w:rsidR="0087074B" w:rsidRPr="00644219">
              <w:rPr>
                <w:rStyle w:val="Hyperlink"/>
                <w:noProof/>
              </w:rPr>
              <w:t>2. Harmonised classification and labelling</w:t>
            </w:r>
            <w:r w:rsidR="0087074B">
              <w:rPr>
                <w:noProof/>
                <w:webHidden/>
              </w:rPr>
              <w:tab/>
            </w:r>
            <w:r w:rsidR="0087074B">
              <w:rPr>
                <w:noProof/>
                <w:webHidden/>
              </w:rPr>
              <w:fldChar w:fldCharType="begin"/>
            </w:r>
            <w:r w:rsidR="0087074B">
              <w:rPr>
                <w:noProof/>
                <w:webHidden/>
              </w:rPr>
              <w:instrText xml:space="preserve"> PAGEREF _Toc491435627 \h </w:instrText>
            </w:r>
            <w:r w:rsidR="0087074B">
              <w:rPr>
                <w:noProof/>
                <w:webHidden/>
              </w:rPr>
            </w:r>
            <w:r w:rsidR="0087074B">
              <w:rPr>
                <w:noProof/>
                <w:webHidden/>
              </w:rPr>
              <w:fldChar w:fldCharType="separate"/>
            </w:r>
            <w:r w:rsidR="0087074B">
              <w:rPr>
                <w:noProof/>
                <w:webHidden/>
              </w:rPr>
              <w:t>10</w:t>
            </w:r>
            <w:r w:rsidR="0087074B">
              <w:rPr>
                <w:noProof/>
                <w:webHidden/>
              </w:rPr>
              <w:fldChar w:fldCharType="end"/>
            </w:r>
          </w:hyperlink>
        </w:p>
        <w:p w14:paraId="676C922C" w14:textId="1F3A80E7" w:rsidR="0087074B" w:rsidRDefault="00673080">
          <w:pPr>
            <w:pStyle w:val="TOC1"/>
            <w:rPr>
              <w:rFonts w:asciiTheme="minorHAnsi" w:eastAsiaTheme="minorEastAsia" w:hAnsiTheme="minorHAnsi" w:cstheme="minorBidi"/>
              <w:b w:val="0"/>
              <w:bCs w:val="0"/>
              <w:caps w:val="0"/>
              <w:noProof/>
              <w:sz w:val="22"/>
              <w:szCs w:val="22"/>
              <w:lang w:val="sv-SE" w:eastAsia="sv-SE"/>
            </w:rPr>
          </w:pPr>
          <w:hyperlink w:anchor="_Toc491435628" w:history="1">
            <w:r w:rsidR="0087074B" w:rsidRPr="00644219">
              <w:rPr>
                <w:rStyle w:val="Hyperlink"/>
                <w:noProof/>
              </w:rPr>
              <w:t>3. Environmental fate properties</w:t>
            </w:r>
            <w:r w:rsidR="0087074B">
              <w:rPr>
                <w:noProof/>
                <w:webHidden/>
              </w:rPr>
              <w:tab/>
            </w:r>
            <w:r w:rsidR="0087074B">
              <w:rPr>
                <w:noProof/>
                <w:webHidden/>
              </w:rPr>
              <w:fldChar w:fldCharType="begin"/>
            </w:r>
            <w:r w:rsidR="0087074B">
              <w:rPr>
                <w:noProof/>
                <w:webHidden/>
              </w:rPr>
              <w:instrText xml:space="preserve"> PAGEREF _Toc491435628 \h </w:instrText>
            </w:r>
            <w:r w:rsidR="0087074B">
              <w:rPr>
                <w:noProof/>
                <w:webHidden/>
              </w:rPr>
            </w:r>
            <w:r w:rsidR="0087074B">
              <w:rPr>
                <w:noProof/>
                <w:webHidden/>
              </w:rPr>
              <w:fldChar w:fldCharType="separate"/>
            </w:r>
            <w:r w:rsidR="0087074B">
              <w:rPr>
                <w:noProof/>
                <w:webHidden/>
              </w:rPr>
              <w:t>10</w:t>
            </w:r>
            <w:r w:rsidR="0087074B">
              <w:rPr>
                <w:noProof/>
                <w:webHidden/>
              </w:rPr>
              <w:fldChar w:fldCharType="end"/>
            </w:r>
          </w:hyperlink>
        </w:p>
        <w:p w14:paraId="4B309A65" w14:textId="3AF6D0DE" w:rsidR="0087074B" w:rsidRDefault="00673080">
          <w:pPr>
            <w:pStyle w:val="TOC2"/>
            <w:rPr>
              <w:rFonts w:asciiTheme="minorHAnsi" w:eastAsiaTheme="minorEastAsia" w:hAnsiTheme="minorHAnsi" w:cstheme="minorBidi"/>
              <w:noProof/>
              <w:sz w:val="22"/>
              <w:szCs w:val="22"/>
              <w:lang w:val="sv-SE" w:eastAsia="sv-SE"/>
            </w:rPr>
          </w:pPr>
          <w:hyperlink w:anchor="_Toc491435629" w:history="1">
            <w:r w:rsidR="0087074B" w:rsidRPr="00644219">
              <w:rPr>
                <w:rStyle w:val="Hyperlink"/>
                <w:noProof/>
              </w:rPr>
              <w:t>3.1 Anthropogenic and natural sources of cadmium exposure</w:t>
            </w:r>
            <w:r w:rsidR="0087074B">
              <w:rPr>
                <w:noProof/>
                <w:webHidden/>
              </w:rPr>
              <w:tab/>
            </w:r>
            <w:r w:rsidR="0087074B">
              <w:rPr>
                <w:noProof/>
                <w:webHidden/>
              </w:rPr>
              <w:fldChar w:fldCharType="begin"/>
            </w:r>
            <w:r w:rsidR="0087074B">
              <w:rPr>
                <w:noProof/>
                <w:webHidden/>
              </w:rPr>
              <w:instrText xml:space="preserve"> PAGEREF _Toc491435629 \h </w:instrText>
            </w:r>
            <w:r w:rsidR="0087074B">
              <w:rPr>
                <w:noProof/>
                <w:webHidden/>
              </w:rPr>
            </w:r>
            <w:r w:rsidR="0087074B">
              <w:rPr>
                <w:noProof/>
                <w:webHidden/>
              </w:rPr>
              <w:fldChar w:fldCharType="separate"/>
            </w:r>
            <w:r w:rsidR="0087074B">
              <w:rPr>
                <w:noProof/>
                <w:webHidden/>
              </w:rPr>
              <w:t>10</w:t>
            </w:r>
            <w:r w:rsidR="0087074B">
              <w:rPr>
                <w:noProof/>
                <w:webHidden/>
              </w:rPr>
              <w:fldChar w:fldCharType="end"/>
            </w:r>
          </w:hyperlink>
        </w:p>
        <w:p w14:paraId="229FEA90" w14:textId="04FBB69D" w:rsidR="0087074B" w:rsidRDefault="00673080">
          <w:pPr>
            <w:pStyle w:val="TOC2"/>
            <w:rPr>
              <w:rFonts w:asciiTheme="minorHAnsi" w:eastAsiaTheme="minorEastAsia" w:hAnsiTheme="minorHAnsi" w:cstheme="minorBidi"/>
              <w:noProof/>
              <w:sz w:val="22"/>
              <w:szCs w:val="22"/>
              <w:lang w:val="sv-SE" w:eastAsia="sv-SE"/>
            </w:rPr>
          </w:pPr>
          <w:hyperlink w:anchor="_Toc491435630" w:history="1">
            <w:r w:rsidR="0087074B" w:rsidRPr="00644219">
              <w:rPr>
                <w:rStyle w:val="Hyperlink"/>
                <w:noProof/>
              </w:rPr>
              <w:t>3.2 Food</w:t>
            </w:r>
            <w:r w:rsidR="0087074B">
              <w:rPr>
                <w:noProof/>
                <w:webHidden/>
              </w:rPr>
              <w:tab/>
            </w:r>
            <w:r w:rsidR="0087074B">
              <w:rPr>
                <w:noProof/>
                <w:webHidden/>
              </w:rPr>
              <w:fldChar w:fldCharType="begin"/>
            </w:r>
            <w:r w:rsidR="0087074B">
              <w:rPr>
                <w:noProof/>
                <w:webHidden/>
              </w:rPr>
              <w:instrText xml:space="preserve"> PAGEREF _Toc491435630 \h </w:instrText>
            </w:r>
            <w:r w:rsidR="0087074B">
              <w:rPr>
                <w:noProof/>
                <w:webHidden/>
              </w:rPr>
            </w:r>
            <w:r w:rsidR="0087074B">
              <w:rPr>
                <w:noProof/>
                <w:webHidden/>
              </w:rPr>
              <w:fldChar w:fldCharType="separate"/>
            </w:r>
            <w:r w:rsidR="0087074B">
              <w:rPr>
                <w:noProof/>
                <w:webHidden/>
              </w:rPr>
              <w:t>11</w:t>
            </w:r>
            <w:r w:rsidR="0087074B">
              <w:rPr>
                <w:noProof/>
                <w:webHidden/>
              </w:rPr>
              <w:fldChar w:fldCharType="end"/>
            </w:r>
          </w:hyperlink>
        </w:p>
        <w:p w14:paraId="6BF64FEE" w14:textId="6218FD6C" w:rsidR="0087074B" w:rsidRDefault="00673080">
          <w:pPr>
            <w:pStyle w:val="TOC2"/>
            <w:rPr>
              <w:rFonts w:asciiTheme="minorHAnsi" w:eastAsiaTheme="minorEastAsia" w:hAnsiTheme="minorHAnsi" w:cstheme="minorBidi"/>
              <w:noProof/>
              <w:sz w:val="22"/>
              <w:szCs w:val="22"/>
              <w:lang w:val="sv-SE" w:eastAsia="sv-SE"/>
            </w:rPr>
          </w:pPr>
          <w:hyperlink w:anchor="_Toc491435631" w:history="1">
            <w:r w:rsidR="0087074B" w:rsidRPr="00644219">
              <w:rPr>
                <w:rStyle w:val="Hyperlink"/>
                <w:noProof/>
              </w:rPr>
              <w:t>3.3 Human exposure and body burden</w:t>
            </w:r>
            <w:r w:rsidR="0087074B">
              <w:rPr>
                <w:noProof/>
                <w:webHidden/>
              </w:rPr>
              <w:tab/>
            </w:r>
            <w:r w:rsidR="0087074B">
              <w:rPr>
                <w:noProof/>
                <w:webHidden/>
              </w:rPr>
              <w:fldChar w:fldCharType="begin"/>
            </w:r>
            <w:r w:rsidR="0087074B">
              <w:rPr>
                <w:noProof/>
                <w:webHidden/>
              </w:rPr>
              <w:instrText xml:space="preserve"> PAGEREF _Toc491435631 \h </w:instrText>
            </w:r>
            <w:r w:rsidR="0087074B">
              <w:rPr>
                <w:noProof/>
                <w:webHidden/>
              </w:rPr>
            </w:r>
            <w:r w:rsidR="0087074B">
              <w:rPr>
                <w:noProof/>
                <w:webHidden/>
              </w:rPr>
              <w:fldChar w:fldCharType="separate"/>
            </w:r>
            <w:r w:rsidR="0087074B">
              <w:rPr>
                <w:noProof/>
                <w:webHidden/>
              </w:rPr>
              <w:t>11</w:t>
            </w:r>
            <w:r w:rsidR="0087074B">
              <w:rPr>
                <w:noProof/>
                <w:webHidden/>
              </w:rPr>
              <w:fldChar w:fldCharType="end"/>
            </w:r>
          </w:hyperlink>
        </w:p>
        <w:p w14:paraId="63655173" w14:textId="0230D3DC" w:rsidR="0087074B" w:rsidRDefault="00673080">
          <w:pPr>
            <w:pStyle w:val="TOC1"/>
            <w:rPr>
              <w:rFonts w:asciiTheme="minorHAnsi" w:eastAsiaTheme="minorEastAsia" w:hAnsiTheme="minorHAnsi" w:cstheme="minorBidi"/>
              <w:b w:val="0"/>
              <w:bCs w:val="0"/>
              <w:caps w:val="0"/>
              <w:noProof/>
              <w:sz w:val="22"/>
              <w:szCs w:val="22"/>
              <w:lang w:val="sv-SE" w:eastAsia="sv-SE"/>
            </w:rPr>
          </w:pPr>
          <w:hyperlink w:anchor="_Toc491435632" w:history="1">
            <w:r w:rsidR="0087074B" w:rsidRPr="00644219">
              <w:rPr>
                <w:rStyle w:val="Hyperlink"/>
                <w:noProof/>
              </w:rPr>
              <w:t>4. Human health hazard assessment</w:t>
            </w:r>
            <w:r w:rsidR="0087074B">
              <w:rPr>
                <w:noProof/>
                <w:webHidden/>
              </w:rPr>
              <w:tab/>
            </w:r>
            <w:r w:rsidR="0087074B">
              <w:rPr>
                <w:noProof/>
                <w:webHidden/>
              </w:rPr>
              <w:fldChar w:fldCharType="begin"/>
            </w:r>
            <w:r w:rsidR="0087074B">
              <w:rPr>
                <w:noProof/>
                <w:webHidden/>
              </w:rPr>
              <w:instrText xml:space="preserve"> PAGEREF _Toc491435632 \h </w:instrText>
            </w:r>
            <w:r w:rsidR="0087074B">
              <w:rPr>
                <w:noProof/>
                <w:webHidden/>
              </w:rPr>
            </w:r>
            <w:r w:rsidR="0087074B">
              <w:rPr>
                <w:noProof/>
                <w:webHidden/>
              </w:rPr>
              <w:fldChar w:fldCharType="separate"/>
            </w:r>
            <w:r w:rsidR="0087074B">
              <w:rPr>
                <w:noProof/>
                <w:webHidden/>
              </w:rPr>
              <w:t>13</w:t>
            </w:r>
            <w:r w:rsidR="0087074B">
              <w:rPr>
                <w:noProof/>
                <w:webHidden/>
              </w:rPr>
              <w:fldChar w:fldCharType="end"/>
            </w:r>
          </w:hyperlink>
        </w:p>
        <w:p w14:paraId="40F28983" w14:textId="721DF124" w:rsidR="0087074B" w:rsidRDefault="00673080">
          <w:pPr>
            <w:pStyle w:val="TOC2"/>
            <w:tabs>
              <w:tab w:val="left" w:pos="800"/>
            </w:tabs>
            <w:rPr>
              <w:rFonts w:asciiTheme="minorHAnsi" w:eastAsiaTheme="minorEastAsia" w:hAnsiTheme="minorHAnsi" w:cstheme="minorBidi"/>
              <w:noProof/>
              <w:sz w:val="22"/>
              <w:szCs w:val="22"/>
              <w:lang w:val="sv-SE" w:eastAsia="sv-SE"/>
            </w:rPr>
          </w:pPr>
          <w:hyperlink w:anchor="_Toc491435633" w:history="1">
            <w:r w:rsidR="0087074B" w:rsidRPr="00644219">
              <w:rPr>
                <w:rStyle w:val="Hyperlink"/>
                <w:noProof/>
              </w:rPr>
              <w:t>4.1</w:t>
            </w:r>
            <w:r w:rsidR="0087074B">
              <w:rPr>
                <w:rFonts w:asciiTheme="minorHAnsi" w:eastAsiaTheme="minorEastAsia" w:hAnsiTheme="minorHAnsi" w:cstheme="minorBidi"/>
                <w:noProof/>
                <w:sz w:val="22"/>
                <w:szCs w:val="22"/>
                <w:lang w:val="sv-SE" w:eastAsia="sv-SE"/>
              </w:rPr>
              <w:tab/>
            </w:r>
            <w:r w:rsidR="0087074B" w:rsidRPr="00644219">
              <w:rPr>
                <w:rStyle w:val="Hyperlink"/>
                <w:noProof/>
              </w:rPr>
              <w:t>Toxicokinetics (absorption, metabolism, distribution and elimination)</w:t>
            </w:r>
            <w:r w:rsidR="0087074B">
              <w:rPr>
                <w:noProof/>
                <w:webHidden/>
              </w:rPr>
              <w:tab/>
            </w:r>
            <w:r w:rsidR="0087074B">
              <w:rPr>
                <w:noProof/>
                <w:webHidden/>
              </w:rPr>
              <w:fldChar w:fldCharType="begin"/>
            </w:r>
            <w:r w:rsidR="0087074B">
              <w:rPr>
                <w:noProof/>
                <w:webHidden/>
              </w:rPr>
              <w:instrText xml:space="preserve"> PAGEREF _Toc491435633 \h </w:instrText>
            </w:r>
            <w:r w:rsidR="0087074B">
              <w:rPr>
                <w:noProof/>
                <w:webHidden/>
              </w:rPr>
            </w:r>
            <w:r w:rsidR="0087074B">
              <w:rPr>
                <w:noProof/>
                <w:webHidden/>
              </w:rPr>
              <w:fldChar w:fldCharType="separate"/>
            </w:r>
            <w:r w:rsidR="0087074B">
              <w:rPr>
                <w:noProof/>
                <w:webHidden/>
              </w:rPr>
              <w:t>13</w:t>
            </w:r>
            <w:r w:rsidR="0087074B">
              <w:rPr>
                <w:noProof/>
                <w:webHidden/>
              </w:rPr>
              <w:fldChar w:fldCharType="end"/>
            </w:r>
          </w:hyperlink>
        </w:p>
        <w:p w14:paraId="33922D2C" w14:textId="2EA0EC6D" w:rsidR="0087074B" w:rsidRDefault="00673080">
          <w:pPr>
            <w:pStyle w:val="TOC2"/>
            <w:tabs>
              <w:tab w:val="left" w:pos="800"/>
            </w:tabs>
            <w:rPr>
              <w:rFonts w:asciiTheme="minorHAnsi" w:eastAsiaTheme="minorEastAsia" w:hAnsiTheme="minorHAnsi" w:cstheme="minorBidi"/>
              <w:noProof/>
              <w:sz w:val="22"/>
              <w:szCs w:val="22"/>
              <w:lang w:val="sv-SE" w:eastAsia="sv-SE"/>
            </w:rPr>
          </w:pPr>
          <w:hyperlink w:anchor="_Toc491435634" w:history="1">
            <w:r w:rsidR="0087074B" w:rsidRPr="00644219">
              <w:rPr>
                <w:rStyle w:val="Hyperlink"/>
                <w:noProof/>
              </w:rPr>
              <w:t>4.2</w:t>
            </w:r>
            <w:r w:rsidR="0087074B">
              <w:rPr>
                <w:rFonts w:asciiTheme="minorHAnsi" w:eastAsiaTheme="minorEastAsia" w:hAnsiTheme="minorHAnsi" w:cstheme="minorBidi"/>
                <w:noProof/>
                <w:sz w:val="22"/>
                <w:szCs w:val="22"/>
                <w:lang w:val="sv-SE" w:eastAsia="sv-SE"/>
              </w:rPr>
              <w:tab/>
            </w:r>
            <w:r w:rsidR="0087074B" w:rsidRPr="00644219">
              <w:rPr>
                <w:rStyle w:val="Hyperlink"/>
                <w:noProof/>
              </w:rPr>
              <w:t>Repeated dose toxicity</w:t>
            </w:r>
            <w:r w:rsidR="0087074B">
              <w:rPr>
                <w:noProof/>
                <w:webHidden/>
              </w:rPr>
              <w:tab/>
            </w:r>
            <w:r w:rsidR="0087074B">
              <w:rPr>
                <w:noProof/>
                <w:webHidden/>
              </w:rPr>
              <w:fldChar w:fldCharType="begin"/>
            </w:r>
            <w:r w:rsidR="0087074B">
              <w:rPr>
                <w:noProof/>
                <w:webHidden/>
              </w:rPr>
              <w:instrText xml:space="preserve"> PAGEREF _Toc491435634 \h </w:instrText>
            </w:r>
            <w:r w:rsidR="0087074B">
              <w:rPr>
                <w:noProof/>
                <w:webHidden/>
              </w:rPr>
            </w:r>
            <w:r w:rsidR="0087074B">
              <w:rPr>
                <w:noProof/>
                <w:webHidden/>
              </w:rPr>
              <w:fldChar w:fldCharType="separate"/>
            </w:r>
            <w:r w:rsidR="0087074B">
              <w:rPr>
                <w:noProof/>
                <w:webHidden/>
              </w:rPr>
              <w:t>13</w:t>
            </w:r>
            <w:r w:rsidR="0087074B">
              <w:rPr>
                <w:noProof/>
                <w:webHidden/>
              </w:rPr>
              <w:fldChar w:fldCharType="end"/>
            </w:r>
          </w:hyperlink>
        </w:p>
        <w:p w14:paraId="09DBCEE0" w14:textId="453653AB" w:rsidR="0087074B" w:rsidRDefault="00673080">
          <w:pPr>
            <w:pStyle w:val="TOC2"/>
            <w:tabs>
              <w:tab w:val="left" w:pos="1000"/>
            </w:tabs>
            <w:rPr>
              <w:rFonts w:asciiTheme="minorHAnsi" w:eastAsiaTheme="minorEastAsia" w:hAnsiTheme="minorHAnsi" w:cstheme="minorBidi"/>
              <w:noProof/>
              <w:sz w:val="22"/>
              <w:szCs w:val="22"/>
              <w:lang w:val="sv-SE" w:eastAsia="sv-SE"/>
            </w:rPr>
          </w:pPr>
          <w:hyperlink w:anchor="_Toc491435635" w:history="1">
            <w:r w:rsidR="0087074B" w:rsidRPr="00644219">
              <w:rPr>
                <w:rStyle w:val="Hyperlink"/>
                <w:noProof/>
              </w:rPr>
              <w:t>4.2.1</w:t>
            </w:r>
            <w:r w:rsidR="0087074B">
              <w:rPr>
                <w:rFonts w:asciiTheme="minorHAnsi" w:eastAsiaTheme="minorEastAsia" w:hAnsiTheme="minorHAnsi" w:cstheme="minorBidi"/>
                <w:noProof/>
                <w:sz w:val="22"/>
                <w:szCs w:val="22"/>
                <w:lang w:val="sv-SE" w:eastAsia="sv-SE"/>
              </w:rPr>
              <w:tab/>
            </w:r>
            <w:r w:rsidR="0087074B" w:rsidRPr="00644219">
              <w:rPr>
                <w:rStyle w:val="Hyperlink"/>
                <w:noProof/>
              </w:rPr>
              <w:t>Kidney toxicity</w:t>
            </w:r>
            <w:r w:rsidR="0087074B">
              <w:rPr>
                <w:noProof/>
                <w:webHidden/>
              </w:rPr>
              <w:tab/>
            </w:r>
            <w:r w:rsidR="0087074B">
              <w:rPr>
                <w:noProof/>
                <w:webHidden/>
              </w:rPr>
              <w:fldChar w:fldCharType="begin"/>
            </w:r>
            <w:r w:rsidR="0087074B">
              <w:rPr>
                <w:noProof/>
                <w:webHidden/>
              </w:rPr>
              <w:instrText xml:space="preserve"> PAGEREF _Toc491435635 \h </w:instrText>
            </w:r>
            <w:r w:rsidR="0087074B">
              <w:rPr>
                <w:noProof/>
                <w:webHidden/>
              </w:rPr>
            </w:r>
            <w:r w:rsidR="0087074B">
              <w:rPr>
                <w:noProof/>
                <w:webHidden/>
              </w:rPr>
              <w:fldChar w:fldCharType="separate"/>
            </w:r>
            <w:r w:rsidR="0087074B">
              <w:rPr>
                <w:noProof/>
                <w:webHidden/>
              </w:rPr>
              <w:t>13</w:t>
            </w:r>
            <w:r w:rsidR="0087074B">
              <w:rPr>
                <w:noProof/>
                <w:webHidden/>
              </w:rPr>
              <w:fldChar w:fldCharType="end"/>
            </w:r>
          </w:hyperlink>
        </w:p>
        <w:p w14:paraId="509C0B57" w14:textId="0E82C9DF" w:rsidR="0087074B" w:rsidRDefault="00673080">
          <w:pPr>
            <w:pStyle w:val="TOC2"/>
            <w:tabs>
              <w:tab w:val="left" w:pos="1000"/>
            </w:tabs>
            <w:rPr>
              <w:rFonts w:asciiTheme="minorHAnsi" w:eastAsiaTheme="minorEastAsia" w:hAnsiTheme="minorHAnsi" w:cstheme="minorBidi"/>
              <w:noProof/>
              <w:sz w:val="22"/>
              <w:szCs w:val="22"/>
              <w:lang w:val="sv-SE" w:eastAsia="sv-SE"/>
            </w:rPr>
          </w:pPr>
          <w:hyperlink w:anchor="_Toc491435636" w:history="1">
            <w:r w:rsidR="0087074B" w:rsidRPr="00644219">
              <w:rPr>
                <w:rStyle w:val="Hyperlink"/>
                <w:noProof/>
              </w:rPr>
              <w:t>4.2.2</w:t>
            </w:r>
            <w:r w:rsidR="0087074B">
              <w:rPr>
                <w:rFonts w:asciiTheme="minorHAnsi" w:eastAsiaTheme="minorEastAsia" w:hAnsiTheme="minorHAnsi" w:cstheme="minorBidi"/>
                <w:noProof/>
                <w:sz w:val="22"/>
                <w:szCs w:val="22"/>
                <w:lang w:val="sv-SE" w:eastAsia="sv-SE"/>
              </w:rPr>
              <w:tab/>
            </w:r>
            <w:r w:rsidR="0087074B" w:rsidRPr="00644219">
              <w:rPr>
                <w:rStyle w:val="Hyperlink"/>
                <w:noProof/>
              </w:rPr>
              <w:t>Bone toxicity</w:t>
            </w:r>
            <w:r w:rsidR="0087074B">
              <w:rPr>
                <w:noProof/>
                <w:webHidden/>
              </w:rPr>
              <w:tab/>
            </w:r>
            <w:r w:rsidR="0087074B">
              <w:rPr>
                <w:noProof/>
                <w:webHidden/>
              </w:rPr>
              <w:fldChar w:fldCharType="begin"/>
            </w:r>
            <w:r w:rsidR="0087074B">
              <w:rPr>
                <w:noProof/>
                <w:webHidden/>
              </w:rPr>
              <w:instrText xml:space="preserve"> PAGEREF _Toc491435636 \h </w:instrText>
            </w:r>
            <w:r w:rsidR="0087074B">
              <w:rPr>
                <w:noProof/>
                <w:webHidden/>
              </w:rPr>
            </w:r>
            <w:r w:rsidR="0087074B">
              <w:rPr>
                <w:noProof/>
                <w:webHidden/>
              </w:rPr>
              <w:fldChar w:fldCharType="separate"/>
            </w:r>
            <w:r w:rsidR="0087074B">
              <w:rPr>
                <w:noProof/>
                <w:webHidden/>
              </w:rPr>
              <w:t>14</w:t>
            </w:r>
            <w:r w:rsidR="0087074B">
              <w:rPr>
                <w:noProof/>
                <w:webHidden/>
              </w:rPr>
              <w:fldChar w:fldCharType="end"/>
            </w:r>
          </w:hyperlink>
        </w:p>
        <w:p w14:paraId="0D6BE9A4" w14:textId="3BA31884" w:rsidR="0087074B" w:rsidRDefault="00673080">
          <w:pPr>
            <w:pStyle w:val="TOC3"/>
            <w:tabs>
              <w:tab w:val="left" w:pos="1200"/>
              <w:tab w:val="right" w:leader="dot" w:pos="9017"/>
            </w:tabs>
            <w:rPr>
              <w:rFonts w:asciiTheme="minorHAnsi" w:eastAsiaTheme="minorEastAsia" w:hAnsiTheme="minorHAnsi" w:cstheme="minorBidi"/>
              <w:i w:val="0"/>
              <w:iCs w:val="0"/>
              <w:noProof/>
              <w:sz w:val="22"/>
              <w:szCs w:val="22"/>
              <w:lang w:val="sv-SE" w:eastAsia="sv-SE"/>
            </w:rPr>
          </w:pPr>
          <w:hyperlink w:anchor="_Toc491435637" w:history="1">
            <w:r w:rsidR="0087074B" w:rsidRPr="00644219">
              <w:rPr>
                <w:rStyle w:val="Hyperlink"/>
                <w:noProof/>
              </w:rPr>
              <w:t>4.2.3</w:t>
            </w:r>
            <w:r w:rsidR="0087074B">
              <w:rPr>
                <w:rFonts w:asciiTheme="minorHAnsi" w:eastAsiaTheme="minorEastAsia" w:hAnsiTheme="minorHAnsi" w:cstheme="minorBidi"/>
                <w:i w:val="0"/>
                <w:iCs w:val="0"/>
                <w:noProof/>
                <w:sz w:val="22"/>
                <w:szCs w:val="22"/>
                <w:lang w:val="sv-SE" w:eastAsia="sv-SE"/>
              </w:rPr>
              <w:tab/>
            </w:r>
            <w:r w:rsidR="0087074B" w:rsidRPr="00644219">
              <w:rPr>
                <w:rStyle w:val="Hyperlink"/>
                <w:noProof/>
              </w:rPr>
              <w:t>Summary of other effects</w:t>
            </w:r>
            <w:r w:rsidR="0087074B">
              <w:rPr>
                <w:noProof/>
                <w:webHidden/>
              </w:rPr>
              <w:tab/>
            </w:r>
            <w:r w:rsidR="0087074B">
              <w:rPr>
                <w:noProof/>
                <w:webHidden/>
              </w:rPr>
              <w:fldChar w:fldCharType="begin"/>
            </w:r>
            <w:r w:rsidR="0087074B">
              <w:rPr>
                <w:noProof/>
                <w:webHidden/>
              </w:rPr>
              <w:instrText xml:space="preserve"> PAGEREF _Toc491435637 \h </w:instrText>
            </w:r>
            <w:r w:rsidR="0087074B">
              <w:rPr>
                <w:noProof/>
                <w:webHidden/>
              </w:rPr>
            </w:r>
            <w:r w:rsidR="0087074B">
              <w:rPr>
                <w:noProof/>
                <w:webHidden/>
              </w:rPr>
              <w:fldChar w:fldCharType="separate"/>
            </w:r>
            <w:r w:rsidR="0087074B">
              <w:rPr>
                <w:noProof/>
                <w:webHidden/>
              </w:rPr>
              <w:t>17</w:t>
            </w:r>
            <w:r w:rsidR="0087074B">
              <w:rPr>
                <w:noProof/>
                <w:webHidden/>
              </w:rPr>
              <w:fldChar w:fldCharType="end"/>
            </w:r>
          </w:hyperlink>
        </w:p>
        <w:p w14:paraId="7FEEF4AB" w14:textId="71781500" w:rsidR="0087074B" w:rsidRDefault="00673080">
          <w:pPr>
            <w:pStyle w:val="TOC1"/>
            <w:rPr>
              <w:rFonts w:asciiTheme="minorHAnsi" w:eastAsiaTheme="minorEastAsia" w:hAnsiTheme="minorHAnsi" w:cstheme="minorBidi"/>
              <w:b w:val="0"/>
              <w:bCs w:val="0"/>
              <w:caps w:val="0"/>
              <w:noProof/>
              <w:sz w:val="22"/>
              <w:szCs w:val="22"/>
              <w:lang w:val="sv-SE" w:eastAsia="sv-SE"/>
            </w:rPr>
          </w:pPr>
          <w:hyperlink w:anchor="_Toc491435638" w:history="1">
            <w:r w:rsidR="0087074B" w:rsidRPr="00644219">
              <w:rPr>
                <w:rStyle w:val="Hyperlink"/>
                <w:noProof/>
              </w:rPr>
              <w:t>5. Environmental hazard assessment</w:t>
            </w:r>
            <w:r w:rsidR="0087074B">
              <w:rPr>
                <w:noProof/>
                <w:webHidden/>
              </w:rPr>
              <w:tab/>
            </w:r>
            <w:r w:rsidR="0087074B">
              <w:rPr>
                <w:noProof/>
                <w:webHidden/>
              </w:rPr>
              <w:fldChar w:fldCharType="begin"/>
            </w:r>
            <w:r w:rsidR="0087074B">
              <w:rPr>
                <w:noProof/>
                <w:webHidden/>
              </w:rPr>
              <w:instrText xml:space="preserve"> PAGEREF _Toc491435638 \h </w:instrText>
            </w:r>
            <w:r w:rsidR="0087074B">
              <w:rPr>
                <w:noProof/>
                <w:webHidden/>
              </w:rPr>
            </w:r>
            <w:r w:rsidR="0087074B">
              <w:rPr>
                <w:noProof/>
                <w:webHidden/>
              </w:rPr>
              <w:fldChar w:fldCharType="separate"/>
            </w:r>
            <w:r w:rsidR="0087074B">
              <w:rPr>
                <w:noProof/>
                <w:webHidden/>
              </w:rPr>
              <w:t>17</w:t>
            </w:r>
            <w:r w:rsidR="0087074B">
              <w:rPr>
                <w:noProof/>
                <w:webHidden/>
              </w:rPr>
              <w:fldChar w:fldCharType="end"/>
            </w:r>
          </w:hyperlink>
        </w:p>
        <w:p w14:paraId="0D2D37E4" w14:textId="47661053" w:rsidR="0087074B" w:rsidRDefault="00673080">
          <w:pPr>
            <w:pStyle w:val="TOC1"/>
            <w:rPr>
              <w:rFonts w:asciiTheme="minorHAnsi" w:eastAsiaTheme="minorEastAsia" w:hAnsiTheme="minorHAnsi" w:cstheme="minorBidi"/>
              <w:b w:val="0"/>
              <w:bCs w:val="0"/>
              <w:caps w:val="0"/>
              <w:noProof/>
              <w:sz w:val="22"/>
              <w:szCs w:val="22"/>
              <w:lang w:val="sv-SE" w:eastAsia="sv-SE"/>
            </w:rPr>
          </w:pPr>
          <w:hyperlink w:anchor="_Toc491435639" w:history="1">
            <w:r w:rsidR="0087074B" w:rsidRPr="00644219">
              <w:rPr>
                <w:rStyle w:val="Hyperlink"/>
                <w:noProof/>
              </w:rPr>
              <w:t>6. Conclusions on the SVHC Properties</w:t>
            </w:r>
            <w:r w:rsidR="0087074B">
              <w:rPr>
                <w:noProof/>
                <w:webHidden/>
              </w:rPr>
              <w:tab/>
            </w:r>
            <w:r w:rsidR="0087074B">
              <w:rPr>
                <w:noProof/>
                <w:webHidden/>
              </w:rPr>
              <w:fldChar w:fldCharType="begin"/>
            </w:r>
            <w:r w:rsidR="0087074B">
              <w:rPr>
                <w:noProof/>
                <w:webHidden/>
              </w:rPr>
              <w:instrText xml:space="preserve"> PAGEREF _Toc491435639 \h </w:instrText>
            </w:r>
            <w:r w:rsidR="0087074B">
              <w:rPr>
                <w:noProof/>
                <w:webHidden/>
              </w:rPr>
            </w:r>
            <w:r w:rsidR="0087074B">
              <w:rPr>
                <w:noProof/>
                <w:webHidden/>
              </w:rPr>
              <w:fldChar w:fldCharType="separate"/>
            </w:r>
            <w:r w:rsidR="0087074B">
              <w:rPr>
                <w:noProof/>
                <w:webHidden/>
              </w:rPr>
              <w:t>17</w:t>
            </w:r>
            <w:r w:rsidR="0087074B">
              <w:rPr>
                <w:noProof/>
                <w:webHidden/>
              </w:rPr>
              <w:fldChar w:fldCharType="end"/>
            </w:r>
          </w:hyperlink>
        </w:p>
        <w:p w14:paraId="1AC5CB5F" w14:textId="0FABFA1C" w:rsidR="0087074B" w:rsidRDefault="00673080">
          <w:pPr>
            <w:pStyle w:val="TOC2"/>
            <w:rPr>
              <w:rFonts w:asciiTheme="minorHAnsi" w:eastAsiaTheme="minorEastAsia" w:hAnsiTheme="minorHAnsi" w:cstheme="minorBidi"/>
              <w:noProof/>
              <w:sz w:val="22"/>
              <w:szCs w:val="22"/>
              <w:lang w:val="sv-SE" w:eastAsia="sv-SE"/>
            </w:rPr>
          </w:pPr>
          <w:hyperlink w:anchor="_Toc491435640" w:history="1">
            <w:r w:rsidR="0087074B" w:rsidRPr="00644219">
              <w:rPr>
                <w:rStyle w:val="Hyperlink"/>
                <w:noProof/>
              </w:rPr>
              <w:t>6.1 CMR assessment</w:t>
            </w:r>
            <w:r w:rsidR="0087074B">
              <w:rPr>
                <w:noProof/>
                <w:webHidden/>
              </w:rPr>
              <w:tab/>
            </w:r>
            <w:r w:rsidR="0087074B">
              <w:rPr>
                <w:noProof/>
                <w:webHidden/>
              </w:rPr>
              <w:fldChar w:fldCharType="begin"/>
            </w:r>
            <w:r w:rsidR="0087074B">
              <w:rPr>
                <w:noProof/>
                <w:webHidden/>
              </w:rPr>
              <w:instrText xml:space="preserve"> PAGEREF _Toc491435640 \h </w:instrText>
            </w:r>
            <w:r w:rsidR="0087074B">
              <w:rPr>
                <w:noProof/>
                <w:webHidden/>
              </w:rPr>
            </w:r>
            <w:r w:rsidR="0087074B">
              <w:rPr>
                <w:noProof/>
                <w:webHidden/>
              </w:rPr>
              <w:fldChar w:fldCharType="separate"/>
            </w:r>
            <w:r w:rsidR="0087074B">
              <w:rPr>
                <w:noProof/>
                <w:webHidden/>
              </w:rPr>
              <w:t>17</w:t>
            </w:r>
            <w:r w:rsidR="0087074B">
              <w:rPr>
                <w:noProof/>
                <w:webHidden/>
              </w:rPr>
              <w:fldChar w:fldCharType="end"/>
            </w:r>
          </w:hyperlink>
        </w:p>
        <w:p w14:paraId="3117AF10" w14:textId="3E110AC7" w:rsidR="0087074B" w:rsidRDefault="00673080">
          <w:pPr>
            <w:pStyle w:val="TOC2"/>
            <w:rPr>
              <w:rFonts w:asciiTheme="minorHAnsi" w:eastAsiaTheme="minorEastAsia" w:hAnsiTheme="minorHAnsi" w:cstheme="minorBidi"/>
              <w:noProof/>
              <w:sz w:val="22"/>
              <w:szCs w:val="22"/>
              <w:lang w:val="sv-SE" w:eastAsia="sv-SE"/>
            </w:rPr>
          </w:pPr>
          <w:hyperlink w:anchor="_Toc491435641" w:history="1">
            <w:r w:rsidR="0087074B" w:rsidRPr="00644219">
              <w:rPr>
                <w:rStyle w:val="Hyperlink"/>
                <w:noProof/>
              </w:rPr>
              <w:t>6.2 PBT and vPvB assessment</w:t>
            </w:r>
            <w:r w:rsidR="0087074B">
              <w:rPr>
                <w:noProof/>
                <w:webHidden/>
              </w:rPr>
              <w:tab/>
            </w:r>
            <w:r w:rsidR="0087074B">
              <w:rPr>
                <w:noProof/>
                <w:webHidden/>
              </w:rPr>
              <w:fldChar w:fldCharType="begin"/>
            </w:r>
            <w:r w:rsidR="0087074B">
              <w:rPr>
                <w:noProof/>
                <w:webHidden/>
              </w:rPr>
              <w:instrText xml:space="preserve"> PAGEREF _Toc491435641 \h </w:instrText>
            </w:r>
            <w:r w:rsidR="0087074B">
              <w:rPr>
                <w:noProof/>
                <w:webHidden/>
              </w:rPr>
            </w:r>
            <w:r w:rsidR="0087074B">
              <w:rPr>
                <w:noProof/>
                <w:webHidden/>
              </w:rPr>
              <w:fldChar w:fldCharType="separate"/>
            </w:r>
            <w:r w:rsidR="0087074B">
              <w:rPr>
                <w:noProof/>
                <w:webHidden/>
              </w:rPr>
              <w:t>18</w:t>
            </w:r>
            <w:r w:rsidR="0087074B">
              <w:rPr>
                <w:noProof/>
                <w:webHidden/>
              </w:rPr>
              <w:fldChar w:fldCharType="end"/>
            </w:r>
          </w:hyperlink>
        </w:p>
        <w:p w14:paraId="74A3D173" w14:textId="15CBD54B" w:rsidR="0087074B" w:rsidRDefault="00673080">
          <w:pPr>
            <w:pStyle w:val="TOC2"/>
            <w:rPr>
              <w:rFonts w:asciiTheme="minorHAnsi" w:eastAsiaTheme="minorEastAsia" w:hAnsiTheme="minorHAnsi" w:cstheme="minorBidi"/>
              <w:noProof/>
              <w:sz w:val="22"/>
              <w:szCs w:val="22"/>
              <w:lang w:val="sv-SE" w:eastAsia="sv-SE"/>
            </w:rPr>
          </w:pPr>
          <w:hyperlink w:anchor="_Toc491435642" w:history="1">
            <w:r w:rsidR="0087074B" w:rsidRPr="00644219">
              <w:rPr>
                <w:rStyle w:val="Hyperlink"/>
                <w:noProof/>
              </w:rPr>
              <w:t>6.3 Assessment under Article 57(f)</w:t>
            </w:r>
            <w:r w:rsidR="0087074B">
              <w:rPr>
                <w:noProof/>
                <w:webHidden/>
              </w:rPr>
              <w:tab/>
            </w:r>
            <w:r w:rsidR="0087074B">
              <w:rPr>
                <w:noProof/>
                <w:webHidden/>
              </w:rPr>
              <w:fldChar w:fldCharType="begin"/>
            </w:r>
            <w:r w:rsidR="0087074B">
              <w:rPr>
                <w:noProof/>
                <w:webHidden/>
              </w:rPr>
              <w:instrText xml:space="preserve"> PAGEREF _Toc491435642 \h </w:instrText>
            </w:r>
            <w:r w:rsidR="0087074B">
              <w:rPr>
                <w:noProof/>
                <w:webHidden/>
              </w:rPr>
            </w:r>
            <w:r w:rsidR="0087074B">
              <w:rPr>
                <w:noProof/>
                <w:webHidden/>
              </w:rPr>
              <w:fldChar w:fldCharType="separate"/>
            </w:r>
            <w:r w:rsidR="0087074B">
              <w:rPr>
                <w:noProof/>
                <w:webHidden/>
              </w:rPr>
              <w:t>18</w:t>
            </w:r>
            <w:r w:rsidR="0087074B">
              <w:rPr>
                <w:noProof/>
                <w:webHidden/>
              </w:rPr>
              <w:fldChar w:fldCharType="end"/>
            </w:r>
          </w:hyperlink>
        </w:p>
        <w:p w14:paraId="4BA72469" w14:textId="05305319" w:rsidR="0087074B" w:rsidRDefault="00673080">
          <w:pPr>
            <w:pStyle w:val="TOC3"/>
            <w:tabs>
              <w:tab w:val="right" w:leader="dot" w:pos="9017"/>
            </w:tabs>
            <w:rPr>
              <w:rFonts w:asciiTheme="minorHAnsi" w:eastAsiaTheme="minorEastAsia" w:hAnsiTheme="minorHAnsi" w:cstheme="minorBidi"/>
              <w:i w:val="0"/>
              <w:iCs w:val="0"/>
              <w:noProof/>
              <w:sz w:val="22"/>
              <w:szCs w:val="22"/>
              <w:lang w:val="sv-SE" w:eastAsia="sv-SE"/>
            </w:rPr>
          </w:pPr>
          <w:hyperlink w:anchor="_Toc491435643" w:history="1">
            <w:r w:rsidR="0087074B" w:rsidRPr="00644219">
              <w:rPr>
                <w:rStyle w:val="Hyperlink"/>
                <w:noProof/>
              </w:rPr>
              <w:t>6.3.1 Summary of the data on the hazardous properties</w:t>
            </w:r>
            <w:r w:rsidR="0087074B">
              <w:rPr>
                <w:noProof/>
                <w:webHidden/>
              </w:rPr>
              <w:tab/>
            </w:r>
            <w:r w:rsidR="0087074B">
              <w:rPr>
                <w:noProof/>
                <w:webHidden/>
              </w:rPr>
              <w:fldChar w:fldCharType="begin"/>
            </w:r>
            <w:r w:rsidR="0087074B">
              <w:rPr>
                <w:noProof/>
                <w:webHidden/>
              </w:rPr>
              <w:instrText xml:space="preserve"> PAGEREF _Toc491435643 \h </w:instrText>
            </w:r>
            <w:r w:rsidR="0087074B">
              <w:rPr>
                <w:noProof/>
                <w:webHidden/>
              </w:rPr>
            </w:r>
            <w:r w:rsidR="0087074B">
              <w:rPr>
                <w:noProof/>
                <w:webHidden/>
              </w:rPr>
              <w:fldChar w:fldCharType="separate"/>
            </w:r>
            <w:r w:rsidR="0087074B">
              <w:rPr>
                <w:noProof/>
                <w:webHidden/>
              </w:rPr>
              <w:t>18</w:t>
            </w:r>
            <w:r w:rsidR="0087074B">
              <w:rPr>
                <w:noProof/>
                <w:webHidden/>
              </w:rPr>
              <w:fldChar w:fldCharType="end"/>
            </w:r>
          </w:hyperlink>
        </w:p>
        <w:p w14:paraId="662C9EE4" w14:textId="0E53F3B8" w:rsidR="0087074B" w:rsidRDefault="00673080">
          <w:pPr>
            <w:pStyle w:val="TOC3"/>
            <w:tabs>
              <w:tab w:val="right" w:leader="dot" w:pos="9017"/>
            </w:tabs>
            <w:rPr>
              <w:rFonts w:asciiTheme="minorHAnsi" w:eastAsiaTheme="minorEastAsia" w:hAnsiTheme="minorHAnsi" w:cstheme="minorBidi"/>
              <w:i w:val="0"/>
              <w:iCs w:val="0"/>
              <w:noProof/>
              <w:sz w:val="22"/>
              <w:szCs w:val="22"/>
              <w:lang w:val="sv-SE" w:eastAsia="sv-SE"/>
            </w:rPr>
          </w:pPr>
          <w:hyperlink w:anchor="_Toc491435644" w:history="1">
            <w:r w:rsidR="0087074B" w:rsidRPr="00644219">
              <w:rPr>
                <w:rStyle w:val="Hyperlink"/>
                <w:noProof/>
              </w:rPr>
              <w:t>6.3.2 Equivalent level of concern assessment</w:t>
            </w:r>
            <w:r w:rsidR="0087074B">
              <w:rPr>
                <w:noProof/>
                <w:webHidden/>
              </w:rPr>
              <w:tab/>
            </w:r>
            <w:r w:rsidR="0087074B">
              <w:rPr>
                <w:noProof/>
                <w:webHidden/>
              </w:rPr>
              <w:fldChar w:fldCharType="begin"/>
            </w:r>
            <w:r w:rsidR="0087074B">
              <w:rPr>
                <w:noProof/>
                <w:webHidden/>
              </w:rPr>
              <w:instrText xml:space="preserve"> PAGEREF _Toc491435644 \h </w:instrText>
            </w:r>
            <w:r w:rsidR="0087074B">
              <w:rPr>
                <w:noProof/>
                <w:webHidden/>
              </w:rPr>
            </w:r>
            <w:r w:rsidR="0087074B">
              <w:rPr>
                <w:noProof/>
                <w:webHidden/>
              </w:rPr>
              <w:fldChar w:fldCharType="separate"/>
            </w:r>
            <w:r w:rsidR="0087074B">
              <w:rPr>
                <w:noProof/>
                <w:webHidden/>
              </w:rPr>
              <w:t>18</w:t>
            </w:r>
            <w:r w:rsidR="0087074B">
              <w:rPr>
                <w:noProof/>
                <w:webHidden/>
              </w:rPr>
              <w:fldChar w:fldCharType="end"/>
            </w:r>
          </w:hyperlink>
        </w:p>
        <w:p w14:paraId="58D88D5C" w14:textId="7BCB24CF" w:rsidR="0087074B" w:rsidRDefault="00673080">
          <w:pPr>
            <w:pStyle w:val="TOC3"/>
            <w:tabs>
              <w:tab w:val="right" w:leader="dot" w:pos="9017"/>
            </w:tabs>
            <w:rPr>
              <w:rFonts w:asciiTheme="minorHAnsi" w:eastAsiaTheme="minorEastAsia" w:hAnsiTheme="minorHAnsi" w:cstheme="minorBidi"/>
              <w:i w:val="0"/>
              <w:iCs w:val="0"/>
              <w:noProof/>
              <w:sz w:val="22"/>
              <w:szCs w:val="22"/>
              <w:lang w:val="sv-SE" w:eastAsia="sv-SE"/>
            </w:rPr>
          </w:pPr>
          <w:hyperlink w:anchor="_Toc491435645" w:history="1">
            <w:r w:rsidR="0087074B" w:rsidRPr="00644219">
              <w:rPr>
                <w:rStyle w:val="Hyperlink"/>
                <w:noProof/>
              </w:rPr>
              <w:t>6.3.3 Conclusion on the hazard properties and equivalent level of concern assessment</w:t>
            </w:r>
            <w:r w:rsidR="0087074B">
              <w:rPr>
                <w:noProof/>
                <w:webHidden/>
              </w:rPr>
              <w:tab/>
            </w:r>
            <w:r w:rsidR="0087074B">
              <w:rPr>
                <w:noProof/>
                <w:webHidden/>
              </w:rPr>
              <w:fldChar w:fldCharType="begin"/>
            </w:r>
            <w:r w:rsidR="0087074B">
              <w:rPr>
                <w:noProof/>
                <w:webHidden/>
              </w:rPr>
              <w:instrText xml:space="preserve"> PAGEREF _Toc491435645 \h </w:instrText>
            </w:r>
            <w:r w:rsidR="0087074B">
              <w:rPr>
                <w:noProof/>
                <w:webHidden/>
              </w:rPr>
            </w:r>
            <w:r w:rsidR="0087074B">
              <w:rPr>
                <w:noProof/>
                <w:webHidden/>
              </w:rPr>
              <w:fldChar w:fldCharType="separate"/>
            </w:r>
            <w:r w:rsidR="0087074B">
              <w:rPr>
                <w:noProof/>
                <w:webHidden/>
              </w:rPr>
              <w:t>21</w:t>
            </w:r>
            <w:r w:rsidR="0087074B">
              <w:rPr>
                <w:noProof/>
                <w:webHidden/>
              </w:rPr>
              <w:fldChar w:fldCharType="end"/>
            </w:r>
          </w:hyperlink>
        </w:p>
        <w:p w14:paraId="06B3D7EB" w14:textId="0ADCF6E4" w:rsidR="0087074B" w:rsidRDefault="00673080">
          <w:pPr>
            <w:pStyle w:val="TOC1"/>
            <w:rPr>
              <w:rFonts w:asciiTheme="minorHAnsi" w:eastAsiaTheme="minorEastAsia" w:hAnsiTheme="minorHAnsi" w:cstheme="minorBidi"/>
              <w:b w:val="0"/>
              <w:bCs w:val="0"/>
              <w:caps w:val="0"/>
              <w:noProof/>
              <w:sz w:val="22"/>
              <w:szCs w:val="22"/>
              <w:lang w:val="sv-SE" w:eastAsia="sv-SE"/>
            </w:rPr>
          </w:pPr>
          <w:hyperlink w:anchor="_Toc491435646" w:history="1">
            <w:r w:rsidR="0087074B" w:rsidRPr="00644219">
              <w:rPr>
                <w:rStyle w:val="Hyperlink"/>
                <w:noProof/>
              </w:rPr>
              <w:t>Part II</w:t>
            </w:r>
            <w:r w:rsidR="0087074B">
              <w:rPr>
                <w:noProof/>
                <w:webHidden/>
              </w:rPr>
              <w:tab/>
            </w:r>
            <w:r w:rsidR="0087074B">
              <w:rPr>
                <w:noProof/>
                <w:webHidden/>
              </w:rPr>
              <w:fldChar w:fldCharType="begin"/>
            </w:r>
            <w:r w:rsidR="0087074B">
              <w:rPr>
                <w:noProof/>
                <w:webHidden/>
              </w:rPr>
              <w:instrText xml:space="preserve"> PAGEREF _Toc491435646 \h </w:instrText>
            </w:r>
            <w:r w:rsidR="0087074B">
              <w:rPr>
                <w:noProof/>
                <w:webHidden/>
              </w:rPr>
            </w:r>
            <w:r w:rsidR="0087074B">
              <w:rPr>
                <w:noProof/>
                <w:webHidden/>
              </w:rPr>
              <w:fldChar w:fldCharType="separate"/>
            </w:r>
            <w:r w:rsidR="0087074B">
              <w:rPr>
                <w:noProof/>
                <w:webHidden/>
              </w:rPr>
              <w:t>22</w:t>
            </w:r>
            <w:r w:rsidR="0087074B">
              <w:rPr>
                <w:noProof/>
                <w:webHidden/>
              </w:rPr>
              <w:fldChar w:fldCharType="end"/>
            </w:r>
          </w:hyperlink>
        </w:p>
        <w:p w14:paraId="3C6F0F83" w14:textId="228A7562" w:rsidR="0087074B" w:rsidRDefault="00673080">
          <w:pPr>
            <w:pStyle w:val="TOC1"/>
            <w:rPr>
              <w:rFonts w:asciiTheme="minorHAnsi" w:eastAsiaTheme="minorEastAsia" w:hAnsiTheme="minorHAnsi" w:cstheme="minorBidi"/>
              <w:b w:val="0"/>
              <w:bCs w:val="0"/>
              <w:caps w:val="0"/>
              <w:noProof/>
              <w:sz w:val="22"/>
              <w:szCs w:val="22"/>
              <w:lang w:val="sv-SE" w:eastAsia="sv-SE"/>
            </w:rPr>
          </w:pPr>
          <w:hyperlink w:anchor="_Toc491435647" w:history="1">
            <w:r w:rsidR="0087074B" w:rsidRPr="00644219">
              <w:rPr>
                <w:rStyle w:val="Hyperlink"/>
                <w:noProof/>
              </w:rPr>
              <w:t>7. Registration and C&amp;L notification status</w:t>
            </w:r>
            <w:r w:rsidR="0087074B">
              <w:rPr>
                <w:noProof/>
                <w:webHidden/>
              </w:rPr>
              <w:tab/>
            </w:r>
            <w:r w:rsidR="0087074B">
              <w:rPr>
                <w:noProof/>
                <w:webHidden/>
              </w:rPr>
              <w:fldChar w:fldCharType="begin"/>
            </w:r>
            <w:r w:rsidR="0087074B">
              <w:rPr>
                <w:noProof/>
                <w:webHidden/>
              </w:rPr>
              <w:instrText xml:space="preserve"> PAGEREF _Toc491435647 \h </w:instrText>
            </w:r>
            <w:r w:rsidR="0087074B">
              <w:rPr>
                <w:noProof/>
                <w:webHidden/>
              </w:rPr>
            </w:r>
            <w:r w:rsidR="0087074B">
              <w:rPr>
                <w:noProof/>
                <w:webHidden/>
              </w:rPr>
              <w:fldChar w:fldCharType="separate"/>
            </w:r>
            <w:r w:rsidR="0087074B">
              <w:rPr>
                <w:noProof/>
                <w:webHidden/>
              </w:rPr>
              <w:t>22</w:t>
            </w:r>
            <w:r w:rsidR="0087074B">
              <w:rPr>
                <w:noProof/>
                <w:webHidden/>
              </w:rPr>
              <w:fldChar w:fldCharType="end"/>
            </w:r>
          </w:hyperlink>
        </w:p>
        <w:p w14:paraId="0BB2F6D3" w14:textId="276F7D91" w:rsidR="0087074B" w:rsidRDefault="00673080">
          <w:pPr>
            <w:pStyle w:val="TOC2"/>
            <w:tabs>
              <w:tab w:val="left" w:pos="800"/>
            </w:tabs>
            <w:rPr>
              <w:rFonts w:asciiTheme="minorHAnsi" w:eastAsiaTheme="minorEastAsia" w:hAnsiTheme="minorHAnsi" w:cstheme="minorBidi"/>
              <w:noProof/>
              <w:sz w:val="22"/>
              <w:szCs w:val="22"/>
              <w:lang w:val="sv-SE" w:eastAsia="sv-SE"/>
            </w:rPr>
          </w:pPr>
          <w:hyperlink w:anchor="_Toc491435648" w:history="1">
            <w:r w:rsidR="0087074B" w:rsidRPr="00644219">
              <w:rPr>
                <w:rStyle w:val="Hyperlink"/>
                <w:rFonts w:cs="Times New Roman"/>
                <w:noProof/>
              </w:rPr>
              <w:t>7.1</w:t>
            </w:r>
            <w:r w:rsidR="0087074B">
              <w:rPr>
                <w:rFonts w:asciiTheme="minorHAnsi" w:eastAsiaTheme="minorEastAsia" w:hAnsiTheme="minorHAnsi" w:cstheme="minorBidi"/>
                <w:noProof/>
                <w:sz w:val="22"/>
                <w:szCs w:val="22"/>
                <w:lang w:val="sv-SE" w:eastAsia="sv-SE"/>
              </w:rPr>
              <w:tab/>
            </w:r>
            <w:r w:rsidR="0087074B" w:rsidRPr="00644219">
              <w:rPr>
                <w:rStyle w:val="Hyperlink"/>
                <w:noProof/>
              </w:rPr>
              <w:t>Registration status</w:t>
            </w:r>
            <w:r w:rsidR="0087074B">
              <w:rPr>
                <w:noProof/>
                <w:webHidden/>
              </w:rPr>
              <w:tab/>
            </w:r>
            <w:r w:rsidR="0087074B">
              <w:rPr>
                <w:noProof/>
                <w:webHidden/>
              </w:rPr>
              <w:fldChar w:fldCharType="begin"/>
            </w:r>
            <w:r w:rsidR="0087074B">
              <w:rPr>
                <w:noProof/>
                <w:webHidden/>
              </w:rPr>
              <w:instrText xml:space="preserve"> PAGEREF _Toc491435648 \h </w:instrText>
            </w:r>
            <w:r w:rsidR="0087074B">
              <w:rPr>
                <w:noProof/>
                <w:webHidden/>
              </w:rPr>
            </w:r>
            <w:r w:rsidR="0087074B">
              <w:rPr>
                <w:noProof/>
                <w:webHidden/>
              </w:rPr>
              <w:fldChar w:fldCharType="separate"/>
            </w:r>
            <w:r w:rsidR="0087074B">
              <w:rPr>
                <w:noProof/>
                <w:webHidden/>
              </w:rPr>
              <w:t>22</w:t>
            </w:r>
            <w:r w:rsidR="0087074B">
              <w:rPr>
                <w:noProof/>
                <w:webHidden/>
              </w:rPr>
              <w:fldChar w:fldCharType="end"/>
            </w:r>
          </w:hyperlink>
        </w:p>
        <w:p w14:paraId="6BB3B525" w14:textId="20B42B8D" w:rsidR="0087074B" w:rsidRDefault="00673080">
          <w:pPr>
            <w:pStyle w:val="TOC2"/>
            <w:rPr>
              <w:rFonts w:asciiTheme="minorHAnsi" w:eastAsiaTheme="minorEastAsia" w:hAnsiTheme="minorHAnsi" w:cstheme="minorBidi"/>
              <w:noProof/>
              <w:sz w:val="22"/>
              <w:szCs w:val="22"/>
              <w:lang w:val="sv-SE" w:eastAsia="sv-SE"/>
            </w:rPr>
          </w:pPr>
          <w:hyperlink w:anchor="_Toc491435649" w:history="1">
            <w:r w:rsidR="0087074B" w:rsidRPr="00644219">
              <w:rPr>
                <w:rStyle w:val="Hyperlink"/>
                <w:noProof/>
              </w:rPr>
              <w:t>7.2 CLP notification status</w:t>
            </w:r>
            <w:r w:rsidR="0087074B">
              <w:rPr>
                <w:noProof/>
                <w:webHidden/>
              </w:rPr>
              <w:tab/>
            </w:r>
            <w:r w:rsidR="0087074B">
              <w:rPr>
                <w:noProof/>
                <w:webHidden/>
              </w:rPr>
              <w:fldChar w:fldCharType="begin"/>
            </w:r>
            <w:r w:rsidR="0087074B">
              <w:rPr>
                <w:noProof/>
                <w:webHidden/>
              </w:rPr>
              <w:instrText xml:space="preserve"> PAGEREF _Toc491435649 \h </w:instrText>
            </w:r>
            <w:r w:rsidR="0087074B">
              <w:rPr>
                <w:noProof/>
                <w:webHidden/>
              </w:rPr>
            </w:r>
            <w:r w:rsidR="0087074B">
              <w:rPr>
                <w:noProof/>
                <w:webHidden/>
              </w:rPr>
              <w:fldChar w:fldCharType="separate"/>
            </w:r>
            <w:r w:rsidR="0087074B">
              <w:rPr>
                <w:noProof/>
                <w:webHidden/>
              </w:rPr>
              <w:t>22</w:t>
            </w:r>
            <w:r w:rsidR="0087074B">
              <w:rPr>
                <w:noProof/>
                <w:webHidden/>
              </w:rPr>
              <w:fldChar w:fldCharType="end"/>
            </w:r>
          </w:hyperlink>
        </w:p>
        <w:p w14:paraId="68394AFE" w14:textId="446E910F" w:rsidR="0087074B" w:rsidRDefault="00673080">
          <w:pPr>
            <w:pStyle w:val="TOC1"/>
            <w:rPr>
              <w:rFonts w:asciiTheme="minorHAnsi" w:eastAsiaTheme="minorEastAsia" w:hAnsiTheme="minorHAnsi" w:cstheme="minorBidi"/>
              <w:b w:val="0"/>
              <w:bCs w:val="0"/>
              <w:caps w:val="0"/>
              <w:noProof/>
              <w:sz w:val="22"/>
              <w:szCs w:val="22"/>
              <w:lang w:val="sv-SE" w:eastAsia="sv-SE"/>
            </w:rPr>
          </w:pPr>
          <w:hyperlink w:anchor="_Toc491435650" w:history="1">
            <w:r w:rsidR="0087074B" w:rsidRPr="00644219">
              <w:rPr>
                <w:rStyle w:val="Hyperlink"/>
                <w:noProof/>
              </w:rPr>
              <w:t>8. Total tonnage of the substance</w:t>
            </w:r>
            <w:r w:rsidR="0087074B">
              <w:rPr>
                <w:noProof/>
                <w:webHidden/>
              </w:rPr>
              <w:tab/>
            </w:r>
            <w:r w:rsidR="0087074B">
              <w:rPr>
                <w:noProof/>
                <w:webHidden/>
              </w:rPr>
              <w:fldChar w:fldCharType="begin"/>
            </w:r>
            <w:r w:rsidR="0087074B">
              <w:rPr>
                <w:noProof/>
                <w:webHidden/>
              </w:rPr>
              <w:instrText xml:space="preserve"> PAGEREF _Toc491435650 \h </w:instrText>
            </w:r>
            <w:r w:rsidR="0087074B">
              <w:rPr>
                <w:noProof/>
                <w:webHidden/>
              </w:rPr>
            </w:r>
            <w:r w:rsidR="0087074B">
              <w:rPr>
                <w:noProof/>
                <w:webHidden/>
              </w:rPr>
              <w:fldChar w:fldCharType="separate"/>
            </w:r>
            <w:r w:rsidR="0087074B">
              <w:rPr>
                <w:noProof/>
                <w:webHidden/>
              </w:rPr>
              <w:t>22</w:t>
            </w:r>
            <w:r w:rsidR="0087074B">
              <w:rPr>
                <w:noProof/>
                <w:webHidden/>
              </w:rPr>
              <w:fldChar w:fldCharType="end"/>
            </w:r>
          </w:hyperlink>
        </w:p>
        <w:p w14:paraId="78FEEA88" w14:textId="3757DFDE" w:rsidR="0087074B" w:rsidRDefault="00673080">
          <w:pPr>
            <w:pStyle w:val="TOC1"/>
            <w:rPr>
              <w:rFonts w:asciiTheme="minorHAnsi" w:eastAsiaTheme="minorEastAsia" w:hAnsiTheme="minorHAnsi" w:cstheme="minorBidi"/>
              <w:b w:val="0"/>
              <w:bCs w:val="0"/>
              <w:caps w:val="0"/>
              <w:noProof/>
              <w:sz w:val="22"/>
              <w:szCs w:val="22"/>
              <w:lang w:val="sv-SE" w:eastAsia="sv-SE"/>
            </w:rPr>
          </w:pPr>
          <w:hyperlink w:anchor="_Toc491435651" w:history="1">
            <w:r w:rsidR="0087074B" w:rsidRPr="00644219">
              <w:rPr>
                <w:rStyle w:val="Hyperlink"/>
                <w:noProof/>
              </w:rPr>
              <w:t>9. Information on uses of the substance</w:t>
            </w:r>
            <w:r w:rsidR="0087074B">
              <w:rPr>
                <w:noProof/>
                <w:webHidden/>
              </w:rPr>
              <w:tab/>
            </w:r>
            <w:r w:rsidR="0087074B">
              <w:rPr>
                <w:noProof/>
                <w:webHidden/>
              </w:rPr>
              <w:fldChar w:fldCharType="begin"/>
            </w:r>
            <w:r w:rsidR="0087074B">
              <w:rPr>
                <w:noProof/>
                <w:webHidden/>
              </w:rPr>
              <w:instrText xml:space="preserve"> PAGEREF _Toc491435651 \h </w:instrText>
            </w:r>
            <w:r w:rsidR="0087074B">
              <w:rPr>
                <w:noProof/>
                <w:webHidden/>
              </w:rPr>
            </w:r>
            <w:r w:rsidR="0087074B">
              <w:rPr>
                <w:noProof/>
                <w:webHidden/>
              </w:rPr>
              <w:fldChar w:fldCharType="separate"/>
            </w:r>
            <w:r w:rsidR="0087074B">
              <w:rPr>
                <w:noProof/>
                <w:webHidden/>
              </w:rPr>
              <w:t>23</w:t>
            </w:r>
            <w:r w:rsidR="0087074B">
              <w:rPr>
                <w:noProof/>
                <w:webHidden/>
              </w:rPr>
              <w:fldChar w:fldCharType="end"/>
            </w:r>
          </w:hyperlink>
        </w:p>
        <w:p w14:paraId="667851B3" w14:textId="065D5C73" w:rsidR="0087074B" w:rsidRDefault="00673080">
          <w:pPr>
            <w:pStyle w:val="TOC1"/>
            <w:rPr>
              <w:rFonts w:asciiTheme="minorHAnsi" w:eastAsiaTheme="minorEastAsia" w:hAnsiTheme="minorHAnsi" w:cstheme="minorBidi"/>
              <w:b w:val="0"/>
              <w:bCs w:val="0"/>
              <w:caps w:val="0"/>
              <w:noProof/>
              <w:sz w:val="22"/>
              <w:szCs w:val="22"/>
              <w:lang w:val="sv-SE" w:eastAsia="sv-SE"/>
            </w:rPr>
          </w:pPr>
          <w:hyperlink w:anchor="_Toc491435652" w:history="1">
            <w:r w:rsidR="0087074B" w:rsidRPr="00644219">
              <w:rPr>
                <w:rStyle w:val="Hyperlink"/>
                <w:noProof/>
              </w:rPr>
              <w:t>10. Information on structure of the supply chain</w:t>
            </w:r>
            <w:r w:rsidR="0087074B">
              <w:rPr>
                <w:noProof/>
                <w:webHidden/>
              </w:rPr>
              <w:tab/>
            </w:r>
            <w:r w:rsidR="0087074B">
              <w:rPr>
                <w:noProof/>
                <w:webHidden/>
              </w:rPr>
              <w:fldChar w:fldCharType="begin"/>
            </w:r>
            <w:r w:rsidR="0087074B">
              <w:rPr>
                <w:noProof/>
                <w:webHidden/>
              </w:rPr>
              <w:instrText xml:space="preserve"> PAGEREF _Toc491435652 \h </w:instrText>
            </w:r>
            <w:r w:rsidR="0087074B">
              <w:rPr>
                <w:noProof/>
                <w:webHidden/>
              </w:rPr>
            </w:r>
            <w:r w:rsidR="0087074B">
              <w:rPr>
                <w:noProof/>
                <w:webHidden/>
              </w:rPr>
              <w:fldChar w:fldCharType="separate"/>
            </w:r>
            <w:r w:rsidR="0087074B">
              <w:rPr>
                <w:noProof/>
                <w:webHidden/>
              </w:rPr>
              <w:t>24</w:t>
            </w:r>
            <w:r w:rsidR="0087074B">
              <w:rPr>
                <w:noProof/>
                <w:webHidden/>
              </w:rPr>
              <w:fldChar w:fldCharType="end"/>
            </w:r>
          </w:hyperlink>
        </w:p>
        <w:p w14:paraId="30E32841" w14:textId="780E0E3F" w:rsidR="0087074B" w:rsidRDefault="00673080">
          <w:pPr>
            <w:pStyle w:val="TOC1"/>
            <w:rPr>
              <w:rFonts w:asciiTheme="minorHAnsi" w:eastAsiaTheme="minorEastAsia" w:hAnsiTheme="minorHAnsi" w:cstheme="minorBidi"/>
              <w:b w:val="0"/>
              <w:bCs w:val="0"/>
              <w:caps w:val="0"/>
              <w:noProof/>
              <w:sz w:val="22"/>
              <w:szCs w:val="22"/>
              <w:lang w:val="sv-SE" w:eastAsia="sv-SE"/>
            </w:rPr>
          </w:pPr>
          <w:hyperlink w:anchor="_Toc491435653" w:history="1">
            <w:r w:rsidR="0087074B" w:rsidRPr="00644219">
              <w:rPr>
                <w:rStyle w:val="Hyperlink"/>
                <w:noProof/>
              </w:rPr>
              <w:t>11. Additional information</w:t>
            </w:r>
            <w:r w:rsidR="0087074B">
              <w:rPr>
                <w:noProof/>
                <w:webHidden/>
              </w:rPr>
              <w:tab/>
            </w:r>
            <w:r w:rsidR="0087074B">
              <w:rPr>
                <w:noProof/>
                <w:webHidden/>
              </w:rPr>
              <w:fldChar w:fldCharType="begin"/>
            </w:r>
            <w:r w:rsidR="0087074B">
              <w:rPr>
                <w:noProof/>
                <w:webHidden/>
              </w:rPr>
              <w:instrText xml:space="preserve"> PAGEREF _Toc491435653 \h </w:instrText>
            </w:r>
            <w:r w:rsidR="0087074B">
              <w:rPr>
                <w:noProof/>
                <w:webHidden/>
              </w:rPr>
            </w:r>
            <w:r w:rsidR="0087074B">
              <w:rPr>
                <w:noProof/>
                <w:webHidden/>
              </w:rPr>
              <w:fldChar w:fldCharType="separate"/>
            </w:r>
            <w:r w:rsidR="0087074B">
              <w:rPr>
                <w:noProof/>
                <w:webHidden/>
              </w:rPr>
              <w:t>24</w:t>
            </w:r>
            <w:r w:rsidR="0087074B">
              <w:rPr>
                <w:noProof/>
                <w:webHidden/>
              </w:rPr>
              <w:fldChar w:fldCharType="end"/>
            </w:r>
          </w:hyperlink>
        </w:p>
        <w:p w14:paraId="158C127E" w14:textId="5A73A516" w:rsidR="0087074B" w:rsidRDefault="00673080">
          <w:pPr>
            <w:pStyle w:val="TOC2"/>
            <w:rPr>
              <w:rFonts w:asciiTheme="minorHAnsi" w:eastAsiaTheme="minorEastAsia" w:hAnsiTheme="minorHAnsi" w:cstheme="minorBidi"/>
              <w:noProof/>
              <w:sz w:val="22"/>
              <w:szCs w:val="22"/>
              <w:lang w:val="sv-SE" w:eastAsia="sv-SE"/>
            </w:rPr>
          </w:pPr>
          <w:hyperlink w:anchor="_Toc491435654" w:history="1">
            <w:r w:rsidR="0087074B" w:rsidRPr="00644219">
              <w:rPr>
                <w:rStyle w:val="Hyperlink"/>
                <w:noProof/>
              </w:rPr>
              <w:t>11.1 Substances with similar hazard and use profiles on the Candidate List</w:t>
            </w:r>
            <w:r w:rsidR="0087074B">
              <w:rPr>
                <w:noProof/>
                <w:webHidden/>
              </w:rPr>
              <w:tab/>
            </w:r>
            <w:r w:rsidR="0087074B">
              <w:rPr>
                <w:noProof/>
                <w:webHidden/>
              </w:rPr>
              <w:fldChar w:fldCharType="begin"/>
            </w:r>
            <w:r w:rsidR="0087074B">
              <w:rPr>
                <w:noProof/>
                <w:webHidden/>
              </w:rPr>
              <w:instrText xml:space="preserve"> PAGEREF _Toc491435654 \h </w:instrText>
            </w:r>
            <w:r w:rsidR="0087074B">
              <w:rPr>
                <w:noProof/>
                <w:webHidden/>
              </w:rPr>
            </w:r>
            <w:r w:rsidR="0087074B">
              <w:rPr>
                <w:noProof/>
                <w:webHidden/>
              </w:rPr>
              <w:fldChar w:fldCharType="separate"/>
            </w:r>
            <w:r w:rsidR="0087074B">
              <w:rPr>
                <w:noProof/>
                <w:webHidden/>
              </w:rPr>
              <w:t>24</w:t>
            </w:r>
            <w:r w:rsidR="0087074B">
              <w:rPr>
                <w:noProof/>
                <w:webHidden/>
              </w:rPr>
              <w:fldChar w:fldCharType="end"/>
            </w:r>
          </w:hyperlink>
        </w:p>
        <w:p w14:paraId="39AE2D30" w14:textId="58A0FE78" w:rsidR="0087074B" w:rsidRDefault="00673080">
          <w:pPr>
            <w:pStyle w:val="TOC2"/>
            <w:rPr>
              <w:rFonts w:asciiTheme="minorHAnsi" w:eastAsiaTheme="minorEastAsia" w:hAnsiTheme="minorHAnsi" w:cstheme="minorBidi"/>
              <w:noProof/>
              <w:sz w:val="22"/>
              <w:szCs w:val="22"/>
              <w:lang w:val="sv-SE" w:eastAsia="sv-SE"/>
            </w:rPr>
          </w:pPr>
          <w:hyperlink w:anchor="_Toc491435655" w:history="1">
            <w:r w:rsidR="0087074B" w:rsidRPr="00644219">
              <w:rPr>
                <w:rStyle w:val="Hyperlink"/>
                <w:noProof/>
              </w:rPr>
              <w:t>11.2 Alternatives</w:t>
            </w:r>
            <w:r w:rsidR="0087074B">
              <w:rPr>
                <w:noProof/>
                <w:webHidden/>
              </w:rPr>
              <w:tab/>
            </w:r>
            <w:r w:rsidR="0087074B">
              <w:rPr>
                <w:noProof/>
                <w:webHidden/>
              </w:rPr>
              <w:fldChar w:fldCharType="begin"/>
            </w:r>
            <w:r w:rsidR="0087074B">
              <w:rPr>
                <w:noProof/>
                <w:webHidden/>
              </w:rPr>
              <w:instrText xml:space="preserve"> PAGEREF _Toc491435655 \h </w:instrText>
            </w:r>
            <w:r w:rsidR="0087074B">
              <w:rPr>
                <w:noProof/>
                <w:webHidden/>
              </w:rPr>
            </w:r>
            <w:r w:rsidR="0087074B">
              <w:rPr>
                <w:noProof/>
                <w:webHidden/>
              </w:rPr>
              <w:fldChar w:fldCharType="separate"/>
            </w:r>
            <w:r w:rsidR="0087074B">
              <w:rPr>
                <w:noProof/>
                <w:webHidden/>
              </w:rPr>
              <w:t>25</w:t>
            </w:r>
            <w:r w:rsidR="0087074B">
              <w:rPr>
                <w:noProof/>
                <w:webHidden/>
              </w:rPr>
              <w:fldChar w:fldCharType="end"/>
            </w:r>
          </w:hyperlink>
        </w:p>
        <w:p w14:paraId="6A0853DD" w14:textId="7E495291" w:rsidR="0087074B" w:rsidRDefault="00673080">
          <w:pPr>
            <w:pStyle w:val="TOC2"/>
            <w:rPr>
              <w:rFonts w:asciiTheme="minorHAnsi" w:eastAsiaTheme="minorEastAsia" w:hAnsiTheme="minorHAnsi" w:cstheme="minorBidi"/>
              <w:noProof/>
              <w:sz w:val="22"/>
              <w:szCs w:val="22"/>
              <w:lang w:val="sv-SE" w:eastAsia="sv-SE"/>
            </w:rPr>
          </w:pPr>
          <w:hyperlink w:anchor="_Toc491435656" w:history="1">
            <w:r w:rsidR="0087074B" w:rsidRPr="00644219">
              <w:rPr>
                <w:rStyle w:val="Hyperlink"/>
                <w:noProof/>
              </w:rPr>
              <w:t>11.3 Existing EU legislation</w:t>
            </w:r>
            <w:r w:rsidR="0087074B">
              <w:rPr>
                <w:noProof/>
                <w:webHidden/>
              </w:rPr>
              <w:tab/>
            </w:r>
            <w:r w:rsidR="0087074B">
              <w:rPr>
                <w:noProof/>
                <w:webHidden/>
              </w:rPr>
              <w:fldChar w:fldCharType="begin"/>
            </w:r>
            <w:r w:rsidR="0087074B">
              <w:rPr>
                <w:noProof/>
                <w:webHidden/>
              </w:rPr>
              <w:instrText xml:space="preserve"> PAGEREF _Toc491435656 \h </w:instrText>
            </w:r>
            <w:r w:rsidR="0087074B">
              <w:rPr>
                <w:noProof/>
                <w:webHidden/>
              </w:rPr>
            </w:r>
            <w:r w:rsidR="0087074B">
              <w:rPr>
                <w:noProof/>
                <w:webHidden/>
              </w:rPr>
              <w:fldChar w:fldCharType="separate"/>
            </w:r>
            <w:r w:rsidR="0087074B">
              <w:rPr>
                <w:noProof/>
                <w:webHidden/>
              </w:rPr>
              <w:t>25</w:t>
            </w:r>
            <w:r w:rsidR="0087074B">
              <w:rPr>
                <w:noProof/>
                <w:webHidden/>
              </w:rPr>
              <w:fldChar w:fldCharType="end"/>
            </w:r>
          </w:hyperlink>
        </w:p>
        <w:p w14:paraId="5C8645C9" w14:textId="17804686" w:rsidR="0087074B" w:rsidRDefault="00673080">
          <w:pPr>
            <w:pStyle w:val="TOC2"/>
            <w:rPr>
              <w:rFonts w:asciiTheme="minorHAnsi" w:eastAsiaTheme="minorEastAsia" w:hAnsiTheme="minorHAnsi" w:cstheme="minorBidi"/>
              <w:noProof/>
              <w:sz w:val="22"/>
              <w:szCs w:val="22"/>
              <w:lang w:val="sv-SE" w:eastAsia="sv-SE"/>
            </w:rPr>
          </w:pPr>
          <w:hyperlink w:anchor="_Toc491435657" w:history="1">
            <w:r w:rsidR="0087074B" w:rsidRPr="00644219">
              <w:rPr>
                <w:rStyle w:val="Hyperlink"/>
                <w:noProof/>
              </w:rPr>
              <w:t>11.4 Previous assessments by other authorities</w:t>
            </w:r>
            <w:r w:rsidR="0087074B">
              <w:rPr>
                <w:noProof/>
                <w:webHidden/>
              </w:rPr>
              <w:tab/>
            </w:r>
            <w:r w:rsidR="0087074B">
              <w:rPr>
                <w:noProof/>
                <w:webHidden/>
              </w:rPr>
              <w:fldChar w:fldCharType="begin"/>
            </w:r>
            <w:r w:rsidR="0087074B">
              <w:rPr>
                <w:noProof/>
                <w:webHidden/>
              </w:rPr>
              <w:instrText xml:space="preserve"> PAGEREF _Toc491435657 \h </w:instrText>
            </w:r>
            <w:r w:rsidR="0087074B">
              <w:rPr>
                <w:noProof/>
                <w:webHidden/>
              </w:rPr>
            </w:r>
            <w:r w:rsidR="0087074B">
              <w:rPr>
                <w:noProof/>
                <w:webHidden/>
              </w:rPr>
              <w:fldChar w:fldCharType="separate"/>
            </w:r>
            <w:r w:rsidR="0087074B">
              <w:rPr>
                <w:noProof/>
                <w:webHidden/>
              </w:rPr>
              <w:t>26</w:t>
            </w:r>
            <w:r w:rsidR="0087074B">
              <w:rPr>
                <w:noProof/>
                <w:webHidden/>
              </w:rPr>
              <w:fldChar w:fldCharType="end"/>
            </w:r>
          </w:hyperlink>
        </w:p>
        <w:p w14:paraId="26301D91" w14:textId="34EB0FE3" w:rsidR="0087074B" w:rsidRDefault="00673080">
          <w:pPr>
            <w:pStyle w:val="TOC3"/>
            <w:tabs>
              <w:tab w:val="right" w:leader="dot" w:pos="9017"/>
            </w:tabs>
            <w:rPr>
              <w:rFonts w:asciiTheme="minorHAnsi" w:eastAsiaTheme="minorEastAsia" w:hAnsiTheme="minorHAnsi" w:cstheme="minorBidi"/>
              <w:i w:val="0"/>
              <w:iCs w:val="0"/>
              <w:noProof/>
              <w:sz w:val="22"/>
              <w:szCs w:val="22"/>
              <w:lang w:val="sv-SE" w:eastAsia="sv-SE"/>
            </w:rPr>
          </w:pPr>
          <w:hyperlink w:anchor="_Toc491435658" w:history="1">
            <w:r w:rsidR="0087074B" w:rsidRPr="00644219">
              <w:rPr>
                <w:rStyle w:val="Hyperlink"/>
                <w:noProof/>
              </w:rPr>
              <w:t>11.4.1 EU RAR</w:t>
            </w:r>
            <w:r w:rsidR="0087074B">
              <w:rPr>
                <w:noProof/>
                <w:webHidden/>
              </w:rPr>
              <w:tab/>
            </w:r>
            <w:r w:rsidR="0087074B">
              <w:rPr>
                <w:noProof/>
                <w:webHidden/>
              </w:rPr>
              <w:fldChar w:fldCharType="begin"/>
            </w:r>
            <w:r w:rsidR="0087074B">
              <w:rPr>
                <w:noProof/>
                <w:webHidden/>
              </w:rPr>
              <w:instrText xml:space="preserve"> PAGEREF _Toc491435658 \h </w:instrText>
            </w:r>
            <w:r w:rsidR="0087074B">
              <w:rPr>
                <w:noProof/>
                <w:webHidden/>
              </w:rPr>
            </w:r>
            <w:r w:rsidR="0087074B">
              <w:rPr>
                <w:noProof/>
                <w:webHidden/>
              </w:rPr>
              <w:fldChar w:fldCharType="separate"/>
            </w:r>
            <w:r w:rsidR="0087074B">
              <w:rPr>
                <w:noProof/>
                <w:webHidden/>
              </w:rPr>
              <w:t>26</w:t>
            </w:r>
            <w:r w:rsidR="0087074B">
              <w:rPr>
                <w:noProof/>
                <w:webHidden/>
              </w:rPr>
              <w:fldChar w:fldCharType="end"/>
            </w:r>
          </w:hyperlink>
        </w:p>
        <w:p w14:paraId="1EEB0C95" w14:textId="342B77BF" w:rsidR="0087074B" w:rsidRDefault="00673080">
          <w:pPr>
            <w:pStyle w:val="TOC3"/>
            <w:tabs>
              <w:tab w:val="right" w:leader="dot" w:pos="9017"/>
            </w:tabs>
            <w:rPr>
              <w:rFonts w:asciiTheme="minorHAnsi" w:eastAsiaTheme="minorEastAsia" w:hAnsiTheme="minorHAnsi" w:cstheme="minorBidi"/>
              <w:i w:val="0"/>
              <w:iCs w:val="0"/>
              <w:noProof/>
              <w:sz w:val="22"/>
              <w:szCs w:val="22"/>
              <w:lang w:val="sv-SE" w:eastAsia="sv-SE"/>
            </w:rPr>
          </w:pPr>
          <w:hyperlink w:anchor="_Toc491435659" w:history="1">
            <w:r w:rsidR="0087074B" w:rsidRPr="00644219">
              <w:rPr>
                <w:rStyle w:val="Hyperlink"/>
                <w:noProof/>
              </w:rPr>
              <w:t>11.4.2 Work environment – SCOEL assessment</w:t>
            </w:r>
            <w:r w:rsidR="0087074B">
              <w:rPr>
                <w:noProof/>
                <w:webHidden/>
              </w:rPr>
              <w:tab/>
            </w:r>
            <w:r w:rsidR="0087074B">
              <w:rPr>
                <w:noProof/>
                <w:webHidden/>
              </w:rPr>
              <w:fldChar w:fldCharType="begin"/>
            </w:r>
            <w:r w:rsidR="0087074B">
              <w:rPr>
                <w:noProof/>
                <w:webHidden/>
              </w:rPr>
              <w:instrText xml:space="preserve"> PAGEREF _Toc491435659 \h </w:instrText>
            </w:r>
            <w:r w:rsidR="0087074B">
              <w:rPr>
                <w:noProof/>
                <w:webHidden/>
              </w:rPr>
            </w:r>
            <w:r w:rsidR="0087074B">
              <w:rPr>
                <w:noProof/>
                <w:webHidden/>
              </w:rPr>
              <w:fldChar w:fldCharType="separate"/>
            </w:r>
            <w:r w:rsidR="0087074B">
              <w:rPr>
                <w:noProof/>
                <w:webHidden/>
              </w:rPr>
              <w:t>26</w:t>
            </w:r>
            <w:r w:rsidR="0087074B">
              <w:rPr>
                <w:noProof/>
                <w:webHidden/>
              </w:rPr>
              <w:fldChar w:fldCharType="end"/>
            </w:r>
          </w:hyperlink>
        </w:p>
        <w:p w14:paraId="3A4E7FDA" w14:textId="76181240" w:rsidR="0087074B" w:rsidRDefault="00673080">
          <w:pPr>
            <w:pStyle w:val="TOC3"/>
            <w:tabs>
              <w:tab w:val="right" w:leader="dot" w:pos="9017"/>
            </w:tabs>
            <w:rPr>
              <w:rFonts w:asciiTheme="minorHAnsi" w:eastAsiaTheme="minorEastAsia" w:hAnsiTheme="minorHAnsi" w:cstheme="minorBidi"/>
              <w:i w:val="0"/>
              <w:iCs w:val="0"/>
              <w:noProof/>
              <w:sz w:val="22"/>
              <w:szCs w:val="22"/>
              <w:lang w:val="sv-SE" w:eastAsia="sv-SE"/>
            </w:rPr>
          </w:pPr>
          <w:hyperlink w:anchor="_Toc491435660" w:history="1">
            <w:r w:rsidR="0087074B" w:rsidRPr="00644219">
              <w:rPr>
                <w:rStyle w:val="Hyperlink"/>
                <w:noProof/>
              </w:rPr>
              <w:t>11.4.3 Swedish risk assessment of cadmium (KemI 2011)</w:t>
            </w:r>
            <w:r w:rsidR="0087074B">
              <w:rPr>
                <w:noProof/>
                <w:webHidden/>
              </w:rPr>
              <w:tab/>
            </w:r>
            <w:r w:rsidR="0087074B">
              <w:rPr>
                <w:noProof/>
                <w:webHidden/>
              </w:rPr>
              <w:fldChar w:fldCharType="begin"/>
            </w:r>
            <w:r w:rsidR="0087074B">
              <w:rPr>
                <w:noProof/>
                <w:webHidden/>
              </w:rPr>
              <w:instrText xml:space="preserve"> PAGEREF _Toc491435660 \h </w:instrText>
            </w:r>
            <w:r w:rsidR="0087074B">
              <w:rPr>
                <w:noProof/>
                <w:webHidden/>
              </w:rPr>
            </w:r>
            <w:r w:rsidR="0087074B">
              <w:rPr>
                <w:noProof/>
                <w:webHidden/>
              </w:rPr>
              <w:fldChar w:fldCharType="separate"/>
            </w:r>
            <w:r w:rsidR="0087074B">
              <w:rPr>
                <w:noProof/>
                <w:webHidden/>
              </w:rPr>
              <w:t>27</w:t>
            </w:r>
            <w:r w:rsidR="0087074B">
              <w:rPr>
                <w:noProof/>
                <w:webHidden/>
              </w:rPr>
              <w:fldChar w:fldCharType="end"/>
            </w:r>
          </w:hyperlink>
        </w:p>
        <w:p w14:paraId="708BB239" w14:textId="365545C4" w:rsidR="0087074B" w:rsidRDefault="00673080">
          <w:pPr>
            <w:pStyle w:val="TOC3"/>
            <w:tabs>
              <w:tab w:val="right" w:leader="dot" w:pos="9017"/>
            </w:tabs>
            <w:rPr>
              <w:rFonts w:asciiTheme="minorHAnsi" w:eastAsiaTheme="minorEastAsia" w:hAnsiTheme="minorHAnsi" w:cstheme="minorBidi"/>
              <w:i w:val="0"/>
              <w:iCs w:val="0"/>
              <w:noProof/>
              <w:sz w:val="22"/>
              <w:szCs w:val="22"/>
              <w:lang w:val="sv-SE" w:eastAsia="sv-SE"/>
            </w:rPr>
          </w:pPr>
          <w:hyperlink w:anchor="_Toc491435661" w:history="1">
            <w:r w:rsidR="0087074B" w:rsidRPr="00644219">
              <w:rPr>
                <w:rStyle w:val="Hyperlink"/>
                <w:noProof/>
                <w:lang w:val="sv-SE"/>
              </w:rPr>
              <w:t>11.4.4 Risk via food intake (EFSA 2009, 2012)</w:t>
            </w:r>
            <w:r w:rsidR="0087074B">
              <w:rPr>
                <w:noProof/>
                <w:webHidden/>
              </w:rPr>
              <w:tab/>
            </w:r>
            <w:r w:rsidR="0087074B">
              <w:rPr>
                <w:noProof/>
                <w:webHidden/>
              </w:rPr>
              <w:fldChar w:fldCharType="begin"/>
            </w:r>
            <w:r w:rsidR="0087074B">
              <w:rPr>
                <w:noProof/>
                <w:webHidden/>
              </w:rPr>
              <w:instrText xml:space="preserve"> PAGEREF _Toc491435661 \h </w:instrText>
            </w:r>
            <w:r w:rsidR="0087074B">
              <w:rPr>
                <w:noProof/>
                <w:webHidden/>
              </w:rPr>
            </w:r>
            <w:r w:rsidR="0087074B">
              <w:rPr>
                <w:noProof/>
                <w:webHidden/>
              </w:rPr>
              <w:fldChar w:fldCharType="separate"/>
            </w:r>
            <w:r w:rsidR="0087074B">
              <w:rPr>
                <w:noProof/>
                <w:webHidden/>
              </w:rPr>
              <w:t>29</w:t>
            </w:r>
            <w:r w:rsidR="0087074B">
              <w:rPr>
                <w:noProof/>
                <w:webHidden/>
              </w:rPr>
              <w:fldChar w:fldCharType="end"/>
            </w:r>
          </w:hyperlink>
        </w:p>
        <w:p w14:paraId="3A41215B" w14:textId="544C8A5A" w:rsidR="0087074B" w:rsidRDefault="00673080">
          <w:pPr>
            <w:pStyle w:val="TOC1"/>
            <w:rPr>
              <w:rFonts w:asciiTheme="minorHAnsi" w:eastAsiaTheme="minorEastAsia" w:hAnsiTheme="minorHAnsi" w:cstheme="minorBidi"/>
              <w:b w:val="0"/>
              <w:bCs w:val="0"/>
              <w:caps w:val="0"/>
              <w:noProof/>
              <w:sz w:val="22"/>
              <w:szCs w:val="22"/>
              <w:lang w:val="sv-SE" w:eastAsia="sv-SE"/>
            </w:rPr>
          </w:pPr>
          <w:hyperlink w:anchor="_Toc491435662" w:history="1">
            <w:r w:rsidR="0087074B" w:rsidRPr="00644219">
              <w:rPr>
                <w:rStyle w:val="Hyperlink"/>
                <w:noProof/>
              </w:rPr>
              <w:t>References for Part I</w:t>
            </w:r>
            <w:r w:rsidR="0087074B">
              <w:rPr>
                <w:noProof/>
                <w:webHidden/>
              </w:rPr>
              <w:tab/>
            </w:r>
            <w:r w:rsidR="0087074B">
              <w:rPr>
                <w:noProof/>
                <w:webHidden/>
              </w:rPr>
              <w:fldChar w:fldCharType="begin"/>
            </w:r>
            <w:r w:rsidR="0087074B">
              <w:rPr>
                <w:noProof/>
                <w:webHidden/>
              </w:rPr>
              <w:instrText xml:space="preserve"> PAGEREF _Toc491435662 \h </w:instrText>
            </w:r>
            <w:r w:rsidR="0087074B">
              <w:rPr>
                <w:noProof/>
                <w:webHidden/>
              </w:rPr>
            </w:r>
            <w:r w:rsidR="0087074B">
              <w:rPr>
                <w:noProof/>
                <w:webHidden/>
              </w:rPr>
              <w:fldChar w:fldCharType="separate"/>
            </w:r>
            <w:r w:rsidR="0087074B">
              <w:rPr>
                <w:noProof/>
                <w:webHidden/>
              </w:rPr>
              <w:t>32</w:t>
            </w:r>
            <w:r w:rsidR="0087074B">
              <w:rPr>
                <w:noProof/>
                <w:webHidden/>
              </w:rPr>
              <w:fldChar w:fldCharType="end"/>
            </w:r>
          </w:hyperlink>
        </w:p>
        <w:p w14:paraId="6FA96238" w14:textId="038DEA0C" w:rsidR="0087074B" w:rsidRDefault="00673080">
          <w:pPr>
            <w:pStyle w:val="TOC1"/>
            <w:rPr>
              <w:rFonts w:asciiTheme="minorHAnsi" w:eastAsiaTheme="minorEastAsia" w:hAnsiTheme="minorHAnsi" w:cstheme="minorBidi"/>
              <w:b w:val="0"/>
              <w:bCs w:val="0"/>
              <w:caps w:val="0"/>
              <w:noProof/>
              <w:sz w:val="22"/>
              <w:szCs w:val="22"/>
              <w:lang w:val="sv-SE" w:eastAsia="sv-SE"/>
            </w:rPr>
          </w:pPr>
          <w:hyperlink w:anchor="_Toc491435663" w:history="1">
            <w:r w:rsidR="0087074B" w:rsidRPr="00644219">
              <w:rPr>
                <w:rStyle w:val="Hyperlink"/>
                <w:noProof/>
              </w:rPr>
              <w:t>References for Part II</w:t>
            </w:r>
            <w:r w:rsidR="0087074B">
              <w:rPr>
                <w:noProof/>
                <w:webHidden/>
              </w:rPr>
              <w:tab/>
            </w:r>
            <w:r w:rsidR="0087074B">
              <w:rPr>
                <w:noProof/>
                <w:webHidden/>
              </w:rPr>
              <w:fldChar w:fldCharType="begin"/>
            </w:r>
            <w:r w:rsidR="0087074B">
              <w:rPr>
                <w:noProof/>
                <w:webHidden/>
              </w:rPr>
              <w:instrText xml:space="preserve"> PAGEREF _Toc491435663 \h </w:instrText>
            </w:r>
            <w:r w:rsidR="0087074B">
              <w:rPr>
                <w:noProof/>
                <w:webHidden/>
              </w:rPr>
            </w:r>
            <w:r w:rsidR="0087074B">
              <w:rPr>
                <w:noProof/>
                <w:webHidden/>
              </w:rPr>
              <w:fldChar w:fldCharType="separate"/>
            </w:r>
            <w:r w:rsidR="0087074B">
              <w:rPr>
                <w:noProof/>
                <w:webHidden/>
              </w:rPr>
              <w:t>34</w:t>
            </w:r>
            <w:r w:rsidR="0087074B">
              <w:rPr>
                <w:noProof/>
                <w:webHidden/>
              </w:rPr>
              <w:fldChar w:fldCharType="end"/>
            </w:r>
          </w:hyperlink>
        </w:p>
        <w:p w14:paraId="5029E718" w14:textId="3E7C4944" w:rsidR="0087074B" w:rsidRDefault="00673080">
          <w:pPr>
            <w:pStyle w:val="TOC1"/>
            <w:rPr>
              <w:rFonts w:asciiTheme="minorHAnsi" w:eastAsiaTheme="minorEastAsia" w:hAnsiTheme="minorHAnsi" w:cstheme="minorBidi"/>
              <w:b w:val="0"/>
              <w:bCs w:val="0"/>
              <w:caps w:val="0"/>
              <w:noProof/>
              <w:sz w:val="22"/>
              <w:szCs w:val="22"/>
              <w:lang w:val="sv-SE" w:eastAsia="sv-SE"/>
            </w:rPr>
          </w:pPr>
          <w:hyperlink w:anchor="_Toc491435664" w:history="1">
            <w:r w:rsidR="0087074B" w:rsidRPr="00644219">
              <w:rPr>
                <w:rStyle w:val="Hyperlink"/>
                <w:noProof/>
              </w:rPr>
              <w:t>Annex I - Additional information on read across approach</w:t>
            </w:r>
            <w:r w:rsidR="0087074B">
              <w:rPr>
                <w:noProof/>
                <w:webHidden/>
              </w:rPr>
              <w:tab/>
            </w:r>
            <w:r w:rsidR="0087074B">
              <w:rPr>
                <w:noProof/>
                <w:webHidden/>
              </w:rPr>
              <w:fldChar w:fldCharType="begin"/>
            </w:r>
            <w:r w:rsidR="0087074B">
              <w:rPr>
                <w:noProof/>
                <w:webHidden/>
              </w:rPr>
              <w:instrText xml:space="preserve"> PAGEREF _Toc491435664 \h </w:instrText>
            </w:r>
            <w:r w:rsidR="0087074B">
              <w:rPr>
                <w:noProof/>
                <w:webHidden/>
              </w:rPr>
            </w:r>
            <w:r w:rsidR="0087074B">
              <w:rPr>
                <w:noProof/>
                <w:webHidden/>
              </w:rPr>
              <w:fldChar w:fldCharType="separate"/>
            </w:r>
            <w:r w:rsidR="0087074B">
              <w:rPr>
                <w:noProof/>
                <w:webHidden/>
              </w:rPr>
              <w:t>36</w:t>
            </w:r>
            <w:r w:rsidR="0087074B">
              <w:rPr>
                <w:noProof/>
                <w:webHidden/>
              </w:rPr>
              <w:fldChar w:fldCharType="end"/>
            </w:r>
          </w:hyperlink>
        </w:p>
        <w:p w14:paraId="2CAB86DB" w14:textId="2F75DDB1" w:rsidR="004607CB" w:rsidRDefault="000721AD">
          <w:r>
            <w:rPr>
              <w:b/>
              <w:bCs/>
              <w:noProof/>
            </w:rPr>
            <w:fldChar w:fldCharType="end"/>
          </w:r>
        </w:p>
      </w:sdtContent>
    </w:sdt>
    <w:p w14:paraId="0626EB74" w14:textId="24E60151" w:rsidR="00B12C39" w:rsidRPr="00527E99" w:rsidRDefault="00B12C39" w:rsidP="00B12C39">
      <w:pPr>
        <w:rPr>
          <w:lang w:eastAsia="en-US"/>
        </w:rPr>
      </w:pPr>
    </w:p>
    <w:p w14:paraId="1E237046" w14:textId="77777777" w:rsidR="00B12C39" w:rsidRDefault="00B12C39" w:rsidP="00B12C39">
      <w:pPr>
        <w:pStyle w:val="Titleintro"/>
      </w:pPr>
      <w:bookmarkStart w:id="1" w:name="_Toc316637272"/>
      <w:r w:rsidRPr="00AC092B">
        <w:t>TABLES</w:t>
      </w:r>
      <w:r>
        <w:t xml:space="preserve"> </w:t>
      </w:r>
      <w:bookmarkEnd w:id="1"/>
    </w:p>
    <w:p w14:paraId="5096EA92" w14:textId="77777777" w:rsidR="00B12C39" w:rsidRPr="00672AA9" w:rsidRDefault="00B12C39" w:rsidP="00961C4C"/>
    <w:p w14:paraId="3D682A02" w14:textId="7CDE7030" w:rsidR="00F86CBE" w:rsidRDefault="000721AD">
      <w:pPr>
        <w:pStyle w:val="TableofFigures"/>
        <w:tabs>
          <w:tab w:val="right" w:leader="dot" w:pos="9017"/>
        </w:tabs>
        <w:rPr>
          <w:rFonts w:asciiTheme="minorHAnsi" w:eastAsiaTheme="minorEastAsia" w:hAnsiTheme="minorHAnsi" w:cstheme="minorBidi"/>
          <w:noProof/>
          <w:sz w:val="22"/>
          <w:szCs w:val="22"/>
          <w:lang w:val="sv-SE" w:eastAsia="sv-SE"/>
        </w:rPr>
      </w:pPr>
      <w:r>
        <w:fldChar w:fldCharType="begin"/>
      </w:r>
      <w:r w:rsidR="003215DB">
        <w:instrText xml:space="preserve"> TOC \h \z \c "Table" </w:instrText>
      </w:r>
      <w:r>
        <w:fldChar w:fldCharType="separate"/>
      </w:r>
      <w:hyperlink w:anchor="_Toc491433635" w:history="1">
        <w:r w:rsidR="00F86CBE" w:rsidRPr="000F23C0">
          <w:rPr>
            <w:rStyle w:val="Hyperlink"/>
            <w:b/>
            <w:noProof/>
          </w:rPr>
          <w:t>Table 1: Substance identity</w:t>
        </w:r>
        <w:r w:rsidR="00F86CBE">
          <w:rPr>
            <w:noProof/>
            <w:webHidden/>
          </w:rPr>
          <w:tab/>
        </w:r>
        <w:r w:rsidR="00F86CBE">
          <w:rPr>
            <w:noProof/>
            <w:webHidden/>
          </w:rPr>
          <w:fldChar w:fldCharType="begin"/>
        </w:r>
        <w:r w:rsidR="00F86CBE">
          <w:rPr>
            <w:noProof/>
            <w:webHidden/>
          </w:rPr>
          <w:instrText xml:space="preserve"> PAGEREF _Toc491433635 \h </w:instrText>
        </w:r>
        <w:r w:rsidR="00F86CBE">
          <w:rPr>
            <w:noProof/>
            <w:webHidden/>
          </w:rPr>
        </w:r>
        <w:r w:rsidR="00F86CBE">
          <w:rPr>
            <w:noProof/>
            <w:webHidden/>
          </w:rPr>
          <w:fldChar w:fldCharType="separate"/>
        </w:r>
        <w:r w:rsidR="0087074B">
          <w:rPr>
            <w:noProof/>
            <w:webHidden/>
          </w:rPr>
          <w:t>8</w:t>
        </w:r>
        <w:r w:rsidR="00F86CBE">
          <w:rPr>
            <w:noProof/>
            <w:webHidden/>
          </w:rPr>
          <w:fldChar w:fldCharType="end"/>
        </w:r>
      </w:hyperlink>
    </w:p>
    <w:p w14:paraId="60206B09" w14:textId="415F819F" w:rsidR="00F86CBE" w:rsidRDefault="00673080">
      <w:pPr>
        <w:pStyle w:val="TableofFigures"/>
        <w:tabs>
          <w:tab w:val="right" w:leader="dot" w:pos="9017"/>
        </w:tabs>
        <w:rPr>
          <w:rFonts w:asciiTheme="minorHAnsi" w:eastAsiaTheme="minorEastAsia" w:hAnsiTheme="minorHAnsi" w:cstheme="minorBidi"/>
          <w:noProof/>
          <w:sz w:val="22"/>
          <w:szCs w:val="22"/>
          <w:lang w:val="sv-SE" w:eastAsia="sv-SE"/>
        </w:rPr>
      </w:pPr>
      <w:hyperlink w:anchor="_Toc491433636" w:history="1">
        <w:r w:rsidR="00F86CBE" w:rsidRPr="000F23C0">
          <w:rPr>
            <w:rStyle w:val="Hyperlink"/>
            <w:b/>
            <w:noProof/>
          </w:rPr>
          <w:t>Table 2. Structurally related substance(s) identity</w:t>
        </w:r>
        <w:r w:rsidR="00F86CBE">
          <w:rPr>
            <w:noProof/>
            <w:webHidden/>
          </w:rPr>
          <w:tab/>
        </w:r>
        <w:r w:rsidR="00F86CBE">
          <w:rPr>
            <w:noProof/>
            <w:webHidden/>
          </w:rPr>
          <w:fldChar w:fldCharType="begin"/>
        </w:r>
        <w:r w:rsidR="00F86CBE">
          <w:rPr>
            <w:noProof/>
            <w:webHidden/>
          </w:rPr>
          <w:instrText xml:space="preserve"> PAGEREF _Toc491433636 \h </w:instrText>
        </w:r>
        <w:r w:rsidR="00F86CBE">
          <w:rPr>
            <w:noProof/>
            <w:webHidden/>
          </w:rPr>
        </w:r>
        <w:r w:rsidR="00F86CBE">
          <w:rPr>
            <w:noProof/>
            <w:webHidden/>
          </w:rPr>
          <w:fldChar w:fldCharType="separate"/>
        </w:r>
        <w:r w:rsidR="0087074B">
          <w:rPr>
            <w:noProof/>
            <w:webHidden/>
          </w:rPr>
          <w:t>9</w:t>
        </w:r>
        <w:r w:rsidR="00F86CBE">
          <w:rPr>
            <w:noProof/>
            <w:webHidden/>
          </w:rPr>
          <w:fldChar w:fldCharType="end"/>
        </w:r>
      </w:hyperlink>
    </w:p>
    <w:p w14:paraId="56B73014" w14:textId="7F553C7E" w:rsidR="00F86CBE" w:rsidRDefault="00673080" w:rsidP="00810E24">
      <w:pPr>
        <w:pStyle w:val="TableofFigures"/>
        <w:tabs>
          <w:tab w:val="right" w:leader="dot" w:pos="9017"/>
        </w:tabs>
        <w:ind w:left="993" w:hanging="993"/>
        <w:rPr>
          <w:rFonts w:asciiTheme="minorHAnsi" w:eastAsiaTheme="minorEastAsia" w:hAnsiTheme="minorHAnsi" w:cstheme="minorBidi"/>
          <w:noProof/>
          <w:sz w:val="22"/>
          <w:szCs w:val="22"/>
          <w:lang w:val="sv-SE" w:eastAsia="sv-SE"/>
        </w:rPr>
      </w:pPr>
      <w:hyperlink w:anchor="_Toc491433637" w:history="1">
        <w:r w:rsidR="00F86CBE" w:rsidRPr="000F23C0">
          <w:rPr>
            <w:rStyle w:val="Hyperlink"/>
            <w:b/>
            <w:noProof/>
          </w:rPr>
          <w:t>Table 3. Classification according to Annex VI, Table 3.1 (list of harmonised classification and labelling of hazardous substances) of Regulation (EC) No 1272/2008</w:t>
        </w:r>
        <w:r w:rsidR="00F86CBE">
          <w:rPr>
            <w:noProof/>
            <w:webHidden/>
          </w:rPr>
          <w:tab/>
        </w:r>
        <w:r w:rsidR="00F86CBE">
          <w:rPr>
            <w:noProof/>
            <w:webHidden/>
          </w:rPr>
          <w:fldChar w:fldCharType="begin"/>
        </w:r>
        <w:r w:rsidR="00F86CBE">
          <w:rPr>
            <w:noProof/>
            <w:webHidden/>
          </w:rPr>
          <w:instrText xml:space="preserve"> PAGEREF _Toc491433637 \h </w:instrText>
        </w:r>
        <w:r w:rsidR="00F86CBE">
          <w:rPr>
            <w:noProof/>
            <w:webHidden/>
          </w:rPr>
        </w:r>
        <w:r w:rsidR="00F86CBE">
          <w:rPr>
            <w:noProof/>
            <w:webHidden/>
          </w:rPr>
          <w:fldChar w:fldCharType="separate"/>
        </w:r>
        <w:r w:rsidR="0087074B">
          <w:rPr>
            <w:noProof/>
            <w:webHidden/>
          </w:rPr>
          <w:t>10</w:t>
        </w:r>
        <w:r w:rsidR="00F86CBE">
          <w:rPr>
            <w:noProof/>
            <w:webHidden/>
          </w:rPr>
          <w:fldChar w:fldCharType="end"/>
        </w:r>
      </w:hyperlink>
    </w:p>
    <w:p w14:paraId="4CBC5A1D" w14:textId="5AF5321F" w:rsidR="00F86CBE" w:rsidRDefault="00673080" w:rsidP="00810E24">
      <w:pPr>
        <w:pStyle w:val="TableofFigures"/>
        <w:tabs>
          <w:tab w:val="right" w:leader="dot" w:pos="9017"/>
        </w:tabs>
        <w:ind w:left="993" w:hanging="993"/>
        <w:rPr>
          <w:rFonts w:asciiTheme="minorHAnsi" w:eastAsiaTheme="minorEastAsia" w:hAnsiTheme="minorHAnsi" w:cstheme="minorBidi"/>
          <w:noProof/>
          <w:sz w:val="22"/>
          <w:szCs w:val="22"/>
          <w:lang w:val="sv-SE" w:eastAsia="sv-SE"/>
        </w:rPr>
      </w:pPr>
      <w:hyperlink w:anchor="_Toc491433638" w:history="1">
        <w:r w:rsidR="00F86CBE" w:rsidRPr="000F23C0">
          <w:rPr>
            <w:rStyle w:val="Hyperlink"/>
            <w:b/>
            <w:noProof/>
          </w:rPr>
          <w:t>Table 4</w:t>
        </w:r>
        <w:r w:rsidR="00F86CBE" w:rsidRPr="000F23C0">
          <w:rPr>
            <w:rStyle w:val="Hyperlink"/>
            <w:noProof/>
          </w:rPr>
          <w:t>.</w:t>
        </w:r>
        <w:r w:rsidR="00F86CBE" w:rsidRPr="000F23C0">
          <w:rPr>
            <w:rStyle w:val="Hyperlink"/>
            <w:b/>
            <w:noProof/>
          </w:rPr>
          <w:t xml:space="preserve"> Summary of urinary concentrations observed in three Swedish population-based studies</w:t>
        </w:r>
        <w:r w:rsidR="00F86CBE">
          <w:rPr>
            <w:noProof/>
            <w:webHidden/>
          </w:rPr>
          <w:tab/>
        </w:r>
        <w:r w:rsidR="00F86CBE">
          <w:rPr>
            <w:noProof/>
            <w:webHidden/>
          </w:rPr>
          <w:fldChar w:fldCharType="begin"/>
        </w:r>
        <w:r w:rsidR="00F86CBE">
          <w:rPr>
            <w:noProof/>
            <w:webHidden/>
          </w:rPr>
          <w:instrText xml:space="preserve"> PAGEREF _Toc491433638 \h </w:instrText>
        </w:r>
        <w:r w:rsidR="00F86CBE">
          <w:rPr>
            <w:noProof/>
            <w:webHidden/>
          </w:rPr>
        </w:r>
        <w:r w:rsidR="00F86CBE">
          <w:rPr>
            <w:noProof/>
            <w:webHidden/>
          </w:rPr>
          <w:fldChar w:fldCharType="separate"/>
        </w:r>
        <w:r w:rsidR="0087074B">
          <w:rPr>
            <w:noProof/>
            <w:webHidden/>
          </w:rPr>
          <w:t>12</w:t>
        </w:r>
        <w:r w:rsidR="00F86CBE">
          <w:rPr>
            <w:noProof/>
            <w:webHidden/>
          </w:rPr>
          <w:fldChar w:fldCharType="end"/>
        </w:r>
      </w:hyperlink>
    </w:p>
    <w:p w14:paraId="70D9E51F" w14:textId="473E416B" w:rsidR="00F86CBE" w:rsidRDefault="00673080">
      <w:pPr>
        <w:pStyle w:val="TableofFigures"/>
        <w:tabs>
          <w:tab w:val="right" w:leader="dot" w:pos="9017"/>
        </w:tabs>
        <w:rPr>
          <w:rFonts w:asciiTheme="minorHAnsi" w:eastAsiaTheme="minorEastAsia" w:hAnsiTheme="minorHAnsi" w:cstheme="minorBidi"/>
          <w:noProof/>
          <w:sz w:val="22"/>
          <w:szCs w:val="22"/>
          <w:lang w:val="sv-SE" w:eastAsia="sv-SE"/>
        </w:rPr>
      </w:pPr>
      <w:hyperlink w:anchor="_Toc491433639" w:history="1">
        <w:r w:rsidR="00F86CBE" w:rsidRPr="000F23C0">
          <w:rPr>
            <w:rStyle w:val="Hyperlink"/>
            <w:b/>
            <w:noProof/>
          </w:rPr>
          <w:t>Table 5.</w:t>
        </w:r>
        <w:r w:rsidR="00F86CBE" w:rsidRPr="000F23C0">
          <w:rPr>
            <w:rStyle w:val="Hyperlink"/>
            <w:noProof/>
          </w:rPr>
          <w:t xml:space="preserve"> </w:t>
        </w:r>
        <w:r w:rsidR="00F86CBE" w:rsidRPr="000F23C0">
          <w:rPr>
            <w:rStyle w:val="Hyperlink"/>
            <w:b/>
            <w:noProof/>
          </w:rPr>
          <w:t>Registration status</w:t>
        </w:r>
        <w:r w:rsidR="00F86CBE">
          <w:rPr>
            <w:noProof/>
            <w:webHidden/>
          </w:rPr>
          <w:tab/>
        </w:r>
        <w:r w:rsidR="00F86CBE">
          <w:rPr>
            <w:noProof/>
            <w:webHidden/>
          </w:rPr>
          <w:fldChar w:fldCharType="begin"/>
        </w:r>
        <w:r w:rsidR="00F86CBE">
          <w:rPr>
            <w:noProof/>
            <w:webHidden/>
          </w:rPr>
          <w:instrText xml:space="preserve"> PAGEREF _Toc491433639 \h </w:instrText>
        </w:r>
        <w:r w:rsidR="00F86CBE">
          <w:rPr>
            <w:noProof/>
            <w:webHidden/>
          </w:rPr>
        </w:r>
        <w:r w:rsidR="00F86CBE">
          <w:rPr>
            <w:noProof/>
            <w:webHidden/>
          </w:rPr>
          <w:fldChar w:fldCharType="separate"/>
        </w:r>
        <w:r w:rsidR="0087074B">
          <w:rPr>
            <w:noProof/>
            <w:webHidden/>
          </w:rPr>
          <w:t>22</w:t>
        </w:r>
        <w:r w:rsidR="00F86CBE">
          <w:rPr>
            <w:noProof/>
            <w:webHidden/>
          </w:rPr>
          <w:fldChar w:fldCharType="end"/>
        </w:r>
      </w:hyperlink>
    </w:p>
    <w:p w14:paraId="7237C740" w14:textId="255200CC" w:rsidR="00F86CBE" w:rsidRDefault="00673080">
      <w:pPr>
        <w:pStyle w:val="TableofFigures"/>
        <w:tabs>
          <w:tab w:val="right" w:leader="dot" w:pos="9017"/>
        </w:tabs>
        <w:rPr>
          <w:rFonts w:asciiTheme="minorHAnsi" w:eastAsiaTheme="minorEastAsia" w:hAnsiTheme="minorHAnsi" w:cstheme="minorBidi"/>
          <w:noProof/>
          <w:sz w:val="22"/>
          <w:szCs w:val="22"/>
          <w:lang w:val="sv-SE" w:eastAsia="sv-SE"/>
        </w:rPr>
      </w:pPr>
      <w:hyperlink w:anchor="_Toc491433640" w:history="1">
        <w:r w:rsidR="00F86CBE" w:rsidRPr="000F23C0">
          <w:rPr>
            <w:rStyle w:val="Hyperlink"/>
            <w:b/>
            <w:noProof/>
          </w:rPr>
          <w:t>Table 6. CLP notifications</w:t>
        </w:r>
        <w:r w:rsidR="00F86CBE">
          <w:rPr>
            <w:noProof/>
            <w:webHidden/>
          </w:rPr>
          <w:tab/>
        </w:r>
        <w:r w:rsidR="00F86CBE">
          <w:rPr>
            <w:noProof/>
            <w:webHidden/>
          </w:rPr>
          <w:fldChar w:fldCharType="begin"/>
        </w:r>
        <w:r w:rsidR="00F86CBE">
          <w:rPr>
            <w:noProof/>
            <w:webHidden/>
          </w:rPr>
          <w:instrText xml:space="preserve"> PAGEREF _Toc491433640 \h </w:instrText>
        </w:r>
        <w:r w:rsidR="00F86CBE">
          <w:rPr>
            <w:noProof/>
            <w:webHidden/>
          </w:rPr>
        </w:r>
        <w:r w:rsidR="00F86CBE">
          <w:rPr>
            <w:noProof/>
            <w:webHidden/>
          </w:rPr>
          <w:fldChar w:fldCharType="separate"/>
        </w:r>
        <w:r w:rsidR="0087074B">
          <w:rPr>
            <w:noProof/>
            <w:webHidden/>
          </w:rPr>
          <w:t>22</w:t>
        </w:r>
        <w:r w:rsidR="00F86CBE">
          <w:rPr>
            <w:noProof/>
            <w:webHidden/>
          </w:rPr>
          <w:fldChar w:fldCharType="end"/>
        </w:r>
      </w:hyperlink>
    </w:p>
    <w:p w14:paraId="60E3DF27" w14:textId="3FC2E2E9" w:rsidR="00F86CBE" w:rsidRDefault="00673080">
      <w:pPr>
        <w:pStyle w:val="TableofFigures"/>
        <w:tabs>
          <w:tab w:val="right" w:leader="dot" w:pos="9017"/>
        </w:tabs>
        <w:rPr>
          <w:rFonts w:asciiTheme="minorHAnsi" w:eastAsiaTheme="minorEastAsia" w:hAnsiTheme="minorHAnsi" w:cstheme="minorBidi"/>
          <w:noProof/>
          <w:sz w:val="22"/>
          <w:szCs w:val="22"/>
          <w:lang w:val="sv-SE" w:eastAsia="sv-SE"/>
        </w:rPr>
      </w:pPr>
      <w:hyperlink w:anchor="_Toc491433641" w:history="1">
        <w:r w:rsidR="00F86CBE" w:rsidRPr="000F23C0">
          <w:rPr>
            <w:rStyle w:val="Hyperlink"/>
            <w:b/>
            <w:noProof/>
          </w:rPr>
          <w:t>Table 7. Tonnage status</w:t>
        </w:r>
        <w:r w:rsidR="00F86CBE">
          <w:rPr>
            <w:noProof/>
            <w:webHidden/>
          </w:rPr>
          <w:tab/>
        </w:r>
        <w:r w:rsidR="00F86CBE">
          <w:rPr>
            <w:noProof/>
            <w:webHidden/>
          </w:rPr>
          <w:fldChar w:fldCharType="begin"/>
        </w:r>
        <w:r w:rsidR="00F86CBE">
          <w:rPr>
            <w:noProof/>
            <w:webHidden/>
          </w:rPr>
          <w:instrText xml:space="preserve"> PAGEREF _Toc491433641 \h </w:instrText>
        </w:r>
        <w:r w:rsidR="00F86CBE">
          <w:rPr>
            <w:noProof/>
            <w:webHidden/>
          </w:rPr>
        </w:r>
        <w:r w:rsidR="00F86CBE">
          <w:rPr>
            <w:noProof/>
            <w:webHidden/>
          </w:rPr>
          <w:fldChar w:fldCharType="separate"/>
        </w:r>
        <w:r w:rsidR="0087074B">
          <w:rPr>
            <w:noProof/>
            <w:webHidden/>
          </w:rPr>
          <w:t>22</w:t>
        </w:r>
        <w:r w:rsidR="00F86CBE">
          <w:rPr>
            <w:noProof/>
            <w:webHidden/>
          </w:rPr>
          <w:fldChar w:fldCharType="end"/>
        </w:r>
      </w:hyperlink>
    </w:p>
    <w:p w14:paraId="20F4D394" w14:textId="227A60B2" w:rsidR="00F86CBE" w:rsidRDefault="00673080">
      <w:pPr>
        <w:pStyle w:val="TableofFigures"/>
        <w:tabs>
          <w:tab w:val="right" w:leader="dot" w:pos="9017"/>
        </w:tabs>
        <w:rPr>
          <w:rFonts w:asciiTheme="minorHAnsi" w:eastAsiaTheme="minorEastAsia" w:hAnsiTheme="minorHAnsi" w:cstheme="minorBidi"/>
          <w:noProof/>
          <w:sz w:val="22"/>
          <w:szCs w:val="22"/>
          <w:lang w:val="sv-SE" w:eastAsia="sv-SE"/>
        </w:rPr>
      </w:pPr>
      <w:hyperlink w:anchor="_Toc491433642" w:history="1">
        <w:r w:rsidR="00F86CBE" w:rsidRPr="000F23C0">
          <w:rPr>
            <w:rStyle w:val="Hyperlink"/>
            <w:b/>
            <w:noProof/>
          </w:rPr>
          <w:t>Table 8: Uses</w:t>
        </w:r>
        <w:r w:rsidR="00F86CBE">
          <w:rPr>
            <w:noProof/>
            <w:webHidden/>
          </w:rPr>
          <w:tab/>
        </w:r>
        <w:r w:rsidR="00F86CBE">
          <w:rPr>
            <w:noProof/>
            <w:webHidden/>
          </w:rPr>
          <w:fldChar w:fldCharType="begin"/>
        </w:r>
        <w:r w:rsidR="00F86CBE">
          <w:rPr>
            <w:noProof/>
            <w:webHidden/>
          </w:rPr>
          <w:instrText xml:space="preserve"> PAGEREF _Toc491433642 \h </w:instrText>
        </w:r>
        <w:r w:rsidR="00F86CBE">
          <w:rPr>
            <w:noProof/>
            <w:webHidden/>
          </w:rPr>
        </w:r>
        <w:r w:rsidR="00F86CBE">
          <w:rPr>
            <w:noProof/>
            <w:webHidden/>
          </w:rPr>
          <w:fldChar w:fldCharType="separate"/>
        </w:r>
        <w:r w:rsidR="0087074B">
          <w:rPr>
            <w:noProof/>
            <w:webHidden/>
          </w:rPr>
          <w:t>23</w:t>
        </w:r>
        <w:r w:rsidR="00F86CBE">
          <w:rPr>
            <w:noProof/>
            <w:webHidden/>
          </w:rPr>
          <w:fldChar w:fldCharType="end"/>
        </w:r>
      </w:hyperlink>
    </w:p>
    <w:p w14:paraId="6B65AAA2" w14:textId="5B9296E1" w:rsidR="00F86CBE" w:rsidRDefault="00673080">
      <w:pPr>
        <w:pStyle w:val="TableofFigures"/>
        <w:tabs>
          <w:tab w:val="right" w:leader="dot" w:pos="9017"/>
        </w:tabs>
        <w:rPr>
          <w:rFonts w:asciiTheme="minorHAnsi" w:eastAsiaTheme="minorEastAsia" w:hAnsiTheme="minorHAnsi" w:cstheme="minorBidi"/>
          <w:noProof/>
          <w:sz w:val="22"/>
          <w:szCs w:val="22"/>
          <w:lang w:val="sv-SE" w:eastAsia="sv-SE"/>
        </w:rPr>
      </w:pPr>
      <w:hyperlink w:anchor="_Toc491433643" w:history="1">
        <w:r w:rsidR="00F86CBE" w:rsidRPr="000F23C0">
          <w:rPr>
            <w:rStyle w:val="Hyperlink"/>
            <w:b/>
            <w:noProof/>
          </w:rPr>
          <w:t>Table 9. Cadmium compounds on the REACH candidate list.</w:t>
        </w:r>
        <w:r w:rsidR="00F86CBE">
          <w:rPr>
            <w:noProof/>
            <w:webHidden/>
          </w:rPr>
          <w:tab/>
        </w:r>
        <w:r w:rsidR="00F86CBE">
          <w:rPr>
            <w:noProof/>
            <w:webHidden/>
          </w:rPr>
          <w:fldChar w:fldCharType="begin"/>
        </w:r>
        <w:r w:rsidR="00F86CBE">
          <w:rPr>
            <w:noProof/>
            <w:webHidden/>
          </w:rPr>
          <w:instrText xml:space="preserve"> PAGEREF _Toc491433643 \h </w:instrText>
        </w:r>
        <w:r w:rsidR="00F86CBE">
          <w:rPr>
            <w:noProof/>
            <w:webHidden/>
          </w:rPr>
        </w:r>
        <w:r w:rsidR="00F86CBE">
          <w:rPr>
            <w:noProof/>
            <w:webHidden/>
          </w:rPr>
          <w:fldChar w:fldCharType="separate"/>
        </w:r>
        <w:r w:rsidR="0087074B">
          <w:rPr>
            <w:noProof/>
            <w:webHidden/>
          </w:rPr>
          <w:t>24</w:t>
        </w:r>
        <w:r w:rsidR="00F86CBE">
          <w:rPr>
            <w:noProof/>
            <w:webHidden/>
          </w:rPr>
          <w:fldChar w:fldCharType="end"/>
        </w:r>
      </w:hyperlink>
    </w:p>
    <w:p w14:paraId="2BD80742" w14:textId="1DA77CB7" w:rsidR="000A4278" w:rsidRDefault="000721AD" w:rsidP="008D54DB">
      <w:pPr>
        <w:pStyle w:val="Caption"/>
        <w:rPr>
          <w:bCs w:val="0"/>
        </w:rPr>
      </w:pPr>
      <w:r>
        <w:rPr>
          <w:sz w:val="20"/>
          <w:szCs w:val="20"/>
          <w:lang w:eastAsia="fi-FI"/>
        </w:rPr>
        <w:fldChar w:fldCharType="end"/>
      </w:r>
      <w:r w:rsidR="000A4278" w:rsidRPr="000A4278">
        <w:t xml:space="preserve"> </w:t>
      </w:r>
    </w:p>
    <w:p w14:paraId="662E6753" w14:textId="77777777" w:rsidR="003C419D" w:rsidRDefault="00B12C39" w:rsidP="00DD36C7">
      <w:pPr>
        <w:pStyle w:val="Title"/>
        <w:numPr>
          <w:ilvl w:val="0"/>
          <w:numId w:val="0"/>
        </w:numPr>
        <w:jc w:val="center"/>
        <w:rPr>
          <w:rStyle w:val="Strong"/>
        </w:rPr>
      </w:pPr>
      <w:r>
        <w:br w:type="page"/>
      </w:r>
      <w:bookmarkStart w:id="2" w:name="_MailAutoSig"/>
      <w:bookmarkStart w:id="3" w:name="_Toc357185225"/>
      <w:bookmarkStart w:id="4" w:name="_Toc357186073"/>
      <w:bookmarkStart w:id="5" w:name="_Toc357186222"/>
      <w:bookmarkStart w:id="6" w:name="_Toc357437508"/>
      <w:bookmarkStart w:id="7" w:name="_Toc357590781"/>
      <w:bookmarkStart w:id="8" w:name="_Toc357692813"/>
      <w:bookmarkStart w:id="9" w:name="_Toc365649640"/>
      <w:bookmarkStart w:id="10" w:name="_Toc365649789"/>
      <w:bookmarkStart w:id="11" w:name="_Toc366489841"/>
      <w:bookmarkStart w:id="12" w:name="_Toc418498546"/>
      <w:bookmarkStart w:id="13" w:name="_Toc418505989"/>
      <w:bookmarkStart w:id="14" w:name="_Toc486423416"/>
      <w:bookmarkStart w:id="15" w:name="_Toc486425139"/>
      <w:bookmarkStart w:id="16" w:name="_Toc486581232"/>
      <w:bookmarkStart w:id="17" w:name="_Toc491435619"/>
      <w:r w:rsidR="003C419D" w:rsidRPr="00DD36C7">
        <w:rPr>
          <w:sz w:val="32"/>
        </w:rPr>
        <w:lastRenderedPageBreak/>
        <w:t xml:space="preserve">PROPOSAL FOR IDENTIFICATION OF A </w:t>
      </w:r>
      <w:r w:rsidR="002B58B6" w:rsidRPr="00DD36C7">
        <w:rPr>
          <w:sz w:val="32"/>
        </w:rPr>
        <w:t>SUBSTANCE OF VERY HIGH CONCERN</w:t>
      </w:r>
      <w:r w:rsidR="003C419D" w:rsidRPr="00DD36C7">
        <w:rPr>
          <w:sz w:val="32"/>
        </w:rPr>
        <w:t xml:space="preserve"> ON THE BASIS OF </w:t>
      </w:r>
      <w:r w:rsidR="003909BD" w:rsidRPr="00DD36C7">
        <w:rPr>
          <w:sz w:val="32"/>
        </w:rPr>
        <w:t xml:space="preserve">THE </w:t>
      </w:r>
      <w:r w:rsidR="003C419D" w:rsidRPr="00DD36C7">
        <w:rPr>
          <w:sz w:val="32"/>
        </w:rPr>
        <w:t>CRITERIA SET OUT IN REACH ARTICLE 57</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1D3ED118" w14:textId="77777777" w:rsidR="00EA5041" w:rsidRDefault="00EA5041" w:rsidP="0004212E">
      <w:pPr>
        <w:widowControl/>
        <w:spacing w:after="180"/>
        <w:jc w:val="both"/>
        <w:rPr>
          <w:i/>
        </w:rPr>
      </w:pPr>
    </w:p>
    <w:p w14:paraId="20574B4E" w14:textId="507BBF33" w:rsidR="00B12C39" w:rsidRDefault="00B12C39" w:rsidP="00B12C39">
      <w:pPr>
        <w:widowControl/>
        <w:spacing w:after="180"/>
        <w:jc w:val="both"/>
        <w:rPr>
          <w:rStyle w:val="Strong"/>
          <w:bCs/>
        </w:rPr>
      </w:pPr>
      <w:r w:rsidRPr="006F4B04">
        <w:rPr>
          <w:rStyle w:val="Strong"/>
          <w:bCs/>
        </w:rPr>
        <w:t xml:space="preserve">Substance Name: </w:t>
      </w:r>
      <w:r w:rsidR="001C73E1" w:rsidRPr="00963CA8">
        <w:rPr>
          <w:szCs w:val="24"/>
          <w:lang w:eastAsia="en-US"/>
        </w:rPr>
        <w:t xml:space="preserve">Cadmium hydroxide, </w:t>
      </w:r>
      <w:proofErr w:type="gramStart"/>
      <w:r w:rsidR="001C73E1" w:rsidRPr="00963CA8">
        <w:rPr>
          <w:szCs w:val="24"/>
          <w:lang w:val="en-US" w:eastAsia="en-US"/>
        </w:rPr>
        <w:t>Cd(</w:t>
      </w:r>
      <w:proofErr w:type="gramEnd"/>
      <w:r w:rsidR="001C73E1" w:rsidRPr="00963CA8">
        <w:rPr>
          <w:szCs w:val="24"/>
          <w:lang w:val="en-US" w:eastAsia="en-US"/>
        </w:rPr>
        <w:t>OH)</w:t>
      </w:r>
      <w:r w:rsidR="001C73E1" w:rsidRPr="00963CA8">
        <w:rPr>
          <w:szCs w:val="24"/>
          <w:vertAlign w:val="subscript"/>
          <w:lang w:val="en-US" w:eastAsia="en-US"/>
        </w:rPr>
        <w:t>2</w:t>
      </w:r>
    </w:p>
    <w:p w14:paraId="4FF0B099" w14:textId="4FB0F0BE" w:rsidR="00B12C39" w:rsidRPr="006F4B04" w:rsidRDefault="00B12C39" w:rsidP="00B12C39">
      <w:pPr>
        <w:widowControl/>
        <w:spacing w:after="180"/>
        <w:jc w:val="both"/>
        <w:rPr>
          <w:rStyle w:val="Strong"/>
          <w:bCs/>
        </w:rPr>
      </w:pPr>
      <w:r w:rsidRPr="006F4B04">
        <w:rPr>
          <w:rStyle w:val="Strong"/>
          <w:bCs/>
        </w:rPr>
        <w:t xml:space="preserve">EC Number: </w:t>
      </w:r>
      <w:r w:rsidR="001C73E1" w:rsidRPr="00963CA8">
        <w:t>244-168-5</w:t>
      </w:r>
    </w:p>
    <w:p w14:paraId="5FB3BF70" w14:textId="699FDAE6" w:rsidR="00B12C39" w:rsidRPr="006F4B04" w:rsidRDefault="00B12C39" w:rsidP="00B12C39">
      <w:pPr>
        <w:widowControl/>
        <w:spacing w:after="180"/>
        <w:jc w:val="both"/>
        <w:rPr>
          <w:rStyle w:val="Strong"/>
          <w:bCs/>
        </w:rPr>
      </w:pPr>
      <w:r w:rsidRPr="006F4B04">
        <w:rPr>
          <w:rStyle w:val="Strong"/>
          <w:bCs/>
        </w:rPr>
        <w:t xml:space="preserve">CAS number: </w:t>
      </w:r>
      <w:r w:rsidR="001C73E1" w:rsidRPr="00963CA8">
        <w:t>21041-95-2</w:t>
      </w:r>
    </w:p>
    <w:p w14:paraId="355C8EF9" w14:textId="2B3D5EA5" w:rsidR="003909BD" w:rsidRDefault="003909BD" w:rsidP="00FF1A53">
      <w:pPr>
        <w:numPr>
          <w:ilvl w:val="0"/>
          <w:numId w:val="11"/>
        </w:numPr>
      </w:pPr>
      <w:r w:rsidRPr="003909BD">
        <w:t xml:space="preserve">The substance </w:t>
      </w:r>
      <w:proofErr w:type="gramStart"/>
      <w:r w:rsidRPr="003909BD">
        <w:t>is proposed to be identified</w:t>
      </w:r>
      <w:proofErr w:type="gramEnd"/>
      <w:r w:rsidRPr="003909BD">
        <w:t xml:space="preserve"> as a substance meeting the criteria of Article 57 (a) of Regulation (EC) </w:t>
      </w:r>
      <w:r w:rsidR="003D2CEA">
        <w:t xml:space="preserve">No </w:t>
      </w:r>
      <w:r w:rsidRPr="003909BD">
        <w:t xml:space="preserve">1907/2006 (REACH) owing to its classification </w:t>
      </w:r>
      <w:r w:rsidR="003D2CEA">
        <w:t>in the hazard class</w:t>
      </w:r>
      <w:r w:rsidR="003D2CEA" w:rsidRPr="003909BD">
        <w:t xml:space="preserve"> </w:t>
      </w:r>
      <w:r w:rsidRPr="003909BD">
        <w:t>carcinogenic</w:t>
      </w:r>
      <w:r w:rsidR="003D2CEA">
        <w:t>ity</w:t>
      </w:r>
      <w:r w:rsidRPr="003909BD">
        <w:t xml:space="preserve"> category </w:t>
      </w:r>
      <w:r w:rsidR="003D2CEA">
        <w:t>1</w:t>
      </w:r>
      <w:r w:rsidRPr="003909BD">
        <w:t>B</w:t>
      </w:r>
      <w:r w:rsidR="008557B0" w:rsidRPr="008557B0">
        <w:rPr>
          <w:rStyle w:val="FootnoteReference"/>
          <w:rFonts w:ascii="Verdana" w:hAnsi="Verdana"/>
          <w:sz w:val="20"/>
        </w:rPr>
        <w:footnoteReference w:id="1"/>
      </w:r>
      <w:r w:rsidRPr="003909BD">
        <w:t>.</w:t>
      </w:r>
    </w:p>
    <w:p w14:paraId="3AE5B668" w14:textId="77777777" w:rsidR="003909BD" w:rsidRPr="003909BD" w:rsidRDefault="003909BD" w:rsidP="003909BD">
      <w:pPr>
        <w:ind w:left="720"/>
      </w:pPr>
    </w:p>
    <w:p w14:paraId="1993865B" w14:textId="25442C2E" w:rsidR="003909BD" w:rsidRDefault="003909BD" w:rsidP="00FF1A53">
      <w:pPr>
        <w:numPr>
          <w:ilvl w:val="0"/>
          <w:numId w:val="11"/>
        </w:numPr>
      </w:pPr>
      <w:r w:rsidRPr="003909BD">
        <w:t xml:space="preserve">The substance </w:t>
      </w:r>
      <w:proofErr w:type="gramStart"/>
      <w:r w:rsidRPr="003909BD">
        <w:t>is proposed to be identified</w:t>
      </w:r>
      <w:proofErr w:type="gramEnd"/>
      <w:r w:rsidRPr="003909BD">
        <w:t xml:space="preserve"> as a substance meeting the criteria of Article 57 (b) of Regulation (EC) </w:t>
      </w:r>
      <w:r w:rsidR="004D51BA">
        <w:t xml:space="preserve">No </w:t>
      </w:r>
      <w:r w:rsidRPr="003909BD">
        <w:t xml:space="preserve">1907/2006 (REACH) owing to its classification </w:t>
      </w:r>
      <w:r w:rsidR="003D2CEA">
        <w:t>in the hazard class germ cell</w:t>
      </w:r>
      <w:r w:rsidR="003D2CEA" w:rsidRPr="003909BD">
        <w:t xml:space="preserve"> </w:t>
      </w:r>
      <w:r w:rsidRPr="003909BD">
        <w:t>mutagenic</w:t>
      </w:r>
      <w:r w:rsidR="003D2CEA">
        <w:t>ity</w:t>
      </w:r>
      <w:r w:rsidRPr="003909BD">
        <w:t xml:space="preserve"> category </w:t>
      </w:r>
      <w:r w:rsidR="003D2CEA">
        <w:t>1</w:t>
      </w:r>
      <w:r w:rsidR="003B7B69" w:rsidRPr="003909BD">
        <w:t>B</w:t>
      </w:r>
      <w:r w:rsidR="008557B0" w:rsidRPr="008557B0">
        <w:rPr>
          <w:rStyle w:val="FootnoteReference"/>
          <w:rFonts w:ascii="Verdana" w:hAnsi="Verdana"/>
          <w:sz w:val="20"/>
        </w:rPr>
        <w:footnoteReference w:id="2"/>
      </w:r>
      <w:r w:rsidRPr="003909BD">
        <w:t>.</w:t>
      </w:r>
    </w:p>
    <w:p w14:paraId="064154B6" w14:textId="68E8E085" w:rsidR="00C1120D" w:rsidRDefault="00C1120D" w:rsidP="00C1120D"/>
    <w:p w14:paraId="4568EB08" w14:textId="7D990FAF" w:rsidR="00B12C39" w:rsidRPr="00B6376F" w:rsidRDefault="00B12C39" w:rsidP="00FF1A53">
      <w:pPr>
        <w:numPr>
          <w:ilvl w:val="0"/>
          <w:numId w:val="11"/>
        </w:numPr>
        <w:jc w:val="both"/>
        <w:rPr>
          <w:lang w:eastAsia="en-US"/>
        </w:rPr>
      </w:pPr>
      <w:proofErr w:type="gramStart"/>
      <w:r w:rsidRPr="00B6376F">
        <w:rPr>
          <w:lang w:eastAsia="en-US"/>
        </w:rPr>
        <w:t xml:space="preserve">It is proposed to identify the substance as a substance of equivalent </w:t>
      </w:r>
      <w:r w:rsidR="004D51BA">
        <w:rPr>
          <w:lang w:eastAsia="en-US"/>
        </w:rPr>
        <w:t xml:space="preserve">level of </w:t>
      </w:r>
      <w:r w:rsidRPr="00B6376F">
        <w:rPr>
          <w:lang w:eastAsia="en-US"/>
        </w:rPr>
        <w:t xml:space="preserve">concern </w:t>
      </w:r>
      <w:r w:rsidR="004D51BA">
        <w:rPr>
          <w:lang w:eastAsia="en-US"/>
        </w:rPr>
        <w:t xml:space="preserve">to those of other substances listed in points (a) to (e) of Article 57 </w:t>
      </w:r>
      <w:r w:rsidR="004D51BA" w:rsidRPr="003909BD">
        <w:t xml:space="preserve">of Regulation (EC) </w:t>
      </w:r>
      <w:r w:rsidR="004D51BA">
        <w:t xml:space="preserve">No </w:t>
      </w:r>
      <w:r w:rsidR="004D51BA" w:rsidRPr="003909BD">
        <w:t>1907/2006 (REACH)</w:t>
      </w:r>
      <w:r w:rsidR="00E53717" w:rsidDel="00E53717">
        <w:rPr>
          <w:lang w:eastAsia="en-US"/>
        </w:rPr>
        <w:t xml:space="preserve"> </w:t>
      </w:r>
      <w:r w:rsidRPr="00B6376F">
        <w:rPr>
          <w:lang w:eastAsia="en-US"/>
        </w:rPr>
        <w:t>according to Article 57(f)</w:t>
      </w:r>
      <w:r w:rsidR="00CE4DE5" w:rsidRPr="00CE4DE5">
        <w:t xml:space="preserve"> </w:t>
      </w:r>
      <w:r w:rsidR="00CE4DE5" w:rsidRPr="003909BD">
        <w:t xml:space="preserve">of </w:t>
      </w:r>
      <w:r w:rsidR="00FF0FF1">
        <w:t xml:space="preserve">REACH </w:t>
      </w:r>
      <w:r w:rsidR="00CE4DE5" w:rsidRPr="003909BD">
        <w:t>Regulation</w:t>
      </w:r>
      <w:r w:rsidR="00912A08">
        <w:t xml:space="preserve"> owing to the scientific evidence of probable serious effects to human health because of adverse effects on kidney and bone after prolonged exposure (classification STOT RE 1)</w:t>
      </w:r>
      <w:r w:rsidR="00912A08" w:rsidRPr="00912A08">
        <w:rPr>
          <w:rStyle w:val="FootnoteReference"/>
          <w:rFonts w:ascii="Verdana" w:hAnsi="Verdana"/>
          <w:sz w:val="20"/>
        </w:rPr>
        <w:footnoteReference w:id="3"/>
      </w:r>
      <w:r w:rsidR="00FF0FF1">
        <w:t>.</w:t>
      </w:r>
      <w:proofErr w:type="gramEnd"/>
      <w:r w:rsidR="00CE4DE5" w:rsidRPr="003909BD">
        <w:t xml:space="preserve"> </w:t>
      </w:r>
    </w:p>
    <w:p w14:paraId="650D6932" w14:textId="77777777" w:rsidR="00B12C39" w:rsidRPr="00626669" w:rsidRDefault="00B12C39" w:rsidP="00B12C39">
      <w:pPr>
        <w:widowControl/>
        <w:spacing w:after="180"/>
        <w:jc w:val="both"/>
        <w:rPr>
          <w:szCs w:val="24"/>
          <w:lang w:eastAsia="en-US"/>
        </w:rPr>
      </w:pPr>
    </w:p>
    <w:p w14:paraId="4E899474" w14:textId="77777777" w:rsidR="00B12C39" w:rsidRDefault="00B12C39" w:rsidP="00B12C39">
      <w:pPr>
        <w:widowControl/>
        <w:spacing w:after="180"/>
        <w:jc w:val="both"/>
        <w:rPr>
          <w:rStyle w:val="Strong"/>
          <w:bCs/>
        </w:rPr>
      </w:pPr>
      <w:r w:rsidRPr="00127DF0">
        <w:rPr>
          <w:rStyle w:val="Strong"/>
          <w:bCs/>
        </w:rPr>
        <w:t xml:space="preserve">Summary of how the substance meets the criteria </w:t>
      </w:r>
      <w:r>
        <w:rPr>
          <w:rStyle w:val="Strong"/>
          <w:bCs/>
        </w:rPr>
        <w:t>set out in Article 57 of the REACH Regulation</w:t>
      </w:r>
    </w:p>
    <w:p w14:paraId="0611F824" w14:textId="77777777" w:rsidR="005216AB" w:rsidRPr="001957A4" w:rsidRDefault="005216AB" w:rsidP="005216AB">
      <w:pPr>
        <w:widowControl/>
        <w:spacing w:after="180"/>
        <w:jc w:val="both"/>
        <w:rPr>
          <w:rStyle w:val="Strong"/>
          <w:i/>
        </w:rPr>
      </w:pPr>
      <w:r w:rsidRPr="001957A4">
        <w:rPr>
          <w:rStyle w:val="Strong"/>
          <w:i/>
        </w:rPr>
        <w:t>Carcinogen 1B</w:t>
      </w:r>
      <w:r>
        <w:rPr>
          <w:rStyle w:val="Strong"/>
          <w:i/>
        </w:rPr>
        <w:t xml:space="preserve"> – 57(a)</w:t>
      </w:r>
    </w:p>
    <w:p w14:paraId="64A68415" w14:textId="03EE31B2" w:rsidR="00C17668" w:rsidRDefault="001C73E1" w:rsidP="00C17668">
      <w:pPr>
        <w:widowControl/>
        <w:spacing w:after="180"/>
        <w:jc w:val="both"/>
        <w:rPr>
          <w:szCs w:val="24"/>
          <w:lang w:eastAsia="en-US"/>
        </w:rPr>
      </w:pPr>
      <w:r>
        <w:rPr>
          <w:szCs w:val="24"/>
          <w:lang w:eastAsia="en-US"/>
        </w:rPr>
        <w:t>Cadmium hydroxide</w:t>
      </w:r>
      <w:r w:rsidR="00C17668" w:rsidRPr="00626669">
        <w:rPr>
          <w:szCs w:val="24"/>
          <w:lang w:eastAsia="en-US"/>
        </w:rPr>
        <w:t xml:space="preserve"> is covered by </w:t>
      </w:r>
      <w:r w:rsidR="008557B0">
        <w:rPr>
          <w:szCs w:val="24"/>
          <w:lang w:eastAsia="en-US"/>
        </w:rPr>
        <w:t>I</w:t>
      </w:r>
      <w:r w:rsidR="00C17668" w:rsidRPr="00626669">
        <w:rPr>
          <w:szCs w:val="24"/>
          <w:lang w:eastAsia="en-US"/>
        </w:rPr>
        <w:t xml:space="preserve">ndex </w:t>
      </w:r>
      <w:r w:rsidR="00C17668" w:rsidRPr="00C1120D">
        <w:rPr>
          <w:szCs w:val="24"/>
          <w:lang w:eastAsia="en-US"/>
        </w:rPr>
        <w:t xml:space="preserve">number </w:t>
      </w:r>
      <w:r w:rsidRPr="001C73E1">
        <w:rPr>
          <w:szCs w:val="24"/>
          <w:lang w:eastAsia="en-US"/>
        </w:rPr>
        <w:t>048-013-00-0</w:t>
      </w:r>
      <w:r>
        <w:rPr>
          <w:szCs w:val="24"/>
          <w:lang w:eastAsia="en-US"/>
        </w:rPr>
        <w:t xml:space="preserve"> </w:t>
      </w:r>
      <w:r w:rsidR="003740C1" w:rsidRPr="00C1120D">
        <w:t>of Regulation (EC) No 1272/2008 in Annex VI, part 3, Table 3.1 (the list of harmonised classification and labelling of hazardous substances) and</w:t>
      </w:r>
      <w:r w:rsidR="00C17668" w:rsidRPr="00C1120D">
        <w:rPr>
          <w:szCs w:val="24"/>
          <w:lang w:eastAsia="en-US"/>
        </w:rPr>
        <w:t xml:space="preserve"> it is classified in</w:t>
      </w:r>
      <w:r w:rsidR="00C17668" w:rsidRPr="00C1120D">
        <w:t xml:space="preserve"> the hazard class </w:t>
      </w:r>
      <w:r w:rsidR="00C17668" w:rsidRPr="00C1120D">
        <w:rPr>
          <w:szCs w:val="24"/>
          <w:lang w:eastAsia="en-US"/>
        </w:rPr>
        <w:t xml:space="preserve">carcinogenicity </w:t>
      </w:r>
      <w:r w:rsidR="00C17668" w:rsidRPr="00C1120D">
        <w:t xml:space="preserve">category </w:t>
      </w:r>
      <w:r w:rsidR="00C17668" w:rsidRPr="00C1120D">
        <w:rPr>
          <w:szCs w:val="24"/>
          <w:lang w:eastAsia="en-US"/>
        </w:rPr>
        <w:t xml:space="preserve">1B (hazard statement H350: “May cause cancer”). </w:t>
      </w:r>
    </w:p>
    <w:p w14:paraId="3AFB441C" w14:textId="77777777" w:rsidR="005216AB" w:rsidRDefault="005216AB" w:rsidP="005216AB">
      <w:pPr>
        <w:jc w:val="both"/>
        <w:rPr>
          <w:lang w:eastAsia="en-US"/>
        </w:rPr>
      </w:pPr>
      <w:r w:rsidRPr="00626669">
        <w:rPr>
          <w:lang w:eastAsia="en-US"/>
        </w:rPr>
        <w:t xml:space="preserve">Therefore, this classification of the substance in Regulation (EC) No 1272/2008 shows that it meets the criteria for classification </w:t>
      </w:r>
      <w:r>
        <w:t>in the hazard class</w:t>
      </w:r>
      <w:r>
        <w:rPr>
          <w:lang w:eastAsia="en-US"/>
        </w:rPr>
        <w:t xml:space="preserve">: </w:t>
      </w:r>
    </w:p>
    <w:p w14:paraId="5470C6E7" w14:textId="77777777" w:rsidR="005216AB" w:rsidRDefault="005216AB" w:rsidP="005216AB">
      <w:pPr>
        <w:jc w:val="both"/>
        <w:rPr>
          <w:lang w:eastAsia="en-US"/>
        </w:rPr>
      </w:pPr>
    </w:p>
    <w:p w14:paraId="058B78DE" w14:textId="77777777" w:rsidR="005216AB" w:rsidRDefault="005216AB" w:rsidP="005216AB">
      <w:pPr>
        <w:numPr>
          <w:ilvl w:val="0"/>
          <w:numId w:val="27"/>
        </w:numPr>
        <w:jc w:val="both"/>
        <w:rPr>
          <w:lang w:eastAsia="en-US"/>
        </w:rPr>
      </w:pPr>
      <w:r w:rsidRPr="00626669">
        <w:rPr>
          <w:lang w:eastAsia="en-US"/>
        </w:rPr>
        <w:t>Carcinogen</w:t>
      </w:r>
      <w:r>
        <w:rPr>
          <w:lang w:eastAsia="en-US"/>
        </w:rPr>
        <w:t xml:space="preserve">icity </w:t>
      </w:r>
      <w:r>
        <w:t>category 1</w:t>
      </w:r>
      <w:r w:rsidRPr="003909BD">
        <w:t>B</w:t>
      </w:r>
      <w:r>
        <w:rPr>
          <w:lang w:eastAsia="en-US"/>
        </w:rPr>
        <w:t xml:space="preserve"> in accordance with Article 57</w:t>
      </w:r>
      <w:r w:rsidRPr="00626669">
        <w:rPr>
          <w:lang w:eastAsia="en-US"/>
        </w:rPr>
        <w:t>(a)</w:t>
      </w:r>
      <w:r w:rsidRPr="001723D9">
        <w:rPr>
          <w:lang w:eastAsia="en-US"/>
        </w:rPr>
        <w:t xml:space="preserve"> </w:t>
      </w:r>
      <w:r w:rsidRPr="00626669">
        <w:rPr>
          <w:lang w:eastAsia="en-US"/>
        </w:rPr>
        <w:t>of REACH</w:t>
      </w:r>
      <w:r>
        <w:rPr>
          <w:lang w:eastAsia="en-US"/>
        </w:rPr>
        <w:t>.</w:t>
      </w:r>
    </w:p>
    <w:p w14:paraId="2DC45B3E" w14:textId="443B1882" w:rsidR="005216AB" w:rsidRDefault="005216AB" w:rsidP="00C17668">
      <w:pPr>
        <w:widowControl/>
        <w:spacing w:after="180"/>
        <w:jc w:val="both"/>
        <w:rPr>
          <w:szCs w:val="24"/>
          <w:lang w:eastAsia="en-US"/>
        </w:rPr>
      </w:pPr>
    </w:p>
    <w:p w14:paraId="2A280101" w14:textId="4F98C799" w:rsidR="008557B0" w:rsidRPr="008557B0" w:rsidRDefault="008557B0" w:rsidP="00C17668">
      <w:pPr>
        <w:widowControl/>
        <w:spacing w:after="180"/>
        <w:jc w:val="both"/>
        <w:rPr>
          <w:b/>
          <w:bCs/>
          <w:i/>
        </w:rPr>
      </w:pPr>
      <w:r>
        <w:rPr>
          <w:rStyle w:val="Strong"/>
          <w:i/>
        </w:rPr>
        <w:t>Mutagen</w:t>
      </w:r>
      <w:r w:rsidRPr="001957A4">
        <w:rPr>
          <w:rStyle w:val="Strong"/>
          <w:i/>
        </w:rPr>
        <w:t xml:space="preserve"> 1B</w:t>
      </w:r>
      <w:r>
        <w:rPr>
          <w:rStyle w:val="Strong"/>
          <w:i/>
        </w:rPr>
        <w:t xml:space="preserve"> – 57(b)</w:t>
      </w:r>
    </w:p>
    <w:p w14:paraId="63261602" w14:textId="10BA5E46" w:rsidR="00C17668" w:rsidRDefault="001C73E1" w:rsidP="00C17668">
      <w:pPr>
        <w:widowControl/>
        <w:spacing w:after="180"/>
        <w:jc w:val="both"/>
        <w:rPr>
          <w:szCs w:val="24"/>
          <w:lang w:eastAsia="en-US"/>
        </w:rPr>
      </w:pPr>
      <w:r>
        <w:rPr>
          <w:lang w:eastAsia="en-US"/>
        </w:rPr>
        <w:t>Cadmium hydroxide</w:t>
      </w:r>
      <w:r w:rsidR="00C17668" w:rsidRPr="00C1120D">
        <w:rPr>
          <w:i/>
          <w:lang w:eastAsia="en-US"/>
        </w:rPr>
        <w:t xml:space="preserve"> </w:t>
      </w:r>
      <w:r w:rsidR="00C17668" w:rsidRPr="00C1120D">
        <w:rPr>
          <w:szCs w:val="24"/>
          <w:lang w:eastAsia="en-US"/>
        </w:rPr>
        <w:t xml:space="preserve">is covered by </w:t>
      </w:r>
      <w:r w:rsidR="008557B0">
        <w:rPr>
          <w:szCs w:val="24"/>
          <w:lang w:eastAsia="en-US"/>
        </w:rPr>
        <w:t>I</w:t>
      </w:r>
      <w:r w:rsidR="00C17668" w:rsidRPr="00C1120D">
        <w:rPr>
          <w:szCs w:val="24"/>
          <w:lang w:eastAsia="en-US"/>
        </w:rPr>
        <w:t xml:space="preserve">ndex number </w:t>
      </w:r>
      <w:r w:rsidR="0069329D" w:rsidRPr="0069329D">
        <w:rPr>
          <w:szCs w:val="24"/>
          <w:lang w:eastAsia="en-US"/>
        </w:rPr>
        <w:t>048-013-00-0</w:t>
      </w:r>
      <w:r w:rsidR="0069329D">
        <w:rPr>
          <w:szCs w:val="24"/>
          <w:lang w:eastAsia="en-US"/>
        </w:rPr>
        <w:t xml:space="preserve"> </w:t>
      </w:r>
      <w:r w:rsidR="003740C1" w:rsidRPr="00C1120D">
        <w:t>of Regulation (EC) No 1272/2008 in Annex VI, part 3, Table 3.1 (the list of harmonised classification and labelling of hazardous substances) and</w:t>
      </w:r>
      <w:r w:rsidR="00C17668" w:rsidRPr="00C1120D">
        <w:rPr>
          <w:szCs w:val="24"/>
          <w:lang w:eastAsia="en-US"/>
        </w:rPr>
        <w:t xml:space="preserve"> it is classified </w:t>
      </w:r>
      <w:r w:rsidR="00C17668" w:rsidRPr="00C1120D">
        <w:t xml:space="preserve">in the hazard class germ cell mutagenicity category </w:t>
      </w:r>
      <w:r w:rsidR="00C17668" w:rsidRPr="00C1120D">
        <w:rPr>
          <w:szCs w:val="24"/>
          <w:lang w:eastAsia="en-US"/>
        </w:rPr>
        <w:t xml:space="preserve"> 1B (hazard</w:t>
      </w:r>
      <w:r w:rsidR="00C17668">
        <w:rPr>
          <w:szCs w:val="24"/>
          <w:lang w:eastAsia="en-US"/>
        </w:rPr>
        <w:t xml:space="preserve"> statement </w:t>
      </w:r>
      <w:r w:rsidR="00C17668" w:rsidRPr="00626669">
        <w:rPr>
          <w:szCs w:val="24"/>
          <w:lang w:eastAsia="en-US"/>
        </w:rPr>
        <w:t xml:space="preserve">H340: “May cause genetic defects”). </w:t>
      </w:r>
    </w:p>
    <w:p w14:paraId="46B4FDB0" w14:textId="6C032313" w:rsidR="00B12C39" w:rsidRDefault="00B12C39" w:rsidP="008F6AF1">
      <w:pPr>
        <w:widowControl/>
        <w:spacing w:after="180"/>
        <w:jc w:val="both"/>
        <w:rPr>
          <w:lang w:eastAsia="en-US"/>
        </w:rPr>
      </w:pPr>
      <w:r w:rsidRPr="00626669">
        <w:rPr>
          <w:lang w:eastAsia="en-US"/>
        </w:rPr>
        <w:lastRenderedPageBreak/>
        <w:t xml:space="preserve">Therefore, this classification of the substance in Regulation (EC) No 1272/2008 shows that it meets the criteria for classification </w:t>
      </w:r>
      <w:r w:rsidR="00714842">
        <w:t>in the hazard class</w:t>
      </w:r>
      <w:r>
        <w:rPr>
          <w:lang w:eastAsia="en-US"/>
        </w:rPr>
        <w:t xml:space="preserve">: </w:t>
      </w:r>
    </w:p>
    <w:p w14:paraId="5A00F6F7" w14:textId="0EF5B8FF" w:rsidR="00B12C39" w:rsidRDefault="000634C2" w:rsidP="00FF1A53">
      <w:pPr>
        <w:numPr>
          <w:ilvl w:val="0"/>
          <w:numId w:val="15"/>
        </w:numPr>
        <w:jc w:val="both"/>
        <w:rPr>
          <w:lang w:eastAsia="en-US"/>
        </w:rPr>
      </w:pPr>
      <w:r>
        <w:rPr>
          <w:lang w:eastAsia="en-US"/>
        </w:rPr>
        <w:t>G</w:t>
      </w:r>
      <w:r w:rsidR="003122B0">
        <w:rPr>
          <w:lang w:eastAsia="en-US"/>
        </w:rPr>
        <w:t xml:space="preserve">erm cell </w:t>
      </w:r>
      <w:r w:rsidR="00B12C39" w:rsidRPr="00626669">
        <w:rPr>
          <w:lang w:eastAsia="en-US"/>
        </w:rPr>
        <w:t>mutagen</w:t>
      </w:r>
      <w:r>
        <w:rPr>
          <w:lang w:eastAsia="en-US"/>
        </w:rPr>
        <w:t>icity</w:t>
      </w:r>
      <w:r w:rsidR="00B12C39" w:rsidRPr="00626669">
        <w:rPr>
          <w:lang w:eastAsia="en-US"/>
        </w:rPr>
        <w:t xml:space="preserve"> </w:t>
      </w:r>
      <w:r w:rsidRPr="003909BD">
        <w:t xml:space="preserve">category </w:t>
      </w:r>
      <w:r>
        <w:t>1</w:t>
      </w:r>
      <w:r w:rsidRPr="003909BD">
        <w:t>B</w:t>
      </w:r>
      <w:r w:rsidRPr="00626669">
        <w:rPr>
          <w:lang w:eastAsia="en-US"/>
        </w:rPr>
        <w:t xml:space="preserve"> </w:t>
      </w:r>
      <w:r w:rsidR="00B12C39" w:rsidRPr="00626669">
        <w:rPr>
          <w:lang w:eastAsia="en-US"/>
        </w:rPr>
        <w:t>in accordance with Article 57 (b)</w:t>
      </w:r>
      <w:r w:rsidR="001723D9" w:rsidRPr="001723D9">
        <w:rPr>
          <w:lang w:eastAsia="en-US"/>
        </w:rPr>
        <w:t xml:space="preserve"> </w:t>
      </w:r>
      <w:r w:rsidR="001723D9" w:rsidRPr="00626669">
        <w:rPr>
          <w:lang w:eastAsia="en-US"/>
        </w:rPr>
        <w:t>of REACH</w:t>
      </w:r>
      <w:r w:rsidR="001723D9">
        <w:rPr>
          <w:lang w:eastAsia="en-US"/>
        </w:rPr>
        <w:t>.</w:t>
      </w:r>
    </w:p>
    <w:p w14:paraId="2BA873AA" w14:textId="1A3B5E6C" w:rsidR="00912A08" w:rsidRDefault="00912A08" w:rsidP="00B12C39">
      <w:pPr>
        <w:jc w:val="both"/>
        <w:rPr>
          <w:rStyle w:val="Strong"/>
          <w:bCs/>
        </w:rPr>
      </w:pPr>
    </w:p>
    <w:p w14:paraId="12D85E1D" w14:textId="77777777" w:rsidR="00912A08" w:rsidRPr="00E87BA4" w:rsidRDefault="00912A08" w:rsidP="00912A08">
      <w:pPr>
        <w:widowControl/>
        <w:spacing w:after="180"/>
        <w:jc w:val="both"/>
        <w:rPr>
          <w:rStyle w:val="Strong"/>
          <w:i/>
        </w:rPr>
      </w:pPr>
      <w:r>
        <w:rPr>
          <w:rStyle w:val="Strong"/>
          <w:i/>
        </w:rPr>
        <w:t>Equivalent level of concern – 57(f)</w:t>
      </w:r>
    </w:p>
    <w:p w14:paraId="0EE0A68D" w14:textId="3D938FEB" w:rsidR="00B12C39" w:rsidRDefault="001C73E1" w:rsidP="00B12C39">
      <w:pPr>
        <w:widowControl/>
        <w:autoSpaceDE w:val="0"/>
        <w:autoSpaceDN w:val="0"/>
        <w:adjustRightInd w:val="0"/>
        <w:jc w:val="both"/>
        <w:rPr>
          <w:rFonts w:cs="Verdana"/>
          <w:lang w:eastAsia="en-GB"/>
        </w:rPr>
      </w:pPr>
      <w:r>
        <w:rPr>
          <w:lang w:eastAsia="en-US"/>
        </w:rPr>
        <w:t>Cadmium hydroxide</w:t>
      </w:r>
      <w:r w:rsidR="00B12C39" w:rsidRPr="003537C9">
        <w:rPr>
          <w:lang w:eastAsia="en-US"/>
        </w:rPr>
        <w:t xml:space="preserve"> is covered by </w:t>
      </w:r>
      <w:r w:rsidR="00912A08">
        <w:rPr>
          <w:lang w:eastAsia="en-US"/>
        </w:rPr>
        <w:t>I</w:t>
      </w:r>
      <w:r w:rsidR="00B12C39" w:rsidRPr="003537C9">
        <w:rPr>
          <w:lang w:eastAsia="en-US"/>
        </w:rPr>
        <w:t xml:space="preserve">ndex number </w:t>
      </w:r>
      <w:r w:rsidR="0069329D" w:rsidRPr="003029E0">
        <w:rPr>
          <w:bCs/>
          <w:lang w:eastAsia="en-GB"/>
        </w:rPr>
        <w:t>048-013-00-0</w:t>
      </w:r>
      <w:r w:rsidR="0069329D">
        <w:rPr>
          <w:bCs/>
          <w:lang w:eastAsia="en-GB"/>
        </w:rPr>
        <w:t xml:space="preserve"> </w:t>
      </w:r>
      <w:r w:rsidR="003740C1">
        <w:t>of Regulation (EC) No 1272/2008 in Annex VI, part 3, Table 3.1 (the list of harmonised classification and labelling of hazardous substances) and</w:t>
      </w:r>
      <w:r w:rsidR="00B12C39" w:rsidRPr="004921F5">
        <w:rPr>
          <w:rFonts w:cs="Verdana"/>
          <w:lang w:eastAsia="en-GB"/>
        </w:rPr>
        <w:t xml:space="preserve"> </w:t>
      </w:r>
      <w:r w:rsidR="00C17668">
        <w:rPr>
          <w:szCs w:val="24"/>
          <w:lang w:eastAsia="en-US"/>
        </w:rPr>
        <w:t xml:space="preserve">it is </w:t>
      </w:r>
      <w:r w:rsidR="00B12C39" w:rsidRPr="004921F5">
        <w:rPr>
          <w:rFonts w:cs="Verdana"/>
          <w:lang w:eastAsia="en-GB"/>
        </w:rPr>
        <w:t xml:space="preserve">classified </w:t>
      </w:r>
      <w:r w:rsidR="00D668EB">
        <w:rPr>
          <w:rFonts w:cs="Verdana"/>
          <w:lang w:eastAsia="en-GB"/>
        </w:rPr>
        <w:t xml:space="preserve">as </w:t>
      </w:r>
      <w:r w:rsidR="00D668EB" w:rsidRPr="006D2A34">
        <w:rPr>
          <w:rFonts w:cs="Verdana"/>
          <w:lang w:eastAsia="en-GB"/>
        </w:rPr>
        <w:t xml:space="preserve">STOT RE1 (hazard statement H372: Causes damage to organs through </w:t>
      </w:r>
      <w:r w:rsidR="00D668EB" w:rsidRPr="00D668EB">
        <w:rPr>
          <w:rFonts w:cs="Verdana"/>
          <w:lang w:eastAsia="en-GB"/>
        </w:rPr>
        <w:t>prolonged or repeated exposure)</w:t>
      </w:r>
      <w:r w:rsidR="006D4162">
        <w:rPr>
          <w:rFonts w:cs="Verdana"/>
          <w:lang w:eastAsia="en-GB"/>
        </w:rPr>
        <w:t>.</w:t>
      </w:r>
      <w:r w:rsidR="00B12C39" w:rsidRPr="008D29FA">
        <w:rPr>
          <w:lang w:eastAsia="en-US"/>
        </w:rPr>
        <w:t xml:space="preserve"> </w:t>
      </w:r>
      <w:proofErr w:type="gramStart"/>
      <w:r>
        <w:rPr>
          <w:lang w:eastAsia="en-US"/>
        </w:rPr>
        <w:t>Cadmium hydroxide</w:t>
      </w:r>
      <w:r w:rsidR="00B12C39" w:rsidRPr="00A172E7">
        <w:rPr>
          <w:lang w:eastAsia="en-US"/>
        </w:rPr>
        <w:t xml:space="preserve"> </w:t>
      </w:r>
      <w:r w:rsidR="00B12C39" w:rsidRPr="002429A4">
        <w:rPr>
          <w:rFonts w:cs="Verdana"/>
          <w:lang w:eastAsia="en-GB"/>
        </w:rPr>
        <w:t xml:space="preserve">is </w:t>
      </w:r>
      <w:r w:rsidR="00973969">
        <w:rPr>
          <w:rFonts w:cs="Verdana"/>
          <w:lang w:eastAsia="en-GB"/>
        </w:rPr>
        <w:t xml:space="preserve">proposed to be </w:t>
      </w:r>
      <w:r w:rsidR="00B12C39" w:rsidRPr="002429A4">
        <w:rPr>
          <w:rFonts w:cs="Verdana"/>
          <w:lang w:eastAsia="en-GB"/>
        </w:rPr>
        <w:t xml:space="preserve">identified as a </w:t>
      </w:r>
      <w:r w:rsidR="000B7D2E">
        <w:rPr>
          <w:rFonts w:cs="Verdana"/>
          <w:lang w:eastAsia="en-GB"/>
        </w:rPr>
        <w:t xml:space="preserve">substance </w:t>
      </w:r>
      <w:r w:rsidR="002B58B6">
        <w:rPr>
          <w:rFonts w:cs="Verdana"/>
          <w:lang w:eastAsia="en-GB"/>
        </w:rPr>
        <w:t xml:space="preserve">of </w:t>
      </w:r>
      <w:r w:rsidR="000B7D2E">
        <w:rPr>
          <w:rFonts w:cs="Verdana"/>
          <w:lang w:eastAsia="en-GB"/>
        </w:rPr>
        <w:t>very high concern</w:t>
      </w:r>
      <w:r w:rsidR="000B7D2E" w:rsidRPr="002429A4">
        <w:rPr>
          <w:rFonts w:cs="Verdana"/>
          <w:lang w:eastAsia="en-GB"/>
        </w:rPr>
        <w:t xml:space="preserve"> </w:t>
      </w:r>
      <w:r w:rsidR="00B12C39" w:rsidRPr="002429A4">
        <w:rPr>
          <w:rFonts w:cs="Verdana"/>
          <w:lang w:eastAsia="en-GB"/>
        </w:rPr>
        <w:t>in accordance with</w:t>
      </w:r>
      <w:r w:rsidR="00B12C39">
        <w:rPr>
          <w:rFonts w:cs="Verdana"/>
          <w:lang w:eastAsia="en-GB"/>
        </w:rPr>
        <w:t xml:space="preserve"> </w:t>
      </w:r>
      <w:r w:rsidR="00B12C39" w:rsidRPr="002429A4">
        <w:rPr>
          <w:rFonts w:cs="Verdana"/>
          <w:lang w:eastAsia="en-GB"/>
        </w:rPr>
        <w:t>Article 57(f) of Regu</w:t>
      </w:r>
      <w:r w:rsidR="00B12C39" w:rsidRPr="00F560A1">
        <w:rPr>
          <w:rFonts w:cs="Verdana"/>
          <w:lang w:eastAsia="en-GB"/>
        </w:rPr>
        <w:t>lation (EC) 1907/2006 (REACH) because it is a substance with</w:t>
      </w:r>
      <w:r w:rsidR="00B12C39">
        <w:rPr>
          <w:rFonts w:cs="Verdana"/>
          <w:lang w:eastAsia="en-GB"/>
        </w:rPr>
        <w:t xml:space="preserve"> </w:t>
      </w:r>
      <w:r w:rsidR="00D668EB">
        <w:t xml:space="preserve">adverse effects on multiple organs after prolonged exposure, in particular </w:t>
      </w:r>
      <w:r w:rsidR="00D668EB">
        <w:rPr>
          <w:b/>
          <w:bCs/>
          <w:i/>
          <w:iCs/>
        </w:rPr>
        <w:t xml:space="preserve">kidney </w:t>
      </w:r>
      <w:r w:rsidR="00D668EB">
        <w:t xml:space="preserve">and </w:t>
      </w:r>
      <w:r w:rsidR="00D668EB">
        <w:rPr>
          <w:b/>
          <w:bCs/>
          <w:i/>
          <w:iCs/>
        </w:rPr>
        <w:t>bone</w:t>
      </w:r>
      <w:r w:rsidR="00D668EB">
        <w:t xml:space="preserve">, </w:t>
      </w:r>
      <w:r w:rsidR="00B12C39" w:rsidRPr="00925A33">
        <w:rPr>
          <w:rFonts w:cs="Verdana"/>
          <w:lang w:eastAsia="en-GB"/>
        </w:rPr>
        <w:t>for which there is scientific evidence of probable serious effects</w:t>
      </w:r>
      <w:r w:rsidR="00B12C39">
        <w:rPr>
          <w:rFonts w:cs="Verdana"/>
          <w:lang w:eastAsia="en-GB"/>
        </w:rPr>
        <w:t xml:space="preserve"> </w:t>
      </w:r>
      <w:r w:rsidR="00B12C39" w:rsidRPr="00EC29CA">
        <w:rPr>
          <w:rFonts w:cs="Verdana"/>
          <w:lang w:eastAsia="en-GB"/>
        </w:rPr>
        <w:t xml:space="preserve">to human health which gives rise to an equivalent level of concern to those </w:t>
      </w:r>
      <w:r w:rsidR="00B12C39" w:rsidRPr="00925A33">
        <w:rPr>
          <w:rFonts w:cs="Verdana"/>
          <w:lang w:eastAsia="en-GB"/>
        </w:rPr>
        <w:t>substances listed in points (a) to (</w:t>
      </w:r>
      <w:r w:rsidR="004516B1">
        <w:rPr>
          <w:rFonts w:cs="Verdana"/>
          <w:lang w:eastAsia="en-GB"/>
        </w:rPr>
        <w:t>e</w:t>
      </w:r>
      <w:r w:rsidR="00B12C39" w:rsidRPr="00925A33">
        <w:rPr>
          <w:rFonts w:cs="Verdana"/>
          <w:lang w:eastAsia="en-GB"/>
        </w:rPr>
        <w:t>) of Article 57 REACH.</w:t>
      </w:r>
      <w:proofErr w:type="gramEnd"/>
    </w:p>
    <w:p w14:paraId="5B62179C" w14:textId="670E0005" w:rsidR="00FC1FE9" w:rsidRDefault="00FC1FE9" w:rsidP="00B12C39">
      <w:pPr>
        <w:widowControl/>
        <w:autoSpaceDE w:val="0"/>
        <w:autoSpaceDN w:val="0"/>
        <w:adjustRightInd w:val="0"/>
        <w:jc w:val="both"/>
        <w:rPr>
          <w:rFonts w:cs="Verdana"/>
          <w:lang w:eastAsia="en-GB"/>
        </w:rPr>
      </w:pPr>
    </w:p>
    <w:p w14:paraId="5B6B03F9" w14:textId="5A385E48" w:rsidR="00912A08" w:rsidRPr="00A515D1" w:rsidRDefault="00912A08" w:rsidP="00912A08">
      <w:pPr>
        <w:pStyle w:val="BodyText"/>
        <w:jc w:val="both"/>
      </w:pPr>
      <w:r>
        <w:t xml:space="preserve">Since the toxic effects of all cadmium compounds </w:t>
      </w:r>
      <w:proofErr w:type="gramStart"/>
      <w:r>
        <w:t>are caused</w:t>
      </w:r>
      <w:proofErr w:type="gramEnd"/>
      <w:r>
        <w:t xml:space="preserve"> by the cadmium ion, the conclusions for “cadmium” are relevant for cadmium </w:t>
      </w:r>
      <w:r w:rsidR="0069329D">
        <w:t>hydroxide</w:t>
      </w:r>
      <w:r>
        <w:t xml:space="preserve">. </w:t>
      </w:r>
    </w:p>
    <w:p w14:paraId="5B8FC4EB" w14:textId="50F1813B" w:rsidR="00FC1FE9" w:rsidRDefault="00FC1FE9" w:rsidP="00FC1FE9">
      <w:pPr>
        <w:jc w:val="both"/>
        <w:rPr>
          <w:rFonts w:cs="Verdana"/>
          <w:lang w:eastAsia="en-GB"/>
        </w:rPr>
      </w:pPr>
      <w:r>
        <w:rPr>
          <w:rFonts w:cs="Verdana"/>
          <w:lang w:eastAsia="en-GB"/>
        </w:rPr>
        <w:t xml:space="preserve">Based on the above, evidence that the substance is of an equivalent level of concern include: </w:t>
      </w:r>
    </w:p>
    <w:p w14:paraId="1D6FED45" w14:textId="77777777" w:rsidR="002F3A92" w:rsidRDefault="002F3A92" w:rsidP="00DC561D">
      <w:pPr>
        <w:jc w:val="both"/>
        <w:rPr>
          <w:rFonts w:cs="Verdana"/>
          <w:lang w:eastAsia="en-GB"/>
        </w:rPr>
      </w:pPr>
    </w:p>
    <w:p w14:paraId="69EE27BC" w14:textId="1744874E" w:rsidR="002F3A92" w:rsidRDefault="002F3A92" w:rsidP="002F3A92">
      <w:pPr>
        <w:jc w:val="both"/>
        <w:rPr>
          <w:rFonts w:cs="Verdana"/>
          <w:lang w:eastAsia="en-GB"/>
        </w:rPr>
      </w:pPr>
      <w:r w:rsidRPr="006D2A34">
        <w:rPr>
          <w:rFonts w:cs="Verdana"/>
          <w:lang w:eastAsia="en-GB"/>
        </w:rPr>
        <w:t xml:space="preserve">A significant part of the European population </w:t>
      </w:r>
      <w:proofErr w:type="gramStart"/>
      <w:r w:rsidRPr="006D2A34">
        <w:rPr>
          <w:rFonts w:cs="Verdana"/>
          <w:lang w:eastAsia="en-GB"/>
        </w:rPr>
        <w:t>is today exposed</w:t>
      </w:r>
      <w:proofErr w:type="gramEnd"/>
      <w:r w:rsidRPr="006D2A34">
        <w:rPr>
          <w:rFonts w:cs="Verdana"/>
          <w:lang w:eastAsia="en-GB"/>
        </w:rPr>
        <w:t xml:space="preserve"> to levels of cadmium (originating from cadmium metal and cadmium compounds) that may cause effects on kidney and bone.</w:t>
      </w:r>
      <w:r w:rsidR="00802F02">
        <w:rPr>
          <w:rFonts w:cs="Verdana"/>
          <w:lang w:eastAsia="en-GB"/>
        </w:rPr>
        <w:t xml:space="preserve"> </w:t>
      </w:r>
      <w:r w:rsidR="00556C14">
        <w:rPr>
          <w:rFonts w:cs="Verdana"/>
          <w:lang w:eastAsia="en-GB"/>
        </w:rPr>
        <w:t xml:space="preserve">Data indicate that </w:t>
      </w:r>
      <w:r w:rsidR="00556C14" w:rsidRPr="00912A08">
        <w:rPr>
          <w:rFonts w:cs="Verdana"/>
          <w:lang w:eastAsia="en-GB"/>
        </w:rPr>
        <w:t>o</w:t>
      </w:r>
      <w:r w:rsidR="00C11107" w:rsidRPr="00912A08">
        <w:rPr>
          <w:rFonts w:cs="Verdana"/>
          <w:lang w:eastAsia="en-GB"/>
        </w:rPr>
        <w:t>ver</w:t>
      </w:r>
      <w:r w:rsidR="00C11107">
        <w:rPr>
          <w:rFonts w:cs="Verdana"/>
          <w:lang w:eastAsia="en-GB"/>
        </w:rPr>
        <w:t xml:space="preserve"> time, there seems to be only slight or no decrease of cadmium levels in humans.</w:t>
      </w:r>
      <w:r w:rsidRPr="006D2A34">
        <w:rPr>
          <w:rFonts w:cs="Verdana"/>
          <w:lang w:eastAsia="en-GB"/>
        </w:rPr>
        <w:t xml:space="preserve"> In non-smokers, food is the main intake </w:t>
      </w:r>
      <w:r w:rsidR="00912A08">
        <w:rPr>
          <w:rFonts w:cs="Verdana"/>
          <w:lang w:eastAsia="en-GB"/>
        </w:rPr>
        <w:t xml:space="preserve">source </w:t>
      </w:r>
      <w:r w:rsidRPr="006D2A34">
        <w:rPr>
          <w:rFonts w:cs="Verdana"/>
          <w:lang w:eastAsia="en-GB"/>
        </w:rPr>
        <w:t xml:space="preserve">and it is therefore important to reduce all input of cadmium to foodstuff. Deposition from air is an important source to the input of cadmium to soil and </w:t>
      </w:r>
      <w:proofErr w:type="gramStart"/>
      <w:r w:rsidRPr="006D2A34">
        <w:rPr>
          <w:rFonts w:cs="Verdana"/>
          <w:lang w:eastAsia="en-GB"/>
        </w:rPr>
        <w:t>must therefore be reduced</w:t>
      </w:r>
      <w:proofErr w:type="gramEnd"/>
      <w:r w:rsidRPr="006D2A34">
        <w:rPr>
          <w:rFonts w:cs="Verdana"/>
          <w:lang w:eastAsia="en-GB"/>
        </w:rPr>
        <w:t xml:space="preserve">. In order to achieve this all uses of cadmium and cadmium compounds </w:t>
      </w:r>
      <w:proofErr w:type="gramStart"/>
      <w:r w:rsidRPr="006D2A34">
        <w:rPr>
          <w:rFonts w:cs="Verdana"/>
          <w:lang w:eastAsia="en-GB"/>
        </w:rPr>
        <w:t>should, wherever possible, be substituted</w:t>
      </w:r>
      <w:proofErr w:type="gramEnd"/>
      <w:r w:rsidRPr="006D2A34">
        <w:rPr>
          <w:rFonts w:cs="Verdana"/>
          <w:lang w:eastAsia="en-GB"/>
        </w:rPr>
        <w:t xml:space="preserve">. </w:t>
      </w:r>
    </w:p>
    <w:p w14:paraId="707755EC" w14:textId="77777777" w:rsidR="00BB767A" w:rsidRPr="006D2A34" w:rsidRDefault="00BB767A" w:rsidP="002F3A92">
      <w:pPr>
        <w:jc w:val="both"/>
        <w:rPr>
          <w:rFonts w:cs="Verdana"/>
          <w:lang w:eastAsia="en-GB"/>
        </w:rPr>
      </w:pPr>
    </w:p>
    <w:p w14:paraId="2D283DE4" w14:textId="76259310" w:rsidR="002F3A92" w:rsidRPr="006D2A34" w:rsidRDefault="00621A45" w:rsidP="002F3A92">
      <w:pPr>
        <w:jc w:val="both"/>
        <w:rPr>
          <w:rFonts w:cs="Verdana"/>
          <w:lang w:eastAsia="en-GB"/>
        </w:rPr>
      </w:pPr>
      <w:r>
        <w:rPr>
          <w:rFonts w:cs="Verdana"/>
          <w:lang w:eastAsia="en-GB"/>
        </w:rPr>
        <w:t>Almost 30</w:t>
      </w:r>
      <w:r w:rsidR="002F3A92" w:rsidRPr="006D2A34">
        <w:rPr>
          <w:rFonts w:cs="Verdana"/>
          <w:lang w:eastAsia="en-GB"/>
        </w:rPr>
        <w:t xml:space="preserve"> years ago</w:t>
      </w:r>
      <w:r w:rsidR="00D87DB3">
        <w:rPr>
          <w:rFonts w:cs="Verdana"/>
          <w:lang w:eastAsia="en-GB"/>
        </w:rPr>
        <w:t>,</w:t>
      </w:r>
      <w:r w:rsidR="002F3A92" w:rsidRPr="006D2A34">
        <w:rPr>
          <w:rFonts w:cs="Verdana"/>
          <w:lang w:eastAsia="en-GB"/>
        </w:rPr>
        <w:t xml:space="preserve"> it </w:t>
      </w:r>
      <w:proofErr w:type="gramStart"/>
      <w:r w:rsidR="002F3A92" w:rsidRPr="006D2A34">
        <w:rPr>
          <w:rFonts w:cs="Verdana"/>
          <w:lang w:eastAsia="en-GB"/>
        </w:rPr>
        <w:t>was acknowledged</w:t>
      </w:r>
      <w:proofErr w:type="gramEnd"/>
      <w:r w:rsidR="002F3A92" w:rsidRPr="006D2A34">
        <w:rPr>
          <w:rFonts w:cs="Verdana"/>
          <w:lang w:eastAsia="en-GB"/>
        </w:rPr>
        <w:t xml:space="preserve"> within </w:t>
      </w:r>
      <w:r w:rsidR="00875A43">
        <w:rPr>
          <w:rFonts w:cs="Verdana"/>
          <w:lang w:eastAsia="en-GB"/>
        </w:rPr>
        <w:t xml:space="preserve">the </w:t>
      </w:r>
      <w:r w:rsidR="002F3A92" w:rsidRPr="006D2A34">
        <w:rPr>
          <w:rFonts w:cs="Verdana"/>
          <w:lang w:eastAsia="en-GB"/>
        </w:rPr>
        <w:t xml:space="preserve">EU that cadmium exposure constitutes a problem for human health and the environment, and new action should be taken at Community level to control and reduce cadmium pollution </w:t>
      </w:r>
      <w:r w:rsidR="00043751" w:rsidRPr="009F554D">
        <w:t>(Council Resolution 1988</w:t>
      </w:r>
      <w:r w:rsidR="00043751">
        <w:t xml:space="preserve">). </w:t>
      </w:r>
      <w:r w:rsidR="002F3A92" w:rsidRPr="006D2A34">
        <w:rPr>
          <w:rFonts w:cs="Verdana"/>
          <w:lang w:eastAsia="en-GB"/>
        </w:rPr>
        <w:t xml:space="preserve">Major elements of the strategy for cadmium control in the interests of the protection of human health and the environment included for example: </w:t>
      </w:r>
    </w:p>
    <w:p w14:paraId="7BDB10BE" w14:textId="77777777" w:rsidR="002F3A92" w:rsidRDefault="002F3A92" w:rsidP="00FF1A53">
      <w:pPr>
        <w:pStyle w:val="ListParagraph"/>
        <w:numPr>
          <w:ilvl w:val="0"/>
          <w:numId w:val="20"/>
        </w:numPr>
        <w:jc w:val="both"/>
        <w:rPr>
          <w:rFonts w:cs="Verdana"/>
          <w:lang w:eastAsia="en-GB"/>
        </w:rPr>
      </w:pPr>
      <w:r w:rsidRPr="006D2A34">
        <w:rPr>
          <w:rFonts w:cs="Verdana"/>
          <w:lang w:eastAsia="en-GB"/>
        </w:rPr>
        <w:t xml:space="preserve">limitation of the uses of cadmium to cases where suitable alternatives do not exist; </w:t>
      </w:r>
    </w:p>
    <w:p w14:paraId="1E1E3CB7" w14:textId="50233F53" w:rsidR="002F3A92" w:rsidRDefault="002F3A92" w:rsidP="00FF1A53">
      <w:pPr>
        <w:pStyle w:val="ListParagraph"/>
        <w:numPr>
          <w:ilvl w:val="0"/>
          <w:numId w:val="20"/>
        </w:numPr>
        <w:jc w:val="both"/>
        <w:rPr>
          <w:rFonts w:cs="Verdana"/>
          <w:lang w:eastAsia="en-GB"/>
        </w:rPr>
      </w:pPr>
      <w:r w:rsidRPr="006D2A34">
        <w:rPr>
          <w:rFonts w:cs="Verdana"/>
          <w:lang w:eastAsia="en-GB"/>
        </w:rPr>
        <w:t>stimulation of research and development: - of substitutes and technological derivatives, in particular, encouragement to the development of further alternatives to the use of cadmium in pigments, stabili</w:t>
      </w:r>
      <w:r w:rsidR="001972D8">
        <w:rPr>
          <w:rFonts w:cs="Verdana"/>
          <w:lang w:eastAsia="en-GB"/>
        </w:rPr>
        <w:t>s</w:t>
      </w:r>
      <w:r w:rsidRPr="006D2A34">
        <w:rPr>
          <w:rFonts w:cs="Verdana"/>
          <w:lang w:eastAsia="en-GB"/>
        </w:rPr>
        <w:t xml:space="preserve">ers and plating; </w:t>
      </w:r>
    </w:p>
    <w:p w14:paraId="090BFD58" w14:textId="77777777" w:rsidR="002F3A92" w:rsidRDefault="002F3A92" w:rsidP="00FF1A53">
      <w:pPr>
        <w:pStyle w:val="ListParagraph"/>
        <w:numPr>
          <w:ilvl w:val="0"/>
          <w:numId w:val="20"/>
        </w:numPr>
        <w:jc w:val="both"/>
        <w:rPr>
          <w:rFonts w:cs="Verdana"/>
          <w:lang w:eastAsia="en-GB"/>
        </w:rPr>
      </w:pPr>
      <w:r w:rsidRPr="006D2A34">
        <w:rPr>
          <w:rFonts w:cs="Verdana"/>
          <w:lang w:eastAsia="en-GB"/>
        </w:rPr>
        <w:t xml:space="preserve">collection and recycling of products containing cadmium, for example batteries; </w:t>
      </w:r>
    </w:p>
    <w:p w14:paraId="2C02C9AC" w14:textId="77777777" w:rsidR="002F3A92" w:rsidRDefault="002F3A92" w:rsidP="00FF1A53">
      <w:pPr>
        <w:pStyle w:val="ListParagraph"/>
        <w:numPr>
          <w:ilvl w:val="0"/>
          <w:numId w:val="20"/>
        </w:numPr>
        <w:jc w:val="both"/>
        <w:rPr>
          <w:rFonts w:cs="Verdana"/>
          <w:lang w:eastAsia="en-GB"/>
        </w:rPr>
      </w:pPr>
      <w:r w:rsidRPr="006D2A34">
        <w:rPr>
          <w:rFonts w:cs="Verdana"/>
          <w:lang w:eastAsia="en-GB"/>
        </w:rPr>
        <w:t xml:space="preserve">development of a strategy designed to reduce cadmium input in soil; </w:t>
      </w:r>
    </w:p>
    <w:p w14:paraId="01FFA7E0" w14:textId="77777777" w:rsidR="002F3A92" w:rsidRDefault="002F3A92" w:rsidP="00FF1A53">
      <w:pPr>
        <w:pStyle w:val="ListParagraph"/>
        <w:numPr>
          <w:ilvl w:val="0"/>
          <w:numId w:val="20"/>
        </w:numPr>
        <w:jc w:val="both"/>
        <w:rPr>
          <w:rFonts w:cs="Verdana"/>
          <w:lang w:eastAsia="en-GB"/>
        </w:rPr>
      </w:pPr>
      <w:proofErr w:type="gramStart"/>
      <w:r w:rsidRPr="006D2A34">
        <w:rPr>
          <w:rFonts w:cs="Verdana"/>
          <w:lang w:eastAsia="en-GB"/>
        </w:rPr>
        <w:t>combatting</w:t>
      </w:r>
      <w:proofErr w:type="gramEnd"/>
      <w:r w:rsidRPr="006D2A34">
        <w:rPr>
          <w:rFonts w:cs="Verdana"/>
          <w:lang w:eastAsia="en-GB"/>
        </w:rPr>
        <w:t xml:space="preserve"> significant sources of airborne and water pollution. </w:t>
      </w:r>
    </w:p>
    <w:p w14:paraId="47D7EE6D" w14:textId="77777777" w:rsidR="00A4547F" w:rsidRDefault="00A4547F" w:rsidP="00A4547F">
      <w:pPr>
        <w:jc w:val="both"/>
        <w:rPr>
          <w:rFonts w:cs="Verdana"/>
          <w:lang w:eastAsia="en-GB"/>
        </w:rPr>
      </w:pPr>
    </w:p>
    <w:p w14:paraId="41E2B254" w14:textId="32855174" w:rsidR="00A4547F" w:rsidRDefault="00A4547F" w:rsidP="00A4547F">
      <w:pPr>
        <w:jc w:val="both"/>
        <w:rPr>
          <w:rFonts w:cs="Verdana"/>
          <w:lang w:eastAsia="en-GB"/>
        </w:rPr>
      </w:pPr>
      <w:r w:rsidRPr="006D2A34">
        <w:rPr>
          <w:rFonts w:cs="Verdana"/>
          <w:lang w:eastAsia="en-GB"/>
        </w:rPr>
        <w:t xml:space="preserve">Cadmium is a toxic metal that ranks </w:t>
      </w:r>
      <w:r w:rsidR="005C4988">
        <w:rPr>
          <w:rFonts w:cs="Verdana"/>
          <w:lang w:eastAsia="en-GB"/>
        </w:rPr>
        <w:t xml:space="preserve">as no. </w:t>
      </w:r>
      <w:r w:rsidRPr="006D2A34">
        <w:rPr>
          <w:rFonts w:cs="Verdana"/>
          <w:lang w:eastAsia="en-GB"/>
        </w:rPr>
        <w:t>7 on the US Agency for Toxic Substances &amp; Disease Registry’s priority list of hazardous substances (</w:t>
      </w:r>
      <w:hyperlink r:id="rId12" w:history="1">
        <w:r w:rsidR="00973969" w:rsidRPr="005D10E8">
          <w:rPr>
            <w:rStyle w:val="Hyperlink"/>
            <w:rFonts w:cs="Verdana"/>
            <w:lang w:eastAsia="en-GB"/>
          </w:rPr>
          <w:t>https://www.atsdr.cdc.gov/spl/index.html</w:t>
        </w:r>
      </w:hyperlink>
      <w:r w:rsidRPr="006D2A34">
        <w:rPr>
          <w:rFonts w:cs="Verdana"/>
          <w:lang w:eastAsia="en-GB"/>
        </w:rPr>
        <w:t>), a prioriti</w:t>
      </w:r>
      <w:r w:rsidR="001972D8">
        <w:rPr>
          <w:rFonts w:cs="Verdana"/>
          <w:lang w:eastAsia="en-GB"/>
        </w:rPr>
        <w:t>s</w:t>
      </w:r>
      <w:r w:rsidRPr="006D2A34">
        <w:rPr>
          <w:rFonts w:cs="Verdana"/>
          <w:lang w:eastAsia="en-GB"/>
        </w:rPr>
        <w:t xml:space="preserve">ation of substances based on a combination of their frequency, toxicity, and potential for human exposure. As a pollutant of worldwide concern, cadmium </w:t>
      </w:r>
      <w:proofErr w:type="gramStart"/>
      <w:r w:rsidRPr="006D2A34">
        <w:rPr>
          <w:rFonts w:cs="Verdana"/>
          <w:lang w:eastAsia="en-GB"/>
        </w:rPr>
        <w:t xml:space="preserve">has been reviewed by the United Nations Environment Program, and included on the list of chemical substances considered </w:t>
      </w:r>
      <w:r w:rsidR="00514D12" w:rsidRPr="006D2A34">
        <w:rPr>
          <w:rFonts w:cs="Verdana"/>
          <w:lang w:eastAsia="en-GB"/>
        </w:rPr>
        <w:t>potentially</w:t>
      </w:r>
      <w:r w:rsidRPr="006D2A34">
        <w:rPr>
          <w:rFonts w:cs="Verdana"/>
          <w:lang w:eastAsia="en-GB"/>
        </w:rPr>
        <w:t xml:space="preserve"> dangerous at the global level</w:t>
      </w:r>
      <w:proofErr w:type="gramEnd"/>
      <w:r w:rsidRPr="006D2A34">
        <w:rPr>
          <w:rFonts w:cs="Verdana"/>
          <w:lang w:eastAsia="en-GB"/>
        </w:rPr>
        <w:t xml:space="preserve">. </w:t>
      </w:r>
    </w:p>
    <w:p w14:paraId="30E00C1F" w14:textId="77777777" w:rsidR="00BB767A" w:rsidRPr="006D2A34" w:rsidRDefault="00BB767A" w:rsidP="00A4547F">
      <w:pPr>
        <w:jc w:val="both"/>
        <w:rPr>
          <w:rFonts w:cs="Verdana"/>
          <w:lang w:eastAsia="en-GB"/>
        </w:rPr>
      </w:pPr>
    </w:p>
    <w:p w14:paraId="1E3DBF4E" w14:textId="76A16D26" w:rsidR="00A4547F" w:rsidRPr="006D2A34" w:rsidRDefault="00A4547F" w:rsidP="00A4547F">
      <w:pPr>
        <w:jc w:val="both"/>
        <w:rPr>
          <w:rFonts w:cs="Verdana"/>
          <w:lang w:eastAsia="en-GB"/>
        </w:rPr>
      </w:pPr>
      <w:r w:rsidRPr="006D2A34">
        <w:rPr>
          <w:rFonts w:cs="Verdana"/>
          <w:lang w:eastAsia="en-GB"/>
        </w:rPr>
        <w:t xml:space="preserve">To assess whether a substance </w:t>
      </w:r>
      <w:proofErr w:type="gramStart"/>
      <w:r w:rsidRPr="006D2A34">
        <w:rPr>
          <w:rFonts w:cs="Verdana"/>
          <w:lang w:eastAsia="en-GB"/>
        </w:rPr>
        <w:t>can be identified</w:t>
      </w:r>
      <w:proofErr w:type="gramEnd"/>
      <w:r w:rsidRPr="006D2A34">
        <w:rPr>
          <w:rFonts w:cs="Verdana"/>
          <w:lang w:eastAsia="en-GB"/>
        </w:rPr>
        <w:t xml:space="preserve"> as SVHC based on REACH Article 57(f)</w:t>
      </w:r>
      <w:r w:rsidR="005C4988">
        <w:rPr>
          <w:rFonts w:cs="Verdana"/>
          <w:lang w:eastAsia="en-GB"/>
        </w:rPr>
        <w:t>,</w:t>
      </w:r>
      <w:r w:rsidRPr="006D2A34">
        <w:rPr>
          <w:rFonts w:cs="Verdana"/>
          <w:lang w:eastAsia="en-GB"/>
        </w:rPr>
        <w:t xml:space="preserve"> the hazardous properties of the substance, the potential impact on health and the potential impact on society as a whole have to be compared to those effects elicited by CMR (or </w:t>
      </w:r>
      <w:r w:rsidRPr="006D2A34">
        <w:rPr>
          <w:rFonts w:cs="Verdana"/>
          <w:lang w:eastAsia="en-GB"/>
        </w:rPr>
        <w:lastRenderedPageBreak/>
        <w:t>PBT/</w:t>
      </w:r>
      <w:proofErr w:type="spellStart"/>
      <w:r w:rsidRPr="006D2A34">
        <w:rPr>
          <w:rFonts w:cs="Verdana"/>
          <w:lang w:eastAsia="en-GB"/>
        </w:rPr>
        <w:t>vPvB</w:t>
      </w:r>
      <w:proofErr w:type="spellEnd"/>
      <w:r w:rsidRPr="006D2A34">
        <w:rPr>
          <w:rFonts w:cs="Verdana"/>
          <w:lang w:eastAsia="en-GB"/>
        </w:rPr>
        <w:t xml:space="preserve">) substances. The following factors that are characteristic for most CMRs </w:t>
      </w:r>
      <w:proofErr w:type="gramStart"/>
      <w:r w:rsidRPr="006D2A34">
        <w:rPr>
          <w:rFonts w:cs="Verdana"/>
          <w:lang w:eastAsia="en-GB"/>
        </w:rPr>
        <w:t>have been taken</w:t>
      </w:r>
      <w:proofErr w:type="gramEnd"/>
      <w:r w:rsidRPr="006D2A34">
        <w:rPr>
          <w:rFonts w:cs="Verdana"/>
          <w:lang w:eastAsia="en-GB"/>
        </w:rPr>
        <w:t xml:space="preserve"> into account: </w:t>
      </w:r>
    </w:p>
    <w:p w14:paraId="41E0D619" w14:textId="77777777" w:rsidR="00A4547F" w:rsidRDefault="00A4547F" w:rsidP="00FF1A53">
      <w:pPr>
        <w:pStyle w:val="ListParagraph"/>
        <w:numPr>
          <w:ilvl w:val="0"/>
          <w:numId w:val="21"/>
        </w:numPr>
        <w:jc w:val="both"/>
        <w:rPr>
          <w:rFonts w:cs="Verdana"/>
          <w:lang w:eastAsia="en-GB"/>
        </w:rPr>
      </w:pPr>
      <w:r w:rsidRPr="006D2A34">
        <w:rPr>
          <w:rFonts w:cs="Verdana"/>
          <w:lang w:eastAsia="en-GB"/>
        </w:rPr>
        <w:t xml:space="preserve">Severity of health effects </w:t>
      </w:r>
    </w:p>
    <w:p w14:paraId="698250DA" w14:textId="77777777" w:rsidR="00A4547F" w:rsidRDefault="00A4547F" w:rsidP="00FF1A53">
      <w:pPr>
        <w:pStyle w:val="ListParagraph"/>
        <w:numPr>
          <w:ilvl w:val="0"/>
          <w:numId w:val="21"/>
        </w:numPr>
        <w:jc w:val="both"/>
        <w:rPr>
          <w:rFonts w:cs="Verdana"/>
          <w:lang w:eastAsia="en-GB"/>
        </w:rPr>
      </w:pPr>
      <w:r w:rsidRPr="006D2A34">
        <w:rPr>
          <w:rFonts w:cs="Verdana"/>
          <w:lang w:eastAsia="en-GB"/>
        </w:rPr>
        <w:t xml:space="preserve">Irreversibility of health effects </w:t>
      </w:r>
    </w:p>
    <w:p w14:paraId="476497E2" w14:textId="77777777" w:rsidR="00A4547F" w:rsidRDefault="00A4547F" w:rsidP="00FF1A53">
      <w:pPr>
        <w:pStyle w:val="ListParagraph"/>
        <w:numPr>
          <w:ilvl w:val="0"/>
          <w:numId w:val="21"/>
        </w:numPr>
        <w:jc w:val="both"/>
        <w:rPr>
          <w:rFonts w:cs="Verdana"/>
          <w:lang w:eastAsia="en-GB"/>
        </w:rPr>
      </w:pPr>
      <w:r w:rsidRPr="006D2A34">
        <w:rPr>
          <w:rFonts w:cs="Verdana"/>
          <w:lang w:eastAsia="en-GB"/>
        </w:rPr>
        <w:t xml:space="preserve">Delay of health effects </w:t>
      </w:r>
    </w:p>
    <w:p w14:paraId="79238706" w14:textId="77777777" w:rsidR="00A4547F" w:rsidRDefault="00A4547F" w:rsidP="00FF1A53">
      <w:pPr>
        <w:pStyle w:val="ListParagraph"/>
        <w:numPr>
          <w:ilvl w:val="0"/>
          <w:numId w:val="21"/>
        </w:numPr>
        <w:jc w:val="both"/>
        <w:rPr>
          <w:rFonts w:cs="Verdana"/>
          <w:lang w:eastAsia="en-GB"/>
        </w:rPr>
      </w:pPr>
      <w:r w:rsidRPr="006D2A34">
        <w:rPr>
          <w:rFonts w:cs="Verdana"/>
          <w:lang w:eastAsia="en-GB"/>
        </w:rPr>
        <w:t xml:space="preserve">Uncertainties on safe exposure </w:t>
      </w:r>
    </w:p>
    <w:p w14:paraId="62FFEDC9" w14:textId="32DBF5AF" w:rsidR="00A4547F" w:rsidRDefault="00A4547F" w:rsidP="00FF1A53">
      <w:pPr>
        <w:pStyle w:val="ListParagraph"/>
        <w:numPr>
          <w:ilvl w:val="0"/>
          <w:numId w:val="21"/>
        </w:numPr>
        <w:jc w:val="both"/>
        <w:rPr>
          <w:rFonts w:cs="Verdana"/>
          <w:lang w:eastAsia="en-GB"/>
        </w:rPr>
      </w:pPr>
      <w:r w:rsidRPr="006D2A34">
        <w:rPr>
          <w:rFonts w:cs="Verdana"/>
          <w:lang w:eastAsia="en-GB"/>
        </w:rPr>
        <w:t xml:space="preserve">Societal concern and impairment of quality of life </w:t>
      </w:r>
    </w:p>
    <w:p w14:paraId="3B6D1A68" w14:textId="77777777" w:rsidR="00043751" w:rsidRDefault="00043751" w:rsidP="00043751">
      <w:pPr>
        <w:pStyle w:val="ListParagraph"/>
        <w:jc w:val="both"/>
        <w:rPr>
          <w:rFonts w:cs="Verdana"/>
          <w:lang w:eastAsia="en-GB"/>
        </w:rPr>
      </w:pPr>
    </w:p>
    <w:p w14:paraId="5AEB71F0" w14:textId="524AF330" w:rsidR="00A4547F" w:rsidRDefault="00A4547F" w:rsidP="00A4547F">
      <w:pPr>
        <w:jc w:val="both"/>
        <w:rPr>
          <w:rFonts w:cs="Verdana"/>
          <w:lang w:eastAsia="en-GB"/>
        </w:rPr>
      </w:pPr>
      <w:r w:rsidRPr="006D2A34">
        <w:rPr>
          <w:rFonts w:cs="Verdana"/>
          <w:b/>
          <w:bCs/>
          <w:i/>
          <w:iCs/>
          <w:lang w:eastAsia="en-GB"/>
        </w:rPr>
        <w:t xml:space="preserve">Severity of health effect: </w:t>
      </w:r>
      <w:r w:rsidRPr="006D2A34">
        <w:rPr>
          <w:rFonts w:cs="Verdana"/>
          <w:lang w:eastAsia="en-GB"/>
        </w:rPr>
        <w:t xml:space="preserve">The severity of health effects due to exposure to cadmium is dependent on the concentration attained in body tissues and organs. Kidney effects range from indications of </w:t>
      </w:r>
      <w:r w:rsidR="005C4988">
        <w:rPr>
          <w:rFonts w:cs="Verdana"/>
          <w:lang w:eastAsia="en-GB"/>
        </w:rPr>
        <w:t xml:space="preserve">impaired </w:t>
      </w:r>
      <w:r w:rsidRPr="006D2A34">
        <w:rPr>
          <w:rFonts w:cs="Verdana"/>
          <w:lang w:eastAsia="en-GB"/>
        </w:rPr>
        <w:t xml:space="preserve">tubular and glomerular function (measured by the presence of proteins in the urine) to an increased risk of end stage renal disease, which necessitates dialysis treatment for survival. The effects on bone range from disturbances on bone tissue homeostasis to actual bone fractures, which especially for older people </w:t>
      </w:r>
      <w:proofErr w:type="gramStart"/>
      <w:r w:rsidRPr="006D2A34">
        <w:rPr>
          <w:rFonts w:cs="Verdana"/>
          <w:lang w:eastAsia="en-GB"/>
        </w:rPr>
        <w:t>are considered</w:t>
      </w:r>
      <w:proofErr w:type="gramEnd"/>
      <w:r w:rsidRPr="006D2A34">
        <w:rPr>
          <w:rFonts w:cs="Verdana"/>
          <w:lang w:eastAsia="en-GB"/>
        </w:rPr>
        <w:t xml:space="preserve"> quite serious and can contribute to a premature death. In a population-based study in patients aged 65 or older the risk of mortality in hip fracture patients was 3-fold higher than in the general population and included every major cause of death. The quality of life for affected individuals is clearly impaired (for example after a hip fracture), but may also have consequences for society as a whole if many individuals are affected. When comparing with CMR effects, it </w:t>
      </w:r>
      <w:proofErr w:type="gramStart"/>
      <w:r w:rsidRPr="006D2A34">
        <w:rPr>
          <w:rFonts w:cs="Verdana"/>
          <w:lang w:eastAsia="en-GB"/>
        </w:rPr>
        <w:t>should be acknowledged</w:t>
      </w:r>
      <w:proofErr w:type="gramEnd"/>
      <w:r w:rsidRPr="006D2A34">
        <w:rPr>
          <w:rFonts w:cs="Verdana"/>
          <w:lang w:eastAsia="en-GB"/>
        </w:rPr>
        <w:t xml:space="preserve"> that also these effects vary in severity.</w:t>
      </w:r>
    </w:p>
    <w:p w14:paraId="157EE2AD" w14:textId="77777777" w:rsidR="00405360" w:rsidRDefault="00405360" w:rsidP="00A4547F">
      <w:pPr>
        <w:jc w:val="both"/>
        <w:rPr>
          <w:rFonts w:cs="Verdana"/>
          <w:lang w:eastAsia="en-GB"/>
        </w:rPr>
      </w:pPr>
    </w:p>
    <w:p w14:paraId="3FCABC32" w14:textId="3679C404" w:rsidR="00405360" w:rsidRDefault="00405360" w:rsidP="00405360">
      <w:pPr>
        <w:jc w:val="both"/>
        <w:rPr>
          <w:rFonts w:cs="Verdana"/>
          <w:lang w:eastAsia="en-GB"/>
        </w:rPr>
      </w:pPr>
      <w:r w:rsidRPr="006D2A34">
        <w:rPr>
          <w:rFonts w:cs="Verdana"/>
          <w:b/>
          <w:bCs/>
          <w:i/>
          <w:iCs/>
          <w:lang w:eastAsia="en-GB"/>
        </w:rPr>
        <w:t xml:space="preserve">Irreversibility of health effects: </w:t>
      </w:r>
      <w:r w:rsidRPr="006D2A34">
        <w:rPr>
          <w:rFonts w:cs="Verdana"/>
          <w:lang w:eastAsia="en-GB"/>
        </w:rPr>
        <w:t xml:space="preserve">According to the EU RAR on Cd and </w:t>
      </w:r>
      <w:proofErr w:type="spellStart"/>
      <w:r w:rsidRPr="006D2A34">
        <w:rPr>
          <w:rFonts w:cs="Verdana"/>
          <w:lang w:eastAsia="en-GB"/>
        </w:rPr>
        <w:t>CdO</w:t>
      </w:r>
      <w:proofErr w:type="spellEnd"/>
      <w:r w:rsidRPr="006D2A34">
        <w:rPr>
          <w:rFonts w:cs="Verdana"/>
          <w:lang w:eastAsia="en-GB"/>
        </w:rPr>
        <w:t>, some controversy exists as to the reversibility of renal effects of cadmium both in the general population and in workers. The (</w:t>
      </w:r>
      <w:proofErr w:type="spellStart"/>
      <w:r w:rsidRPr="006D2A34">
        <w:rPr>
          <w:rFonts w:cs="Verdana"/>
          <w:lang w:eastAsia="en-GB"/>
        </w:rPr>
        <w:t>ir</w:t>
      </w:r>
      <w:proofErr w:type="spellEnd"/>
      <w:proofErr w:type="gramStart"/>
      <w:r w:rsidRPr="006D2A34">
        <w:rPr>
          <w:rFonts w:cs="Verdana"/>
          <w:lang w:eastAsia="en-GB"/>
        </w:rPr>
        <w:t>)reversibility</w:t>
      </w:r>
      <w:proofErr w:type="gramEnd"/>
      <w:r w:rsidRPr="006D2A34">
        <w:rPr>
          <w:rFonts w:cs="Verdana"/>
          <w:lang w:eastAsia="en-GB"/>
        </w:rPr>
        <w:t xml:space="preserve"> of tubular proteinuria after reduction or cessation of exposure depends on the intensity of exposure and/or the severity of the tubular damage. It </w:t>
      </w:r>
      <w:proofErr w:type="gramStart"/>
      <w:r w:rsidRPr="006D2A34">
        <w:rPr>
          <w:rFonts w:cs="Verdana"/>
          <w:lang w:eastAsia="en-GB"/>
        </w:rPr>
        <w:t>was concluded</w:t>
      </w:r>
      <w:proofErr w:type="gramEnd"/>
      <w:r w:rsidRPr="006D2A34">
        <w:rPr>
          <w:rFonts w:cs="Verdana"/>
          <w:lang w:eastAsia="en-GB"/>
        </w:rPr>
        <w:t xml:space="preserve"> that, as for inhalation exposure, incipient tubular effects associated with low cadmium exposure in the general population are reversible if exposure is substantially decreased. Severe tubular damage (urinary leakage of the proteins RBP or ß2M &gt; 1,000-1,500 </w:t>
      </w:r>
      <w:r w:rsidRPr="00405360">
        <w:rPr>
          <w:rFonts w:cs="Verdana"/>
          <w:lang w:val="sv-SE" w:eastAsia="en-GB"/>
        </w:rPr>
        <w:t>μ</w:t>
      </w:r>
      <w:r w:rsidRPr="006D2A34">
        <w:rPr>
          <w:rFonts w:cs="Verdana"/>
          <w:lang w:eastAsia="en-GB"/>
        </w:rPr>
        <w:t xml:space="preserve">g/g creatinine) is generally irreversible. </w:t>
      </w:r>
    </w:p>
    <w:p w14:paraId="5FA2B097" w14:textId="77777777" w:rsidR="00405360" w:rsidRPr="006D2A34" w:rsidRDefault="00405360" w:rsidP="00405360">
      <w:pPr>
        <w:jc w:val="both"/>
        <w:rPr>
          <w:rFonts w:cs="Verdana"/>
          <w:lang w:eastAsia="en-GB"/>
        </w:rPr>
      </w:pPr>
    </w:p>
    <w:p w14:paraId="7F5D764E" w14:textId="1109EB7C" w:rsidR="00405360" w:rsidRDefault="00405360" w:rsidP="00405360">
      <w:pPr>
        <w:jc w:val="both"/>
        <w:rPr>
          <w:rFonts w:cs="Verdana"/>
          <w:lang w:eastAsia="en-GB"/>
        </w:rPr>
      </w:pPr>
      <w:r w:rsidRPr="006D2A34">
        <w:rPr>
          <w:rFonts w:cs="Verdana"/>
          <w:lang w:eastAsia="en-GB"/>
        </w:rPr>
        <w:t xml:space="preserve">A longitudinal study on 74 inhabitants from a cadmium-polluted area in Japan showed irreversible and even progression of renal dysfunction 5 years after cessation of cadmium exposure. Likewise, a study from China indicates that the negative effects on bone still remains 10 years after the population abandoned ingestion of cadmium-polluted rice. </w:t>
      </w:r>
    </w:p>
    <w:p w14:paraId="3F908C4A" w14:textId="77777777" w:rsidR="00405360" w:rsidRPr="006D2A34" w:rsidRDefault="00405360" w:rsidP="00405360">
      <w:pPr>
        <w:jc w:val="both"/>
        <w:rPr>
          <w:rFonts w:cs="Verdana"/>
          <w:lang w:eastAsia="en-GB"/>
        </w:rPr>
      </w:pPr>
    </w:p>
    <w:p w14:paraId="2762D9C3" w14:textId="786DA682" w:rsidR="00405360" w:rsidRDefault="00405360" w:rsidP="00405360">
      <w:pPr>
        <w:jc w:val="both"/>
        <w:rPr>
          <w:rFonts w:cs="Verdana"/>
          <w:lang w:eastAsia="en-GB"/>
        </w:rPr>
      </w:pPr>
      <w:r w:rsidRPr="006D2A34">
        <w:rPr>
          <w:rFonts w:cs="Verdana"/>
          <w:lang w:eastAsia="en-GB"/>
        </w:rPr>
        <w:t xml:space="preserve">The biological half-life of cadmium in humans is extremely long (estimated to be 10-30 years) and the body burden of cadmium therefore increases, mainly via accumulation in the kidney, during the entire life span of an individual. All uses of cadmium and its compounds, including when present as a contaminant, contribute to this bioaccumulation in humans, which starts already in early life. </w:t>
      </w:r>
    </w:p>
    <w:p w14:paraId="1648D061" w14:textId="77777777" w:rsidR="00405360" w:rsidRPr="006D2A34" w:rsidRDefault="00405360" w:rsidP="00405360">
      <w:pPr>
        <w:jc w:val="both"/>
        <w:rPr>
          <w:rFonts w:cs="Verdana"/>
          <w:lang w:eastAsia="en-GB"/>
        </w:rPr>
      </w:pPr>
    </w:p>
    <w:p w14:paraId="026ED81B" w14:textId="77777777" w:rsidR="00405360" w:rsidRDefault="00405360" w:rsidP="00405360">
      <w:pPr>
        <w:jc w:val="both"/>
      </w:pPr>
      <w:r w:rsidRPr="006D2A34">
        <w:rPr>
          <w:rFonts w:cs="Verdana"/>
          <w:lang w:eastAsia="en-GB"/>
        </w:rPr>
        <w:t xml:space="preserve">Unless exposure </w:t>
      </w:r>
      <w:proofErr w:type="gramStart"/>
      <w:r w:rsidRPr="006D2A34">
        <w:rPr>
          <w:rFonts w:cs="Verdana"/>
          <w:lang w:eastAsia="en-GB"/>
        </w:rPr>
        <w:t>is</w:t>
      </w:r>
      <w:proofErr w:type="gramEnd"/>
      <w:r w:rsidRPr="006D2A34">
        <w:rPr>
          <w:rFonts w:cs="Verdana"/>
          <w:lang w:eastAsia="en-GB"/>
        </w:rPr>
        <w:t xml:space="preserve"> substantially decreased kidney and bone effects therefore tend to be irreversible due to the continued internal exposure from stored cadmium. In </w:t>
      </w:r>
      <w:proofErr w:type="gramStart"/>
      <w:r w:rsidRPr="006D2A34">
        <w:rPr>
          <w:rFonts w:cs="Verdana"/>
          <w:lang w:eastAsia="en-GB"/>
        </w:rPr>
        <w:t>that</w:t>
      </w:r>
      <w:proofErr w:type="gramEnd"/>
      <w:r w:rsidRPr="006D2A34">
        <w:rPr>
          <w:rFonts w:cs="Verdana"/>
          <w:lang w:eastAsia="en-GB"/>
        </w:rPr>
        <w:t xml:space="preserve"> respect cadmium behaves in a way that resembles substances that are persistent and </w:t>
      </w:r>
      <w:proofErr w:type="spellStart"/>
      <w:r w:rsidRPr="006D2A34">
        <w:rPr>
          <w:rFonts w:cs="Verdana"/>
          <w:lang w:eastAsia="en-GB"/>
        </w:rPr>
        <w:t>bioaccumulating</w:t>
      </w:r>
      <w:proofErr w:type="spellEnd"/>
      <w:r>
        <w:rPr>
          <w:rFonts w:cs="Verdana"/>
          <w:lang w:eastAsia="en-GB"/>
        </w:rPr>
        <w:t xml:space="preserve"> </w:t>
      </w:r>
      <w:r>
        <w:t>in the environment.</w:t>
      </w:r>
    </w:p>
    <w:p w14:paraId="7165467E" w14:textId="77777777" w:rsidR="00405360" w:rsidRDefault="00405360" w:rsidP="00405360">
      <w:pPr>
        <w:jc w:val="both"/>
      </w:pPr>
    </w:p>
    <w:p w14:paraId="554E42F1" w14:textId="6E971833" w:rsidR="00405360" w:rsidRDefault="00405360" w:rsidP="00405360">
      <w:pPr>
        <w:jc w:val="both"/>
        <w:rPr>
          <w:rFonts w:cs="Verdana"/>
          <w:lang w:eastAsia="en-GB"/>
        </w:rPr>
      </w:pPr>
      <w:r w:rsidRPr="006D2A34">
        <w:rPr>
          <w:rFonts w:cs="Verdana"/>
          <w:b/>
          <w:bCs/>
          <w:i/>
          <w:iCs/>
          <w:lang w:eastAsia="en-GB"/>
        </w:rPr>
        <w:t xml:space="preserve">Delay of health effects: </w:t>
      </w:r>
      <w:r w:rsidRPr="006D2A34">
        <w:rPr>
          <w:rFonts w:cs="Verdana"/>
          <w:lang w:eastAsia="en-GB"/>
        </w:rPr>
        <w:t xml:space="preserve">The bioaccumulation over the </w:t>
      </w:r>
      <w:r w:rsidR="00DE6281" w:rsidRPr="006D2A34">
        <w:rPr>
          <w:rFonts w:cs="Verdana"/>
          <w:lang w:eastAsia="en-GB"/>
        </w:rPr>
        <w:t>lifetime</w:t>
      </w:r>
      <w:r w:rsidRPr="006D2A34">
        <w:rPr>
          <w:rFonts w:cs="Verdana"/>
          <w:lang w:eastAsia="en-GB"/>
        </w:rPr>
        <w:t xml:space="preserve"> of an individual also affects when effects appear; in most </w:t>
      </w:r>
      <w:r w:rsidR="00DE6281" w:rsidRPr="006D2A34">
        <w:rPr>
          <w:rFonts w:cs="Verdana"/>
          <w:lang w:eastAsia="en-GB"/>
        </w:rPr>
        <w:t>instances,</w:t>
      </w:r>
      <w:r w:rsidRPr="006D2A34">
        <w:rPr>
          <w:rFonts w:cs="Verdana"/>
          <w:lang w:eastAsia="en-GB"/>
        </w:rPr>
        <w:t xml:space="preserve"> the delay between first exposure and appearance of effects is very long, i.e. decades. </w:t>
      </w:r>
    </w:p>
    <w:p w14:paraId="366AE900" w14:textId="77777777" w:rsidR="00405360" w:rsidRPr="006D2A34" w:rsidRDefault="00405360" w:rsidP="00405360">
      <w:pPr>
        <w:jc w:val="both"/>
        <w:rPr>
          <w:rFonts w:cs="Verdana"/>
          <w:lang w:eastAsia="en-GB"/>
        </w:rPr>
      </w:pPr>
    </w:p>
    <w:p w14:paraId="3E79697C" w14:textId="47D1F6F7" w:rsidR="00405360" w:rsidRDefault="00405360" w:rsidP="00405360">
      <w:pPr>
        <w:jc w:val="both"/>
        <w:rPr>
          <w:rFonts w:cs="Verdana"/>
          <w:lang w:eastAsia="en-GB"/>
        </w:rPr>
      </w:pPr>
      <w:r w:rsidRPr="006D2A34">
        <w:rPr>
          <w:rFonts w:cs="Verdana"/>
          <w:b/>
          <w:bCs/>
          <w:i/>
          <w:iCs/>
          <w:lang w:eastAsia="en-GB"/>
        </w:rPr>
        <w:t xml:space="preserve">Uncertainties on safe exposure: </w:t>
      </w:r>
      <w:r w:rsidRPr="006D2A34">
        <w:rPr>
          <w:rFonts w:cs="Verdana"/>
          <w:lang w:eastAsia="en-GB"/>
        </w:rPr>
        <w:t xml:space="preserve">There is uncertainty about identifying safe exposure levels for cadmium. Biomedical research on cadmium is intense. A search of the literature </w:t>
      </w:r>
      <w:r w:rsidR="00DE6281" w:rsidRPr="006D2A34">
        <w:rPr>
          <w:rFonts w:cs="Verdana"/>
          <w:lang w:eastAsia="en-GB"/>
        </w:rPr>
        <w:t>database</w:t>
      </w:r>
      <w:r w:rsidRPr="006D2A34">
        <w:rPr>
          <w:rFonts w:cs="Verdana"/>
          <w:lang w:eastAsia="en-GB"/>
        </w:rPr>
        <w:t xml:space="preserve"> PubMed revealed </w:t>
      </w:r>
      <w:r w:rsidR="00DE6281">
        <w:rPr>
          <w:rFonts w:cs="Verdana"/>
          <w:lang w:eastAsia="en-GB"/>
        </w:rPr>
        <w:t>19000</w:t>
      </w:r>
      <w:r w:rsidRPr="006D2A34">
        <w:rPr>
          <w:rFonts w:cs="Verdana"/>
          <w:lang w:eastAsia="en-GB"/>
        </w:rPr>
        <w:t xml:space="preserve"> articles published during the last 10 years and </w:t>
      </w:r>
      <w:r w:rsidR="00DE6281">
        <w:rPr>
          <w:rFonts w:cs="Verdana"/>
          <w:lang w:eastAsia="en-GB"/>
        </w:rPr>
        <w:t xml:space="preserve">more than 10 000 </w:t>
      </w:r>
      <w:r w:rsidRPr="006D2A34">
        <w:rPr>
          <w:rFonts w:cs="Verdana"/>
          <w:lang w:eastAsia="en-GB"/>
        </w:rPr>
        <w:t xml:space="preserve">articles during the last 5 years. Consequently, new findings on hazards and risks connected with cadmium and its compounds continuously appear. As an example, effects on bone tissue </w:t>
      </w:r>
      <w:proofErr w:type="gramStart"/>
      <w:r w:rsidRPr="006D2A34">
        <w:rPr>
          <w:rFonts w:cs="Verdana"/>
          <w:lang w:eastAsia="en-GB"/>
        </w:rPr>
        <w:t>have recently been shown</w:t>
      </w:r>
      <w:proofErr w:type="gramEnd"/>
      <w:r w:rsidRPr="006D2A34">
        <w:rPr>
          <w:rFonts w:cs="Verdana"/>
          <w:lang w:eastAsia="en-GB"/>
        </w:rPr>
        <w:t xml:space="preserve"> at exposure levels previously considered </w:t>
      </w:r>
      <w:r w:rsidRPr="006D2A34">
        <w:rPr>
          <w:rFonts w:cs="Verdana"/>
          <w:lang w:eastAsia="en-GB"/>
        </w:rPr>
        <w:lastRenderedPageBreak/>
        <w:t xml:space="preserve">without effects. Since what can be </w:t>
      </w:r>
      <w:proofErr w:type="gramStart"/>
      <w:r w:rsidRPr="006D2A34">
        <w:rPr>
          <w:rFonts w:cs="Verdana"/>
          <w:lang w:eastAsia="en-GB"/>
        </w:rPr>
        <w:t>considered</w:t>
      </w:r>
      <w:proofErr w:type="gramEnd"/>
      <w:r w:rsidRPr="006D2A34">
        <w:rPr>
          <w:rFonts w:cs="Verdana"/>
          <w:lang w:eastAsia="en-GB"/>
        </w:rPr>
        <w:t xml:space="preserve"> as a “safe exposure level” is steadily decreasing, precautionary community wide actions are warranted. </w:t>
      </w:r>
    </w:p>
    <w:p w14:paraId="52D094A2" w14:textId="77777777" w:rsidR="00405360" w:rsidRPr="006D2A34" w:rsidRDefault="00405360" w:rsidP="00405360">
      <w:pPr>
        <w:jc w:val="both"/>
        <w:rPr>
          <w:rFonts w:cs="Verdana"/>
          <w:lang w:eastAsia="en-GB"/>
        </w:rPr>
      </w:pPr>
    </w:p>
    <w:p w14:paraId="26E2FBD8" w14:textId="194D061B" w:rsidR="00405360" w:rsidRDefault="00405360" w:rsidP="00405360">
      <w:pPr>
        <w:jc w:val="both"/>
        <w:rPr>
          <w:rFonts w:cs="Verdana"/>
          <w:lang w:eastAsia="en-GB"/>
        </w:rPr>
      </w:pPr>
      <w:r w:rsidRPr="006D2A34">
        <w:rPr>
          <w:rFonts w:cs="Verdana"/>
          <w:lang w:eastAsia="en-GB"/>
        </w:rPr>
        <w:t xml:space="preserve">Further, it is not clear whether an effect on bone/kidney or carcinogenesis is the critical end-point from a risk assessment point of view, although most risk assessments concerning cadmium exposure of the general population (for example the assessment from EFSA (2009, 2012)) </w:t>
      </w:r>
      <w:proofErr w:type="gramStart"/>
      <w:r w:rsidRPr="006D2A34">
        <w:rPr>
          <w:rFonts w:cs="Verdana"/>
          <w:lang w:eastAsia="en-GB"/>
        </w:rPr>
        <w:t>are based</w:t>
      </w:r>
      <w:proofErr w:type="gramEnd"/>
      <w:r w:rsidRPr="006D2A34">
        <w:rPr>
          <w:rFonts w:cs="Verdana"/>
          <w:lang w:eastAsia="en-GB"/>
        </w:rPr>
        <w:t xml:space="preserve"> on kidney effects. In the risk assessment for workers by SCOEL (2009), the proposed limit values </w:t>
      </w:r>
      <w:proofErr w:type="gramStart"/>
      <w:r w:rsidRPr="006D2A34">
        <w:rPr>
          <w:rFonts w:cs="Verdana"/>
          <w:lang w:eastAsia="en-GB"/>
        </w:rPr>
        <w:t>are also based</w:t>
      </w:r>
      <w:proofErr w:type="gramEnd"/>
      <w:r w:rsidRPr="006D2A34">
        <w:rPr>
          <w:rFonts w:cs="Verdana"/>
          <w:lang w:eastAsia="en-GB"/>
        </w:rPr>
        <w:t xml:space="preserve"> on effects on the kidney and, to some extent, bone tissue, representing the most sensitive targets of cadmium toxicity after occupational exposure. The suggested IOEL (in air) is considered </w:t>
      </w:r>
      <w:proofErr w:type="gramStart"/>
      <w:r w:rsidRPr="006D2A34">
        <w:rPr>
          <w:rFonts w:cs="Verdana"/>
          <w:lang w:eastAsia="en-GB"/>
        </w:rPr>
        <w:t>to be protective</w:t>
      </w:r>
      <w:proofErr w:type="gramEnd"/>
      <w:r w:rsidRPr="006D2A34">
        <w:rPr>
          <w:rFonts w:cs="Verdana"/>
          <w:lang w:eastAsia="en-GB"/>
        </w:rPr>
        <w:t xml:space="preserve"> against long-term local effects (respiratory effects including lung cancer). Whether this value is also protective against cancer in other tissues </w:t>
      </w:r>
      <w:proofErr w:type="gramStart"/>
      <w:r w:rsidRPr="006D2A34">
        <w:rPr>
          <w:rFonts w:cs="Verdana"/>
          <w:lang w:eastAsia="en-GB"/>
        </w:rPr>
        <w:t>was not assessed</w:t>
      </w:r>
      <w:proofErr w:type="gramEnd"/>
      <w:r w:rsidRPr="006D2A34">
        <w:rPr>
          <w:rFonts w:cs="Verdana"/>
          <w:lang w:eastAsia="en-GB"/>
        </w:rPr>
        <w:t>. According to a paper from the Austrian Workers’ Compensation Board, the German Committee on Hazardous Substances (AGS) has  endorsed a limit value of 16 ng Cd/m³ based on the acceptable cancer risk of 1 : 25,000, i.e. a value 250-fold lower than the IOEL suggested by SCOEL.</w:t>
      </w:r>
    </w:p>
    <w:p w14:paraId="6CE46402" w14:textId="77777777" w:rsidR="001128DA" w:rsidRDefault="001128DA" w:rsidP="00405360">
      <w:pPr>
        <w:jc w:val="both"/>
        <w:rPr>
          <w:rFonts w:cs="Verdana"/>
          <w:lang w:eastAsia="en-GB"/>
        </w:rPr>
      </w:pPr>
    </w:p>
    <w:p w14:paraId="10DD9911" w14:textId="1AFA1E5F" w:rsidR="001128DA" w:rsidRDefault="001128DA" w:rsidP="001128DA">
      <w:pPr>
        <w:jc w:val="both"/>
        <w:rPr>
          <w:rFonts w:cs="Verdana"/>
          <w:lang w:eastAsia="en-GB"/>
        </w:rPr>
      </w:pPr>
      <w:r w:rsidRPr="006D2A34">
        <w:rPr>
          <w:rFonts w:cs="Verdana"/>
          <w:b/>
          <w:bCs/>
          <w:i/>
          <w:iCs/>
          <w:lang w:eastAsia="en-GB"/>
        </w:rPr>
        <w:t xml:space="preserve">Societal concern and impairment of quality of life: </w:t>
      </w:r>
      <w:r w:rsidRPr="006D2A34">
        <w:rPr>
          <w:rFonts w:cs="Verdana"/>
          <w:lang w:eastAsia="en-GB"/>
        </w:rPr>
        <w:t xml:space="preserve">In </w:t>
      </w:r>
      <w:proofErr w:type="gramStart"/>
      <w:r w:rsidRPr="006D2A34">
        <w:rPr>
          <w:rFonts w:cs="Verdana"/>
          <w:lang w:eastAsia="en-GB"/>
        </w:rPr>
        <w:t>particular</w:t>
      </w:r>
      <w:proofErr w:type="gramEnd"/>
      <w:r w:rsidRPr="006D2A34">
        <w:rPr>
          <w:rFonts w:cs="Verdana"/>
          <w:lang w:eastAsia="en-GB"/>
        </w:rPr>
        <w:t xml:space="preserve"> the effects on bone tissue, with increased risk for bone fractures, are a considerable public health problem causing a lot of suffering and a burden to society in terms of cost, morbidity and mortality. Osteoporotic complications are particularly prevalent in northern Europe and, statistically, every second woman in Sweden will suffer from an osteoporotic fracture during her lifetime. The incidence of hip fractures is more than seven-fold higher in Northern Europe than in the rest of Europe. The reason(s) for the large age-standardi</w:t>
      </w:r>
      <w:r w:rsidR="001972D8">
        <w:rPr>
          <w:rFonts w:cs="Verdana"/>
          <w:lang w:eastAsia="en-GB"/>
        </w:rPr>
        <w:t>s</w:t>
      </w:r>
      <w:r w:rsidRPr="006D2A34">
        <w:rPr>
          <w:rFonts w:cs="Verdana"/>
          <w:lang w:eastAsia="en-GB"/>
        </w:rPr>
        <w:t xml:space="preserve">ed geographical differences </w:t>
      </w:r>
      <w:proofErr w:type="gramStart"/>
      <w:r w:rsidRPr="006D2A34">
        <w:rPr>
          <w:rFonts w:cs="Verdana"/>
          <w:lang w:eastAsia="en-GB"/>
        </w:rPr>
        <w:t>is still not known</w:t>
      </w:r>
      <w:proofErr w:type="gramEnd"/>
      <w:r w:rsidRPr="006D2A34">
        <w:rPr>
          <w:rFonts w:cs="Verdana"/>
          <w:lang w:eastAsia="en-GB"/>
        </w:rPr>
        <w:t xml:space="preserve">, but the differences cannot be explained by differences in risk of slipping, low calcium intake, vitamin D deficiency or by inactivity. The fracture incidence has increased substantially since the 1950s. As the number of old and very old people in the population increases, a further increase in the prevalence of fractures is to be expected. </w:t>
      </w:r>
    </w:p>
    <w:p w14:paraId="2045C9DD" w14:textId="77777777" w:rsidR="001128DA" w:rsidRPr="006D2A34" w:rsidRDefault="001128DA" w:rsidP="001128DA">
      <w:pPr>
        <w:jc w:val="both"/>
        <w:rPr>
          <w:rFonts w:cs="Verdana"/>
          <w:lang w:eastAsia="en-GB"/>
        </w:rPr>
      </w:pPr>
    </w:p>
    <w:p w14:paraId="305DEEF7" w14:textId="1ED7EDEF" w:rsidR="001128DA" w:rsidRPr="006D2A34" w:rsidRDefault="001128DA" w:rsidP="001128DA">
      <w:pPr>
        <w:jc w:val="both"/>
        <w:rPr>
          <w:rFonts w:cs="Verdana"/>
          <w:lang w:eastAsia="en-GB"/>
        </w:rPr>
      </w:pPr>
      <w:r w:rsidRPr="006D2A34">
        <w:rPr>
          <w:rFonts w:cs="Verdana"/>
          <w:lang w:eastAsia="en-GB"/>
        </w:rPr>
        <w:t>According to a report published by the Swedish Chemicals Agency, the Swedish annual societal economic cost of fractures caused by cadmium in food amounts to approximately 4.2 billion SEK (approx. 4</w:t>
      </w:r>
      <w:r w:rsidR="00DE6281">
        <w:rPr>
          <w:rFonts w:cs="Verdana"/>
          <w:lang w:eastAsia="en-GB"/>
        </w:rPr>
        <w:t>2</w:t>
      </w:r>
      <w:r w:rsidRPr="006D2A34">
        <w:rPr>
          <w:rFonts w:cs="Verdana"/>
          <w:lang w:eastAsia="en-GB"/>
        </w:rPr>
        <w:t xml:space="preserve">0 million Euros). </w:t>
      </w:r>
      <w:proofErr w:type="gramStart"/>
      <w:r w:rsidRPr="006D2A34">
        <w:rPr>
          <w:rFonts w:cs="Verdana"/>
          <w:lang w:eastAsia="en-GB"/>
        </w:rPr>
        <w:t>This figure is based on the estimation that 7 and 13 %, in males and females respectively, of all fractures in Sweden are caused by cadmium exposure, mainly via food, and include direct treatment and care costs for bone fractures (approx. 1.5 billion SEK or 1</w:t>
      </w:r>
      <w:r w:rsidR="00DE6281">
        <w:rPr>
          <w:rFonts w:cs="Verdana"/>
          <w:lang w:eastAsia="en-GB"/>
        </w:rPr>
        <w:t>5</w:t>
      </w:r>
      <w:r w:rsidRPr="006D2A34">
        <w:rPr>
          <w:rFonts w:cs="Verdana"/>
          <w:lang w:eastAsia="en-GB"/>
        </w:rPr>
        <w:t>0 million Euros), as well as a valuation of a lower quality of life and shortened life expectancy for those who suffer fractures, mostly the elderly.</w:t>
      </w:r>
      <w:proofErr w:type="gramEnd"/>
    </w:p>
    <w:p w14:paraId="1EA53EBE" w14:textId="77777777" w:rsidR="00A4547F" w:rsidRDefault="00A4547F" w:rsidP="00A4547F">
      <w:pPr>
        <w:jc w:val="both"/>
        <w:rPr>
          <w:rFonts w:cs="Verdana"/>
          <w:lang w:eastAsia="en-GB"/>
        </w:rPr>
      </w:pPr>
    </w:p>
    <w:p w14:paraId="54E4DAF7" w14:textId="77777777" w:rsidR="00B8128C" w:rsidRDefault="001128DA" w:rsidP="001128DA">
      <w:pPr>
        <w:jc w:val="both"/>
        <w:rPr>
          <w:rFonts w:cs="Verdana"/>
          <w:b/>
          <w:bCs/>
          <w:i/>
          <w:iCs/>
          <w:lang w:eastAsia="en-GB"/>
        </w:rPr>
      </w:pPr>
      <w:r w:rsidRPr="006D2A34">
        <w:rPr>
          <w:rFonts w:cs="Verdana"/>
          <w:b/>
          <w:bCs/>
          <w:i/>
          <w:iCs/>
          <w:lang w:eastAsia="en-GB"/>
        </w:rPr>
        <w:t>In conclusion</w:t>
      </w:r>
    </w:p>
    <w:p w14:paraId="4464BDAA" w14:textId="616D0DD3" w:rsidR="001128DA" w:rsidRPr="006D2A34" w:rsidRDefault="001C73E1" w:rsidP="001128DA">
      <w:pPr>
        <w:jc w:val="both"/>
        <w:rPr>
          <w:rFonts w:cs="Verdana"/>
          <w:lang w:eastAsia="en-GB"/>
        </w:rPr>
      </w:pPr>
      <w:r>
        <w:rPr>
          <w:rFonts w:cs="Verdana"/>
          <w:lang w:eastAsia="en-GB"/>
        </w:rPr>
        <w:t>Cadmium hydroxide</w:t>
      </w:r>
      <w:r w:rsidR="001128DA" w:rsidRPr="006D2A34">
        <w:rPr>
          <w:rFonts w:cs="Verdana"/>
          <w:lang w:eastAsia="en-GB"/>
        </w:rPr>
        <w:t xml:space="preserve"> </w:t>
      </w:r>
      <w:proofErr w:type="gramStart"/>
      <w:r w:rsidR="001128DA" w:rsidRPr="006D2A34">
        <w:rPr>
          <w:rFonts w:cs="Verdana"/>
          <w:lang w:eastAsia="en-GB"/>
        </w:rPr>
        <w:t>is considered</w:t>
      </w:r>
      <w:proofErr w:type="gramEnd"/>
      <w:r w:rsidR="001128DA" w:rsidRPr="006D2A34">
        <w:rPr>
          <w:rFonts w:cs="Verdana"/>
          <w:lang w:eastAsia="en-GB"/>
        </w:rPr>
        <w:t xml:space="preserve"> to fulfil the criteria according to Art. 57(f), i.e. there is scientific evidence of probable serious effects to human health that give rise to “equivalent level of concern”, due to; </w:t>
      </w:r>
    </w:p>
    <w:p w14:paraId="67CCF6E6" w14:textId="77777777" w:rsidR="001128DA" w:rsidRDefault="001128DA" w:rsidP="00FF1A53">
      <w:pPr>
        <w:pStyle w:val="ListParagraph"/>
        <w:numPr>
          <w:ilvl w:val="0"/>
          <w:numId w:val="22"/>
        </w:numPr>
        <w:jc w:val="both"/>
        <w:rPr>
          <w:rFonts w:cs="Verdana"/>
          <w:lang w:eastAsia="en-GB"/>
        </w:rPr>
      </w:pPr>
      <w:r w:rsidRPr="006D2A34">
        <w:rPr>
          <w:rFonts w:cs="Verdana"/>
          <w:lang w:eastAsia="en-GB"/>
        </w:rPr>
        <w:t xml:space="preserve">the adverse effects on kidney and bones, effects that depending on dose may be serious and even contribute to premature death, </w:t>
      </w:r>
    </w:p>
    <w:p w14:paraId="27BAE05C" w14:textId="77777777" w:rsidR="00DE6281" w:rsidRDefault="001128DA" w:rsidP="00FF1A53">
      <w:pPr>
        <w:pStyle w:val="ListParagraph"/>
        <w:numPr>
          <w:ilvl w:val="0"/>
          <w:numId w:val="22"/>
        </w:numPr>
        <w:jc w:val="both"/>
        <w:rPr>
          <w:rFonts w:cs="Verdana"/>
          <w:lang w:eastAsia="en-GB"/>
        </w:rPr>
      </w:pPr>
      <w:r w:rsidRPr="006D2A34">
        <w:rPr>
          <w:rFonts w:cs="Verdana"/>
          <w:lang w:eastAsia="en-GB"/>
        </w:rPr>
        <w:t>the continuous accumulation of cadmium in the body, which leads to continuous internal exposure and in practice irreversible effects once adverse effect levels are reached</w:t>
      </w:r>
    </w:p>
    <w:p w14:paraId="3D28D515" w14:textId="77703C01" w:rsidR="001128DA" w:rsidRDefault="001128DA" w:rsidP="00FF1A53">
      <w:pPr>
        <w:pStyle w:val="ListParagraph"/>
        <w:numPr>
          <w:ilvl w:val="0"/>
          <w:numId w:val="22"/>
        </w:numPr>
        <w:jc w:val="both"/>
        <w:rPr>
          <w:rFonts w:cs="Verdana"/>
          <w:lang w:eastAsia="en-GB"/>
        </w:rPr>
      </w:pPr>
      <w:r w:rsidRPr="006D2A34">
        <w:rPr>
          <w:rFonts w:cs="Verdana"/>
          <w:lang w:eastAsia="en-GB"/>
        </w:rPr>
        <w:t xml:space="preserve">the occurrence of adverse effects in a significant part of the general population at present exposure levels, which are primarily of anthropogenic origin, </w:t>
      </w:r>
    </w:p>
    <w:p w14:paraId="62836650" w14:textId="77777777" w:rsidR="001128DA" w:rsidRDefault="001128DA" w:rsidP="00FF1A53">
      <w:pPr>
        <w:pStyle w:val="ListParagraph"/>
        <w:numPr>
          <w:ilvl w:val="0"/>
          <w:numId w:val="22"/>
        </w:numPr>
        <w:jc w:val="both"/>
        <w:rPr>
          <w:rFonts w:cs="Verdana"/>
          <w:lang w:eastAsia="en-GB"/>
        </w:rPr>
      </w:pPr>
      <w:r w:rsidRPr="006D2A34">
        <w:rPr>
          <w:rFonts w:cs="Verdana"/>
          <w:lang w:eastAsia="en-GB"/>
        </w:rPr>
        <w:t xml:space="preserve">uncertainties in deriving a safe exposure level, and </w:t>
      </w:r>
    </w:p>
    <w:p w14:paraId="65F8E32D" w14:textId="77777777" w:rsidR="001128DA" w:rsidRPr="006D2A34" w:rsidRDefault="001128DA" w:rsidP="00FF1A53">
      <w:pPr>
        <w:pStyle w:val="ListParagraph"/>
        <w:numPr>
          <w:ilvl w:val="0"/>
          <w:numId w:val="22"/>
        </w:numPr>
        <w:jc w:val="both"/>
        <w:rPr>
          <w:rFonts w:cs="Verdana"/>
          <w:lang w:eastAsia="en-GB"/>
        </w:rPr>
      </w:pPr>
      <w:proofErr w:type="gramStart"/>
      <w:r w:rsidRPr="006D2A34">
        <w:rPr>
          <w:rFonts w:cs="Verdana"/>
          <w:lang w:eastAsia="en-GB"/>
        </w:rPr>
        <w:t>high</w:t>
      </w:r>
      <w:proofErr w:type="gramEnd"/>
      <w:r w:rsidRPr="006D2A34">
        <w:rPr>
          <w:rFonts w:cs="Verdana"/>
          <w:lang w:eastAsia="en-GB"/>
        </w:rPr>
        <w:t xml:space="preserve"> societal costs in terms of health care and shortening of life time and a decreased quality of life. </w:t>
      </w:r>
    </w:p>
    <w:p w14:paraId="18302691" w14:textId="77777777" w:rsidR="001128DA" w:rsidRPr="006D2A34" w:rsidRDefault="001128DA" w:rsidP="001128DA">
      <w:pPr>
        <w:jc w:val="both"/>
        <w:rPr>
          <w:rFonts w:cs="Verdana"/>
          <w:lang w:eastAsia="en-GB"/>
        </w:rPr>
      </w:pPr>
    </w:p>
    <w:p w14:paraId="0A444DC3" w14:textId="77777777" w:rsidR="001128DA" w:rsidRPr="006D2A34" w:rsidRDefault="001128DA" w:rsidP="00A4547F">
      <w:pPr>
        <w:jc w:val="both"/>
        <w:rPr>
          <w:rFonts w:cs="Verdana"/>
          <w:lang w:eastAsia="en-GB"/>
        </w:rPr>
      </w:pPr>
    </w:p>
    <w:p w14:paraId="79FCE288" w14:textId="77777777" w:rsidR="00B12C39" w:rsidRPr="00C42D6A" w:rsidRDefault="00B12C39" w:rsidP="00B12C39">
      <w:pPr>
        <w:jc w:val="both"/>
        <w:rPr>
          <w:rStyle w:val="Strong"/>
          <w:b w:val="0"/>
          <w:bCs/>
        </w:rPr>
      </w:pPr>
    </w:p>
    <w:p w14:paraId="758B7383" w14:textId="0D3A1432" w:rsidR="00B12C39" w:rsidRPr="00127DF0" w:rsidRDefault="00B12C39" w:rsidP="009C4BF4">
      <w:pPr>
        <w:widowControl/>
        <w:jc w:val="both"/>
        <w:rPr>
          <w:rStyle w:val="Strong"/>
          <w:bCs/>
        </w:rPr>
      </w:pPr>
      <w:r w:rsidRPr="00127DF0">
        <w:rPr>
          <w:rStyle w:val="Strong"/>
          <w:bCs/>
        </w:rPr>
        <w:t xml:space="preserve">Registration dossiers submitted for the </w:t>
      </w:r>
      <w:proofErr w:type="gramStart"/>
      <w:r w:rsidRPr="00127DF0">
        <w:rPr>
          <w:rStyle w:val="Strong"/>
          <w:bCs/>
        </w:rPr>
        <w:t>substance?</w:t>
      </w:r>
      <w:proofErr w:type="gramEnd"/>
      <w:r w:rsidRPr="00127DF0">
        <w:rPr>
          <w:rStyle w:val="Strong"/>
          <w:bCs/>
        </w:rPr>
        <w:t xml:space="preserve"> </w:t>
      </w:r>
      <w:r w:rsidRPr="006D2A34">
        <w:rPr>
          <w:rStyle w:val="Strong"/>
          <w:bCs/>
        </w:rPr>
        <w:t>Yes</w:t>
      </w:r>
    </w:p>
    <w:p w14:paraId="01DB6F64" w14:textId="77777777" w:rsidR="00B12C39" w:rsidRPr="00CD2F3D" w:rsidRDefault="00B12C39" w:rsidP="00CD2F3D">
      <w:pPr>
        <w:pStyle w:val="Title"/>
        <w:numPr>
          <w:ilvl w:val="0"/>
          <w:numId w:val="0"/>
        </w:numPr>
        <w:jc w:val="center"/>
        <w:rPr>
          <w:sz w:val="32"/>
        </w:rPr>
      </w:pPr>
      <w:r>
        <w:br w:type="page"/>
      </w:r>
      <w:bookmarkStart w:id="18" w:name="_Toc316637274"/>
      <w:bookmarkStart w:id="19" w:name="_Toc341888501"/>
      <w:bookmarkStart w:id="20" w:name="_Toc342400355"/>
      <w:bookmarkStart w:id="21" w:name="_Toc357184189"/>
      <w:bookmarkStart w:id="22" w:name="_Toc357184425"/>
      <w:bookmarkStart w:id="23" w:name="_Toc357185226"/>
      <w:bookmarkStart w:id="24" w:name="_Toc357186074"/>
      <w:bookmarkStart w:id="25" w:name="_Toc357186223"/>
      <w:bookmarkStart w:id="26" w:name="_Toc357437509"/>
      <w:bookmarkStart w:id="27" w:name="_Toc357590782"/>
      <w:bookmarkStart w:id="28" w:name="_Toc357692814"/>
      <w:bookmarkStart w:id="29" w:name="_Toc365649641"/>
      <w:bookmarkStart w:id="30" w:name="_Toc365649790"/>
      <w:bookmarkStart w:id="31" w:name="_Toc366489842"/>
      <w:bookmarkStart w:id="32" w:name="_Toc418498547"/>
      <w:bookmarkStart w:id="33" w:name="_Toc418505990"/>
      <w:bookmarkStart w:id="34" w:name="_Toc491435620"/>
      <w:r w:rsidRPr="00CD2F3D">
        <w:rPr>
          <w:sz w:val="32"/>
        </w:rPr>
        <w:lastRenderedPageBreak/>
        <w:t>PART I</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A20E2BA" w14:textId="77777777" w:rsidR="00B12C39" w:rsidRPr="00DD36C7" w:rsidRDefault="00B12C39" w:rsidP="00DD36C7">
      <w:pPr>
        <w:pStyle w:val="Title"/>
        <w:numPr>
          <w:ilvl w:val="0"/>
          <w:numId w:val="0"/>
        </w:numPr>
        <w:jc w:val="center"/>
        <w:rPr>
          <w:sz w:val="32"/>
        </w:rPr>
      </w:pPr>
      <w:bookmarkStart w:id="35" w:name="_Toc316637275"/>
      <w:bookmarkStart w:id="36" w:name="_Toc341888502"/>
      <w:bookmarkStart w:id="37" w:name="_Toc342400356"/>
      <w:bookmarkStart w:id="38" w:name="_Toc357185227"/>
      <w:bookmarkStart w:id="39" w:name="_Toc357186075"/>
      <w:bookmarkStart w:id="40" w:name="_Toc357186224"/>
      <w:bookmarkStart w:id="41" w:name="_Toc357437510"/>
      <w:bookmarkStart w:id="42" w:name="_Toc357590783"/>
      <w:bookmarkStart w:id="43" w:name="_Toc357692815"/>
      <w:bookmarkStart w:id="44" w:name="_Toc365649642"/>
      <w:bookmarkStart w:id="45" w:name="_Toc365649791"/>
      <w:bookmarkStart w:id="46" w:name="_Toc366489843"/>
      <w:bookmarkStart w:id="47" w:name="_Toc418498548"/>
      <w:bookmarkStart w:id="48" w:name="_Toc418505991"/>
      <w:bookmarkStart w:id="49" w:name="_Toc491435621"/>
      <w:r w:rsidRPr="00DD36C7">
        <w:rPr>
          <w:sz w:val="32"/>
        </w:rPr>
        <w:t>Justification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67110245" w14:textId="77777777" w:rsidR="00E56BD3" w:rsidRDefault="00E56BD3" w:rsidP="00B12C39">
      <w:pPr>
        <w:widowControl/>
        <w:spacing w:after="180"/>
        <w:jc w:val="both"/>
        <w:rPr>
          <w:i/>
          <w:szCs w:val="24"/>
          <w:lang w:eastAsia="en-US"/>
        </w:rPr>
      </w:pPr>
    </w:p>
    <w:p w14:paraId="1291031C" w14:textId="77777777" w:rsidR="00B12C39" w:rsidRDefault="00B12C39" w:rsidP="00C85A85">
      <w:pPr>
        <w:pStyle w:val="Heading1"/>
        <w:ind w:left="426" w:hanging="426"/>
      </w:pPr>
      <w:bookmarkStart w:id="50" w:name="_Toc341888503"/>
      <w:bookmarkStart w:id="51" w:name="_Toc342400357"/>
      <w:bookmarkStart w:id="52" w:name="_Toc354499568"/>
      <w:bookmarkStart w:id="53" w:name="_Toc357083641"/>
      <w:bookmarkStart w:id="54" w:name="_Toc357184190"/>
      <w:bookmarkStart w:id="55" w:name="_Toc357184426"/>
      <w:bookmarkStart w:id="56" w:name="_Toc357185228"/>
      <w:bookmarkStart w:id="57" w:name="_Toc357186076"/>
      <w:bookmarkStart w:id="58" w:name="_Toc357186225"/>
      <w:bookmarkStart w:id="59" w:name="_Toc357437511"/>
      <w:bookmarkStart w:id="60" w:name="_Toc357590784"/>
      <w:bookmarkStart w:id="61" w:name="_Toc357692816"/>
      <w:bookmarkStart w:id="62" w:name="_Toc365649643"/>
      <w:bookmarkStart w:id="63" w:name="_Toc365649792"/>
      <w:bookmarkStart w:id="64" w:name="_Toc366489844"/>
      <w:bookmarkStart w:id="65" w:name="_Toc418498549"/>
      <w:bookmarkStart w:id="66" w:name="_Toc418505992"/>
      <w:bookmarkStart w:id="67" w:name="_Toc491435622"/>
      <w:r w:rsidRPr="004C7600">
        <w:t>Identity of the substance and physical and chemical properties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69183899" w14:textId="77777777" w:rsidR="00B12C39" w:rsidRDefault="00B12C39" w:rsidP="00BB6734">
      <w:pPr>
        <w:pStyle w:val="Heading2"/>
        <w:numPr>
          <w:ilvl w:val="1"/>
          <w:numId w:val="1"/>
        </w:numPr>
        <w:tabs>
          <w:tab w:val="clear" w:pos="360"/>
          <w:tab w:val="num" w:pos="0"/>
        </w:tabs>
      </w:pPr>
      <w:bookmarkStart w:id="68" w:name="_Toc341888504"/>
      <w:bookmarkStart w:id="69" w:name="_Toc342400358"/>
      <w:bookmarkStart w:id="70" w:name="_Toc354499569"/>
      <w:bookmarkStart w:id="71" w:name="_Toc357083642"/>
      <w:bookmarkStart w:id="72" w:name="_Toc357184191"/>
      <w:bookmarkStart w:id="73" w:name="_Toc357184427"/>
      <w:bookmarkStart w:id="74" w:name="_Toc357185229"/>
      <w:bookmarkStart w:id="75" w:name="_Toc357186077"/>
      <w:bookmarkStart w:id="76" w:name="_Toc357186226"/>
      <w:bookmarkStart w:id="77" w:name="_Toc357437512"/>
      <w:bookmarkStart w:id="78" w:name="_Toc357590785"/>
      <w:bookmarkStart w:id="79" w:name="_Toc357692817"/>
      <w:bookmarkStart w:id="80" w:name="_Toc365649644"/>
      <w:bookmarkStart w:id="81" w:name="_Toc365649793"/>
      <w:bookmarkStart w:id="82" w:name="_Toc366489845"/>
      <w:bookmarkStart w:id="83" w:name="_Toc418498550"/>
      <w:bookmarkStart w:id="84" w:name="_Toc418505993"/>
      <w:bookmarkStart w:id="85" w:name="_Toc491435623"/>
      <w:r w:rsidRPr="007B2537">
        <w:t>Name and other identifiers of the substance</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EDD92DE" w14:textId="4B6F8393" w:rsidR="00B12C39" w:rsidRPr="008D0DBB" w:rsidRDefault="00B12C39" w:rsidP="00C860C0">
      <w:pPr>
        <w:pStyle w:val="Caption"/>
        <w:rPr>
          <w:b/>
          <w:sz w:val="18"/>
          <w:szCs w:val="18"/>
        </w:rPr>
      </w:pPr>
      <w:bookmarkStart w:id="86" w:name="_Toc341889781"/>
      <w:bookmarkStart w:id="87" w:name="_Toc357184842"/>
      <w:bookmarkStart w:id="88" w:name="_Toc359563693"/>
      <w:bookmarkStart w:id="89" w:name="_Toc365030502"/>
      <w:bookmarkStart w:id="90" w:name="_Toc491433635"/>
      <w:r w:rsidRPr="008D0DBB">
        <w:rPr>
          <w:b/>
          <w:sz w:val="18"/>
          <w:szCs w:val="18"/>
        </w:rPr>
        <w:t xml:space="preserve">Table </w:t>
      </w:r>
      <w:r w:rsidR="000721AD" w:rsidRPr="008D0DBB">
        <w:rPr>
          <w:b/>
          <w:sz w:val="18"/>
          <w:szCs w:val="18"/>
        </w:rPr>
        <w:fldChar w:fldCharType="begin"/>
      </w:r>
      <w:r w:rsidRPr="008D0DBB">
        <w:rPr>
          <w:b/>
          <w:sz w:val="18"/>
          <w:szCs w:val="18"/>
        </w:rPr>
        <w:instrText xml:space="preserve"> SEQ Table \* ARABIC </w:instrText>
      </w:r>
      <w:r w:rsidR="000721AD" w:rsidRPr="008D0DBB">
        <w:rPr>
          <w:b/>
          <w:sz w:val="18"/>
          <w:szCs w:val="18"/>
        </w:rPr>
        <w:fldChar w:fldCharType="separate"/>
      </w:r>
      <w:r w:rsidR="0087074B">
        <w:rPr>
          <w:b/>
          <w:noProof/>
          <w:sz w:val="18"/>
          <w:szCs w:val="18"/>
        </w:rPr>
        <w:t>1</w:t>
      </w:r>
      <w:r w:rsidR="000721AD" w:rsidRPr="008D0DBB">
        <w:rPr>
          <w:b/>
          <w:sz w:val="18"/>
          <w:szCs w:val="18"/>
        </w:rPr>
        <w:fldChar w:fldCharType="end"/>
      </w:r>
      <w:r w:rsidRPr="008D0DBB">
        <w:rPr>
          <w:b/>
          <w:sz w:val="18"/>
          <w:szCs w:val="18"/>
        </w:rPr>
        <w:t>: Substance identity</w:t>
      </w:r>
      <w:bookmarkEnd w:id="86"/>
      <w:bookmarkEnd w:id="87"/>
      <w:bookmarkEnd w:id="88"/>
      <w:bookmarkEnd w:id="89"/>
      <w:bookmarkEnd w:id="90"/>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18"/>
        <w:gridCol w:w="5137"/>
      </w:tblGrid>
      <w:tr w:rsidR="00B12C39" w:rsidRPr="00F026DE" w14:paraId="70C073CC" w14:textId="77777777">
        <w:trPr>
          <w:trHeight w:val="363"/>
        </w:trPr>
        <w:tc>
          <w:tcPr>
            <w:tcW w:w="4518" w:type="dxa"/>
            <w:tcMar>
              <w:top w:w="40" w:type="dxa"/>
              <w:left w:w="40" w:type="dxa"/>
              <w:bottom w:w="40" w:type="dxa"/>
              <w:right w:w="40" w:type="dxa"/>
            </w:tcMar>
          </w:tcPr>
          <w:p w14:paraId="555828A3" w14:textId="77777777" w:rsidR="00B12C39" w:rsidRPr="008D0DBB" w:rsidRDefault="00B12C39" w:rsidP="00B12C39">
            <w:pPr>
              <w:pStyle w:val="TableRowHeader"/>
              <w:rPr>
                <w:sz w:val="18"/>
                <w:szCs w:val="18"/>
              </w:rPr>
            </w:pPr>
            <w:r w:rsidRPr="008D0DBB">
              <w:rPr>
                <w:sz w:val="18"/>
                <w:szCs w:val="18"/>
              </w:rPr>
              <w:t>EC number:</w:t>
            </w:r>
          </w:p>
        </w:tc>
        <w:tc>
          <w:tcPr>
            <w:tcW w:w="5137" w:type="dxa"/>
            <w:tcMar>
              <w:top w:w="40" w:type="dxa"/>
              <w:left w:w="40" w:type="dxa"/>
              <w:bottom w:w="40" w:type="dxa"/>
              <w:right w:w="40" w:type="dxa"/>
            </w:tcMar>
          </w:tcPr>
          <w:p w14:paraId="321BD4D3" w14:textId="5A429C24" w:rsidR="00B12C39" w:rsidRPr="008D0DBB" w:rsidRDefault="0066587E" w:rsidP="00B12C39">
            <w:pPr>
              <w:keepNext/>
              <w:keepLines/>
              <w:widowControl/>
              <w:spacing w:before="54" w:after="54"/>
              <w:ind w:left="113"/>
              <w:jc w:val="both"/>
              <w:rPr>
                <w:sz w:val="18"/>
                <w:szCs w:val="18"/>
                <w:lang w:eastAsia="da-DK"/>
              </w:rPr>
            </w:pPr>
            <w:r w:rsidRPr="0066587E">
              <w:rPr>
                <w:sz w:val="18"/>
                <w:szCs w:val="18"/>
                <w:lang w:eastAsia="da-DK"/>
              </w:rPr>
              <w:t>244-168-5</w:t>
            </w:r>
          </w:p>
        </w:tc>
      </w:tr>
      <w:tr w:rsidR="00B12C39" w:rsidRPr="00F026DE" w14:paraId="707D8247" w14:textId="77777777">
        <w:trPr>
          <w:trHeight w:val="371"/>
        </w:trPr>
        <w:tc>
          <w:tcPr>
            <w:tcW w:w="4518" w:type="dxa"/>
            <w:tcMar>
              <w:top w:w="40" w:type="dxa"/>
              <w:left w:w="40" w:type="dxa"/>
              <w:bottom w:w="40" w:type="dxa"/>
              <w:right w:w="40" w:type="dxa"/>
            </w:tcMar>
          </w:tcPr>
          <w:p w14:paraId="22274E73" w14:textId="77777777" w:rsidR="00B12C39" w:rsidRPr="008D0DBB" w:rsidRDefault="00B12C39" w:rsidP="00B12C39">
            <w:pPr>
              <w:pStyle w:val="TableRowHeader"/>
              <w:rPr>
                <w:sz w:val="18"/>
                <w:szCs w:val="18"/>
              </w:rPr>
            </w:pPr>
            <w:r w:rsidRPr="008D0DBB">
              <w:rPr>
                <w:sz w:val="18"/>
                <w:szCs w:val="18"/>
              </w:rPr>
              <w:t>EC name:</w:t>
            </w:r>
          </w:p>
        </w:tc>
        <w:tc>
          <w:tcPr>
            <w:tcW w:w="5137" w:type="dxa"/>
            <w:tcMar>
              <w:top w:w="40" w:type="dxa"/>
              <w:left w:w="40" w:type="dxa"/>
              <w:bottom w:w="40" w:type="dxa"/>
              <w:right w:w="40" w:type="dxa"/>
            </w:tcMar>
          </w:tcPr>
          <w:p w14:paraId="58F956A3" w14:textId="499A1193" w:rsidR="00B12C39" w:rsidRPr="008D0DBB" w:rsidRDefault="001C73E1" w:rsidP="00B12C39">
            <w:pPr>
              <w:keepNext/>
              <w:keepLines/>
              <w:widowControl/>
              <w:spacing w:before="54" w:after="54"/>
              <w:ind w:left="113"/>
              <w:jc w:val="both"/>
              <w:rPr>
                <w:sz w:val="18"/>
                <w:szCs w:val="18"/>
                <w:lang w:eastAsia="da-DK"/>
              </w:rPr>
            </w:pPr>
            <w:r>
              <w:rPr>
                <w:sz w:val="18"/>
                <w:szCs w:val="18"/>
                <w:lang w:eastAsia="da-DK"/>
              </w:rPr>
              <w:t>Cadmium hydroxide</w:t>
            </w:r>
          </w:p>
        </w:tc>
      </w:tr>
      <w:tr w:rsidR="00B12C39" w:rsidRPr="00F026DE" w14:paraId="71190D3D" w14:textId="77777777">
        <w:trPr>
          <w:trHeight w:val="393"/>
        </w:trPr>
        <w:tc>
          <w:tcPr>
            <w:tcW w:w="4518" w:type="dxa"/>
            <w:tcMar>
              <w:top w:w="40" w:type="dxa"/>
              <w:left w:w="40" w:type="dxa"/>
              <w:bottom w:w="40" w:type="dxa"/>
              <w:right w:w="40" w:type="dxa"/>
            </w:tcMar>
          </w:tcPr>
          <w:p w14:paraId="19FBE08C" w14:textId="77777777" w:rsidR="00B12C39" w:rsidRPr="008D0DBB" w:rsidRDefault="00B12C39" w:rsidP="00B12C39">
            <w:pPr>
              <w:pStyle w:val="TableRowHeader"/>
              <w:rPr>
                <w:sz w:val="18"/>
                <w:szCs w:val="18"/>
              </w:rPr>
            </w:pPr>
            <w:r w:rsidRPr="008D0DBB">
              <w:rPr>
                <w:sz w:val="18"/>
                <w:szCs w:val="18"/>
              </w:rPr>
              <w:t>CAS number (in the EC inventory):</w:t>
            </w:r>
          </w:p>
        </w:tc>
        <w:tc>
          <w:tcPr>
            <w:tcW w:w="5137" w:type="dxa"/>
            <w:tcMar>
              <w:top w:w="40" w:type="dxa"/>
              <w:left w:w="40" w:type="dxa"/>
              <w:bottom w:w="40" w:type="dxa"/>
              <w:right w:w="40" w:type="dxa"/>
            </w:tcMar>
          </w:tcPr>
          <w:p w14:paraId="6EE20CFC" w14:textId="37C3B86D" w:rsidR="00B12C39" w:rsidRPr="008D0DBB" w:rsidRDefault="0066587E" w:rsidP="00B12C39">
            <w:pPr>
              <w:keepNext/>
              <w:keepLines/>
              <w:widowControl/>
              <w:spacing w:before="54" w:after="54"/>
              <w:ind w:left="113"/>
              <w:jc w:val="both"/>
              <w:rPr>
                <w:sz w:val="18"/>
                <w:szCs w:val="18"/>
                <w:lang w:eastAsia="da-DK"/>
              </w:rPr>
            </w:pPr>
            <w:r w:rsidRPr="0066587E">
              <w:rPr>
                <w:sz w:val="18"/>
                <w:szCs w:val="18"/>
                <w:lang w:eastAsia="da-DK"/>
              </w:rPr>
              <w:t>21041-95-2</w:t>
            </w:r>
          </w:p>
        </w:tc>
      </w:tr>
      <w:tr w:rsidR="00B12C39" w:rsidRPr="00F026DE" w14:paraId="72B41832" w14:textId="77777777">
        <w:trPr>
          <w:trHeight w:val="760"/>
        </w:trPr>
        <w:tc>
          <w:tcPr>
            <w:tcW w:w="4518" w:type="dxa"/>
            <w:tcMar>
              <w:top w:w="40" w:type="dxa"/>
              <w:left w:w="40" w:type="dxa"/>
              <w:bottom w:w="40" w:type="dxa"/>
              <w:right w:w="40" w:type="dxa"/>
            </w:tcMar>
          </w:tcPr>
          <w:p w14:paraId="691DDA5D" w14:textId="77777777" w:rsidR="00B12C39" w:rsidRPr="008D0DBB" w:rsidRDefault="00B12C39" w:rsidP="00B12C39">
            <w:pPr>
              <w:pStyle w:val="TableRowHeader"/>
              <w:rPr>
                <w:sz w:val="18"/>
                <w:szCs w:val="18"/>
              </w:rPr>
            </w:pPr>
            <w:r w:rsidRPr="008D0DBB">
              <w:rPr>
                <w:sz w:val="18"/>
                <w:szCs w:val="18"/>
              </w:rPr>
              <w:t>CAS number:</w:t>
            </w:r>
          </w:p>
          <w:p w14:paraId="394F0FB5" w14:textId="77777777" w:rsidR="00B12C39" w:rsidRPr="008D0DBB" w:rsidRDefault="00B12C39" w:rsidP="00B12C39">
            <w:pPr>
              <w:pStyle w:val="TableRowHeader"/>
              <w:rPr>
                <w:sz w:val="18"/>
                <w:szCs w:val="18"/>
              </w:rPr>
            </w:pPr>
            <w:r w:rsidRPr="008D0DBB">
              <w:rPr>
                <w:sz w:val="18"/>
                <w:szCs w:val="18"/>
              </w:rPr>
              <w:t>Deleted CAS numbers:</w:t>
            </w:r>
          </w:p>
        </w:tc>
        <w:tc>
          <w:tcPr>
            <w:tcW w:w="5137" w:type="dxa"/>
            <w:tcMar>
              <w:top w:w="40" w:type="dxa"/>
              <w:left w:w="40" w:type="dxa"/>
              <w:bottom w:w="40" w:type="dxa"/>
              <w:right w:w="40" w:type="dxa"/>
            </w:tcMar>
          </w:tcPr>
          <w:p w14:paraId="291A5824" w14:textId="77777777" w:rsidR="00B12C39" w:rsidRPr="008D0DBB" w:rsidRDefault="00B12C39" w:rsidP="00B12C39">
            <w:pPr>
              <w:keepNext/>
              <w:keepLines/>
              <w:widowControl/>
              <w:spacing w:before="54" w:after="54"/>
              <w:ind w:left="113"/>
              <w:jc w:val="both"/>
              <w:rPr>
                <w:sz w:val="18"/>
                <w:szCs w:val="18"/>
                <w:lang w:eastAsia="da-DK"/>
              </w:rPr>
            </w:pPr>
          </w:p>
        </w:tc>
      </w:tr>
      <w:tr w:rsidR="00B12C39" w:rsidRPr="00F026DE" w14:paraId="5E12730E" w14:textId="77777777">
        <w:trPr>
          <w:trHeight w:val="30"/>
        </w:trPr>
        <w:tc>
          <w:tcPr>
            <w:tcW w:w="4518" w:type="dxa"/>
            <w:tcMar>
              <w:top w:w="40" w:type="dxa"/>
              <w:left w:w="40" w:type="dxa"/>
              <w:bottom w:w="40" w:type="dxa"/>
              <w:right w:w="40" w:type="dxa"/>
            </w:tcMar>
          </w:tcPr>
          <w:p w14:paraId="02111C12" w14:textId="77777777" w:rsidR="00B12C39" w:rsidRPr="008D0DBB" w:rsidRDefault="00B12C39" w:rsidP="00B12C39">
            <w:pPr>
              <w:pStyle w:val="TableRowHeader"/>
              <w:rPr>
                <w:sz w:val="18"/>
                <w:szCs w:val="18"/>
              </w:rPr>
            </w:pPr>
            <w:r w:rsidRPr="008D0DBB">
              <w:rPr>
                <w:sz w:val="18"/>
                <w:szCs w:val="18"/>
              </w:rPr>
              <w:t>CAS name:</w:t>
            </w:r>
          </w:p>
        </w:tc>
        <w:tc>
          <w:tcPr>
            <w:tcW w:w="5137" w:type="dxa"/>
            <w:tcMar>
              <w:top w:w="40" w:type="dxa"/>
              <w:left w:w="40" w:type="dxa"/>
              <w:bottom w:w="40" w:type="dxa"/>
              <w:right w:w="40" w:type="dxa"/>
            </w:tcMar>
          </w:tcPr>
          <w:p w14:paraId="656E9336" w14:textId="5992AA61" w:rsidR="00B12C39" w:rsidRPr="008D0DBB" w:rsidRDefault="001C73E1" w:rsidP="00B12C39">
            <w:pPr>
              <w:keepNext/>
              <w:keepLines/>
              <w:widowControl/>
              <w:spacing w:before="54" w:after="54"/>
              <w:ind w:left="113"/>
              <w:jc w:val="both"/>
              <w:rPr>
                <w:sz w:val="18"/>
                <w:szCs w:val="18"/>
                <w:lang w:eastAsia="da-DK"/>
              </w:rPr>
            </w:pPr>
            <w:r>
              <w:rPr>
                <w:sz w:val="18"/>
                <w:szCs w:val="18"/>
                <w:lang w:eastAsia="da-DK"/>
              </w:rPr>
              <w:t>Cadmium hydroxide</w:t>
            </w:r>
          </w:p>
        </w:tc>
      </w:tr>
      <w:tr w:rsidR="00B12C39" w:rsidRPr="00F026DE" w14:paraId="3757924D" w14:textId="77777777">
        <w:tc>
          <w:tcPr>
            <w:tcW w:w="4518" w:type="dxa"/>
            <w:tcMar>
              <w:top w:w="40" w:type="dxa"/>
              <w:left w:w="40" w:type="dxa"/>
              <w:bottom w:w="40" w:type="dxa"/>
              <w:right w:w="40" w:type="dxa"/>
            </w:tcMar>
          </w:tcPr>
          <w:p w14:paraId="04D4DB46" w14:textId="77777777" w:rsidR="00B12C39" w:rsidRPr="008D0DBB" w:rsidRDefault="00B12C39" w:rsidP="00B12C39">
            <w:pPr>
              <w:pStyle w:val="TableRowHeader"/>
              <w:rPr>
                <w:sz w:val="18"/>
                <w:szCs w:val="18"/>
              </w:rPr>
            </w:pPr>
            <w:r w:rsidRPr="008D0DBB">
              <w:rPr>
                <w:sz w:val="18"/>
                <w:szCs w:val="18"/>
              </w:rPr>
              <w:t>IUPAC name:</w:t>
            </w:r>
          </w:p>
        </w:tc>
        <w:tc>
          <w:tcPr>
            <w:tcW w:w="5137" w:type="dxa"/>
            <w:tcMar>
              <w:top w:w="40" w:type="dxa"/>
              <w:left w:w="40" w:type="dxa"/>
              <w:bottom w:w="40" w:type="dxa"/>
              <w:right w:w="40" w:type="dxa"/>
            </w:tcMar>
          </w:tcPr>
          <w:p w14:paraId="74ECB137" w14:textId="71C6FF23" w:rsidR="00B12C39" w:rsidRPr="008D0DBB" w:rsidRDefault="001C73E1" w:rsidP="00B12C39">
            <w:pPr>
              <w:keepNext/>
              <w:keepLines/>
              <w:widowControl/>
              <w:spacing w:before="54" w:after="54"/>
              <w:ind w:left="113"/>
              <w:jc w:val="both"/>
              <w:rPr>
                <w:sz w:val="18"/>
                <w:szCs w:val="18"/>
                <w:lang w:eastAsia="da-DK"/>
              </w:rPr>
            </w:pPr>
            <w:r>
              <w:rPr>
                <w:sz w:val="18"/>
                <w:szCs w:val="18"/>
                <w:lang w:eastAsia="da-DK"/>
              </w:rPr>
              <w:t xml:space="preserve">Cadmium </w:t>
            </w:r>
            <w:proofErr w:type="spellStart"/>
            <w:r w:rsidR="0066587E">
              <w:rPr>
                <w:sz w:val="18"/>
                <w:szCs w:val="18"/>
                <w:lang w:eastAsia="da-DK"/>
              </w:rPr>
              <w:t>di</w:t>
            </w:r>
            <w:r>
              <w:rPr>
                <w:sz w:val="18"/>
                <w:szCs w:val="18"/>
                <w:lang w:eastAsia="da-DK"/>
              </w:rPr>
              <w:t>hydroxide</w:t>
            </w:r>
            <w:proofErr w:type="spellEnd"/>
          </w:p>
        </w:tc>
      </w:tr>
      <w:tr w:rsidR="00B12C39" w:rsidRPr="00F026DE" w14:paraId="513B4290" w14:textId="77777777">
        <w:tc>
          <w:tcPr>
            <w:tcW w:w="4518" w:type="dxa"/>
            <w:tcMar>
              <w:top w:w="40" w:type="dxa"/>
              <w:left w:w="40" w:type="dxa"/>
              <w:bottom w:w="40" w:type="dxa"/>
              <w:right w:w="40" w:type="dxa"/>
            </w:tcMar>
          </w:tcPr>
          <w:p w14:paraId="35946F9C" w14:textId="77777777" w:rsidR="00B12C39" w:rsidRPr="008D0DBB" w:rsidRDefault="00B12C39" w:rsidP="00B12C39">
            <w:pPr>
              <w:pStyle w:val="TableRowHeader"/>
              <w:rPr>
                <w:sz w:val="18"/>
                <w:szCs w:val="18"/>
              </w:rPr>
            </w:pPr>
            <w:r w:rsidRPr="008D0DBB">
              <w:rPr>
                <w:sz w:val="18"/>
                <w:szCs w:val="18"/>
              </w:rPr>
              <w:t>Index number in Annex VI of the CLP Regulation</w:t>
            </w:r>
          </w:p>
        </w:tc>
        <w:tc>
          <w:tcPr>
            <w:tcW w:w="5137" w:type="dxa"/>
            <w:tcMar>
              <w:top w:w="40" w:type="dxa"/>
              <w:left w:w="40" w:type="dxa"/>
              <w:bottom w:w="40" w:type="dxa"/>
              <w:right w:w="40" w:type="dxa"/>
            </w:tcMar>
          </w:tcPr>
          <w:p w14:paraId="1A8A9322" w14:textId="266E54FE" w:rsidR="00B12C39" w:rsidRPr="008D0DBB" w:rsidRDefault="005E43D3" w:rsidP="00B12C39">
            <w:pPr>
              <w:keepNext/>
              <w:keepLines/>
              <w:widowControl/>
              <w:spacing w:before="54" w:after="54"/>
              <w:ind w:left="113"/>
              <w:jc w:val="both"/>
              <w:rPr>
                <w:sz w:val="18"/>
                <w:szCs w:val="18"/>
                <w:lang w:eastAsia="da-DK"/>
              </w:rPr>
            </w:pPr>
            <w:r>
              <w:rPr>
                <w:sz w:val="18"/>
                <w:szCs w:val="18"/>
                <w:lang w:eastAsia="da-DK"/>
              </w:rPr>
              <w:t>048-012-00-5</w:t>
            </w:r>
          </w:p>
        </w:tc>
      </w:tr>
      <w:tr w:rsidR="00B12C39" w:rsidRPr="00F026DE" w14:paraId="3560A453" w14:textId="77777777">
        <w:tc>
          <w:tcPr>
            <w:tcW w:w="4518" w:type="dxa"/>
            <w:tcMar>
              <w:top w:w="40" w:type="dxa"/>
              <w:left w:w="40" w:type="dxa"/>
              <w:bottom w:w="40" w:type="dxa"/>
              <w:right w:w="40" w:type="dxa"/>
            </w:tcMar>
          </w:tcPr>
          <w:p w14:paraId="69756587" w14:textId="77777777" w:rsidR="00B12C39" w:rsidRPr="008D0DBB" w:rsidRDefault="00B12C39" w:rsidP="00B12C39">
            <w:pPr>
              <w:pStyle w:val="TableRowHeader"/>
              <w:rPr>
                <w:sz w:val="18"/>
                <w:szCs w:val="18"/>
              </w:rPr>
            </w:pPr>
            <w:r w:rsidRPr="008D0DBB">
              <w:rPr>
                <w:sz w:val="18"/>
                <w:szCs w:val="18"/>
              </w:rPr>
              <w:t>Molecular formula:</w:t>
            </w:r>
          </w:p>
        </w:tc>
        <w:tc>
          <w:tcPr>
            <w:tcW w:w="5137" w:type="dxa"/>
            <w:tcMar>
              <w:top w:w="40" w:type="dxa"/>
              <w:left w:w="40" w:type="dxa"/>
              <w:bottom w:w="40" w:type="dxa"/>
              <w:right w:w="40" w:type="dxa"/>
            </w:tcMar>
          </w:tcPr>
          <w:p w14:paraId="57C4D65D" w14:textId="77A36962" w:rsidR="00B12C39" w:rsidRPr="006D2A34" w:rsidRDefault="00675BB2" w:rsidP="00B12C39">
            <w:pPr>
              <w:keepNext/>
              <w:keepLines/>
              <w:widowControl/>
              <w:spacing w:before="54" w:after="54"/>
              <w:ind w:left="113"/>
              <w:jc w:val="both"/>
              <w:rPr>
                <w:sz w:val="18"/>
                <w:szCs w:val="18"/>
                <w:vertAlign w:val="subscript"/>
                <w:lang w:eastAsia="da-DK"/>
              </w:rPr>
            </w:pPr>
            <w:r w:rsidRPr="00675BB2">
              <w:rPr>
                <w:sz w:val="18"/>
                <w:szCs w:val="18"/>
                <w:lang w:eastAsia="da-DK"/>
              </w:rPr>
              <w:t>CdH</w:t>
            </w:r>
            <w:r w:rsidRPr="00675BB2">
              <w:rPr>
                <w:sz w:val="18"/>
                <w:szCs w:val="18"/>
                <w:vertAlign w:val="subscript"/>
                <w:lang w:eastAsia="da-DK"/>
              </w:rPr>
              <w:t>2</w:t>
            </w:r>
            <w:r w:rsidRPr="00675BB2">
              <w:rPr>
                <w:sz w:val="18"/>
                <w:szCs w:val="18"/>
                <w:lang w:eastAsia="da-DK"/>
              </w:rPr>
              <w:t>O</w:t>
            </w:r>
            <w:r w:rsidRPr="00675BB2">
              <w:rPr>
                <w:sz w:val="18"/>
                <w:szCs w:val="18"/>
                <w:vertAlign w:val="subscript"/>
                <w:lang w:eastAsia="da-DK"/>
              </w:rPr>
              <w:t>2</w:t>
            </w:r>
          </w:p>
        </w:tc>
      </w:tr>
      <w:tr w:rsidR="00B12C39" w:rsidRPr="00F026DE" w14:paraId="0310DF64" w14:textId="77777777">
        <w:trPr>
          <w:trHeight w:val="407"/>
        </w:trPr>
        <w:tc>
          <w:tcPr>
            <w:tcW w:w="4518" w:type="dxa"/>
            <w:tcMar>
              <w:top w:w="40" w:type="dxa"/>
              <w:left w:w="40" w:type="dxa"/>
              <w:bottom w:w="40" w:type="dxa"/>
              <w:right w:w="40" w:type="dxa"/>
            </w:tcMar>
          </w:tcPr>
          <w:p w14:paraId="578CC544" w14:textId="77777777" w:rsidR="00B12C39" w:rsidRPr="008D0DBB" w:rsidRDefault="00B12C39" w:rsidP="00B12C39">
            <w:pPr>
              <w:pStyle w:val="TableRowHeader"/>
              <w:rPr>
                <w:sz w:val="18"/>
                <w:szCs w:val="18"/>
              </w:rPr>
            </w:pPr>
            <w:r w:rsidRPr="008D0DBB">
              <w:rPr>
                <w:sz w:val="18"/>
                <w:szCs w:val="18"/>
              </w:rPr>
              <w:t>Molecular weight range:</w:t>
            </w:r>
          </w:p>
        </w:tc>
        <w:tc>
          <w:tcPr>
            <w:tcW w:w="5137" w:type="dxa"/>
            <w:tcMar>
              <w:top w:w="40" w:type="dxa"/>
              <w:left w:w="40" w:type="dxa"/>
              <w:bottom w:w="40" w:type="dxa"/>
              <w:right w:w="40" w:type="dxa"/>
            </w:tcMar>
          </w:tcPr>
          <w:p w14:paraId="4E78959F" w14:textId="494439DB" w:rsidR="00B12C39" w:rsidRPr="008D0DBB" w:rsidRDefault="00675BB2" w:rsidP="00B12C39">
            <w:pPr>
              <w:keepNext/>
              <w:keepLines/>
              <w:widowControl/>
              <w:spacing w:before="54" w:after="54"/>
              <w:ind w:left="113"/>
              <w:jc w:val="both"/>
              <w:rPr>
                <w:sz w:val="18"/>
                <w:szCs w:val="18"/>
                <w:lang w:eastAsia="da-DK"/>
              </w:rPr>
            </w:pPr>
            <w:r w:rsidRPr="00675BB2">
              <w:rPr>
                <w:sz w:val="18"/>
                <w:szCs w:val="18"/>
                <w:lang w:eastAsia="da-DK"/>
              </w:rPr>
              <w:t>146.43</w:t>
            </w:r>
            <w:r>
              <w:rPr>
                <w:sz w:val="18"/>
                <w:szCs w:val="18"/>
                <w:lang w:eastAsia="da-DK"/>
              </w:rPr>
              <w:t xml:space="preserve"> </w:t>
            </w:r>
            <w:r w:rsidR="005E43D3">
              <w:rPr>
                <w:sz w:val="18"/>
                <w:szCs w:val="18"/>
                <w:lang w:eastAsia="da-DK"/>
              </w:rPr>
              <w:t>g/</w:t>
            </w:r>
            <w:proofErr w:type="spellStart"/>
            <w:r w:rsidR="005E43D3">
              <w:rPr>
                <w:sz w:val="18"/>
                <w:szCs w:val="18"/>
                <w:lang w:eastAsia="da-DK"/>
              </w:rPr>
              <w:t>mol</w:t>
            </w:r>
            <w:proofErr w:type="spellEnd"/>
          </w:p>
        </w:tc>
      </w:tr>
      <w:tr w:rsidR="00B12C39" w:rsidRPr="00F026DE" w14:paraId="6A9DD907" w14:textId="77777777" w:rsidTr="009E0412">
        <w:trPr>
          <w:trHeight w:val="680"/>
        </w:trPr>
        <w:tc>
          <w:tcPr>
            <w:tcW w:w="4518" w:type="dxa"/>
            <w:tcMar>
              <w:top w:w="40" w:type="dxa"/>
              <w:left w:w="40" w:type="dxa"/>
              <w:bottom w:w="40" w:type="dxa"/>
              <w:right w:w="40" w:type="dxa"/>
            </w:tcMar>
          </w:tcPr>
          <w:p w14:paraId="39569EA6" w14:textId="77777777" w:rsidR="00B12C39" w:rsidRPr="008D0DBB" w:rsidRDefault="00B12C39" w:rsidP="00B12C39">
            <w:pPr>
              <w:pStyle w:val="TableRowHeader"/>
              <w:rPr>
                <w:sz w:val="18"/>
                <w:szCs w:val="18"/>
              </w:rPr>
            </w:pPr>
            <w:r w:rsidRPr="008D0DBB">
              <w:rPr>
                <w:sz w:val="18"/>
                <w:szCs w:val="18"/>
              </w:rPr>
              <w:t>Synonyms:</w:t>
            </w:r>
          </w:p>
        </w:tc>
        <w:tc>
          <w:tcPr>
            <w:tcW w:w="5137" w:type="dxa"/>
            <w:tcMar>
              <w:top w:w="40" w:type="dxa"/>
              <w:left w:w="40" w:type="dxa"/>
              <w:bottom w:w="40" w:type="dxa"/>
              <w:right w:w="40" w:type="dxa"/>
            </w:tcMar>
          </w:tcPr>
          <w:p w14:paraId="4B111D4C" w14:textId="77777777" w:rsidR="00B12C39" w:rsidRPr="008D0DBB" w:rsidRDefault="00B12C39" w:rsidP="00EE43A1">
            <w:pPr>
              <w:pStyle w:val="StyleTabletextItalic"/>
              <w:jc w:val="left"/>
              <w:rPr>
                <w:i w:val="0"/>
                <w:iCs w:val="0"/>
                <w:sz w:val="18"/>
                <w:szCs w:val="18"/>
              </w:rPr>
            </w:pPr>
          </w:p>
        </w:tc>
      </w:tr>
    </w:tbl>
    <w:p w14:paraId="449BDB60" w14:textId="77777777" w:rsidR="00B12C39" w:rsidRPr="00F026DE" w:rsidRDefault="00B12C39" w:rsidP="00B12C39">
      <w:pPr>
        <w:widowControl/>
        <w:spacing w:after="180"/>
        <w:jc w:val="both"/>
        <w:rPr>
          <w:szCs w:val="24"/>
          <w:lang w:eastAsia="en-US"/>
        </w:rPr>
      </w:pPr>
    </w:p>
    <w:p w14:paraId="2A3BD90E" w14:textId="77777777" w:rsidR="00B12C39" w:rsidRDefault="00B12C39" w:rsidP="00B12C39">
      <w:pPr>
        <w:widowControl/>
        <w:spacing w:after="180"/>
        <w:jc w:val="both"/>
        <w:rPr>
          <w:rStyle w:val="Strong"/>
          <w:bCs/>
        </w:rPr>
      </w:pPr>
      <w:r w:rsidRPr="00127DF0">
        <w:rPr>
          <w:rStyle w:val="Strong"/>
          <w:bCs/>
        </w:rPr>
        <w:t>Structural formula:</w:t>
      </w:r>
    </w:p>
    <w:p w14:paraId="5502A622" w14:textId="33ABD61C" w:rsidR="00BB0C44" w:rsidRDefault="00675BB2" w:rsidP="00B12C39">
      <w:pPr>
        <w:widowControl/>
        <w:spacing w:after="180"/>
        <w:jc w:val="both"/>
        <w:rPr>
          <w:rStyle w:val="Strong"/>
          <w:bCs/>
        </w:rPr>
      </w:pPr>
      <w:r>
        <w:rPr>
          <w:b/>
          <w:bCs/>
          <w:noProof/>
          <w:lang w:eastAsia="en-GB"/>
        </w:rPr>
        <w:drawing>
          <wp:inline distT="0" distB="0" distL="0" distR="0" wp14:anchorId="6241B64E" wp14:editId="35C0006E">
            <wp:extent cx="1275749" cy="780415"/>
            <wp:effectExtent l="0" t="0" r="635" b="63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DOH2.png"/>
                    <pic:cNvPicPr/>
                  </pic:nvPicPr>
                  <pic:blipFill rotWithShape="1">
                    <a:blip r:embed="rId13">
                      <a:extLst>
                        <a:ext uri="{28A0092B-C50C-407E-A947-70E740481C1C}">
                          <a14:useLocalDpi xmlns:a14="http://schemas.microsoft.com/office/drawing/2010/main" val="0"/>
                        </a:ext>
                      </a:extLst>
                    </a:blip>
                    <a:srcRect l="6947" t="21538" b="21539"/>
                    <a:stretch/>
                  </pic:blipFill>
                  <pic:spPr bwMode="auto">
                    <a:xfrm>
                      <a:off x="0" y="0"/>
                      <a:ext cx="1282515" cy="784554"/>
                    </a:xfrm>
                    <a:prstGeom prst="rect">
                      <a:avLst/>
                    </a:prstGeom>
                    <a:ln>
                      <a:noFill/>
                    </a:ln>
                    <a:extLst>
                      <a:ext uri="{53640926-AAD7-44D8-BBD7-CCE9431645EC}">
                        <a14:shadowObscured xmlns:a14="http://schemas.microsoft.com/office/drawing/2010/main"/>
                      </a:ext>
                    </a:extLst>
                  </pic:spPr>
                </pic:pic>
              </a:graphicData>
            </a:graphic>
          </wp:inline>
        </w:drawing>
      </w:r>
    </w:p>
    <w:p w14:paraId="4051FFC8" w14:textId="77777777" w:rsidR="00B12C39" w:rsidRDefault="00BB6734" w:rsidP="00BB6734">
      <w:pPr>
        <w:pStyle w:val="Heading2"/>
      </w:pPr>
      <w:bookmarkStart w:id="91" w:name="_Toc341888505"/>
      <w:bookmarkStart w:id="92" w:name="_Toc342400359"/>
      <w:bookmarkStart w:id="93" w:name="_Toc354499570"/>
      <w:bookmarkStart w:id="94" w:name="_Toc357083643"/>
      <w:bookmarkStart w:id="95" w:name="_Toc357184192"/>
      <w:bookmarkStart w:id="96" w:name="_Toc357184428"/>
      <w:bookmarkStart w:id="97" w:name="_Toc357185230"/>
      <w:bookmarkStart w:id="98" w:name="_Toc357186078"/>
      <w:bookmarkStart w:id="99" w:name="_Toc357186227"/>
      <w:bookmarkStart w:id="100" w:name="_Toc357437513"/>
      <w:bookmarkStart w:id="101" w:name="_Toc357590786"/>
      <w:bookmarkStart w:id="102" w:name="_Toc357692818"/>
      <w:bookmarkStart w:id="103" w:name="_Toc365649645"/>
      <w:bookmarkStart w:id="104" w:name="_Toc365649794"/>
      <w:bookmarkStart w:id="105" w:name="_Toc366489846"/>
      <w:bookmarkStart w:id="106" w:name="_Toc418498551"/>
      <w:bookmarkStart w:id="107" w:name="_Toc418505994"/>
      <w:bookmarkStart w:id="108" w:name="_Toc491435624"/>
      <w:r>
        <w:t xml:space="preserve">1.2 </w:t>
      </w:r>
      <w:r w:rsidR="00B12C39" w:rsidRPr="003F2F19">
        <w:t>Composition</w:t>
      </w:r>
      <w:r w:rsidR="00B12C39">
        <w:t xml:space="preserve"> </w:t>
      </w:r>
      <w:r w:rsidR="00B12C39" w:rsidRPr="003F2F19">
        <w:t>of the substance</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8E470FC" w14:textId="2BFFCE2F" w:rsidR="00B12C39" w:rsidRPr="00A62571" w:rsidRDefault="00B12C39" w:rsidP="003B1B52">
      <w:pPr>
        <w:widowControl/>
        <w:tabs>
          <w:tab w:val="left" w:pos="3261"/>
        </w:tabs>
        <w:spacing w:after="180"/>
        <w:jc w:val="both"/>
        <w:rPr>
          <w:rStyle w:val="Strong"/>
          <w:bCs/>
        </w:rPr>
      </w:pPr>
      <w:r w:rsidRPr="00A62571">
        <w:rPr>
          <w:rStyle w:val="Strong"/>
          <w:bCs/>
        </w:rPr>
        <w:t xml:space="preserve">Name: </w:t>
      </w:r>
      <w:r w:rsidR="001C73E1" w:rsidRPr="00A62571">
        <w:rPr>
          <w:rStyle w:val="Strong"/>
          <w:b w:val="0"/>
          <w:bCs/>
        </w:rPr>
        <w:t>cadmium hydroxide</w:t>
      </w:r>
    </w:p>
    <w:p w14:paraId="6ECF7445" w14:textId="1B744537" w:rsidR="00B12C39" w:rsidRPr="00A62571" w:rsidRDefault="00B12C39" w:rsidP="003B1B52">
      <w:pPr>
        <w:widowControl/>
        <w:tabs>
          <w:tab w:val="left" w:pos="3261"/>
        </w:tabs>
        <w:spacing w:after="180"/>
        <w:jc w:val="both"/>
        <w:rPr>
          <w:rStyle w:val="Strong"/>
          <w:bCs/>
        </w:rPr>
      </w:pPr>
      <w:r w:rsidRPr="00A62571">
        <w:rPr>
          <w:rStyle w:val="Strong"/>
          <w:bCs/>
        </w:rPr>
        <w:t xml:space="preserve">Description: </w:t>
      </w:r>
      <w:r w:rsidR="006F55A8" w:rsidRPr="00A62571">
        <w:rPr>
          <w:rStyle w:val="Strong"/>
          <w:b w:val="0"/>
          <w:bCs/>
        </w:rPr>
        <w:t>inorganic</w:t>
      </w:r>
    </w:p>
    <w:p w14:paraId="27AC7DAB" w14:textId="7F355308" w:rsidR="00B12C39" w:rsidRPr="00A62571" w:rsidRDefault="003B7B69" w:rsidP="00B12C39">
      <w:pPr>
        <w:widowControl/>
        <w:spacing w:after="180"/>
        <w:jc w:val="both"/>
        <w:rPr>
          <w:rStyle w:val="Strong"/>
          <w:bCs/>
        </w:rPr>
      </w:pPr>
      <w:r w:rsidRPr="00A62571">
        <w:rPr>
          <w:rStyle w:val="Strong"/>
          <w:bCs/>
        </w:rPr>
        <w:t>Substance type</w:t>
      </w:r>
      <w:r w:rsidR="00B12C39" w:rsidRPr="00A62571">
        <w:rPr>
          <w:rStyle w:val="Strong"/>
          <w:bCs/>
        </w:rPr>
        <w:t xml:space="preserve">: </w:t>
      </w:r>
      <w:r w:rsidRPr="00A62571">
        <w:rPr>
          <w:rStyle w:val="Strong"/>
          <w:b w:val="0"/>
          <w:bCs/>
        </w:rPr>
        <w:t>mono-constituent</w:t>
      </w:r>
    </w:p>
    <w:p w14:paraId="2AE95091" w14:textId="217E57C2" w:rsidR="001F5783" w:rsidRDefault="00BB6734" w:rsidP="00C748EF">
      <w:pPr>
        <w:pStyle w:val="Heading2"/>
      </w:pPr>
      <w:bookmarkStart w:id="109" w:name="_Toc357083645"/>
      <w:bookmarkStart w:id="110" w:name="_Toc357184194"/>
      <w:bookmarkStart w:id="111" w:name="_Toc357184430"/>
      <w:bookmarkStart w:id="112" w:name="_Toc357185232"/>
      <w:bookmarkStart w:id="113" w:name="_Toc357186080"/>
      <w:bookmarkStart w:id="114" w:name="_Toc357186229"/>
      <w:bookmarkStart w:id="115" w:name="_Toc357437515"/>
      <w:bookmarkStart w:id="116" w:name="_Toc357590788"/>
      <w:bookmarkStart w:id="117" w:name="_Toc357692820"/>
      <w:bookmarkStart w:id="118" w:name="_Toc365649647"/>
      <w:bookmarkStart w:id="119" w:name="_Toc365649796"/>
      <w:bookmarkStart w:id="120" w:name="_Toc366489848"/>
      <w:bookmarkStart w:id="121" w:name="_Toc418498553"/>
      <w:bookmarkStart w:id="122" w:name="_Toc418505996"/>
      <w:bookmarkStart w:id="123" w:name="_Toc491435625"/>
      <w:r>
        <w:lastRenderedPageBreak/>
        <w:t>1.</w:t>
      </w:r>
      <w:r w:rsidR="00D87DB3">
        <w:t>3</w:t>
      </w:r>
      <w:r>
        <w:t xml:space="preserve"> </w:t>
      </w:r>
      <w:r w:rsidR="001F5783">
        <w:t xml:space="preserve">Identity and composition of structurally related substances </w:t>
      </w:r>
      <w:r w:rsidR="00AC2CA3">
        <w:t>(</w:t>
      </w:r>
      <w:r w:rsidR="00FF688C">
        <w:t xml:space="preserve">used in a </w:t>
      </w:r>
      <w:r w:rsidR="001F5783">
        <w:t xml:space="preserve">grouping </w:t>
      </w:r>
      <w:r w:rsidR="0016056A">
        <w:t xml:space="preserve">or read-across </w:t>
      </w:r>
      <w:r w:rsidR="001F5783">
        <w:t>approach)</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30D79CA4" w14:textId="141381A6" w:rsidR="00D72995" w:rsidRPr="00334E1A" w:rsidRDefault="00D72995" w:rsidP="00D72995">
      <w:pPr>
        <w:pStyle w:val="BodyText"/>
      </w:pPr>
      <w:r w:rsidRPr="00EB7212">
        <w:t>Since the toxic effect</w:t>
      </w:r>
      <w:r>
        <w:t xml:space="preserve">s of all cadmium compounds </w:t>
      </w:r>
      <w:proofErr w:type="gramStart"/>
      <w:r w:rsidRPr="00EB7212">
        <w:t>are caused</w:t>
      </w:r>
      <w:proofErr w:type="gramEnd"/>
      <w:r w:rsidRPr="00EB7212">
        <w:t xml:space="preserve"> by the cadmium ion, </w:t>
      </w:r>
      <w:r>
        <w:t xml:space="preserve">data on other cadmium compounds and </w:t>
      </w:r>
      <w:r w:rsidRPr="00EB7212">
        <w:t>conclusions for “cadmium”</w:t>
      </w:r>
      <w:r w:rsidRPr="00334E1A">
        <w:t xml:space="preserve"> are relevant for cadmium</w:t>
      </w:r>
      <w:r w:rsidR="00AC7983">
        <w:t xml:space="preserve"> hydroxide</w:t>
      </w:r>
      <w:r w:rsidRPr="00334E1A">
        <w:t>.</w:t>
      </w:r>
    </w:p>
    <w:p w14:paraId="24BE4C45" w14:textId="77777777" w:rsidR="00A934F2" w:rsidRDefault="00A934F2" w:rsidP="00086315">
      <w:pPr>
        <w:pStyle w:val="Caption"/>
      </w:pPr>
    </w:p>
    <w:p w14:paraId="53E15200" w14:textId="27013D7C" w:rsidR="00B711CC" w:rsidRPr="00B711CC" w:rsidRDefault="00B711CC" w:rsidP="00B711CC">
      <w:pPr>
        <w:pStyle w:val="Caption"/>
        <w:rPr>
          <w:b/>
          <w:sz w:val="18"/>
          <w:szCs w:val="18"/>
        </w:rPr>
      </w:pPr>
      <w:bookmarkStart w:id="124" w:name="_Toc491433636"/>
      <w:r w:rsidRPr="00B711CC">
        <w:rPr>
          <w:b/>
          <w:sz w:val="18"/>
          <w:szCs w:val="18"/>
        </w:rPr>
        <w:t xml:space="preserve">Table </w:t>
      </w:r>
      <w:r w:rsidRPr="00B711CC">
        <w:rPr>
          <w:b/>
          <w:sz w:val="18"/>
          <w:szCs w:val="18"/>
        </w:rPr>
        <w:fldChar w:fldCharType="begin"/>
      </w:r>
      <w:r w:rsidRPr="00B711CC">
        <w:rPr>
          <w:b/>
          <w:sz w:val="18"/>
          <w:szCs w:val="18"/>
        </w:rPr>
        <w:instrText xml:space="preserve"> SEQ Table \* ARABIC </w:instrText>
      </w:r>
      <w:r w:rsidRPr="00B711CC">
        <w:rPr>
          <w:b/>
          <w:sz w:val="18"/>
          <w:szCs w:val="18"/>
        </w:rPr>
        <w:fldChar w:fldCharType="separate"/>
      </w:r>
      <w:r w:rsidR="0087074B">
        <w:rPr>
          <w:b/>
          <w:noProof/>
          <w:sz w:val="18"/>
          <w:szCs w:val="18"/>
        </w:rPr>
        <w:t>2</w:t>
      </w:r>
      <w:r w:rsidRPr="00B711CC">
        <w:rPr>
          <w:b/>
          <w:sz w:val="18"/>
          <w:szCs w:val="18"/>
        </w:rPr>
        <w:fldChar w:fldCharType="end"/>
      </w:r>
      <w:r w:rsidRPr="00B711CC">
        <w:rPr>
          <w:b/>
          <w:sz w:val="18"/>
          <w:szCs w:val="18"/>
        </w:rPr>
        <w:t>. Structurally related substance(s) identity</w:t>
      </w:r>
      <w:bookmarkEnd w:id="124"/>
    </w:p>
    <w:tbl>
      <w:tblPr>
        <w:tblW w:w="965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18"/>
        <w:gridCol w:w="5137"/>
      </w:tblGrid>
      <w:tr w:rsidR="00D72995" w:rsidRPr="00C94F15" w14:paraId="16B42F23" w14:textId="77777777" w:rsidTr="00D72995">
        <w:tc>
          <w:tcPr>
            <w:tcW w:w="4518" w:type="dxa"/>
            <w:tcMar>
              <w:top w:w="40" w:type="dxa"/>
              <w:left w:w="40" w:type="dxa"/>
              <w:bottom w:w="40" w:type="dxa"/>
              <w:right w:w="40" w:type="dxa"/>
            </w:tcMar>
          </w:tcPr>
          <w:p w14:paraId="4EED7F35" w14:textId="77777777" w:rsidR="00D72995" w:rsidRPr="008D0DBB" w:rsidRDefault="00D72995" w:rsidP="00D72995">
            <w:pPr>
              <w:pStyle w:val="Tabletext0"/>
              <w:rPr>
                <w:b/>
                <w:bCs/>
                <w:sz w:val="18"/>
                <w:szCs w:val="18"/>
              </w:rPr>
            </w:pPr>
            <w:r w:rsidRPr="008D0DBB">
              <w:rPr>
                <w:b/>
                <w:bCs/>
                <w:sz w:val="18"/>
                <w:szCs w:val="18"/>
              </w:rPr>
              <w:t>EC number:</w:t>
            </w:r>
          </w:p>
        </w:tc>
        <w:tc>
          <w:tcPr>
            <w:tcW w:w="5137" w:type="dxa"/>
          </w:tcPr>
          <w:p w14:paraId="0203038A" w14:textId="6CEB640B" w:rsidR="00D72995" w:rsidRPr="00D72995" w:rsidRDefault="00D72995" w:rsidP="00D72995">
            <w:pPr>
              <w:rPr>
                <w:sz w:val="18"/>
                <w:szCs w:val="18"/>
              </w:rPr>
            </w:pPr>
            <w:r w:rsidRPr="00D72995">
              <w:rPr>
                <w:sz w:val="18"/>
                <w:szCs w:val="18"/>
              </w:rPr>
              <w:t>231-152-8</w:t>
            </w:r>
          </w:p>
        </w:tc>
      </w:tr>
      <w:tr w:rsidR="00D72995" w:rsidRPr="00C94F15" w14:paraId="2287703A" w14:textId="77777777" w:rsidTr="00D72995">
        <w:tc>
          <w:tcPr>
            <w:tcW w:w="4518" w:type="dxa"/>
            <w:tcMar>
              <w:top w:w="40" w:type="dxa"/>
              <w:left w:w="40" w:type="dxa"/>
              <w:bottom w:w="40" w:type="dxa"/>
              <w:right w:w="40" w:type="dxa"/>
            </w:tcMar>
          </w:tcPr>
          <w:p w14:paraId="19810E2F" w14:textId="77777777" w:rsidR="00D72995" w:rsidRPr="008D0DBB" w:rsidRDefault="00D72995" w:rsidP="00D72995">
            <w:pPr>
              <w:pStyle w:val="Tabletext0"/>
              <w:rPr>
                <w:b/>
                <w:bCs/>
                <w:sz w:val="18"/>
                <w:szCs w:val="18"/>
              </w:rPr>
            </w:pPr>
            <w:r w:rsidRPr="008D0DBB">
              <w:rPr>
                <w:b/>
                <w:bCs/>
                <w:sz w:val="18"/>
                <w:szCs w:val="18"/>
              </w:rPr>
              <w:t>EC name:</w:t>
            </w:r>
          </w:p>
        </w:tc>
        <w:tc>
          <w:tcPr>
            <w:tcW w:w="5137" w:type="dxa"/>
          </w:tcPr>
          <w:p w14:paraId="7580E75E" w14:textId="1D69FB53" w:rsidR="00D72995" w:rsidRPr="00D72995" w:rsidRDefault="00D72995" w:rsidP="00D72995">
            <w:pPr>
              <w:rPr>
                <w:sz w:val="18"/>
                <w:szCs w:val="18"/>
              </w:rPr>
            </w:pPr>
            <w:r w:rsidRPr="00D72995">
              <w:rPr>
                <w:sz w:val="18"/>
                <w:szCs w:val="18"/>
              </w:rPr>
              <w:t>Cadmium</w:t>
            </w:r>
          </w:p>
        </w:tc>
      </w:tr>
      <w:tr w:rsidR="00D72995" w:rsidRPr="00C94F15" w14:paraId="21DB1C25" w14:textId="77777777" w:rsidTr="00D72995">
        <w:tc>
          <w:tcPr>
            <w:tcW w:w="4518" w:type="dxa"/>
            <w:tcMar>
              <w:top w:w="40" w:type="dxa"/>
              <w:left w:w="40" w:type="dxa"/>
              <w:bottom w:w="40" w:type="dxa"/>
              <w:right w:w="40" w:type="dxa"/>
            </w:tcMar>
          </w:tcPr>
          <w:p w14:paraId="40E935E4" w14:textId="77777777" w:rsidR="00D72995" w:rsidRPr="008D0DBB" w:rsidRDefault="00D72995" w:rsidP="00D72995">
            <w:pPr>
              <w:pStyle w:val="Tabletext0"/>
              <w:rPr>
                <w:b/>
                <w:bCs/>
                <w:sz w:val="18"/>
                <w:szCs w:val="18"/>
              </w:rPr>
            </w:pPr>
            <w:r w:rsidRPr="008D0DBB">
              <w:rPr>
                <w:b/>
                <w:bCs/>
                <w:sz w:val="18"/>
                <w:szCs w:val="18"/>
              </w:rPr>
              <w:t>SMILES:</w:t>
            </w:r>
          </w:p>
        </w:tc>
        <w:tc>
          <w:tcPr>
            <w:tcW w:w="5137" w:type="dxa"/>
          </w:tcPr>
          <w:p w14:paraId="3FA223AF" w14:textId="77777777" w:rsidR="00D72995" w:rsidRPr="00D72995" w:rsidRDefault="00D72995" w:rsidP="00D72995">
            <w:pPr>
              <w:rPr>
                <w:sz w:val="18"/>
                <w:szCs w:val="18"/>
              </w:rPr>
            </w:pPr>
          </w:p>
        </w:tc>
      </w:tr>
      <w:tr w:rsidR="00D72995" w:rsidRPr="00C94F15" w14:paraId="7D2517FA" w14:textId="77777777" w:rsidTr="00D72995">
        <w:tc>
          <w:tcPr>
            <w:tcW w:w="4518" w:type="dxa"/>
            <w:tcMar>
              <w:top w:w="40" w:type="dxa"/>
              <w:left w:w="40" w:type="dxa"/>
              <w:bottom w:w="40" w:type="dxa"/>
              <w:right w:w="40" w:type="dxa"/>
            </w:tcMar>
          </w:tcPr>
          <w:p w14:paraId="6DD36C90" w14:textId="77777777" w:rsidR="00D72995" w:rsidRPr="008D0DBB" w:rsidRDefault="00D72995" w:rsidP="00D72995">
            <w:pPr>
              <w:pStyle w:val="Tabletext0"/>
              <w:rPr>
                <w:b/>
                <w:bCs/>
                <w:sz w:val="18"/>
                <w:szCs w:val="18"/>
              </w:rPr>
            </w:pPr>
            <w:r w:rsidRPr="008D0DBB">
              <w:rPr>
                <w:b/>
                <w:bCs/>
                <w:sz w:val="18"/>
                <w:szCs w:val="18"/>
              </w:rPr>
              <w:t>CAS number (in the EC inventory):</w:t>
            </w:r>
          </w:p>
        </w:tc>
        <w:tc>
          <w:tcPr>
            <w:tcW w:w="5137" w:type="dxa"/>
          </w:tcPr>
          <w:p w14:paraId="0AB2A84A" w14:textId="05DB666A" w:rsidR="00D72995" w:rsidRPr="00D72995" w:rsidRDefault="00D72995" w:rsidP="00D72995">
            <w:pPr>
              <w:rPr>
                <w:sz w:val="18"/>
                <w:szCs w:val="18"/>
              </w:rPr>
            </w:pPr>
            <w:r w:rsidRPr="00D72995">
              <w:rPr>
                <w:sz w:val="18"/>
                <w:szCs w:val="18"/>
              </w:rPr>
              <w:t>7440-43-9</w:t>
            </w:r>
          </w:p>
        </w:tc>
      </w:tr>
      <w:tr w:rsidR="00D72995" w:rsidRPr="00C94F15" w14:paraId="5C24043F" w14:textId="77777777" w:rsidTr="00D72995">
        <w:tc>
          <w:tcPr>
            <w:tcW w:w="4518" w:type="dxa"/>
            <w:tcMar>
              <w:top w:w="40" w:type="dxa"/>
              <w:left w:w="40" w:type="dxa"/>
              <w:bottom w:w="40" w:type="dxa"/>
              <w:right w:w="40" w:type="dxa"/>
            </w:tcMar>
          </w:tcPr>
          <w:p w14:paraId="1315CEA7" w14:textId="77777777" w:rsidR="00D72995" w:rsidRPr="008D0DBB" w:rsidRDefault="00D72995" w:rsidP="00D72995">
            <w:pPr>
              <w:pStyle w:val="Tabletext0"/>
              <w:rPr>
                <w:b/>
                <w:bCs/>
                <w:sz w:val="18"/>
                <w:szCs w:val="18"/>
              </w:rPr>
            </w:pPr>
            <w:r w:rsidRPr="008D0DBB">
              <w:rPr>
                <w:b/>
                <w:bCs/>
                <w:sz w:val="18"/>
                <w:szCs w:val="18"/>
              </w:rPr>
              <w:t>CAS number:</w:t>
            </w:r>
          </w:p>
        </w:tc>
        <w:tc>
          <w:tcPr>
            <w:tcW w:w="5137" w:type="dxa"/>
          </w:tcPr>
          <w:p w14:paraId="1F312349" w14:textId="77777777" w:rsidR="00D72995" w:rsidRPr="00D72995" w:rsidRDefault="00D72995" w:rsidP="00D72995">
            <w:pPr>
              <w:rPr>
                <w:sz w:val="18"/>
                <w:szCs w:val="18"/>
              </w:rPr>
            </w:pPr>
          </w:p>
        </w:tc>
      </w:tr>
      <w:tr w:rsidR="00D72995" w:rsidRPr="00C94F15" w14:paraId="2827B882" w14:textId="77777777" w:rsidTr="00D72995">
        <w:trPr>
          <w:trHeight w:val="30"/>
        </w:trPr>
        <w:tc>
          <w:tcPr>
            <w:tcW w:w="4518" w:type="dxa"/>
            <w:tcMar>
              <w:top w:w="40" w:type="dxa"/>
              <w:left w:w="40" w:type="dxa"/>
              <w:bottom w:w="40" w:type="dxa"/>
              <w:right w:w="40" w:type="dxa"/>
            </w:tcMar>
          </w:tcPr>
          <w:p w14:paraId="6CC3C05F" w14:textId="77777777" w:rsidR="00D72995" w:rsidRPr="008D0DBB" w:rsidRDefault="00D72995" w:rsidP="00D72995">
            <w:pPr>
              <w:pStyle w:val="Tabletext0"/>
              <w:rPr>
                <w:b/>
                <w:bCs/>
                <w:sz w:val="18"/>
                <w:szCs w:val="18"/>
              </w:rPr>
            </w:pPr>
            <w:r w:rsidRPr="008D0DBB">
              <w:rPr>
                <w:b/>
                <w:bCs/>
                <w:sz w:val="18"/>
                <w:szCs w:val="18"/>
              </w:rPr>
              <w:t>CAS name:</w:t>
            </w:r>
          </w:p>
        </w:tc>
        <w:tc>
          <w:tcPr>
            <w:tcW w:w="5137" w:type="dxa"/>
          </w:tcPr>
          <w:p w14:paraId="592FB13D" w14:textId="4CF49A05" w:rsidR="00D72995" w:rsidRPr="00D72995" w:rsidRDefault="00D72995" w:rsidP="00D72995">
            <w:pPr>
              <w:rPr>
                <w:sz w:val="18"/>
                <w:szCs w:val="18"/>
              </w:rPr>
            </w:pPr>
            <w:r w:rsidRPr="00D72995">
              <w:rPr>
                <w:sz w:val="18"/>
                <w:szCs w:val="18"/>
              </w:rPr>
              <w:t>Cadmium</w:t>
            </w:r>
          </w:p>
        </w:tc>
      </w:tr>
      <w:tr w:rsidR="00D72995" w:rsidRPr="00C94F15" w14:paraId="63D9DF24" w14:textId="77777777" w:rsidTr="00D72995">
        <w:tc>
          <w:tcPr>
            <w:tcW w:w="4518" w:type="dxa"/>
            <w:tcMar>
              <w:top w:w="40" w:type="dxa"/>
              <w:left w:w="40" w:type="dxa"/>
              <w:bottom w:w="40" w:type="dxa"/>
              <w:right w:w="40" w:type="dxa"/>
            </w:tcMar>
          </w:tcPr>
          <w:p w14:paraId="16DE29B2" w14:textId="77777777" w:rsidR="00D72995" w:rsidRPr="008D0DBB" w:rsidRDefault="00D72995" w:rsidP="00D72995">
            <w:pPr>
              <w:pStyle w:val="Tabletext0"/>
              <w:rPr>
                <w:b/>
                <w:bCs/>
                <w:sz w:val="18"/>
                <w:szCs w:val="18"/>
              </w:rPr>
            </w:pPr>
            <w:r w:rsidRPr="008D0DBB">
              <w:rPr>
                <w:b/>
                <w:bCs/>
                <w:sz w:val="18"/>
                <w:szCs w:val="18"/>
              </w:rPr>
              <w:t>IUPAC name:</w:t>
            </w:r>
          </w:p>
        </w:tc>
        <w:tc>
          <w:tcPr>
            <w:tcW w:w="5137" w:type="dxa"/>
          </w:tcPr>
          <w:p w14:paraId="0180E94E" w14:textId="5EC57D6B" w:rsidR="00D72995" w:rsidRPr="00D72995" w:rsidRDefault="00D72995" w:rsidP="00D72995">
            <w:pPr>
              <w:rPr>
                <w:sz w:val="18"/>
                <w:szCs w:val="18"/>
              </w:rPr>
            </w:pPr>
            <w:r w:rsidRPr="00D72995">
              <w:rPr>
                <w:sz w:val="18"/>
                <w:szCs w:val="18"/>
              </w:rPr>
              <w:t>Cadmium</w:t>
            </w:r>
          </w:p>
        </w:tc>
      </w:tr>
      <w:tr w:rsidR="00D72995" w:rsidRPr="00C94F15" w14:paraId="6AB866F3" w14:textId="77777777" w:rsidTr="00D72995">
        <w:tc>
          <w:tcPr>
            <w:tcW w:w="4518" w:type="dxa"/>
            <w:tcMar>
              <w:top w:w="40" w:type="dxa"/>
              <w:left w:w="40" w:type="dxa"/>
              <w:bottom w:w="40" w:type="dxa"/>
              <w:right w:w="40" w:type="dxa"/>
            </w:tcMar>
          </w:tcPr>
          <w:p w14:paraId="38524BCF" w14:textId="77777777" w:rsidR="00D72995" w:rsidRPr="008D0DBB" w:rsidRDefault="00D72995" w:rsidP="00D72995">
            <w:pPr>
              <w:pStyle w:val="Tabletext0"/>
              <w:rPr>
                <w:b/>
                <w:bCs/>
                <w:sz w:val="18"/>
                <w:szCs w:val="18"/>
              </w:rPr>
            </w:pPr>
            <w:r w:rsidRPr="008D0DBB">
              <w:rPr>
                <w:b/>
                <w:bCs/>
                <w:sz w:val="18"/>
                <w:szCs w:val="18"/>
              </w:rPr>
              <w:t>Index number in Annex VI of the CLP Regulation</w:t>
            </w:r>
          </w:p>
        </w:tc>
        <w:tc>
          <w:tcPr>
            <w:tcW w:w="5137" w:type="dxa"/>
          </w:tcPr>
          <w:p w14:paraId="59695646" w14:textId="77777777" w:rsidR="00D72995" w:rsidRPr="00D72995" w:rsidRDefault="00D72995" w:rsidP="00D72995">
            <w:pPr>
              <w:widowControl/>
              <w:autoSpaceDE w:val="0"/>
              <w:autoSpaceDN w:val="0"/>
              <w:adjustRightInd w:val="0"/>
              <w:rPr>
                <w:rFonts w:cs="Verdana"/>
                <w:sz w:val="18"/>
                <w:szCs w:val="18"/>
                <w:lang w:val="en-US" w:eastAsia="en-US"/>
              </w:rPr>
            </w:pPr>
            <w:r w:rsidRPr="00D72995">
              <w:rPr>
                <w:rFonts w:cs="Verdana"/>
                <w:sz w:val="18"/>
                <w:szCs w:val="18"/>
                <w:lang w:val="en-US" w:eastAsia="en-US"/>
              </w:rPr>
              <w:t>048-002-00-0</w:t>
            </w:r>
          </w:p>
          <w:p w14:paraId="422F8E29" w14:textId="391FA48E" w:rsidR="00D72995" w:rsidRPr="00D72995" w:rsidRDefault="00D72995" w:rsidP="00D72995">
            <w:pPr>
              <w:rPr>
                <w:sz w:val="18"/>
                <w:szCs w:val="18"/>
              </w:rPr>
            </w:pPr>
            <w:r w:rsidRPr="00D72995">
              <w:rPr>
                <w:rFonts w:cs="Verdana"/>
                <w:sz w:val="18"/>
                <w:szCs w:val="18"/>
                <w:lang w:val="en-US" w:eastAsia="en-US"/>
              </w:rPr>
              <w:t>048-011-00-X</w:t>
            </w:r>
          </w:p>
        </w:tc>
      </w:tr>
      <w:tr w:rsidR="00D72995" w:rsidRPr="00C94F15" w14:paraId="37600F37" w14:textId="77777777" w:rsidTr="00D72995">
        <w:tc>
          <w:tcPr>
            <w:tcW w:w="4518" w:type="dxa"/>
            <w:tcMar>
              <w:top w:w="40" w:type="dxa"/>
              <w:left w:w="40" w:type="dxa"/>
              <w:bottom w:w="40" w:type="dxa"/>
              <w:right w:w="40" w:type="dxa"/>
            </w:tcMar>
          </w:tcPr>
          <w:p w14:paraId="3F5277F5" w14:textId="77777777" w:rsidR="00D72995" w:rsidRPr="008D0DBB" w:rsidRDefault="00D72995" w:rsidP="00D72995">
            <w:pPr>
              <w:pStyle w:val="Tabletext0"/>
              <w:rPr>
                <w:b/>
                <w:bCs/>
                <w:sz w:val="18"/>
                <w:szCs w:val="18"/>
              </w:rPr>
            </w:pPr>
            <w:r w:rsidRPr="008D0DBB">
              <w:rPr>
                <w:b/>
                <w:bCs/>
                <w:sz w:val="18"/>
                <w:szCs w:val="18"/>
              </w:rPr>
              <w:t>Molecular formula:</w:t>
            </w:r>
          </w:p>
        </w:tc>
        <w:tc>
          <w:tcPr>
            <w:tcW w:w="5137" w:type="dxa"/>
          </w:tcPr>
          <w:p w14:paraId="463515E3" w14:textId="0DF8AF5C" w:rsidR="00D72995" w:rsidRPr="00D72995" w:rsidRDefault="00D72995" w:rsidP="00D72995">
            <w:pPr>
              <w:rPr>
                <w:sz w:val="18"/>
                <w:szCs w:val="18"/>
              </w:rPr>
            </w:pPr>
            <w:r w:rsidRPr="00D72995">
              <w:rPr>
                <w:sz w:val="18"/>
                <w:szCs w:val="18"/>
              </w:rPr>
              <w:t>Cd</w:t>
            </w:r>
          </w:p>
        </w:tc>
      </w:tr>
      <w:tr w:rsidR="00D72995" w:rsidRPr="00C94F15" w14:paraId="30FDFE88" w14:textId="77777777" w:rsidTr="00D72995">
        <w:tc>
          <w:tcPr>
            <w:tcW w:w="4518" w:type="dxa"/>
            <w:tcMar>
              <w:top w:w="40" w:type="dxa"/>
              <w:left w:w="40" w:type="dxa"/>
              <w:bottom w:w="40" w:type="dxa"/>
              <w:right w:w="40" w:type="dxa"/>
            </w:tcMar>
          </w:tcPr>
          <w:p w14:paraId="7B347C94" w14:textId="77777777" w:rsidR="00D72995" w:rsidRPr="008D0DBB" w:rsidRDefault="00D72995" w:rsidP="00D72995">
            <w:pPr>
              <w:pStyle w:val="Tabletext0"/>
              <w:rPr>
                <w:b/>
                <w:bCs/>
                <w:sz w:val="18"/>
                <w:szCs w:val="18"/>
              </w:rPr>
            </w:pPr>
            <w:r w:rsidRPr="008D0DBB">
              <w:rPr>
                <w:b/>
                <w:bCs/>
                <w:sz w:val="18"/>
                <w:szCs w:val="18"/>
              </w:rPr>
              <w:t>Molecular weight range:</w:t>
            </w:r>
          </w:p>
        </w:tc>
        <w:tc>
          <w:tcPr>
            <w:tcW w:w="5137" w:type="dxa"/>
          </w:tcPr>
          <w:p w14:paraId="688FC40B" w14:textId="186C12BF" w:rsidR="00D72995" w:rsidRPr="00D72995" w:rsidRDefault="00D72995" w:rsidP="00D72995">
            <w:pPr>
              <w:rPr>
                <w:sz w:val="18"/>
                <w:szCs w:val="18"/>
              </w:rPr>
            </w:pPr>
            <w:r w:rsidRPr="00D72995">
              <w:rPr>
                <w:sz w:val="18"/>
                <w:szCs w:val="18"/>
              </w:rPr>
              <w:t>112.4099</w:t>
            </w:r>
          </w:p>
        </w:tc>
      </w:tr>
      <w:tr w:rsidR="00D72995" w:rsidRPr="00673080" w14:paraId="73C90931" w14:textId="77777777" w:rsidTr="00D72995">
        <w:tc>
          <w:tcPr>
            <w:tcW w:w="4518" w:type="dxa"/>
            <w:tcMar>
              <w:top w:w="40" w:type="dxa"/>
              <w:left w:w="40" w:type="dxa"/>
              <w:bottom w:w="40" w:type="dxa"/>
              <w:right w:w="40" w:type="dxa"/>
            </w:tcMar>
          </w:tcPr>
          <w:p w14:paraId="1B1A7B2E" w14:textId="77777777" w:rsidR="00D72995" w:rsidRPr="008D0DBB" w:rsidRDefault="00D72995" w:rsidP="00D72995">
            <w:pPr>
              <w:pStyle w:val="Tabletext0"/>
              <w:rPr>
                <w:b/>
                <w:bCs/>
                <w:sz w:val="18"/>
                <w:szCs w:val="18"/>
              </w:rPr>
            </w:pPr>
            <w:r w:rsidRPr="008D0DBB">
              <w:rPr>
                <w:b/>
                <w:sz w:val="18"/>
                <w:szCs w:val="18"/>
              </w:rPr>
              <w:t>Synonyms:</w:t>
            </w:r>
          </w:p>
        </w:tc>
        <w:tc>
          <w:tcPr>
            <w:tcW w:w="5137" w:type="dxa"/>
          </w:tcPr>
          <w:p w14:paraId="0517F751" w14:textId="77777777" w:rsidR="00D72995" w:rsidRPr="00D72995" w:rsidRDefault="00D72995" w:rsidP="00D72995">
            <w:pPr>
              <w:widowControl/>
              <w:autoSpaceDE w:val="0"/>
              <w:autoSpaceDN w:val="0"/>
              <w:adjustRightInd w:val="0"/>
              <w:rPr>
                <w:rFonts w:cs="Verdana"/>
                <w:sz w:val="18"/>
                <w:szCs w:val="18"/>
                <w:lang w:val="sv-SE" w:eastAsia="en-US"/>
              </w:rPr>
            </w:pPr>
            <w:r w:rsidRPr="00D72995">
              <w:rPr>
                <w:rFonts w:cs="Verdana"/>
                <w:sz w:val="18"/>
                <w:szCs w:val="18"/>
                <w:lang w:val="sv-SE" w:eastAsia="en-US"/>
              </w:rPr>
              <w:t xml:space="preserve">Cd </w:t>
            </w:r>
            <w:proofErr w:type="spellStart"/>
            <w:r w:rsidRPr="00D72995">
              <w:rPr>
                <w:rFonts w:cs="Verdana"/>
                <w:sz w:val="18"/>
                <w:szCs w:val="18"/>
                <w:lang w:val="sv-SE" w:eastAsia="en-US"/>
              </w:rPr>
              <w:t>rod</w:t>
            </w:r>
            <w:proofErr w:type="spellEnd"/>
          </w:p>
          <w:p w14:paraId="03778E4F" w14:textId="77777777" w:rsidR="00D72995" w:rsidRPr="00D72995" w:rsidRDefault="00D72995" w:rsidP="00D72995">
            <w:pPr>
              <w:widowControl/>
              <w:autoSpaceDE w:val="0"/>
              <w:autoSpaceDN w:val="0"/>
              <w:adjustRightInd w:val="0"/>
              <w:rPr>
                <w:rFonts w:cs="Verdana"/>
                <w:sz w:val="18"/>
                <w:szCs w:val="18"/>
                <w:lang w:val="sv-SE" w:eastAsia="en-US"/>
              </w:rPr>
            </w:pPr>
            <w:r w:rsidRPr="00D72995">
              <w:rPr>
                <w:rFonts w:cs="Verdana"/>
                <w:sz w:val="18"/>
                <w:szCs w:val="18"/>
                <w:lang w:val="sv-SE" w:eastAsia="en-US"/>
              </w:rPr>
              <w:t xml:space="preserve">Cd </w:t>
            </w:r>
            <w:proofErr w:type="spellStart"/>
            <w:r w:rsidRPr="00D72995">
              <w:rPr>
                <w:rFonts w:cs="Verdana"/>
                <w:sz w:val="18"/>
                <w:szCs w:val="18"/>
                <w:lang w:val="sv-SE" w:eastAsia="en-US"/>
              </w:rPr>
              <w:t>stangen</w:t>
            </w:r>
            <w:proofErr w:type="spellEnd"/>
          </w:p>
          <w:p w14:paraId="13523734" w14:textId="1C9B22CD" w:rsidR="00D72995" w:rsidRPr="00A62571" w:rsidRDefault="00D72995" w:rsidP="00D72995">
            <w:pPr>
              <w:rPr>
                <w:i/>
                <w:sz w:val="18"/>
                <w:szCs w:val="18"/>
                <w:lang w:val="de-DE"/>
              </w:rPr>
            </w:pPr>
            <w:r w:rsidRPr="00D72995">
              <w:rPr>
                <w:rFonts w:cs="Verdana"/>
                <w:sz w:val="18"/>
                <w:szCs w:val="18"/>
                <w:lang w:val="sv-SE" w:eastAsia="en-US"/>
              </w:rPr>
              <w:t xml:space="preserve">kadmium </w:t>
            </w:r>
            <w:proofErr w:type="spellStart"/>
            <w:r w:rsidRPr="00D72995">
              <w:rPr>
                <w:rFonts w:cs="Verdana"/>
                <w:sz w:val="18"/>
                <w:szCs w:val="18"/>
                <w:lang w:val="sv-SE" w:eastAsia="en-US"/>
              </w:rPr>
              <w:t>stangen</w:t>
            </w:r>
            <w:proofErr w:type="spellEnd"/>
          </w:p>
        </w:tc>
      </w:tr>
    </w:tbl>
    <w:p w14:paraId="02729969" w14:textId="77777777" w:rsidR="001F5783" w:rsidRPr="00A62571" w:rsidRDefault="001F5783" w:rsidP="001F5783">
      <w:pPr>
        <w:pStyle w:val="BodyText"/>
        <w:rPr>
          <w:lang w:val="de-DE"/>
        </w:rPr>
      </w:pPr>
    </w:p>
    <w:p w14:paraId="01740752" w14:textId="32292536" w:rsidR="005F5662" w:rsidRPr="00A62571" w:rsidRDefault="005F5662" w:rsidP="005F5662">
      <w:pPr>
        <w:widowControl/>
        <w:spacing w:after="180"/>
        <w:jc w:val="both"/>
        <w:rPr>
          <w:rStyle w:val="Strong"/>
          <w:bCs/>
        </w:rPr>
      </w:pPr>
      <w:r w:rsidRPr="00A62571">
        <w:rPr>
          <w:rStyle w:val="Strong"/>
          <w:bCs/>
        </w:rPr>
        <w:t xml:space="preserve">Substance type: </w:t>
      </w:r>
      <w:r w:rsidRPr="00A62571">
        <w:rPr>
          <w:rStyle w:val="Strong"/>
          <w:b w:val="0"/>
          <w:bCs/>
        </w:rPr>
        <w:t>mono-constituent</w:t>
      </w:r>
      <w:r w:rsidRPr="00A62571">
        <w:rPr>
          <w:rStyle w:val="Strong"/>
          <w:b w:val="0"/>
          <w:bCs/>
          <w:highlight w:val="green"/>
        </w:rPr>
        <w:t xml:space="preserve"> </w:t>
      </w:r>
    </w:p>
    <w:p w14:paraId="5B4994C7" w14:textId="77777777" w:rsidR="001F5783" w:rsidRDefault="001F5783" w:rsidP="001F5783">
      <w:pPr>
        <w:pStyle w:val="BodyText"/>
        <w:rPr>
          <w:b/>
        </w:rPr>
      </w:pPr>
      <w:r w:rsidRPr="00982C8A">
        <w:rPr>
          <w:b/>
        </w:rPr>
        <w:t>Structurally related substance(s) formula:</w:t>
      </w:r>
    </w:p>
    <w:p w14:paraId="237007B1" w14:textId="13F06053" w:rsidR="005E7632" w:rsidRDefault="005E7632">
      <w:pPr>
        <w:widowControl/>
        <w:rPr>
          <w:rFonts w:cs="Arial"/>
          <w:b/>
          <w:color w:val="0046AD"/>
          <w:sz w:val="24"/>
          <w:szCs w:val="22"/>
        </w:rPr>
      </w:pPr>
      <w:bookmarkStart w:id="125" w:name="_Toc341888506"/>
      <w:bookmarkStart w:id="126" w:name="_Toc342400360"/>
      <w:bookmarkStart w:id="127" w:name="_Toc354499571"/>
      <w:bookmarkStart w:id="128" w:name="_Toc357083646"/>
      <w:bookmarkStart w:id="129" w:name="_Toc357184195"/>
      <w:bookmarkStart w:id="130" w:name="_Toc357184431"/>
      <w:bookmarkStart w:id="131" w:name="_Toc357185233"/>
      <w:bookmarkStart w:id="132" w:name="_Toc357186081"/>
      <w:bookmarkStart w:id="133" w:name="_Toc357186230"/>
      <w:bookmarkStart w:id="134" w:name="_Toc357437516"/>
      <w:bookmarkStart w:id="135" w:name="_Toc357590789"/>
      <w:bookmarkStart w:id="136" w:name="_Toc357692821"/>
      <w:bookmarkStart w:id="137" w:name="_Toc365649648"/>
      <w:bookmarkStart w:id="138" w:name="_Toc365649797"/>
      <w:bookmarkStart w:id="139" w:name="_Toc366489849"/>
      <w:bookmarkStart w:id="140" w:name="_Toc418498554"/>
      <w:bookmarkStart w:id="141" w:name="_Toc418505997"/>
    </w:p>
    <w:p w14:paraId="0AC0EA60" w14:textId="5045E6E7" w:rsidR="00B12C39" w:rsidRDefault="00BB6734" w:rsidP="00C748EF">
      <w:pPr>
        <w:pStyle w:val="Heading2"/>
      </w:pPr>
      <w:bookmarkStart w:id="142" w:name="_Toc491435626"/>
      <w:r>
        <w:t>1.</w:t>
      </w:r>
      <w:r w:rsidR="00D87DB3">
        <w:t>4</w:t>
      </w:r>
      <w:r>
        <w:t xml:space="preserve"> </w:t>
      </w:r>
      <w:r w:rsidR="00B12C39" w:rsidRPr="003F2F19">
        <w:t>Physicochemical properties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65B4A195" w14:textId="77777777" w:rsidR="00D72995" w:rsidRPr="00FD262A" w:rsidRDefault="00D72995" w:rsidP="00D72995">
      <w:pPr>
        <w:pStyle w:val="NormalItalic"/>
        <w:rPr>
          <w:i w:val="0"/>
          <w:lang w:val="en-US"/>
        </w:rPr>
      </w:pPr>
      <w:r w:rsidRPr="00163684">
        <w:rPr>
          <w:i w:val="0"/>
        </w:rPr>
        <w:t>Not relevant for the identification of the substance as SVHC in accordance with Article 57</w:t>
      </w:r>
      <w:r>
        <w:rPr>
          <w:i w:val="0"/>
        </w:rPr>
        <w:t xml:space="preserve"> points (a) to (c) and, in this case, </w:t>
      </w:r>
      <w:r w:rsidRPr="00533E78">
        <w:rPr>
          <w:i w:val="0"/>
          <w:lang w:val="en-US"/>
        </w:rPr>
        <w:t xml:space="preserve">57 </w:t>
      </w:r>
      <w:r>
        <w:rPr>
          <w:i w:val="0"/>
        </w:rPr>
        <w:t>(f)</w:t>
      </w:r>
      <w:r w:rsidRPr="00163684">
        <w:rPr>
          <w:i w:val="0"/>
        </w:rPr>
        <w:t>.</w:t>
      </w:r>
    </w:p>
    <w:p w14:paraId="577D1CBC" w14:textId="77777777" w:rsidR="00B12C39" w:rsidRDefault="00B12C39" w:rsidP="00B12C39"/>
    <w:p w14:paraId="75C44D68" w14:textId="77777777" w:rsidR="00B12C39" w:rsidRDefault="00B12C39" w:rsidP="00B12C39">
      <w:pPr>
        <w:pStyle w:val="Heading1"/>
      </w:pPr>
      <w:r>
        <w:br w:type="page"/>
      </w:r>
      <w:bookmarkStart w:id="143" w:name="_Toc341888507"/>
      <w:bookmarkStart w:id="144" w:name="_Toc342400361"/>
      <w:bookmarkStart w:id="145" w:name="_Toc354499572"/>
      <w:bookmarkStart w:id="146" w:name="_Toc357083647"/>
      <w:bookmarkStart w:id="147" w:name="_Toc357184196"/>
      <w:bookmarkStart w:id="148" w:name="_Toc357184432"/>
      <w:bookmarkStart w:id="149" w:name="_Toc357185234"/>
      <w:bookmarkStart w:id="150" w:name="_Toc357186082"/>
      <w:bookmarkStart w:id="151" w:name="_Toc357186231"/>
      <w:bookmarkStart w:id="152" w:name="_Toc357437517"/>
      <w:bookmarkStart w:id="153" w:name="_Toc357590790"/>
      <w:bookmarkStart w:id="154" w:name="_Toc357692822"/>
      <w:bookmarkStart w:id="155" w:name="_Toc365649649"/>
      <w:bookmarkStart w:id="156" w:name="_Toc365649798"/>
      <w:bookmarkStart w:id="157" w:name="_Toc366489850"/>
      <w:bookmarkStart w:id="158" w:name="_Toc418498555"/>
      <w:bookmarkStart w:id="159" w:name="_Toc418505998"/>
      <w:bookmarkStart w:id="160" w:name="_Toc491435627"/>
      <w:r w:rsidRPr="003F2F19">
        <w:lastRenderedPageBreak/>
        <w:t>Harmonised classification and labelling</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06177D1A" w14:textId="432D6F6B" w:rsidR="00B12C39" w:rsidRPr="00A05A55" w:rsidRDefault="001C73E1" w:rsidP="00B12C39">
      <w:pPr>
        <w:widowControl/>
        <w:spacing w:after="180"/>
        <w:jc w:val="both"/>
        <w:rPr>
          <w:szCs w:val="24"/>
          <w:lang w:eastAsia="en-US"/>
        </w:rPr>
      </w:pPr>
      <w:bookmarkStart w:id="161" w:name="_Toc265748360"/>
      <w:bookmarkStart w:id="162" w:name="_Toc277236424"/>
      <w:bookmarkStart w:id="163" w:name="_Toc284425462"/>
      <w:r>
        <w:rPr>
          <w:szCs w:val="24"/>
          <w:lang w:eastAsia="en-US"/>
        </w:rPr>
        <w:t>Cadmium hydroxide</w:t>
      </w:r>
      <w:r w:rsidR="00B12C39" w:rsidRPr="00A05A55">
        <w:rPr>
          <w:szCs w:val="24"/>
          <w:lang w:eastAsia="en-US"/>
        </w:rPr>
        <w:t xml:space="preserve"> </w:t>
      </w:r>
      <w:proofErr w:type="gramStart"/>
      <w:r w:rsidR="00B12C39" w:rsidRPr="00A05A55">
        <w:rPr>
          <w:szCs w:val="24"/>
          <w:lang w:eastAsia="en-US"/>
        </w:rPr>
        <w:t>is covered</w:t>
      </w:r>
      <w:proofErr w:type="gramEnd"/>
      <w:r w:rsidR="00B12C39" w:rsidRPr="00A05A55">
        <w:rPr>
          <w:szCs w:val="24"/>
          <w:lang w:eastAsia="en-US"/>
        </w:rPr>
        <w:t xml:space="preserve"> by Index number </w:t>
      </w:r>
      <w:r w:rsidR="00CF1006" w:rsidRPr="00CF1006">
        <w:rPr>
          <w:szCs w:val="24"/>
          <w:lang w:eastAsia="en-US"/>
        </w:rPr>
        <w:t>048-012-00-5</w:t>
      </w:r>
      <w:r w:rsidR="00C1120D">
        <w:rPr>
          <w:szCs w:val="24"/>
          <w:lang w:eastAsia="en-US"/>
        </w:rPr>
        <w:t xml:space="preserve"> </w:t>
      </w:r>
      <w:r w:rsidR="00B12C39" w:rsidRPr="00A05A55">
        <w:rPr>
          <w:szCs w:val="24"/>
          <w:lang w:eastAsia="en-US"/>
        </w:rPr>
        <w:t xml:space="preserve">in </w:t>
      </w:r>
      <w:r w:rsidR="002243E0" w:rsidRPr="00A05A55">
        <w:rPr>
          <w:szCs w:val="24"/>
          <w:lang w:eastAsia="en-US"/>
        </w:rPr>
        <w:t xml:space="preserve">part 3 </w:t>
      </w:r>
      <w:r w:rsidR="002243E0">
        <w:rPr>
          <w:szCs w:val="24"/>
          <w:lang w:eastAsia="en-US"/>
        </w:rPr>
        <w:t xml:space="preserve">of </w:t>
      </w:r>
      <w:r w:rsidR="00B12C39" w:rsidRPr="00A05A55">
        <w:rPr>
          <w:szCs w:val="24"/>
          <w:lang w:eastAsia="en-US"/>
        </w:rPr>
        <w:t xml:space="preserve">Annex VI </w:t>
      </w:r>
      <w:r w:rsidR="002243E0">
        <w:rPr>
          <w:szCs w:val="24"/>
          <w:lang w:eastAsia="en-US"/>
        </w:rPr>
        <w:t xml:space="preserve">to </w:t>
      </w:r>
      <w:r w:rsidR="00D21FF5">
        <w:rPr>
          <w:szCs w:val="24"/>
          <w:lang w:eastAsia="en-US"/>
        </w:rPr>
        <w:t xml:space="preserve">the </w:t>
      </w:r>
      <w:r w:rsidR="002243E0">
        <w:rPr>
          <w:szCs w:val="24"/>
          <w:lang w:eastAsia="en-US"/>
        </w:rPr>
        <w:t xml:space="preserve">CLP </w:t>
      </w:r>
      <w:r w:rsidR="00B12C39" w:rsidRPr="00A05A55">
        <w:rPr>
          <w:szCs w:val="24"/>
          <w:lang w:eastAsia="en-US"/>
        </w:rPr>
        <w:t>Regulation as follows:</w:t>
      </w:r>
    </w:p>
    <w:p w14:paraId="6D9BA6BB" w14:textId="6A6A2D60" w:rsidR="00B711CC" w:rsidRDefault="00B711CC" w:rsidP="00B711CC">
      <w:pPr>
        <w:pStyle w:val="Caption"/>
      </w:pPr>
      <w:bookmarkStart w:id="164" w:name="_Toc491433637"/>
      <w:bookmarkStart w:id="165" w:name="_Toc272312460"/>
      <w:bookmarkStart w:id="166" w:name="_Toc284316797"/>
      <w:r w:rsidRPr="00B711CC">
        <w:rPr>
          <w:b/>
          <w:sz w:val="18"/>
          <w:szCs w:val="18"/>
        </w:rPr>
        <w:t xml:space="preserve">Table </w:t>
      </w:r>
      <w:r w:rsidRPr="00B711CC">
        <w:rPr>
          <w:b/>
          <w:sz w:val="18"/>
          <w:szCs w:val="18"/>
        </w:rPr>
        <w:fldChar w:fldCharType="begin"/>
      </w:r>
      <w:r w:rsidRPr="00B711CC">
        <w:rPr>
          <w:b/>
          <w:sz w:val="18"/>
          <w:szCs w:val="18"/>
        </w:rPr>
        <w:instrText xml:space="preserve"> SEQ Table \* ARABIC </w:instrText>
      </w:r>
      <w:r w:rsidRPr="00B711CC">
        <w:rPr>
          <w:b/>
          <w:sz w:val="18"/>
          <w:szCs w:val="18"/>
        </w:rPr>
        <w:fldChar w:fldCharType="separate"/>
      </w:r>
      <w:r w:rsidR="0087074B">
        <w:rPr>
          <w:b/>
          <w:noProof/>
          <w:sz w:val="18"/>
          <w:szCs w:val="18"/>
        </w:rPr>
        <w:t>3</w:t>
      </w:r>
      <w:r w:rsidRPr="00B711CC">
        <w:rPr>
          <w:b/>
          <w:sz w:val="18"/>
          <w:szCs w:val="18"/>
        </w:rPr>
        <w:fldChar w:fldCharType="end"/>
      </w:r>
      <w:r w:rsidRPr="00B711CC">
        <w:rPr>
          <w:b/>
          <w:sz w:val="18"/>
          <w:szCs w:val="18"/>
        </w:rPr>
        <w:t xml:space="preserve">. Classification according to Annex VI, Table 3.1 (list of harmonised classification and </w:t>
      </w:r>
      <w:r w:rsidRPr="008D0DBB">
        <w:rPr>
          <w:b/>
          <w:sz w:val="18"/>
          <w:szCs w:val="18"/>
        </w:rPr>
        <w:t>labelling of hazardous substances) of Regulation (EC) No 1272/2008</w:t>
      </w:r>
      <w:bookmarkEnd w:id="164"/>
    </w:p>
    <w:tbl>
      <w:tblPr>
        <w:tblW w:w="9858" w:type="dxa"/>
        <w:tblLayout w:type="fixed"/>
        <w:tblCellMar>
          <w:top w:w="28" w:type="dxa"/>
          <w:left w:w="28" w:type="dxa"/>
          <w:bottom w:w="28" w:type="dxa"/>
          <w:right w:w="28" w:type="dxa"/>
        </w:tblCellMar>
        <w:tblLook w:val="0000" w:firstRow="0" w:lastRow="0" w:firstColumn="0" w:lastColumn="0" w:noHBand="0" w:noVBand="0"/>
      </w:tblPr>
      <w:tblGrid>
        <w:gridCol w:w="677"/>
        <w:gridCol w:w="1305"/>
        <w:gridCol w:w="709"/>
        <w:gridCol w:w="708"/>
        <w:gridCol w:w="1560"/>
        <w:gridCol w:w="850"/>
        <w:gridCol w:w="992"/>
        <w:gridCol w:w="851"/>
        <w:gridCol w:w="789"/>
        <w:gridCol w:w="774"/>
        <w:gridCol w:w="643"/>
      </w:tblGrid>
      <w:tr w:rsidR="00B12C39" w:rsidRPr="00352F80" w14:paraId="508CF1C6" w14:textId="77777777" w:rsidTr="00352F80">
        <w:trPr>
          <w:cantSplit/>
          <w:trHeight w:val="98"/>
        </w:trPr>
        <w:tc>
          <w:tcPr>
            <w:tcW w:w="677" w:type="dxa"/>
            <w:vMerge w:val="restart"/>
            <w:tcBorders>
              <w:top w:val="single" w:sz="2" w:space="0" w:color="auto"/>
              <w:left w:val="single" w:sz="2" w:space="0" w:color="auto"/>
              <w:right w:val="single" w:sz="2" w:space="0" w:color="auto"/>
            </w:tcBorders>
          </w:tcPr>
          <w:bookmarkEnd w:id="165"/>
          <w:bookmarkEnd w:id="166"/>
          <w:p w14:paraId="4C16AEA9" w14:textId="77777777" w:rsidR="00B12C39" w:rsidRPr="00352F80" w:rsidRDefault="00B12C39" w:rsidP="00B12C39">
            <w:pPr>
              <w:pStyle w:val="TableColumnHeader"/>
              <w:ind w:left="0"/>
              <w:rPr>
                <w:sz w:val="16"/>
                <w:szCs w:val="16"/>
              </w:rPr>
            </w:pPr>
            <w:r w:rsidRPr="00352F80">
              <w:rPr>
                <w:sz w:val="16"/>
                <w:szCs w:val="16"/>
              </w:rPr>
              <w:t>Index No</w:t>
            </w:r>
          </w:p>
        </w:tc>
        <w:tc>
          <w:tcPr>
            <w:tcW w:w="1305" w:type="dxa"/>
            <w:vMerge w:val="restart"/>
            <w:tcBorders>
              <w:top w:val="single" w:sz="2" w:space="0" w:color="auto"/>
              <w:left w:val="single" w:sz="2" w:space="0" w:color="auto"/>
              <w:right w:val="single" w:sz="2" w:space="0" w:color="auto"/>
            </w:tcBorders>
          </w:tcPr>
          <w:p w14:paraId="1D376E07" w14:textId="77777777" w:rsidR="00B12C39" w:rsidRPr="00352F80" w:rsidRDefault="00B12C39" w:rsidP="00B12C39">
            <w:pPr>
              <w:pStyle w:val="TableColumnHeader"/>
              <w:ind w:left="0"/>
              <w:rPr>
                <w:sz w:val="16"/>
                <w:szCs w:val="16"/>
              </w:rPr>
            </w:pPr>
            <w:r w:rsidRPr="00352F80">
              <w:rPr>
                <w:sz w:val="16"/>
                <w:szCs w:val="16"/>
              </w:rPr>
              <w:t>International Chemical Identification</w:t>
            </w:r>
          </w:p>
        </w:tc>
        <w:tc>
          <w:tcPr>
            <w:tcW w:w="709" w:type="dxa"/>
            <w:vMerge w:val="restart"/>
            <w:tcBorders>
              <w:top w:val="single" w:sz="2" w:space="0" w:color="auto"/>
              <w:left w:val="single" w:sz="2" w:space="0" w:color="auto"/>
              <w:right w:val="single" w:sz="2" w:space="0" w:color="auto"/>
            </w:tcBorders>
          </w:tcPr>
          <w:p w14:paraId="7284B3D8" w14:textId="77777777" w:rsidR="00B12C39" w:rsidRPr="00352F80" w:rsidRDefault="00B12C39" w:rsidP="00B12C39">
            <w:pPr>
              <w:pStyle w:val="TableColumnHeader"/>
              <w:ind w:left="0"/>
              <w:rPr>
                <w:sz w:val="16"/>
                <w:szCs w:val="16"/>
              </w:rPr>
            </w:pPr>
            <w:r w:rsidRPr="00352F80">
              <w:rPr>
                <w:sz w:val="16"/>
                <w:szCs w:val="16"/>
              </w:rPr>
              <w:t>EC No</w:t>
            </w:r>
          </w:p>
        </w:tc>
        <w:tc>
          <w:tcPr>
            <w:tcW w:w="708" w:type="dxa"/>
            <w:vMerge w:val="restart"/>
            <w:tcBorders>
              <w:top w:val="single" w:sz="2" w:space="0" w:color="auto"/>
              <w:left w:val="single" w:sz="2" w:space="0" w:color="auto"/>
              <w:right w:val="single" w:sz="2" w:space="0" w:color="auto"/>
            </w:tcBorders>
          </w:tcPr>
          <w:p w14:paraId="67F4533D" w14:textId="77777777" w:rsidR="00B12C39" w:rsidRPr="00352F80" w:rsidRDefault="00B12C39" w:rsidP="00B12C39">
            <w:pPr>
              <w:pStyle w:val="TableColumnHeader"/>
              <w:ind w:left="0"/>
              <w:rPr>
                <w:sz w:val="16"/>
                <w:szCs w:val="16"/>
              </w:rPr>
            </w:pPr>
            <w:r w:rsidRPr="00352F80">
              <w:rPr>
                <w:sz w:val="16"/>
                <w:szCs w:val="16"/>
              </w:rPr>
              <w:t>CAS No</w:t>
            </w:r>
          </w:p>
        </w:tc>
        <w:tc>
          <w:tcPr>
            <w:tcW w:w="2410" w:type="dxa"/>
            <w:gridSpan w:val="2"/>
            <w:tcBorders>
              <w:top w:val="single" w:sz="2" w:space="0" w:color="auto"/>
              <w:left w:val="single" w:sz="2" w:space="0" w:color="auto"/>
              <w:bottom w:val="single" w:sz="4" w:space="0" w:color="auto"/>
              <w:right w:val="single" w:sz="2" w:space="0" w:color="auto"/>
            </w:tcBorders>
          </w:tcPr>
          <w:p w14:paraId="232A290C" w14:textId="77777777" w:rsidR="00B12C39" w:rsidRPr="00352F80" w:rsidRDefault="00B12C39" w:rsidP="00B12C39">
            <w:pPr>
              <w:pStyle w:val="TableColumnHeader"/>
              <w:ind w:left="0"/>
              <w:rPr>
                <w:sz w:val="16"/>
                <w:szCs w:val="16"/>
              </w:rPr>
            </w:pPr>
            <w:r w:rsidRPr="00352F80">
              <w:rPr>
                <w:sz w:val="16"/>
                <w:szCs w:val="16"/>
              </w:rPr>
              <w:t>Classification</w:t>
            </w:r>
          </w:p>
        </w:tc>
        <w:tc>
          <w:tcPr>
            <w:tcW w:w="2632" w:type="dxa"/>
            <w:gridSpan w:val="3"/>
            <w:tcBorders>
              <w:top w:val="single" w:sz="2" w:space="0" w:color="auto"/>
              <w:left w:val="single" w:sz="2" w:space="0" w:color="auto"/>
              <w:bottom w:val="single" w:sz="4" w:space="0" w:color="auto"/>
              <w:right w:val="single" w:sz="2" w:space="0" w:color="auto"/>
            </w:tcBorders>
          </w:tcPr>
          <w:p w14:paraId="23757BB1" w14:textId="77777777" w:rsidR="00B12C39" w:rsidRPr="00352F80" w:rsidRDefault="00B12C39" w:rsidP="00B12C39">
            <w:pPr>
              <w:pStyle w:val="TableColumnHeader"/>
              <w:ind w:left="0"/>
              <w:rPr>
                <w:sz w:val="16"/>
                <w:szCs w:val="16"/>
              </w:rPr>
            </w:pPr>
            <w:r w:rsidRPr="00352F80">
              <w:rPr>
                <w:sz w:val="16"/>
                <w:szCs w:val="16"/>
              </w:rPr>
              <w:t>Labelling</w:t>
            </w:r>
          </w:p>
        </w:tc>
        <w:tc>
          <w:tcPr>
            <w:tcW w:w="774" w:type="dxa"/>
            <w:vMerge w:val="restart"/>
            <w:tcBorders>
              <w:top w:val="single" w:sz="2" w:space="0" w:color="auto"/>
              <w:left w:val="single" w:sz="2" w:space="0" w:color="auto"/>
              <w:right w:val="single" w:sz="2" w:space="0" w:color="auto"/>
            </w:tcBorders>
          </w:tcPr>
          <w:p w14:paraId="6D16EFF8" w14:textId="77777777" w:rsidR="00B12C39" w:rsidRPr="00352F80" w:rsidRDefault="00B12C39" w:rsidP="00B12C39">
            <w:pPr>
              <w:pStyle w:val="TableColumnHeader"/>
              <w:ind w:left="0"/>
              <w:rPr>
                <w:sz w:val="16"/>
                <w:szCs w:val="16"/>
              </w:rPr>
            </w:pPr>
            <w:r w:rsidRPr="00352F80">
              <w:rPr>
                <w:sz w:val="16"/>
                <w:szCs w:val="16"/>
              </w:rPr>
              <w:t>Spec. Conc. Limits, M-factors</w:t>
            </w:r>
          </w:p>
        </w:tc>
        <w:tc>
          <w:tcPr>
            <w:tcW w:w="643" w:type="dxa"/>
            <w:vMerge w:val="restart"/>
            <w:tcBorders>
              <w:top w:val="single" w:sz="2" w:space="0" w:color="auto"/>
              <w:left w:val="single" w:sz="2" w:space="0" w:color="auto"/>
              <w:right w:val="single" w:sz="2" w:space="0" w:color="auto"/>
            </w:tcBorders>
          </w:tcPr>
          <w:p w14:paraId="2400DF8D" w14:textId="77777777" w:rsidR="00B12C39" w:rsidRPr="00352F80" w:rsidRDefault="00B12C39" w:rsidP="00B12C39">
            <w:pPr>
              <w:pStyle w:val="TableColumnHeader"/>
              <w:ind w:left="0"/>
              <w:rPr>
                <w:sz w:val="16"/>
                <w:szCs w:val="16"/>
              </w:rPr>
            </w:pPr>
            <w:r w:rsidRPr="00352F80">
              <w:rPr>
                <w:sz w:val="16"/>
                <w:szCs w:val="16"/>
              </w:rPr>
              <w:t>Notes</w:t>
            </w:r>
          </w:p>
        </w:tc>
      </w:tr>
      <w:tr w:rsidR="00B12C39" w:rsidRPr="00352F80" w14:paraId="545297B5" w14:textId="77777777" w:rsidTr="00352F80">
        <w:trPr>
          <w:cantSplit/>
          <w:trHeight w:val="880"/>
        </w:trPr>
        <w:tc>
          <w:tcPr>
            <w:tcW w:w="677" w:type="dxa"/>
            <w:vMerge/>
            <w:tcBorders>
              <w:left w:val="single" w:sz="2" w:space="0" w:color="auto"/>
              <w:bottom w:val="single" w:sz="2" w:space="0" w:color="auto"/>
              <w:right w:val="single" w:sz="2" w:space="0" w:color="auto"/>
            </w:tcBorders>
          </w:tcPr>
          <w:p w14:paraId="4A2412B2" w14:textId="77777777" w:rsidR="00B12C39" w:rsidRPr="00352F80" w:rsidRDefault="00B12C39" w:rsidP="00B12C39">
            <w:pPr>
              <w:keepNext/>
              <w:keepLines/>
              <w:widowControl/>
              <w:spacing w:before="54" w:after="54"/>
              <w:ind w:left="113"/>
              <w:jc w:val="center"/>
              <w:rPr>
                <w:b/>
                <w:bCs/>
                <w:sz w:val="16"/>
                <w:szCs w:val="16"/>
                <w:lang w:eastAsia="da-DK"/>
              </w:rPr>
            </w:pPr>
          </w:p>
        </w:tc>
        <w:tc>
          <w:tcPr>
            <w:tcW w:w="1305" w:type="dxa"/>
            <w:vMerge/>
            <w:tcBorders>
              <w:left w:val="single" w:sz="2" w:space="0" w:color="auto"/>
              <w:bottom w:val="single" w:sz="2" w:space="0" w:color="auto"/>
              <w:right w:val="single" w:sz="2" w:space="0" w:color="auto"/>
            </w:tcBorders>
          </w:tcPr>
          <w:p w14:paraId="64EE015E" w14:textId="77777777" w:rsidR="00B12C39" w:rsidRPr="00352F80" w:rsidRDefault="00B12C39" w:rsidP="00B12C39">
            <w:pPr>
              <w:keepNext/>
              <w:keepLines/>
              <w:widowControl/>
              <w:spacing w:before="54" w:after="54"/>
              <w:ind w:left="113"/>
              <w:jc w:val="center"/>
              <w:rPr>
                <w:b/>
                <w:bCs/>
                <w:sz w:val="16"/>
                <w:szCs w:val="16"/>
                <w:lang w:eastAsia="da-DK"/>
              </w:rPr>
            </w:pPr>
          </w:p>
        </w:tc>
        <w:tc>
          <w:tcPr>
            <w:tcW w:w="709" w:type="dxa"/>
            <w:vMerge/>
            <w:tcBorders>
              <w:left w:val="single" w:sz="2" w:space="0" w:color="auto"/>
              <w:bottom w:val="single" w:sz="2" w:space="0" w:color="auto"/>
              <w:right w:val="single" w:sz="2" w:space="0" w:color="auto"/>
            </w:tcBorders>
          </w:tcPr>
          <w:p w14:paraId="19B750A9" w14:textId="77777777" w:rsidR="00B12C39" w:rsidRPr="00352F80" w:rsidRDefault="00B12C39" w:rsidP="00B12C39">
            <w:pPr>
              <w:keepNext/>
              <w:keepLines/>
              <w:widowControl/>
              <w:spacing w:before="54" w:after="54"/>
              <w:ind w:left="113"/>
              <w:jc w:val="center"/>
              <w:rPr>
                <w:b/>
                <w:bCs/>
                <w:sz w:val="16"/>
                <w:szCs w:val="16"/>
                <w:lang w:eastAsia="da-DK"/>
              </w:rPr>
            </w:pPr>
          </w:p>
        </w:tc>
        <w:tc>
          <w:tcPr>
            <w:tcW w:w="708" w:type="dxa"/>
            <w:vMerge/>
            <w:tcBorders>
              <w:left w:val="single" w:sz="2" w:space="0" w:color="auto"/>
              <w:bottom w:val="single" w:sz="2" w:space="0" w:color="auto"/>
              <w:right w:val="single" w:sz="2" w:space="0" w:color="auto"/>
            </w:tcBorders>
          </w:tcPr>
          <w:p w14:paraId="289E313F" w14:textId="77777777" w:rsidR="00B12C39" w:rsidRPr="00352F80" w:rsidRDefault="00B12C39" w:rsidP="00B12C39">
            <w:pPr>
              <w:keepNext/>
              <w:keepLines/>
              <w:widowControl/>
              <w:spacing w:before="54" w:after="54"/>
              <w:ind w:left="113"/>
              <w:jc w:val="center"/>
              <w:rPr>
                <w:b/>
                <w:bCs/>
                <w:sz w:val="16"/>
                <w:szCs w:val="16"/>
                <w:lang w:eastAsia="da-DK"/>
              </w:rPr>
            </w:pPr>
          </w:p>
        </w:tc>
        <w:tc>
          <w:tcPr>
            <w:tcW w:w="1560" w:type="dxa"/>
            <w:tcBorders>
              <w:top w:val="single" w:sz="4" w:space="0" w:color="auto"/>
              <w:left w:val="single" w:sz="2" w:space="0" w:color="auto"/>
              <w:bottom w:val="single" w:sz="2" w:space="0" w:color="auto"/>
              <w:right w:val="single" w:sz="2" w:space="0" w:color="auto"/>
            </w:tcBorders>
          </w:tcPr>
          <w:p w14:paraId="57D40D29" w14:textId="77777777" w:rsidR="00B12C39" w:rsidRPr="00352F80" w:rsidRDefault="00B12C39" w:rsidP="00B12C39">
            <w:pPr>
              <w:pStyle w:val="TableColumnHeader"/>
              <w:ind w:left="0"/>
              <w:rPr>
                <w:sz w:val="16"/>
                <w:szCs w:val="16"/>
              </w:rPr>
            </w:pPr>
            <w:r w:rsidRPr="00352F80">
              <w:rPr>
                <w:sz w:val="16"/>
                <w:szCs w:val="16"/>
              </w:rPr>
              <w:t>Hazard Class and Category Code(s)</w:t>
            </w:r>
          </w:p>
        </w:tc>
        <w:tc>
          <w:tcPr>
            <w:tcW w:w="850" w:type="dxa"/>
            <w:tcBorders>
              <w:top w:val="single" w:sz="4" w:space="0" w:color="auto"/>
              <w:left w:val="single" w:sz="2" w:space="0" w:color="auto"/>
              <w:bottom w:val="single" w:sz="2" w:space="0" w:color="auto"/>
              <w:right w:val="single" w:sz="2" w:space="0" w:color="auto"/>
            </w:tcBorders>
          </w:tcPr>
          <w:p w14:paraId="7D09BE79" w14:textId="598DB32C" w:rsidR="00B12C39" w:rsidRPr="00352F80" w:rsidRDefault="00B12C39" w:rsidP="00B12C39">
            <w:pPr>
              <w:pStyle w:val="TableColumnHeader"/>
              <w:ind w:left="0"/>
              <w:rPr>
                <w:sz w:val="16"/>
                <w:szCs w:val="16"/>
              </w:rPr>
            </w:pPr>
            <w:r w:rsidRPr="00352F80">
              <w:rPr>
                <w:sz w:val="16"/>
                <w:szCs w:val="16"/>
              </w:rPr>
              <w:t>Hazard state</w:t>
            </w:r>
            <w:r w:rsidR="00C1120D" w:rsidRPr="00352F80">
              <w:rPr>
                <w:sz w:val="16"/>
                <w:szCs w:val="16"/>
              </w:rPr>
              <w:t>-</w:t>
            </w:r>
            <w:proofErr w:type="spellStart"/>
            <w:r w:rsidRPr="00352F80">
              <w:rPr>
                <w:sz w:val="16"/>
                <w:szCs w:val="16"/>
              </w:rPr>
              <w:t>ment</w:t>
            </w:r>
            <w:proofErr w:type="spellEnd"/>
            <w:r w:rsidRPr="00352F80">
              <w:rPr>
                <w:sz w:val="16"/>
                <w:szCs w:val="16"/>
              </w:rPr>
              <w:t xml:space="preserve"> code(s)</w:t>
            </w:r>
          </w:p>
        </w:tc>
        <w:tc>
          <w:tcPr>
            <w:tcW w:w="992" w:type="dxa"/>
            <w:tcBorders>
              <w:top w:val="single" w:sz="4" w:space="0" w:color="auto"/>
              <w:left w:val="single" w:sz="2" w:space="0" w:color="auto"/>
              <w:bottom w:val="single" w:sz="2" w:space="0" w:color="auto"/>
              <w:right w:val="single" w:sz="2" w:space="0" w:color="auto"/>
            </w:tcBorders>
          </w:tcPr>
          <w:p w14:paraId="79DD2D54" w14:textId="77777777" w:rsidR="00B12C39" w:rsidRPr="00352F80" w:rsidRDefault="00B12C39" w:rsidP="00B12C39">
            <w:pPr>
              <w:pStyle w:val="TableColumnHeader"/>
              <w:ind w:left="0"/>
              <w:rPr>
                <w:sz w:val="16"/>
                <w:szCs w:val="16"/>
              </w:rPr>
            </w:pPr>
            <w:r w:rsidRPr="00352F80">
              <w:rPr>
                <w:sz w:val="16"/>
                <w:szCs w:val="16"/>
              </w:rPr>
              <w:t>Pictogram, Signal Word Code(s)</w:t>
            </w:r>
          </w:p>
        </w:tc>
        <w:tc>
          <w:tcPr>
            <w:tcW w:w="851" w:type="dxa"/>
            <w:tcBorders>
              <w:top w:val="single" w:sz="4" w:space="0" w:color="auto"/>
              <w:left w:val="single" w:sz="2" w:space="0" w:color="auto"/>
              <w:bottom w:val="single" w:sz="2" w:space="0" w:color="auto"/>
              <w:right w:val="single" w:sz="2" w:space="0" w:color="auto"/>
            </w:tcBorders>
          </w:tcPr>
          <w:p w14:paraId="3520D5A5" w14:textId="4D34B79D" w:rsidR="00B12C39" w:rsidRPr="00352F80" w:rsidRDefault="00B12C39" w:rsidP="00B12C39">
            <w:pPr>
              <w:pStyle w:val="TableColumnHeader"/>
              <w:ind w:left="0"/>
              <w:rPr>
                <w:sz w:val="16"/>
                <w:szCs w:val="16"/>
              </w:rPr>
            </w:pPr>
            <w:r w:rsidRPr="00352F80">
              <w:rPr>
                <w:sz w:val="16"/>
                <w:szCs w:val="16"/>
              </w:rPr>
              <w:t>Hazard state</w:t>
            </w:r>
            <w:r w:rsidR="00C1120D" w:rsidRPr="00352F80">
              <w:rPr>
                <w:sz w:val="16"/>
                <w:szCs w:val="16"/>
              </w:rPr>
              <w:t>-</w:t>
            </w:r>
            <w:proofErr w:type="spellStart"/>
            <w:r w:rsidRPr="00352F80">
              <w:rPr>
                <w:sz w:val="16"/>
                <w:szCs w:val="16"/>
              </w:rPr>
              <w:t>ment</w:t>
            </w:r>
            <w:proofErr w:type="spellEnd"/>
            <w:r w:rsidRPr="00352F80">
              <w:rPr>
                <w:sz w:val="16"/>
                <w:szCs w:val="16"/>
              </w:rPr>
              <w:t xml:space="preserve"> code(s)</w:t>
            </w:r>
          </w:p>
        </w:tc>
        <w:tc>
          <w:tcPr>
            <w:tcW w:w="789" w:type="dxa"/>
            <w:tcBorders>
              <w:top w:val="single" w:sz="4" w:space="0" w:color="auto"/>
              <w:left w:val="single" w:sz="2" w:space="0" w:color="auto"/>
              <w:bottom w:val="single" w:sz="2" w:space="0" w:color="auto"/>
              <w:right w:val="single" w:sz="2" w:space="0" w:color="auto"/>
            </w:tcBorders>
          </w:tcPr>
          <w:p w14:paraId="47B0E499" w14:textId="2E604236" w:rsidR="00B12C39" w:rsidRPr="00352F80" w:rsidRDefault="00B12C39" w:rsidP="00B12C39">
            <w:pPr>
              <w:pStyle w:val="TableColumnHeader"/>
              <w:ind w:left="0"/>
              <w:rPr>
                <w:sz w:val="16"/>
                <w:szCs w:val="16"/>
              </w:rPr>
            </w:pPr>
            <w:r w:rsidRPr="00352F80">
              <w:rPr>
                <w:sz w:val="16"/>
                <w:szCs w:val="16"/>
              </w:rPr>
              <w:t>Suppl. Hazard state</w:t>
            </w:r>
            <w:r w:rsidR="00C1120D" w:rsidRPr="00352F80">
              <w:rPr>
                <w:sz w:val="16"/>
                <w:szCs w:val="16"/>
              </w:rPr>
              <w:t>-</w:t>
            </w:r>
            <w:proofErr w:type="spellStart"/>
            <w:r w:rsidRPr="00352F80">
              <w:rPr>
                <w:sz w:val="16"/>
                <w:szCs w:val="16"/>
              </w:rPr>
              <w:t>ment</w:t>
            </w:r>
            <w:proofErr w:type="spellEnd"/>
            <w:r w:rsidRPr="00352F80">
              <w:rPr>
                <w:sz w:val="16"/>
                <w:szCs w:val="16"/>
              </w:rPr>
              <w:t xml:space="preserve"> code(s)</w:t>
            </w:r>
          </w:p>
        </w:tc>
        <w:tc>
          <w:tcPr>
            <w:tcW w:w="774" w:type="dxa"/>
            <w:vMerge/>
            <w:tcBorders>
              <w:left w:val="single" w:sz="2" w:space="0" w:color="auto"/>
              <w:bottom w:val="single" w:sz="2" w:space="0" w:color="auto"/>
              <w:right w:val="single" w:sz="2" w:space="0" w:color="auto"/>
            </w:tcBorders>
          </w:tcPr>
          <w:p w14:paraId="683E8A43" w14:textId="77777777" w:rsidR="00B12C39" w:rsidRPr="00352F80" w:rsidRDefault="00B12C39" w:rsidP="00B12C39">
            <w:pPr>
              <w:widowControl/>
              <w:spacing w:before="60" w:after="60"/>
              <w:jc w:val="both"/>
              <w:rPr>
                <w:b/>
                <w:sz w:val="16"/>
                <w:szCs w:val="16"/>
                <w:lang w:eastAsia="en-US"/>
              </w:rPr>
            </w:pPr>
          </w:p>
        </w:tc>
        <w:tc>
          <w:tcPr>
            <w:tcW w:w="643" w:type="dxa"/>
            <w:vMerge/>
            <w:tcBorders>
              <w:left w:val="single" w:sz="2" w:space="0" w:color="auto"/>
              <w:bottom w:val="single" w:sz="2" w:space="0" w:color="auto"/>
              <w:right w:val="single" w:sz="2" w:space="0" w:color="auto"/>
            </w:tcBorders>
          </w:tcPr>
          <w:p w14:paraId="424B0D86" w14:textId="77777777" w:rsidR="00B12C39" w:rsidRPr="00352F80" w:rsidRDefault="00B12C39" w:rsidP="00B12C39">
            <w:pPr>
              <w:widowControl/>
              <w:spacing w:before="60" w:after="60"/>
              <w:jc w:val="both"/>
              <w:rPr>
                <w:b/>
                <w:sz w:val="16"/>
                <w:szCs w:val="16"/>
                <w:lang w:eastAsia="en-US"/>
              </w:rPr>
            </w:pPr>
          </w:p>
        </w:tc>
      </w:tr>
      <w:tr w:rsidR="00AC0CC7" w:rsidRPr="00352F80" w14:paraId="1F9C5219" w14:textId="77777777" w:rsidTr="00352F80">
        <w:trPr>
          <w:cantSplit/>
        </w:trPr>
        <w:tc>
          <w:tcPr>
            <w:tcW w:w="677" w:type="dxa"/>
            <w:tcBorders>
              <w:top w:val="single" w:sz="2" w:space="0" w:color="auto"/>
              <w:left w:val="single" w:sz="2" w:space="0" w:color="auto"/>
              <w:bottom w:val="single" w:sz="2" w:space="0" w:color="auto"/>
              <w:right w:val="single" w:sz="2" w:space="0" w:color="auto"/>
            </w:tcBorders>
          </w:tcPr>
          <w:p w14:paraId="7F92E646" w14:textId="66CB5A01" w:rsidR="00AC0CC7" w:rsidRPr="00352F80" w:rsidRDefault="00AC0CC7" w:rsidP="00AC0CC7">
            <w:pPr>
              <w:keepNext/>
              <w:keepLines/>
              <w:widowControl/>
              <w:spacing w:before="54" w:after="54"/>
              <w:ind w:left="113"/>
              <w:jc w:val="both"/>
              <w:rPr>
                <w:sz w:val="16"/>
                <w:szCs w:val="16"/>
                <w:lang w:eastAsia="da-DK"/>
              </w:rPr>
            </w:pPr>
            <w:r w:rsidRPr="008A5EE4">
              <w:rPr>
                <w:sz w:val="16"/>
                <w:szCs w:val="16"/>
                <w:lang w:eastAsia="en-GB"/>
              </w:rPr>
              <w:t>048-013-00-0</w:t>
            </w:r>
          </w:p>
        </w:tc>
        <w:tc>
          <w:tcPr>
            <w:tcW w:w="1305" w:type="dxa"/>
            <w:tcBorders>
              <w:top w:val="single" w:sz="2" w:space="0" w:color="auto"/>
              <w:left w:val="single" w:sz="2" w:space="0" w:color="auto"/>
              <w:bottom w:val="single" w:sz="2" w:space="0" w:color="auto"/>
              <w:right w:val="single" w:sz="2" w:space="0" w:color="auto"/>
            </w:tcBorders>
          </w:tcPr>
          <w:p w14:paraId="4198FE5F" w14:textId="317A17EF" w:rsidR="00AC0CC7" w:rsidRPr="00352F80" w:rsidRDefault="00AC0CC7" w:rsidP="00AC0CC7">
            <w:pPr>
              <w:keepNext/>
              <w:keepLines/>
              <w:widowControl/>
              <w:spacing w:before="54" w:after="54"/>
              <w:ind w:left="113"/>
              <w:jc w:val="both"/>
              <w:rPr>
                <w:sz w:val="16"/>
                <w:szCs w:val="16"/>
                <w:lang w:eastAsia="da-DK"/>
              </w:rPr>
            </w:pPr>
            <w:r w:rsidRPr="00AC0CC7">
              <w:rPr>
                <w:sz w:val="16"/>
                <w:szCs w:val="16"/>
                <w:lang w:eastAsia="da-DK"/>
              </w:rPr>
              <w:t xml:space="preserve">cadmium hydroxide; cadmium </w:t>
            </w:r>
            <w:proofErr w:type="spellStart"/>
            <w:r w:rsidRPr="00AC0CC7">
              <w:rPr>
                <w:sz w:val="16"/>
                <w:szCs w:val="16"/>
                <w:lang w:eastAsia="da-DK"/>
              </w:rPr>
              <w:t>dihydroxide</w:t>
            </w:r>
            <w:proofErr w:type="spellEnd"/>
          </w:p>
        </w:tc>
        <w:tc>
          <w:tcPr>
            <w:tcW w:w="709" w:type="dxa"/>
            <w:tcBorders>
              <w:top w:val="single" w:sz="2" w:space="0" w:color="auto"/>
              <w:left w:val="single" w:sz="2" w:space="0" w:color="auto"/>
              <w:bottom w:val="single" w:sz="2" w:space="0" w:color="auto"/>
              <w:right w:val="single" w:sz="2" w:space="0" w:color="auto"/>
            </w:tcBorders>
          </w:tcPr>
          <w:p w14:paraId="25634E91" w14:textId="2CE6618C" w:rsidR="00AC0CC7" w:rsidRPr="00352F80" w:rsidRDefault="00AC0CC7" w:rsidP="00AC0CC7">
            <w:pPr>
              <w:keepNext/>
              <w:keepLines/>
              <w:widowControl/>
              <w:spacing w:before="54" w:after="54"/>
              <w:ind w:left="113"/>
              <w:jc w:val="both"/>
              <w:rPr>
                <w:sz w:val="16"/>
                <w:szCs w:val="16"/>
                <w:lang w:eastAsia="da-DK"/>
              </w:rPr>
            </w:pPr>
            <w:r w:rsidRPr="008A5EE4">
              <w:rPr>
                <w:rFonts w:eastAsia="MS Mincho"/>
                <w:sz w:val="16"/>
                <w:szCs w:val="16"/>
                <w:lang w:eastAsia="ja-JP"/>
              </w:rPr>
              <w:t>244-168-5</w:t>
            </w:r>
          </w:p>
        </w:tc>
        <w:tc>
          <w:tcPr>
            <w:tcW w:w="708" w:type="dxa"/>
            <w:tcBorders>
              <w:top w:val="single" w:sz="2" w:space="0" w:color="auto"/>
              <w:left w:val="single" w:sz="2" w:space="0" w:color="auto"/>
              <w:bottom w:val="single" w:sz="2" w:space="0" w:color="auto"/>
              <w:right w:val="single" w:sz="2" w:space="0" w:color="auto"/>
            </w:tcBorders>
          </w:tcPr>
          <w:p w14:paraId="6DC9D229" w14:textId="52E1CA08" w:rsidR="00AC0CC7" w:rsidRPr="00352F80" w:rsidRDefault="00AC0CC7" w:rsidP="00AC0CC7">
            <w:pPr>
              <w:keepNext/>
              <w:keepLines/>
              <w:widowControl/>
              <w:spacing w:before="54" w:after="54"/>
              <w:ind w:left="113"/>
              <w:jc w:val="both"/>
              <w:rPr>
                <w:sz w:val="16"/>
                <w:szCs w:val="16"/>
                <w:lang w:eastAsia="da-DK"/>
              </w:rPr>
            </w:pPr>
            <w:r w:rsidRPr="008A5EE4">
              <w:rPr>
                <w:rFonts w:eastAsia="MS Mincho"/>
                <w:sz w:val="16"/>
                <w:szCs w:val="16"/>
                <w:lang w:eastAsia="ja-JP"/>
              </w:rPr>
              <w:t>21041-95-2</w:t>
            </w:r>
          </w:p>
        </w:tc>
        <w:tc>
          <w:tcPr>
            <w:tcW w:w="1560" w:type="dxa"/>
            <w:tcBorders>
              <w:top w:val="single" w:sz="2" w:space="0" w:color="auto"/>
              <w:left w:val="single" w:sz="2" w:space="0" w:color="auto"/>
              <w:bottom w:val="single" w:sz="2" w:space="0" w:color="auto"/>
              <w:right w:val="single" w:sz="2" w:space="0" w:color="auto"/>
            </w:tcBorders>
          </w:tcPr>
          <w:p w14:paraId="67BA0DCD" w14:textId="77777777" w:rsidR="00AC0CC7" w:rsidRPr="008A5EE4" w:rsidRDefault="00AC0CC7" w:rsidP="00AC0CC7">
            <w:pPr>
              <w:jc w:val="both"/>
              <w:rPr>
                <w:sz w:val="16"/>
                <w:szCs w:val="16"/>
                <w:lang w:eastAsia="en-GB"/>
              </w:rPr>
            </w:pPr>
            <w:proofErr w:type="spellStart"/>
            <w:r w:rsidRPr="008A5EE4">
              <w:rPr>
                <w:sz w:val="16"/>
                <w:szCs w:val="16"/>
                <w:lang w:eastAsia="en-GB"/>
              </w:rPr>
              <w:t>Carc</w:t>
            </w:r>
            <w:proofErr w:type="spellEnd"/>
            <w:r w:rsidRPr="008A5EE4">
              <w:rPr>
                <w:sz w:val="16"/>
                <w:szCs w:val="16"/>
                <w:lang w:eastAsia="en-GB"/>
              </w:rPr>
              <w:t>. 1B</w:t>
            </w:r>
          </w:p>
          <w:p w14:paraId="67B05DD1" w14:textId="77777777" w:rsidR="00AC0CC7" w:rsidRPr="008A5EE4" w:rsidRDefault="00AC0CC7" w:rsidP="00AC0CC7">
            <w:pPr>
              <w:jc w:val="both"/>
              <w:rPr>
                <w:sz w:val="16"/>
                <w:szCs w:val="16"/>
                <w:lang w:eastAsia="en-GB"/>
              </w:rPr>
            </w:pPr>
            <w:proofErr w:type="spellStart"/>
            <w:r w:rsidRPr="008A5EE4">
              <w:rPr>
                <w:sz w:val="16"/>
                <w:szCs w:val="16"/>
                <w:lang w:eastAsia="en-GB"/>
              </w:rPr>
              <w:t>Muta</w:t>
            </w:r>
            <w:proofErr w:type="spellEnd"/>
            <w:r w:rsidRPr="008A5EE4">
              <w:rPr>
                <w:sz w:val="16"/>
                <w:szCs w:val="16"/>
                <w:lang w:eastAsia="en-GB"/>
              </w:rPr>
              <w:t>. 1B</w:t>
            </w:r>
          </w:p>
          <w:p w14:paraId="740C0DCA" w14:textId="3189CCC8" w:rsidR="00AC0CC7" w:rsidRPr="003C2CF3" w:rsidRDefault="00AC0CC7" w:rsidP="00AC0CC7">
            <w:pPr>
              <w:jc w:val="both"/>
              <w:rPr>
                <w:rFonts w:eastAsia="MS Mincho"/>
                <w:sz w:val="16"/>
                <w:szCs w:val="16"/>
                <w:lang w:eastAsia="ja-JP"/>
              </w:rPr>
            </w:pPr>
            <w:r w:rsidRPr="008A5EE4">
              <w:rPr>
                <w:rFonts w:eastAsia="MS Mincho"/>
                <w:sz w:val="16"/>
                <w:szCs w:val="16"/>
                <w:lang w:eastAsia="ja-JP"/>
              </w:rPr>
              <w:t xml:space="preserve">Acute </w:t>
            </w:r>
            <w:proofErr w:type="spellStart"/>
            <w:r w:rsidRPr="008A5EE4">
              <w:rPr>
                <w:rFonts w:eastAsia="MS Mincho"/>
                <w:sz w:val="16"/>
                <w:szCs w:val="16"/>
                <w:lang w:eastAsia="ja-JP"/>
              </w:rPr>
              <w:t>Tox</w:t>
            </w:r>
            <w:proofErr w:type="spellEnd"/>
            <w:r w:rsidRPr="008A5EE4">
              <w:rPr>
                <w:rFonts w:eastAsia="MS Mincho"/>
                <w:sz w:val="16"/>
                <w:szCs w:val="16"/>
                <w:lang w:eastAsia="ja-JP"/>
              </w:rPr>
              <w:t>. 4</w:t>
            </w:r>
            <w:r w:rsidRPr="003C2CF3">
              <w:rPr>
                <w:rFonts w:eastAsia="MS Mincho"/>
                <w:sz w:val="16"/>
                <w:szCs w:val="16"/>
                <w:lang w:eastAsia="ja-JP"/>
              </w:rPr>
              <w:t xml:space="preserve">* </w:t>
            </w:r>
          </w:p>
          <w:p w14:paraId="0D79E9AF" w14:textId="7CE93C51" w:rsidR="00AC0CC7" w:rsidRPr="003C2CF3" w:rsidRDefault="00AC0CC7" w:rsidP="00AC0CC7">
            <w:pPr>
              <w:jc w:val="both"/>
              <w:rPr>
                <w:rFonts w:eastAsia="MS Mincho"/>
                <w:sz w:val="16"/>
                <w:szCs w:val="16"/>
                <w:lang w:eastAsia="ja-JP"/>
              </w:rPr>
            </w:pPr>
            <w:r w:rsidRPr="003C2CF3">
              <w:rPr>
                <w:rFonts w:eastAsia="MS Mincho"/>
                <w:sz w:val="16"/>
                <w:szCs w:val="16"/>
                <w:lang w:eastAsia="ja-JP"/>
              </w:rPr>
              <w:t xml:space="preserve">Acute </w:t>
            </w:r>
            <w:proofErr w:type="spellStart"/>
            <w:r w:rsidRPr="003C2CF3">
              <w:rPr>
                <w:rFonts w:eastAsia="MS Mincho"/>
                <w:sz w:val="16"/>
                <w:szCs w:val="16"/>
                <w:lang w:eastAsia="ja-JP"/>
              </w:rPr>
              <w:t>Tox</w:t>
            </w:r>
            <w:proofErr w:type="spellEnd"/>
            <w:r w:rsidRPr="003C2CF3">
              <w:rPr>
                <w:rFonts w:eastAsia="MS Mincho"/>
                <w:sz w:val="16"/>
                <w:szCs w:val="16"/>
                <w:lang w:eastAsia="ja-JP"/>
              </w:rPr>
              <w:t xml:space="preserve">. 4* </w:t>
            </w:r>
          </w:p>
          <w:p w14:paraId="19069640" w14:textId="2BF3AC37" w:rsidR="00AC0CC7" w:rsidRPr="008A5EE4" w:rsidRDefault="00AC0CC7" w:rsidP="00AC0CC7">
            <w:pPr>
              <w:jc w:val="both"/>
              <w:rPr>
                <w:rFonts w:eastAsia="MS Mincho"/>
                <w:sz w:val="16"/>
                <w:szCs w:val="16"/>
                <w:lang w:eastAsia="ja-JP"/>
              </w:rPr>
            </w:pPr>
            <w:r w:rsidRPr="003C2CF3">
              <w:rPr>
                <w:rFonts w:eastAsia="MS Mincho"/>
                <w:sz w:val="16"/>
                <w:szCs w:val="16"/>
                <w:lang w:eastAsia="ja-JP"/>
              </w:rPr>
              <w:t xml:space="preserve">Acute </w:t>
            </w:r>
            <w:proofErr w:type="spellStart"/>
            <w:r w:rsidRPr="003C2CF3">
              <w:rPr>
                <w:rFonts w:eastAsia="MS Mincho"/>
                <w:sz w:val="16"/>
                <w:szCs w:val="16"/>
                <w:lang w:eastAsia="ja-JP"/>
              </w:rPr>
              <w:t>Tox</w:t>
            </w:r>
            <w:proofErr w:type="spellEnd"/>
            <w:r w:rsidRPr="003C2CF3">
              <w:rPr>
                <w:rFonts w:eastAsia="MS Mincho"/>
                <w:sz w:val="16"/>
                <w:szCs w:val="16"/>
                <w:lang w:eastAsia="ja-JP"/>
              </w:rPr>
              <w:t>. 4*</w:t>
            </w:r>
          </w:p>
          <w:p w14:paraId="2CBEC727" w14:textId="77777777" w:rsidR="00AC0CC7" w:rsidRPr="008A5EE4" w:rsidRDefault="00AC0CC7" w:rsidP="00AC0CC7">
            <w:pPr>
              <w:jc w:val="both"/>
              <w:rPr>
                <w:sz w:val="16"/>
                <w:szCs w:val="16"/>
                <w:lang w:eastAsia="en-GB"/>
              </w:rPr>
            </w:pPr>
            <w:r w:rsidRPr="008A5EE4">
              <w:rPr>
                <w:sz w:val="16"/>
                <w:szCs w:val="16"/>
                <w:lang w:eastAsia="en-GB"/>
              </w:rPr>
              <w:t>STOT RE 1</w:t>
            </w:r>
          </w:p>
          <w:p w14:paraId="2DEAFBF6" w14:textId="77777777" w:rsidR="00AC0CC7" w:rsidRPr="008A5EE4" w:rsidRDefault="00AC0CC7" w:rsidP="00AC0CC7">
            <w:pPr>
              <w:jc w:val="both"/>
              <w:rPr>
                <w:rFonts w:eastAsia="MS Mincho"/>
                <w:sz w:val="16"/>
                <w:szCs w:val="16"/>
                <w:lang w:eastAsia="ja-JP"/>
              </w:rPr>
            </w:pPr>
            <w:r w:rsidRPr="008A5EE4">
              <w:rPr>
                <w:rFonts w:eastAsia="MS Mincho"/>
                <w:sz w:val="16"/>
                <w:szCs w:val="16"/>
                <w:lang w:eastAsia="ja-JP"/>
              </w:rPr>
              <w:t>Aquatic Acute 1</w:t>
            </w:r>
          </w:p>
          <w:p w14:paraId="2AD0C936" w14:textId="77777777" w:rsidR="00AC0CC7" w:rsidRPr="008A5EE4" w:rsidRDefault="00AC0CC7" w:rsidP="00AC0CC7">
            <w:pPr>
              <w:jc w:val="both"/>
              <w:rPr>
                <w:rFonts w:eastAsia="MS Mincho"/>
                <w:sz w:val="16"/>
                <w:szCs w:val="16"/>
                <w:lang w:eastAsia="ja-JP"/>
              </w:rPr>
            </w:pPr>
            <w:r w:rsidRPr="008A5EE4">
              <w:rPr>
                <w:rFonts w:eastAsia="MS Mincho"/>
                <w:sz w:val="16"/>
                <w:szCs w:val="16"/>
                <w:lang w:eastAsia="ja-JP"/>
              </w:rPr>
              <w:t>Aquatic Chronic 1</w:t>
            </w:r>
          </w:p>
          <w:p w14:paraId="729065A7" w14:textId="3B2724C3" w:rsidR="00AC0CC7" w:rsidRPr="00352F80" w:rsidRDefault="00AC0CC7" w:rsidP="00AC0CC7">
            <w:pPr>
              <w:keepNext/>
              <w:keepLines/>
              <w:widowControl/>
              <w:spacing w:before="54" w:after="54"/>
              <w:ind w:left="113"/>
              <w:jc w:val="both"/>
              <w:rPr>
                <w:sz w:val="16"/>
                <w:szCs w:val="16"/>
                <w:lang w:eastAsia="da-DK"/>
              </w:rPr>
            </w:pPr>
          </w:p>
        </w:tc>
        <w:tc>
          <w:tcPr>
            <w:tcW w:w="850" w:type="dxa"/>
            <w:tcBorders>
              <w:top w:val="single" w:sz="2" w:space="0" w:color="auto"/>
              <w:left w:val="single" w:sz="2" w:space="0" w:color="auto"/>
              <w:bottom w:val="single" w:sz="2" w:space="0" w:color="auto"/>
              <w:right w:val="single" w:sz="2" w:space="0" w:color="auto"/>
            </w:tcBorders>
          </w:tcPr>
          <w:p w14:paraId="26C3E2FA" w14:textId="77777777" w:rsidR="00AC0CC7" w:rsidRPr="001A302B" w:rsidRDefault="00AC0CC7" w:rsidP="00AC0CC7">
            <w:pPr>
              <w:rPr>
                <w:sz w:val="16"/>
                <w:szCs w:val="16"/>
                <w:lang w:val="pt-PT" w:eastAsia="en-GB"/>
              </w:rPr>
            </w:pPr>
            <w:r w:rsidRPr="001A302B">
              <w:rPr>
                <w:sz w:val="16"/>
                <w:szCs w:val="16"/>
                <w:lang w:val="pt-PT" w:eastAsia="en-GB"/>
              </w:rPr>
              <w:t>H350</w:t>
            </w:r>
          </w:p>
          <w:p w14:paraId="43E759CD" w14:textId="77777777" w:rsidR="00AC0CC7" w:rsidRPr="001A302B" w:rsidRDefault="00AC0CC7" w:rsidP="00AC0CC7">
            <w:pPr>
              <w:rPr>
                <w:sz w:val="16"/>
                <w:szCs w:val="16"/>
                <w:lang w:val="pt-PT" w:eastAsia="en-GB"/>
              </w:rPr>
            </w:pPr>
            <w:r w:rsidRPr="001A302B">
              <w:rPr>
                <w:sz w:val="16"/>
                <w:szCs w:val="16"/>
                <w:lang w:val="pt-PT" w:eastAsia="en-GB"/>
              </w:rPr>
              <w:t>H340</w:t>
            </w:r>
          </w:p>
          <w:p w14:paraId="1D6CE42B" w14:textId="77777777" w:rsidR="00AC0CC7" w:rsidRPr="001A302B" w:rsidRDefault="00AC0CC7" w:rsidP="00AC0CC7">
            <w:pPr>
              <w:jc w:val="both"/>
              <w:rPr>
                <w:rFonts w:eastAsia="MS Mincho"/>
                <w:sz w:val="16"/>
                <w:szCs w:val="16"/>
                <w:lang w:val="pt-PT" w:eastAsia="ja-JP"/>
              </w:rPr>
            </w:pPr>
            <w:r w:rsidRPr="001A302B">
              <w:rPr>
                <w:rFonts w:eastAsia="MS Mincho"/>
                <w:sz w:val="16"/>
                <w:szCs w:val="16"/>
                <w:lang w:val="pt-PT" w:eastAsia="ja-JP"/>
              </w:rPr>
              <w:t>H332</w:t>
            </w:r>
          </w:p>
          <w:p w14:paraId="7579FF2A" w14:textId="77777777" w:rsidR="00AC0CC7" w:rsidRPr="001A302B" w:rsidRDefault="00AC0CC7" w:rsidP="00AC0CC7">
            <w:pPr>
              <w:jc w:val="both"/>
              <w:rPr>
                <w:rFonts w:eastAsia="MS Mincho"/>
                <w:sz w:val="16"/>
                <w:szCs w:val="16"/>
                <w:lang w:val="pt-PT" w:eastAsia="ja-JP"/>
              </w:rPr>
            </w:pPr>
            <w:r w:rsidRPr="001A302B">
              <w:rPr>
                <w:rFonts w:eastAsia="MS Mincho"/>
                <w:sz w:val="16"/>
                <w:szCs w:val="16"/>
                <w:lang w:val="pt-PT" w:eastAsia="ja-JP"/>
              </w:rPr>
              <w:t>H312</w:t>
            </w:r>
          </w:p>
          <w:p w14:paraId="643EDB47" w14:textId="77777777" w:rsidR="00AC0CC7" w:rsidRPr="001A302B" w:rsidRDefault="00AC0CC7" w:rsidP="00AC0CC7">
            <w:pPr>
              <w:jc w:val="both"/>
              <w:rPr>
                <w:rFonts w:eastAsia="MS Mincho"/>
                <w:sz w:val="16"/>
                <w:szCs w:val="16"/>
                <w:lang w:val="pt-PT" w:eastAsia="ja-JP"/>
              </w:rPr>
            </w:pPr>
            <w:r w:rsidRPr="001A302B">
              <w:rPr>
                <w:rFonts w:eastAsia="MS Mincho"/>
                <w:sz w:val="16"/>
                <w:szCs w:val="16"/>
                <w:lang w:val="pt-PT" w:eastAsia="ja-JP"/>
              </w:rPr>
              <w:t>H302</w:t>
            </w:r>
          </w:p>
          <w:p w14:paraId="5A6F17B8" w14:textId="77777777" w:rsidR="00AC0CC7" w:rsidRPr="001A302B" w:rsidRDefault="00AC0CC7" w:rsidP="00AC0CC7">
            <w:pPr>
              <w:rPr>
                <w:sz w:val="16"/>
                <w:szCs w:val="16"/>
                <w:lang w:val="pt-PT" w:eastAsia="en-GB"/>
              </w:rPr>
            </w:pPr>
            <w:r w:rsidRPr="001A302B">
              <w:rPr>
                <w:sz w:val="16"/>
                <w:szCs w:val="16"/>
                <w:lang w:val="pt-PT" w:eastAsia="en-GB"/>
              </w:rPr>
              <w:t>H372 (</w:t>
            </w:r>
            <w:proofErr w:type="spellStart"/>
            <w:r w:rsidRPr="001A302B">
              <w:rPr>
                <w:sz w:val="16"/>
                <w:szCs w:val="16"/>
                <w:lang w:val="pt-PT" w:eastAsia="en-GB"/>
              </w:rPr>
              <w:t>kidney</w:t>
            </w:r>
            <w:proofErr w:type="spellEnd"/>
            <w:r w:rsidRPr="001A302B">
              <w:rPr>
                <w:sz w:val="16"/>
                <w:szCs w:val="16"/>
                <w:lang w:val="pt-PT" w:eastAsia="en-GB"/>
              </w:rPr>
              <w:t xml:space="preserve">, </w:t>
            </w:r>
            <w:proofErr w:type="spellStart"/>
            <w:r w:rsidRPr="001A302B">
              <w:rPr>
                <w:sz w:val="16"/>
                <w:szCs w:val="16"/>
                <w:lang w:val="pt-PT" w:eastAsia="en-GB"/>
              </w:rPr>
              <w:t>bone</w:t>
            </w:r>
            <w:proofErr w:type="spellEnd"/>
            <w:r w:rsidRPr="001A302B">
              <w:rPr>
                <w:sz w:val="16"/>
                <w:szCs w:val="16"/>
                <w:lang w:val="pt-PT" w:eastAsia="en-GB"/>
              </w:rPr>
              <w:t>)</w:t>
            </w:r>
          </w:p>
          <w:p w14:paraId="72EDE161" w14:textId="77777777" w:rsidR="00AC0CC7" w:rsidRPr="008A5EE4" w:rsidRDefault="00AC0CC7" w:rsidP="00AC0CC7">
            <w:pPr>
              <w:jc w:val="both"/>
              <w:rPr>
                <w:rFonts w:eastAsia="MS Mincho"/>
                <w:sz w:val="16"/>
                <w:szCs w:val="16"/>
                <w:lang w:eastAsia="ja-JP"/>
              </w:rPr>
            </w:pPr>
            <w:r w:rsidRPr="008A5EE4">
              <w:rPr>
                <w:rFonts w:eastAsia="MS Mincho"/>
                <w:sz w:val="16"/>
                <w:szCs w:val="16"/>
                <w:lang w:eastAsia="ja-JP"/>
              </w:rPr>
              <w:t xml:space="preserve">H400 </w:t>
            </w:r>
          </w:p>
          <w:p w14:paraId="2AEC49E4" w14:textId="77777777" w:rsidR="00AC0CC7" w:rsidRPr="008A5EE4" w:rsidRDefault="00AC0CC7" w:rsidP="00AC0CC7">
            <w:pPr>
              <w:rPr>
                <w:rFonts w:eastAsia="MS Mincho"/>
                <w:sz w:val="16"/>
                <w:szCs w:val="16"/>
                <w:lang w:eastAsia="ja-JP"/>
              </w:rPr>
            </w:pPr>
            <w:r w:rsidRPr="008A5EE4">
              <w:rPr>
                <w:rFonts w:eastAsia="MS Mincho"/>
                <w:sz w:val="16"/>
                <w:szCs w:val="16"/>
                <w:lang w:eastAsia="ja-JP"/>
              </w:rPr>
              <w:t>H410</w:t>
            </w:r>
          </w:p>
          <w:p w14:paraId="45DB68D9" w14:textId="77777777" w:rsidR="00AC0CC7" w:rsidRPr="008A5EE4" w:rsidRDefault="00AC0CC7" w:rsidP="00AC0CC7">
            <w:pPr>
              <w:rPr>
                <w:rFonts w:eastAsia="MS Mincho"/>
                <w:sz w:val="16"/>
                <w:szCs w:val="16"/>
                <w:lang w:eastAsia="ja-JP"/>
              </w:rPr>
            </w:pPr>
          </w:p>
          <w:p w14:paraId="2898B420" w14:textId="77777777" w:rsidR="00AC0CC7" w:rsidRPr="00352F80" w:rsidRDefault="00AC0CC7" w:rsidP="00AC0CC7">
            <w:pPr>
              <w:keepNext/>
              <w:keepLines/>
              <w:widowControl/>
              <w:spacing w:before="54" w:after="54"/>
              <w:ind w:left="113"/>
              <w:jc w:val="both"/>
              <w:rPr>
                <w:sz w:val="16"/>
                <w:szCs w:val="16"/>
                <w:lang w:eastAsia="da-DK"/>
              </w:rPr>
            </w:pPr>
          </w:p>
        </w:tc>
        <w:tc>
          <w:tcPr>
            <w:tcW w:w="992" w:type="dxa"/>
            <w:tcBorders>
              <w:top w:val="single" w:sz="2" w:space="0" w:color="auto"/>
              <w:left w:val="single" w:sz="2" w:space="0" w:color="auto"/>
              <w:bottom w:val="single" w:sz="2" w:space="0" w:color="auto"/>
              <w:right w:val="single" w:sz="2" w:space="0" w:color="auto"/>
            </w:tcBorders>
          </w:tcPr>
          <w:p w14:paraId="24F2B707" w14:textId="77777777" w:rsidR="00AC0CC7" w:rsidRPr="008A5EE4" w:rsidRDefault="00AC0CC7" w:rsidP="00AC0CC7">
            <w:pPr>
              <w:rPr>
                <w:rFonts w:eastAsia="MS Mincho"/>
                <w:sz w:val="16"/>
                <w:szCs w:val="16"/>
                <w:lang w:eastAsia="ja-JP"/>
              </w:rPr>
            </w:pPr>
            <w:r w:rsidRPr="008A5EE4">
              <w:rPr>
                <w:rFonts w:eastAsia="MS Mincho"/>
                <w:sz w:val="16"/>
                <w:szCs w:val="16"/>
                <w:lang w:eastAsia="ja-JP"/>
              </w:rPr>
              <w:t>GHS08</w:t>
            </w:r>
          </w:p>
          <w:p w14:paraId="0E644B22" w14:textId="77777777" w:rsidR="00AC0CC7" w:rsidRPr="008A5EE4" w:rsidRDefault="00AC0CC7" w:rsidP="00AC0CC7">
            <w:pPr>
              <w:jc w:val="both"/>
              <w:rPr>
                <w:rFonts w:eastAsia="MS Mincho"/>
                <w:sz w:val="16"/>
                <w:szCs w:val="16"/>
                <w:lang w:eastAsia="ja-JP"/>
              </w:rPr>
            </w:pPr>
            <w:r w:rsidRPr="008A5EE4">
              <w:rPr>
                <w:rFonts w:eastAsia="MS Mincho"/>
                <w:sz w:val="16"/>
                <w:szCs w:val="16"/>
                <w:lang w:eastAsia="ja-JP"/>
              </w:rPr>
              <w:t>GHS07</w:t>
            </w:r>
          </w:p>
          <w:p w14:paraId="38A304AF" w14:textId="77777777" w:rsidR="00AC0CC7" w:rsidRPr="008A5EE4" w:rsidRDefault="00AC0CC7" w:rsidP="00AC0CC7">
            <w:pPr>
              <w:jc w:val="both"/>
              <w:rPr>
                <w:rFonts w:eastAsia="MS Mincho"/>
                <w:sz w:val="16"/>
                <w:szCs w:val="16"/>
                <w:lang w:eastAsia="ja-JP"/>
              </w:rPr>
            </w:pPr>
            <w:r w:rsidRPr="008A5EE4">
              <w:rPr>
                <w:rFonts w:eastAsia="MS Mincho"/>
                <w:sz w:val="16"/>
                <w:szCs w:val="16"/>
                <w:lang w:eastAsia="ja-JP"/>
              </w:rPr>
              <w:t>GHS09</w:t>
            </w:r>
          </w:p>
          <w:p w14:paraId="0542FE3B" w14:textId="60F7834A" w:rsidR="00AC0CC7" w:rsidRPr="00352F80" w:rsidRDefault="00AC0CC7" w:rsidP="003C2CF3">
            <w:pPr>
              <w:keepNext/>
              <w:keepLines/>
              <w:widowControl/>
              <w:spacing w:before="54" w:after="54"/>
              <w:jc w:val="both"/>
              <w:rPr>
                <w:sz w:val="16"/>
                <w:szCs w:val="16"/>
                <w:lang w:eastAsia="da-DK"/>
              </w:rPr>
            </w:pPr>
            <w:proofErr w:type="spellStart"/>
            <w:r w:rsidRPr="008A5EE4">
              <w:rPr>
                <w:sz w:val="16"/>
                <w:szCs w:val="16"/>
                <w:lang w:eastAsia="en-GB"/>
              </w:rPr>
              <w:t>Dgr</w:t>
            </w:r>
            <w:proofErr w:type="spellEnd"/>
          </w:p>
        </w:tc>
        <w:tc>
          <w:tcPr>
            <w:tcW w:w="851" w:type="dxa"/>
            <w:tcBorders>
              <w:top w:val="single" w:sz="2" w:space="0" w:color="auto"/>
              <w:left w:val="single" w:sz="2" w:space="0" w:color="auto"/>
              <w:bottom w:val="single" w:sz="2" w:space="0" w:color="auto"/>
              <w:right w:val="single" w:sz="2" w:space="0" w:color="auto"/>
            </w:tcBorders>
          </w:tcPr>
          <w:p w14:paraId="201C611E" w14:textId="77777777" w:rsidR="00AC0CC7" w:rsidRPr="001A302B" w:rsidRDefault="00AC0CC7" w:rsidP="00AC0CC7">
            <w:pPr>
              <w:rPr>
                <w:sz w:val="16"/>
                <w:szCs w:val="16"/>
                <w:lang w:val="pt-PT" w:eastAsia="en-GB"/>
              </w:rPr>
            </w:pPr>
            <w:r w:rsidRPr="001A302B">
              <w:rPr>
                <w:sz w:val="16"/>
                <w:szCs w:val="16"/>
                <w:lang w:val="pt-PT" w:eastAsia="en-GB"/>
              </w:rPr>
              <w:t>H350</w:t>
            </w:r>
          </w:p>
          <w:p w14:paraId="7BC67584" w14:textId="77777777" w:rsidR="00AC0CC7" w:rsidRPr="001A302B" w:rsidRDefault="00AC0CC7" w:rsidP="00AC0CC7">
            <w:pPr>
              <w:rPr>
                <w:sz w:val="16"/>
                <w:szCs w:val="16"/>
                <w:lang w:val="pt-PT" w:eastAsia="en-GB"/>
              </w:rPr>
            </w:pPr>
            <w:r w:rsidRPr="001A302B">
              <w:rPr>
                <w:sz w:val="16"/>
                <w:szCs w:val="16"/>
                <w:lang w:val="pt-PT" w:eastAsia="en-GB"/>
              </w:rPr>
              <w:t>H340</w:t>
            </w:r>
          </w:p>
          <w:p w14:paraId="07973CF2" w14:textId="77777777" w:rsidR="00AC0CC7" w:rsidRPr="001A302B" w:rsidRDefault="00AC0CC7" w:rsidP="00AC0CC7">
            <w:pPr>
              <w:jc w:val="both"/>
              <w:rPr>
                <w:rFonts w:eastAsia="MS Mincho"/>
                <w:sz w:val="16"/>
                <w:szCs w:val="16"/>
                <w:lang w:val="pt-PT" w:eastAsia="ja-JP"/>
              </w:rPr>
            </w:pPr>
            <w:r w:rsidRPr="001A302B">
              <w:rPr>
                <w:rFonts w:eastAsia="MS Mincho"/>
                <w:sz w:val="16"/>
                <w:szCs w:val="16"/>
                <w:lang w:val="pt-PT" w:eastAsia="ja-JP"/>
              </w:rPr>
              <w:t>H332</w:t>
            </w:r>
          </w:p>
          <w:p w14:paraId="5009CA48" w14:textId="77777777" w:rsidR="00AC0CC7" w:rsidRPr="001A302B" w:rsidRDefault="00AC0CC7" w:rsidP="00AC0CC7">
            <w:pPr>
              <w:jc w:val="both"/>
              <w:rPr>
                <w:rFonts w:eastAsia="MS Mincho"/>
                <w:sz w:val="16"/>
                <w:szCs w:val="16"/>
                <w:lang w:val="pt-PT" w:eastAsia="ja-JP"/>
              </w:rPr>
            </w:pPr>
            <w:r w:rsidRPr="001A302B">
              <w:rPr>
                <w:rFonts w:eastAsia="MS Mincho"/>
                <w:sz w:val="16"/>
                <w:szCs w:val="16"/>
                <w:lang w:val="pt-PT" w:eastAsia="ja-JP"/>
              </w:rPr>
              <w:t>H312</w:t>
            </w:r>
          </w:p>
          <w:p w14:paraId="22A2191B" w14:textId="77777777" w:rsidR="00AC0CC7" w:rsidRPr="001A302B" w:rsidRDefault="00AC0CC7" w:rsidP="00AC0CC7">
            <w:pPr>
              <w:jc w:val="both"/>
              <w:rPr>
                <w:rFonts w:eastAsia="MS Mincho"/>
                <w:sz w:val="16"/>
                <w:szCs w:val="16"/>
                <w:lang w:val="pt-PT" w:eastAsia="ja-JP"/>
              </w:rPr>
            </w:pPr>
            <w:r w:rsidRPr="001A302B">
              <w:rPr>
                <w:rFonts w:eastAsia="MS Mincho"/>
                <w:sz w:val="16"/>
                <w:szCs w:val="16"/>
                <w:lang w:val="pt-PT" w:eastAsia="ja-JP"/>
              </w:rPr>
              <w:t>H302</w:t>
            </w:r>
          </w:p>
          <w:p w14:paraId="3FA9D855" w14:textId="77777777" w:rsidR="00AC0CC7" w:rsidRPr="001A302B" w:rsidRDefault="00AC0CC7" w:rsidP="00AC0CC7">
            <w:pPr>
              <w:rPr>
                <w:sz w:val="16"/>
                <w:szCs w:val="16"/>
                <w:lang w:val="pt-PT" w:eastAsia="en-GB"/>
              </w:rPr>
            </w:pPr>
            <w:r w:rsidRPr="001A302B">
              <w:rPr>
                <w:sz w:val="16"/>
                <w:szCs w:val="16"/>
                <w:lang w:val="pt-PT" w:eastAsia="en-GB"/>
              </w:rPr>
              <w:t>H372 (</w:t>
            </w:r>
            <w:proofErr w:type="spellStart"/>
            <w:r w:rsidRPr="001A302B">
              <w:rPr>
                <w:sz w:val="16"/>
                <w:szCs w:val="16"/>
                <w:lang w:val="pt-PT" w:eastAsia="en-GB"/>
              </w:rPr>
              <w:t>kidney</w:t>
            </w:r>
            <w:proofErr w:type="spellEnd"/>
            <w:r w:rsidRPr="001A302B">
              <w:rPr>
                <w:sz w:val="16"/>
                <w:szCs w:val="16"/>
                <w:lang w:val="pt-PT" w:eastAsia="en-GB"/>
              </w:rPr>
              <w:t xml:space="preserve">, </w:t>
            </w:r>
            <w:proofErr w:type="spellStart"/>
            <w:r w:rsidRPr="001A302B">
              <w:rPr>
                <w:sz w:val="16"/>
                <w:szCs w:val="16"/>
                <w:lang w:val="pt-PT" w:eastAsia="en-GB"/>
              </w:rPr>
              <w:t>bone</w:t>
            </w:r>
            <w:proofErr w:type="spellEnd"/>
            <w:r w:rsidRPr="001A302B">
              <w:rPr>
                <w:sz w:val="16"/>
                <w:szCs w:val="16"/>
                <w:lang w:val="pt-PT" w:eastAsia="en-GB"/>
              </w:rPr>
              <w:t>)</w:t>
            </w:r>
          </w:p>
          <w:p w14:paraId="71DCFF34" w14:textId="77777777" w:rsidR="00AC0CC7" w:rsidRPr="008A5EE4" w:rsidRDefault="00AC0CC7" w:rsidP="00AC0CC7">
            <w:pPr>
              <w:rPr>
                <w:rFonts w:eastAsia="MS Mincho"/>
                <w:sz w:val="16"/>
                <w:szCs w:val="16"/>
                <w:lang w:eastAsia="ja-JP"/>
              </w:rPr>
            </w:pPr>
            <w:r w:rsidRPr="008A5EE4">
              <w:rPr>
                <w:rFonts w:eastAsia="MS Mincho"/>
                <w:sz w:val="16"/>
                <w:szCs w:val="16"/>
                <w:lang w:eastAsia="ja-JP"/>
              </w:rPr>
              <w:t>H410</w:t>
            </w:r>
          </w:p>
          <w:p w14:paraId="46377549" w14:textId="77777777" w:rsidR="00AC0CC7" w:rsidRPr="008A5EE4" w:rsidRDefault="00AC0CC7" w:rsidP="00AC0CC7">
            <w:pPr>
              <w:rPr>
                <w:rFonts w:eastAsia="MS Mincho"/>
                <w:sz w:val="16"/>
                <w:szCs w:val="16"/>
                <w:lang w:eastAsia="ja-JP"/>
              </w:rPr>
            </w:pPr>
          </w:p>
          <w:p w14:paraId="761FBF4C" w14:textId="1274A64C" w:rsidR="00AC0CC7" w:rsidRPr="00352F80" w:rsidRDefault="00AC0CC7" w:rsidP="00AC0CC7">
            <w:pPr>
              <w:keepNext/>
              <w:keepLines/>
              <w:widowControl/>
              <w:spacing w:before="54" w:after="54"/>
              <w:ind w:left="113"/>
              <w:jc w:val="both"/>
              <w:rPr>
                <w:sz w:val="16"/>
                <w:szCs w:val="16"/>
                <w:lang w:eastAsia="da-DK"/>
              </w:rPr>
            </w:pPr>
          </w:p>
        </w:tc>
        <w:tc>
          <w:tcPr>
            <w:tcW w:w="789" w:type="dxa"/>
            <w:tcBorders>
              <w:top w:val="single" w:sz="2" w:space="0" w:color="auto"/>
              <w:left w:val="single" w:sz="2" w:space="0" w:color="auto"/>
              <w:bottom w:val="single" w:sz="2" w:space="0" w:color="auto"/>
              <w:right w:val="single" w:sz="2" w:space="0" w:color="auto"/>
            </w:tcBorders>
          </w:tcPr>
          <w:p w14:paraId="3AFACAB5" w14:textId="77777777" w:rsidR="00AC0CC7" w:rsidRPr="00352F80" w:rsidRDefault="00AC0CC7" w:rsidP="00AC0CC7">
            <w:pPr>
              <w:keepNext/>
              <w:keepLines/>
              <w:widowControl/>
              <w:spacing w:before="54" w:after="54"/>
              <w:ind w:left="113"/>
              <w:jc w:val="both"/>
              <w:rPr>
                <w:sz w:val="16"/>
                <w:szCs w:val="16"/>
                <w:lang w:eastAsia="da-DK"/>
              </w:rPr>
            </w:pPr>
          </w:p>
        </w:tc>
        <w:tc>
          <w:tcPr>
            <w:tcW w:w="774" w:type="dxa"/>
            <w:tcBorders>
              <w:top w:val="single" w:sz="2" w:space="0" w:color="auto"/>
              <w:left w:val="single" w:sz="2" w:space="0" w:color="auto"/>
              <w:bottom w:val="single" w:sz="2" w:space="0" w:color="auto"/>
              <w:right w:val="single" w:sz="2" w:space="0" w:color="auto"/>
            </w:tcBorders>
          </w:tcPr>
          <w:p w14:paraId="423F6496" w14:textId="77777777" w:rsidR="00AC0CC7" w:rsidRPr="00352F80" w:rsidRDefault="00AC0CC7" w:rsidP="00AC0CC7">
            <w:pPr>
              <w:keepNext/>
              <w:keepLines/>
              <w:widowControl/>
              <w:spacing w:before="54" w:after="54"/>
              <w:ind w:left="113"/>
              <w:jc w:val="both"/>
              <w:rPr>
                <w:sz w:val="16"/>
                <w:szCs w:val="16"/>
                <w:lang w:eastAsia="da-DK"/>
              </w:rPr>
            </w:pPr>
          </w:p>
        </w:tc>
        <w:tc>
          <w:tcPr>
            <w:tcW w:w="643" w:type="dxa"/>
            <w:tcBorders>
              <w:top w:val="single" w:sz="2" w:space="0" w:color="auto"/>
              <w:left w:val="single" w:sz="2" w:space="0" w:color="auto"/>
              <w:bottom w:val="single" w:sz="2" w:space="0" w:color="auto"/>
              <w:right w:val="single" w:sz="2" w:space="0" w:color="auto"/>
            </w:tcBorders>
          </w:tcPr>
          <w:p w14:paraId="15029860" w14:textId="59F44B17" w:rsidR="00AC0CC7" w:rsidRPr="00352F80" w:rsidRDefault="00AC0CC7" w:rsidP="00AC0CC7">
            <w:pPr>
              <w:keepNext/>
              <w:keepLines/>
              <w:widowControl/>
              <w:spacing w:before="54" w:after="54"/>
              <w:ind w:left="113"/>
              <w:jc w:val="both"/>
              <w:rPr>
                <w:sz w:val="16"/>
                <w:szCs w:val="16"/>
                <w:lang w:eastAsia="da-DK"/>
              </w:rPr>
            </w:pPr>
            <w:r w:rsidRPr="00BE5BF4">
              <w:rPr>
                <w:rFonts w:eastAsia="MS Mincho"/>
                <w:sz w:val="16"/>
                <w:szCs w:val="16"/>
                <w:lang w:eastAsia="ja-JP"/>
              </w:rPr>
              <w:t>A1</w:t>
            </w:r>
          </w:p>
        </w:tc>
      </w:tr>
      <w:bookmarkEnd w:id="161"/>
      <w:bookmarkEnd w:id="162"/>
      <w:bookmarkEnd w:id="163"/>
    </w:tbl>
    <w:p w14:paraId="47690534" w14:textId="77777777" w:rsidR="003C2CF3" w:rsidRDefault="003C2CF3" w:rsidP="008D4AA9">
      <w:pPr>
        <w:pStyle w:val="BodyText"/>
        <w:tabs>
          <w:tab w:val="left" w:pos="1134"/>
        </w:tabs>
        <w:spacing w:after="0"/>
      </w:pPr>
    </w:p>
    <w:p w14:paraId="4E207D7A" w14:textId="61279AC3" w:rsidR="008D4AA9" w:rsidRPr="00A10F54" w:rsidRDefault="008D4AA9" w:rsidP="008D4AA9">
      <w:pPr>
        <w:pStyle w:val="BodyText"/>
        <w:tabs>
          <w:tab w:val="left" w:pos="1134"/>
        </w:tabs>
        <w:spacing w:after="0"/>
      </w:pPr>
      <w:r w:rsidRPr="00A10F54">
        <w:t xml:space="preserve">H350: </w:t>
      </w:r>
      <w:r w:rsidRPr="00A10F54">
        <w:tab/>
      </w:r>
      <w:r>
        <w:t>May cause cancer</w:t>
      </w:r>
    </w:p>
    <w:p w14:paraId="4F7A8F0E" w14:textId="77777777" w:rsidR="008D4AA9" w:rsidRPr="00A10F54" w:rsidRDefault="008D4AA9" w:rsidP="008D4AA9">
      <w:pPr>
        <w:pStyle w:val="BodyText"/>
        <w:tabs>
          <w:tab w:val="left" w:pos="1134"/>
        </w:tabs>
        <w:spacing w:after="0"/>
      </w:pPr>
      <w:r w:rsidRPr="00A10F54">
        <w:t>H34</w:t>
      </w:r>
      <w:r>
        <w:t>0</w:t>
      </w:r>
      <w:r w:rsidRPr="00A10F54">
        <w:t xml:space="preserve">: </w:t>
      </w:r>
      <w:r w:rsidRPr="00A10F54">
        <w:tab/>
      </w:r>
      <w:r>
        <w:t>May cause genetic defects</w:t>
      </w:r>
    </w:p>
    <w:p w14:paraId="2BCEEED8" w14:textId="77777777" w:rsidR="008D4AA9" w:rsidRDefault="008D4AA9" w:rsidP="008D4AA9">
      <w:pPr>
        <w:pStyle w:val="BodyText"/>
        <w:tabs>
          <w:tab w:val="left" w:pos="1134"/>
        </w:tabs>
        <w:spacing w:after="0"/>
      </w:pPr>
      <w:r>
        <w:t>H332:</w:t>
      </w:r>
      <w:r>
        <w:tab/>
      </w:r>
      <w:r w:rsidRPr="00F1598C">
        <w:t>Harmful if inhaled</w:t>
      </w:r>
    </w:p>
    <w:p w14:paraId="3CAD9761" w14:textId="77777777" w:rsidR="008D4AA9" w:rsidRDefault="008D4AA9" w:rsidP="008D4AA9">
      <w:pPr>
        <w:pStyle w:val="BodyText"/>
        <w:tabs>
          <w:tab w:val="left" w:pos="1134"/>
        </w:tabs>
        <w:spacing w:after="0"/>
      </w:pPr>
      <w:r>
        <w:t>H312:</w:t>
      </w:r>
      <w:r>
        <w:tab/>
      </w:r>
      <w:r w:rsidRPr="00F1598C">
        <w:t>Harmful in contact with skin</w:t>
      </w:r>
    </w:p>
    <w:p w14:paraId="6A9545F1" w14:textId="77777777" w:rsidR="008D4AA9" w:rsidRDefault="008D4AA9" w:rsidP="008D4AA9">
      <w:pPr>
        <w:pStyle w:val="BodyText"/>
        <w:tabs>
          <w:tab w:val="left" w:pos="1134"/>
        </w:tabs>
        <w:spacing w:after="0"/>
      </w:pPr>
      <w:r>
        <w:t>H302:</w:t>
      </w:r>
      <w:r>
        <w:tab/>
      </w:r>
      <w:r w:rsidRPr="00F1598C">
        <w:t>Harmful if swallowed</w:t>
      </w:r>
    </w:p>
    <w:p w14:paraId="7BA9295B" w14:textId="77777777" w:rsidR="008D4AA9" w:rsidRPr="00A10F54" w:rsidRDefault="008D4AA9" w:rsidP="008D4AA9">
      <w:pPr>
        <w:pStyle w:val="BodyText"/>
        <w:tabs>
          <w:tab w:val="left" w:pos="1134"/>
        </w:tabs>
        <w:spacing w:after="0"/>
      </w:pPr>
      <w:r w:rsidRPr="00A10F54">
        <w:t xml:space="preserve">H372: </w:t>
      </w:r>
      <w:r w:rsidRPr="00A10F54">
        <w:tab/>
        <w:t>Causes damage to organs through</w:t>
      </w:r>
      <w:r>
        <w:t xml:space="preserve"> prolonged or repeated exposure.</w:t>
      </w:r>
    </w:p>
    <w:p w14:paraId="23A47D19" w14:textId="77777777" w:rsidR="008D4AA9" w:rsidRPr="004F5F7B" w:rsidRDefault="008D4AA9" w:rsidP="008D4AA9">
      <w:pPr>
        <w:pStyle w:val="BodyText"/>
        <w:tabs>
          <w:tab w:val="left" w:pos="1134"/>
        </w:tabs>
        <w:spacing w:after="0"/>
        <w:rPr>
          <w:szCs w:val="24"/>
        </w:rPr>
      </w:pPr>
      <w:r w:rsidRPr="004F5F7B">
        <w:rPr>
          <w:szCs w:val="24"/>
        </w:rPr>
        <w:t xml:space="preserve">H400: </w:t>
      </w:r>
      <w:r w:rsidRPr="004F5F7B">
        <w:rPr>
          <w:szCs w:val="24"/>
        </w:rPr>
        <w:tab/>
        <w:t>Very toxic to aquatic life.</w:t>
      </w:r>
    </w:p>
    <w:p w14:paraId="785FF76E" w14:textId="77777777" w:rsidR="008D4AA9" w:rsidRDefault="008D4AA9" w:rsidP="008D4AA9">
      <w:pPr>
        <w:pStyle w:val="BodyText"/>
        <w:tabs>
          <w:tab w:val="left" w:pos="1134"/>
        </w:tabs>
        <w:spacing w:after="0"/>
        <w:rPr>
          <w:szCs w:val="24"/>
        </w:rPr>
      </w:pPr>
      <w:r w:rsidRPr="004F5F7B">
        <w:rPr>
          <w:szCs w:val="24"/>
        </w:rPr>
        <w:t>H410:</w:t>
      </w:r>
      <w:r w:rsidRPr="004F5F7B">
        <w:rPr>
          <w:szCs w:val="24"/>
        </w:rPr>
        <w:tab/>
        <w:t>Very toxic to aquatic life with long lasting effects.</w:t>
      </w:r>
    </w:p>
    <w:p w14:paraId="262B2691" w14:textId="77777777" w:rsidR="00973969" w:rsidRDefault="00973969" w:rsidP="00973969">
      <w:pPr>
        <w:autoSpaceDE w:val="0"/>
        <w:autoSpaceDN w:val="0"/>
        <w:adjustRightInd w:val="0"/>
        <w:ind w:left="1134" w:hanging="1134"/>
        <w:rPr>
          <w:rFonts w:cs="Verdana"/>
          <w:sz w:val="19"/>
          <w:szCs w:val="19"/>
          <w:lang w:eastAsia="en-GB"/>
        </w:rPr>
      </w:pPr>
      <w:bookmarkStart w:id="167" w:name="_Toc341888508"/>
      <w:bookmarkStart w:id="168" w:name="_Toc342400362"/>
      <w:bookmarkStart w:id="169" w:name="_Toc354499573"/>
      <w:bookmarkStart w:id="170" w:name="_Toc357083648"/>
      <w:bookmarkStart w:id="171" w:name="_Toc357184197"/>
      <w:bookmarkStart w:id="172" w:name="_Toc357184433"/>
      <w:bookmarkStart w:id="173" w:name="_Toc357185235"/>
      <w:bookmarkStart w:id="174" w:name="_Toc357186083"/>
      <w:bookmarkStart w:id="175" w:name="_Toc357186232"/>
      <w:bookmarkStart w:id="176" w:name="_Toc357437518"/>
      <w:bookmarkStart w:id="177" w:name="_Toc357590791"/>
      <w:bookmarkStart w:id="178" w:name="_Toc357692823"/>
      <w:bookmarkStart w:id="179" w:name="_Toc365649650"/>
      <w:bookmarkStart w:id="180" w:name="_Toc365649799"/>
      <w:bookmarkStart w:id="181" w:name="_Toc366489851"/>
      <w:bookmarkStart w:id="182" w:name="_Toc418498556"/>
      <w:bookmarkStart w:id="183" w:name="_Toc418505999"/>
    </w:p>
    <w:p w14:paraId="5CE05BB5" w14:textId="77777777" w:rsidR="00973969" w:rsidRDefault="00973969" w:rsidP="00973969">
      <w:pPr>
        <w:autoSpaceDE w:val="0"/>
        <w:autoSpaceDN w:val="0"/>
        <w:adjustRightInd w:val="0"/>
        <w:ind w:left="1134" w:hanging="1134"/>
        <w:rPr>
          <w:rFonts w:cs="Verdana"/>
          <w:sz w:val="19"/>
          <w:szCs w:val="19"/>
          <w:lang w:eastAsia="en-GB"/>
        </w:rPr>
      </w:pPr>
      <w:r>
        <w:rPr>
          <w:rFonts w:cs="Verdana"/>
          <w:sz w:val="19"/>
          <w:szCs w:val="19"/>
          <w:lang w:eastAsia="en-GB"/>
        </w:rPr>
        <w:t xml:space="preserve">Note A1:    </w:t>
      </w:r>
      <w:r>
        <w:rPr>
          <w:rFonts w:cs="EUAlbertina"/>
          <w:szCs w:val="17"/>
          <w:lang w:eastAsia="en-GB"/>
        </w:rPr>
        <w:t>Without prejudice to Article 17(2), the name of the substance must appear on the label in the form of one of the designations given in Part 3.</w:t>
      </w:r>
    </w:p>
    <w:p w14:paraId="5E66080F" w14:textId="77777777" w:rsidR="00973969" w:rsidRPr="00973969" w:rsidRDefault="00973969" w:rsidP="00973969">
      <w:pPr>
        <w:pStyle w:val="BodyText"/>
      </w:pPr>
    </w:p>
    <w:p w14:paraId="0286BD80" w14:textId="3CEE03BE" w:rsidR="00B12C39" w:rsidRPr="00096A9A" w:rsidRDefault="00B12C39" w:rsidP="00B12C39">
      <w:pPr>
        <w:pStyle w:val="Heading1"/>
      </w:pPr>
      <w:bookmarkStart w:id="184" w:name="_Toc491435628"/>
      <w:r w:rsidRPr="00096A9A">
        <w:t>Environmental fate properties</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67C66670" w14:textId="232806C2" w:rsidR="00352F80" w:rsidRPr="00352F80" w:rsidRDefault="00352F80" w:rsidP="00352F80">
      <w:pPr>
        <w:pStyle w:val="Heading2"/>
      </w:pPr>
      <w:bookmarkStart w:id="185" w:name="_Toc365028574"/>
      <w:bookmarkStart w:id="186" w:name="_Toc380477361"/>
      <w:bookmarkStart w:id="187" w:name="_Toc393186093"/>
      <w:bookmarkStart w:id="188" w:name="_Toc491435629"/>
      <w:r w:rsidRPr="00352F80">
        <w:t>3.1 Anthropogenic and natural sources of cadmium exposure</w:t>
      </w:r>
      <w:bookmarkEnd w:id="185"/>
      <w:bookmarkEnd w:id="186"/>
      <w:bookmarkEnd w:id="187"/>
      <w:bookmarkEnd w:id="188"/>
    </w:p>
    <w:p w14:paraId="0BFC7B14" w14:textId="40B4D59A" w:rsidR="00352F80" w:rsidRDefault="005111F5" w:rsidP="005111F5">
      <w:pPr>
        <w:pStyle w:val="CommentText"/>
        <w:jc w:val="both"/>
      </w:pPr>
      <w:r>
        <w:t>Although e</w:t>
      </w:r>
      <w:r w:rsidR="00B56726" w:rsidRPr="005111F5">
        <w:t xml:space="preserve">nvironmental fate properties </w:t>
      </w:r>
      <w:r w:rsidR="00875A43">
        <w:t xml:space="preserve">are </w:t>
      </w:r>
      <w:r>
        <w:t xml:space="preserve">usually relevant for </w:t>
      </w:r>
      <w:r w:rsidR="002B10DC">
        <w:t xml:space="preserve">identifying </w:t>
      </w:r>
      <w:r>
        <w:t>concerns in the environment</w:t>
      </w:r>
      <w:r w:rsidR="002B10DC">
        <w:t xml:space="preserve">, indirect exposure of humans via the environment (e.g. dietary exposure) </w:t>
      </w:r>
      <w:proofErr w:type="gramStart"/>
      <w:r w:rsidR="002B10DC">
        <w:t>can be affected</w:t>
      </w:r>
      <w:proofErr w:type="gramEnd"/>
      <w:r w:rsidR="002B10DC">
        <w:t xml:space="preserve"> by the environmental fate properties of cadmium. Hence, parts of this section </w:t>
      </w:r>
      <w:r w:rsidR="00875A43">
        <w:t xml:space="preserve">are </w:t>
      </w:r>
      <w:r w:rsidR="00B56726" w:rsidRPr="005111F5">
        <w:t xml:space="preserve">relevant for the identification of the substance as SVHC in accordance with </w:t>
      </w:r>
      <w:r w:rsidR="00B56726">
        <w:t>Article 57</w:t>
      </w:r>
      <w:r w:rsidR="002B10DC">
        <w:t xml:space="preserve"> </w:t>
      </w:r>
      <w:r w:rsidR="00B56726">
        <w:t xml:space="preserve">(f) REACH, i.e. for which </w:t>
      </w:r>
      <w:r w:rsidR="00B56726" w:rsidRPr="00925A33">
        <w:rPr>
          <w:rFonts w:cs="Verdana"/>
          <w:lang w:eastAsia="en-GB"/>
        </w:rPr>
        <w:t>there is scientific evidence of probable serious effects</w:t>
      </w:r>
      <w:r w:rsidR="00B56726">
        <w:rPr>
          <w:rFonts w:cs="Verdana"/>
          <w:lang w:eastAsia="en-GB"/>
        </w:rPr>
        <w:t xml:space="preserve"> </w:t>
      </w:r>
      <w:r w:rsidR="00B56726" w:rsidRPr="00EC29CA">
        <w:rPr>
          <w:rFonts w:cs="Verdana"/>
          <w:lang w:eastAsia="en-GB"/>
        </w:rPr>
        <w:t xml:space="preserve">to human </w:t>
      </w:r>
      <w:r w:rsidR="00B56726" w:rsidRPr="005111F5">
        <w:rPr>
          <w:rFonts w:cs="Verdana"/>
          <w:lang w:eastAsia="en-GB"/>
        </w:rPr>
        <w:t>health and the assessment of equivalent level of concern</w:t>
      </w:r>
      <w:r>
        <w:rPr>
          <w:rFonts w:cs="Verdana"/>
          <w:lang w:eastAsia="en-GB"/>
        </w:rPr>
        <w:t xml:space="preserve"> </w:t>
      </w:r>
      <w:r w:rsidRPr="005111F5">
        <w:t>(</w:t>
      </w:r>
      <w:r w:rsidRPr="003C2CF3">
        <w:t>section 6.3.2.1)</w:t>
      </w:r>
      <w:r w:rsidR="00B56726" w:rsidRPr="003C2CF3">
        <w:t>.</w:t>
      </w:r>
      <w:r w:rsidRPr="005111F5">
        <w:t xml:space="preserve"> </w:t>
      </w:r>
    </w:p>
    <w:p w14:paraId="335DD3BA" w14:textId="77777777" w:rsidR="00352F80" w:rsidRPr="00D87DB3" w:rsidRDefault="00352F80" w:rsidP="005111F5">
      <w:pPr>
        <w:pStyle w:val="CommentText"/>
        <w:jc w:val="both"/>
      </w:pPr>
    </w:p>
    <w:p w14:paraId="44B2677A" w14:textId="55BB4F54" w:rsidR="00EE6A2B" w:rsidRDefault="00EE6A2B" w:rsidP="0086166F">
      <w:pPr>
        <w:pStyle w:val="CommentText"/>
        <w:jc w:val="both"/>
      </w:pPr>
      <w:r w:rsidRPr="005111F5">
        <w:t>Cadmium is a natural element, which is present in all environmental compartments (as Cd</w:t>
      </w:r>
      <w:r w:rsidRPr="00973969">
        <w:rPr>
          <w:vertAlign w:val="superscript"/>
        </w:rPr>
        <w:t>2+</w:t>
      </w:r>
      <w:r w:rsidRPr="005111F5">
        <w:t xml:space="preserve">). Cadmium emissions to the environment may therefore arise from both natural and anthropogenic or </w:t>
      </w:r>
      <w:proofErr w:type="gramStart"/>
      <w:r w:rsidRPr="005111F5">
        <w:t>man-made</w:t>
      </w:r>
      <w:proofErr w:type="gramEnd"/>
      <w:r w:rsidRPr="005111F5">
        <w:t xml:space="preserve"> sources. Estimates of the proportion of total cadmium emissions due to natural sources have ranged from 10 % to 50 %. Some of these natural emission sources include weathering and erosion of parent rocks, volcanic activity and forest fires (</w:t>
      </w:r>
      <w:proofErr w:type="spellStart"/>
      <w:r w:rsidRPr="005111F5">
        <w:t>ICdA</w:t>
      </w:r>
      <w:proofErr w:type="spellEnd"/>
      <w:r w:rsidRPr="005111F5">
        <w:t xml:space="preserve"> 2012). The overall cadmium anthropogenic exposure is thus in the range of 50 % to 90 %.</w:t>
      </w:r>
      <w:r w:rsidR="0086166F">
        <w:t xml:space="preserve"> </w:t>
      </w:r>
      <w:r w:rsidRPr="0086166F">
        <w:t xml:space="preserve">In the environment, cadmium is mainly associated with zinc but also with lead and copper. Anthropogenic sources include by-products of metallurgy of these </w:t>
      </w:r>
      <w:r w:rsidRPr="0086166F">
        <w:lastRenderedPageBreak/>
        <w:t>elements. The release of cadmium into the human environment occurs via emission from mining activities and metal industries (the smelting of other metals), the combustion of fossil fuels, the incineration of waste materials or inappropriate waste disposal, leaching from landfill sites and the use of cadmium-rich phosphate fertili</w:t>
      </w:r>
      <w:r w:rsidR="001972D8">
        <w:t>s</w:t>
      </w:r>
      <w:r w:rsidRPr="0086166F">
        <w:t xml:space="preserve">ers and sewage sludge. These anthropogenic activities have contributed to the contamination by cadmium of the food chain. However, there are also areas with naturally elevated cadmium concentrations in soil. Because </w:t>
      </w:r>
      <w:proofErr w:type="gramStart"/>
      <w:r w:rsidRPr="0086166F">
        <w:t>cadmium is easily taken up by many plants, plant-based food,</w:t>
      </w:r>
      <w:proofErr w:type="gramEnd"/>
      <w:r w:rsidRPr="0086166F">
        <w:t xml:space="preserve"> in particular wheat, rice and potatoes, is a major source of exposure to cadmium. Another source of exposure is tobacco smoking, mainly because the absorption in the lungs is higher than in the gastrointestinal tract (</w:t>
      </w:r>
      <w:proofErr w:type="spellStart"/>
      <w:r w:rsidRPr="0086166F">
        <w:t>KemI</w:t>
      </w:r>
      <w:proofErr w:type="spellEnd"/>
      <w:r w:rsidRPr="0086166F">
        <w:t xml:space="preserve"> 2011).</w:t>
      </w:r>
    </w:p>
    <w:p w14:paraId="3E91ED52" w14:textId="77777777" w:rsidR="008D4AA9" w:rsidRDefault="008D4AA9" w:rsidP="0086166F">
      <w:pPr>
        <w:pStyle w:val="CommentText"/>
        <w:jc w:val="both"/>
      </w:pPr>
    </w:p>
    <w:p w14:paraId="4E31E11E" w14:textId="7914B95B" w:rsidR="0086166F" w:rsidRPr="0086166F" w:rsidRDefault="0086166F" w:rsidP="0086166F">
      <w:pPr>
        <w:jc w:val="both"/>
      </w:pPr>
      <w:r w:rsidRPr="0086166F">
        <w:t xml:space="preserve">When cadmium ions are present in the environment, they will interact with the environmental matrix and biota. The fate will depend on processes like dissolution, absorption, precipitation, complexation, inclusion into (soil) matrix, etc. In freshwater or </w:t>
      </w:r>
      <w:proofErr w:type="gramStart"/>
      <w:r w:rsidRPr="0086166F">
        <w:t>seawater</w:t>
      </w:r>
      <w:proofErr w:type="gramEnd"/>
      <w:r w:rsidRPr="0086166F">
        <w:t xml:space="preserve"> cadmium may occur in both suspended and dissolved forms and is partitioned over a number of chemical species. In the water, cadmium interacts with components of the water, which influences the bioavailability. In sediment, cadmium binds to the sulphide fraction to form less soluble </w:t>
      </w:r>
      <w:proofErr w:type="spellStart"/>
      <w:r w:rsidRPr="0086166F">
        <w:t>CdS</w:t>
      </w:r>
      <w:proofErr w:type="spellEnd"/>
      <w:r w:rsidRPr="0086166F">
        <w:t xml:space="preserve">. Due to the low solubility of </w:t>
      </w:r>
      <w:proofErr w:type="spellStart"/>
      <w:proofErr w:type="gramStart"/>
      <w:r w:rsidRPr="0086166F">
        <w:t>CdS</w:t>
      </w:r>
      <w:proofErr w:type="spellEnd"/>
      <w:r w:rsidRPr="0086166F">
        <w:t>,</w:t>
      </w:r>
      <w:proofErr w:type="gramEnd"/>
      <w:r w:rsidRPr="0086166F">
        <w:t xml:space="preserve"> cadmium will be largely bound in the sediments as long as the sediment is kept under anaerobic condition. However, if the condition turns more aerobic, due to e.g. drainage or dredging, cadmium ions may be re-mobilised into the water. In soils, cadmium interacts with various reactive soil surfaces (mainly adsorption). The soil pH is an important parameter that affects the speciation and the distribution of the cadmium species over the soil and the solution. Cadmium tends to be more </w:t>
      </w:r>
      <w:proofErr w:type="spellStart"/>
      <w:r w:rsidRPr="0086166F">
        <w:t>sorbed</w:t>
      </w:r>
      <w:proofErr w:type="spellEnd"/>
      <w:r w:rsidRPr="0086166F">
        <w:t xml:space="preserve"> and complexed at higher pH (pH &gt; 7) than at lower </w:t>
      </w:r>
      <w:proofErr w:type="spellStart"/>
      <w:r w:rsidRPr="0086166F">
        <w:t>pH.</w:t>
      </w:r>
      <w:proofErr w:type="spellEnd"/>
      <w:r w:rsidRPr="0086166F">
        <w:t xml:space="preserve"> The solubility of cadmium in soil decreases with increasing </w:t>
      </w:r>
      <w:proofErr w:type="spellStart"/>
      <w:r w:rsidRPr="0086166F">
        <w:t>pH.</w:t>
      </w:r>
      <w:proofErr w:type="spellEnd"/>
      <w:r>
        <w:t xml:space="preserve"> </w:t>
      </w:r>
      <w:r w:rsidRPr="0086166F">
        <w:t xml:space="preserve">Cadmium is an element and is therefore persistent in the environment. Cadmium is not biomagnifying in the aquatic food chain. However, the </w:t>
      </w:r>
      <w:proofErr w:type="spellStart"/>
      <w:r w:rsidRPr="0086166F">
        <w:t>bioconcentration</w:t>
      </w:r>
      <w:proofErr w:type="spellEnd"/>
      <w:r w:rsidRPr="0086166F">
        <w:t xml:space="preserve">/bioaccumulation factors strongly increase when exposure concentrations decrease. This observation clearly shows some level of physiological regulation of uptake. </w:t>
      </w:r>
    </w:p>
    <w:p w14:paraId="79DFFD45" w14:textId="77777777" w:rsidR="00B12C39" w:rsidRPr="00096A9A" w:rsidRDefault="00B12C39" w:rsidP="00775002">
      <w:pPr>
        <w:pStyle w:val="BodyText"/>
        <w:ind w:hanging="2127"/>
      </w:pPr>
    </w:p>
    <w:p w14:paraId="210439AD" w14:textId="0B73EE1D" w:rsidR="00B76533" w:rsidRDefault="00B25391" w:rsidP="00B76533">
      <w:pPr>
        <w:pStyle w:val="Heading2"/>
      </w:pPr>
      <w:bookmarkStart w:id="189" w:name="_Toc341888525"/>
      <w:bookmarkStart w:id="190" w:name="_Toc342400377"/>
      <w:bookmarkStart w:id="191" w:name="_Toc354499578"/>
      <w:bookmarkStart w:id="192" w:name="_Toc357083653"/>
      <w:bookmarkStart w:id="193" w:name="_Toc357184202"/>
      <w:bookmarkStart w:id="194" w:name="_Toc357184438"/>
      <w:bookmarkStart w:id="195" w:name="_Toc357185240"/>
      <w:bookmarkStart w:id="196" w:name="_Toc357186088"/>
      <w:bookmarkStart w:id="197" w:name="_Toc357186237"/>
      <w:bookmarkStart w:id="198" w:name="_Toc357437523"/>
      <w:bookmarkStart w:id="199" w:name="_Toc357590796"/>
      <w:bookmarkStart w:id="200" w:name="_Toc357692828"/>
      <w:bookmarkStart w:id="201" w:name="_Toc365649656"/>
      <w:bookmarkStart w:id="202" w:name="_Toc365649805"/>
      <w:bookmarkStart w:id="203" w:name="_Toc366489857"/>
      <w:bookmarkStart w:id="204" w:name="_Toc418498562"/>
      <w:bookmarkStart w:id="205" w:name="_Toc418506005"/>
      <w:bookmarkStart w:id="206" w:name="_Toc491435630"/>
      <w:r w:rsidRPr="00096A9A">
        <w:t xml:space="preserve">3.2 </w:t>
      </w:r>
      <w:bookmarkStart w:id="207" w:name="_Toc341888526"/>
      <w:bookmarkStart w:id="208" w:name="_Toc342400378"/>
      <w:bookmarkStart w:id="209" w:name="_Toc354499579"/>
      <w:bookmarkStart w:id="210" w:name="_Toc357083654"/>
      <w:bookmarkStart w:id="211" w:name="_Toc357184203"/>
      <w:bookmarkStart w:id="212" w:name="_Toc357184439"/>
      <w:bookmarkStart w:id="213" w:name="_Toc357185241"/>
      <w:bookmarkStart w:id="214" w:name="_Toc357186089"/>
      <w:bookmarkStart w:id="215" w:name="_Toc357186238"/>
      <w:bookmarkStart w:id="216" w:name="_Toc357437524"/>
      <w:bookmarkStart w:id="217" w:name="_Toc357590797"/>
      <w:bookmarkStart w:id="218" w:name="_Toc357692829"/>
      <w:bookmarkStart w:id="219" w:name="_Toc365649657"/>
      <w:bookmarkStart w:id="220" w:name="_Toc365649806"/>
      <w:bookmarkStart w:id="221" w:name="_Toc366489858"/>
      <w:bookmarkStart w:id="222" w:name="_Toc418498563"/>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0086166F">
        <w:t>Food</w:t>
      </w:r>
      <w:bookmarkEnd w:id="206"/>
      <w:r w:rsidR="0086166F">
        <w:t xml:space="preserve"> </w:t>
      </w:r>
    </w:p>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14:paraId="5F1760D8" w14:textId="0DC8FBC0" w:rsidR="0086166F" w:rsidRPr="00D151AA" w:rsidRDefault="0086166F" w:rsidP="00875A43">
      <w:pPr>
        <w:autoSpaceDE w:val="0"/>
        <w:autoSpaceDN w:val="0"/>
        <w:adjustRightInd w:val="0"/>
        <w:jc w:val="both"/>
        <w:rPr>
          <w:color w:val="000000"/>
        </w:rPr>
      </w:pPr>
      <w:r w:rsidRPr="00D151AA">
        <w:rPr>
          <w:color w:val="000000"/>
        </w:rPr>
        <w:t>In a report from EFSA (</w:t>
      </w:r>
      <w:proofErr w:type="gramStart"/>
      <w:r w:rsidRPr="00D151AA">
        <w:rPr>
          <w:color w:val="000000"/>
        </w:rPr>
        <w:t>2012)</w:t>
      </w:r>
      <w:proofErr w:type="gramEnd"/>
      <w:r w:rsidRPr="00D151AA">
        <w:rPr>
          <w:color w:val="000000"/>
        </w:rPr>
        <w:t xml:space="preserve"> cadmium levels in food on the European market were reviewed and exposure estimated using detailed individual food consumption data. High levels of cadmium </w:t>
      </w:r>
      <w:proofErr w:type="gramStart"/>
      <w:r w:rsidRPr="00D151AA">
        <w:rPr>
          <w:color w:val="000000"/>
        </w:rPr>
        <w:t>were found</w:t>
      </w:r>
      <w:proofErr w:type="gramEnd"/>
      <w:r w:rsidRPr="00D151AA">
        <w:rPr>
          <w:color w:val="000000"/>
        </w:rPr>
        <w:t xml:space="preserve"> in algal formulations, cocoa-based products, crustaceans, edible offal, fungi, oilseeds, seaweeds and water molluscs. In an attempt to calculate lifetime cadmium dietary exposure, a middle bound overall weekly average </w:t>
      </w:r>
      <w:proofErr w:type="gramStart"/>
      <w:r w:rsidRPr="00D151AA">
        <w:rPr>
          <w:color w:val="000000"/>
        </w:rPr>
        <w:t>was estimated</w:t>
      </w:r>
      <w:proofErr w:type="gramEnd"/>
      <w:r w:rsidRPr="00D151AA">
        <w:rPr>
          <w:color w:val="000000"/>
        </w:rPr>
        <w:t xml:space="preserve"> at 2.04 </w:t>
      </w:r>
      <w:proofErr w:type="spellStart"/>
      <w:r w:rsidRPr="00D151AA">
        <w:rPr>
          <w:color w:val="000000"/>
        </w:rPr>
        <w:t>μg</w:t>
      </w:r>
      <w:proofErr w:type="spellEnd"/>
      <w:r w:rsidRPr="00D151AA">
        <w:rPr>
          <w:color w:val="000000"/>
        </w:rPr>
        <w:t xml:space="preserve">/kg body weight and a potential 95th percentile at 3.66 </w:t>
      </w:r>
      <w:proofErr w:type="spellStart"/>
      <w:r w:rsidRPr="00D151AA">
        <w:rPr>
          <w:color w:val="000000"/>
        </w:rPr>
        <w:t>μg</w:t>
      </w:r>
      <w:proofErr w:type="spellEnd"/>
      <w:r w:rsidRPr="00D151AA">
        <w:rPr>
          <w:color w:val="000000"/>
        </w:rPr>
        <w:t xml:space="preserve">/kg body weight. Individual dietary survey results varied between a weekly minimum lower bound average of 1.15 to a maximum upper bound average of 7.84 </w:t>
      </w:r>
      <w:proofErr w:type="spellStart"/>
      <w:r w:rsidRPr="00D151AA">
        <w:rPr>
          <w:color w:val="000000"/>
        </w:rPr>
        <w:t>μg</w:t>
      </w:r>
      <w:proofErr w:type="spellEnd"/>
      <w:r w:rsidRPr="00D151AA">
        <w:rPr>
          <w:color w:val="000000"/>
        </w:rPr>
        <w:t xml:space="preserve">/kg bodyweight and a minimum lower bound 95th percentile of 2.01 and a maximum upper bound 95th percentile of 12.1 </w:t>
      </w:r>
      <w:proofErr w:type="spellStart"/>
      <w:r w:rsidRPr="00D151AA">
        <w:rPr>
          <w:color w:val="000000"/>
        </w:rPr>
        <w:t>μg</w:t>
      </w:r>
      <w:proofErr w:type="spellEnd"/>
      <w:r w:rsidRPr="00D151AA">
        <w:rPr>
          <w:color w:val="000000"/>
        </w:rPr>
        <w:t>/kg body weight, reflecting different dietary habits and survey methodologies. Food consumed in larger quantities had the greatest impact on dietary exposure to cadmium. This was true for the broad food categories of grains, vegetables, and starchy roots and tubers. The review confirmed that children and adults at the 95</w:t>
      </w:r>
      <w:r w:rsidRPr="00B320FF">
        <w:rPr>
          <w:color w:val="000000"/>
          <w:vertAlign w:val="superscript"/>
        </w:rPr>
        <w:t xml:space="preserve">th </w:t>
      </w:r>
      <w:r w:rsidRPr="00D151AA">
        <w:rPr>
          <w:color w:val="000000"/>
        </w:rPr>
        <w:t>percentile exposure could exceed health-based guidance values</w:t>
      </w:r>
      <w:r>
        <w:rPr>
          <w:color w:val="000000"/>
        </w:rPr>
        <w:t>.</w:t>
      </w:r>
      <w:r w:rsidRPr="00D151AA">
        <w:rPr>
          <w:color w:val="000000"/>
        </w:rPr>
        <w:t xml:space="preserve"> </w:t>
      </w:r>
      <w:r>
        <w:rPr>
          <w:color w:val="000000"/>
        </w:rPr>
        <w:t xml:space="preserve">The </w:t>
      </w:r>
      <w:r w:rsidRPr="00D151AA">
        <w:rPr>
          <w:color w:val="000000"/>
        </w:rPr>
        <w:t xml:space="preserve">current </w:t>
      </w:r>
      <w:r w:rsidRPr="00D151AA">
        <w:t xml:space="preserve">TWI is 2.5 </w:t>
      </w:r>
      <w:proofErr w:type="spellStart"/>
      <w:r w:rsidRPr="00D151AA">
        <w:t>μg</w:t>
      </w:r>
      <w:proofErr w:type="spellEnd"/>
      <w:r w:rsidRPr="00D151AA">
        <w:t xml:space="preserve">/kg </w:t>
      </w:r>
      <w:proofErr w:type="spellStart"/>
      <w:proofErr w:type="gramStart"/>
      <w:r w:rsidRPr="00D151AA">
        <w:t>bw</w:t>
      </w:r>
      <w:proofErr w:type="spellEnd"/>
      <w:proofErr w:type="gramEnd"/>
      <w:r>
        <w:t xml:space="preserve"> (EFSA 2009, 2012</w:t>
      </w:r>
      <w:r w:rsidRPr="00D151AA">
        <w:t>).</w:t>
      </w:r>
      <w:r w:rsidRPr="00D151AA">
        <w:rPr>
          <w:color w:val="000000"/>
        </w:rPr>
        <w:t xml:space="preserve"> </w:t>
      </w:r>
    </w:p>
    <w:p w14:paraId="465DDC66" w14:textId="68A01944" w:rsidR="0086166F" w:rsidRPr="00D151AA" w:rsidRDefault="0086166F" w:rsidP="0086166F">
      <w:pPr>
        <w:pStyle w:val="Heading2"/>
        <w:keepLines w:val="0"/>
        <w:widowControl/>
        <w:tabs>
          <w:tab w:val="left" w:pos="839"/>
          <w:tab w:val="num" w:pos="7314"/>
        </w:tabs>
        <w:spacing w:before="600" w:after="200"/>
        <w:ind w:left="1077" w:hanging="1077"/>
      </w:pPr>
      <w:bookmarkStart w:id="223" w:name="_Toc365028578"/>
      <w:bookmarkStart w:id="224" w:name="_Toc380477363"/>
      <w:bookmarkStart w:id="225" w:name="_Toc393186095"/>
      <w:bookmarkStart w:id="226" w:name="_Toc491435631"/>
      <w:r>
        <w:t xml:space="preserve">3.3 </w:t>
      </w:r>
      <w:r w:rsidRPr="00D151AA">
        <w:t>Human exposure and body burden</w:t>
      </w:r>
      <w:bookmarkEnd w:id="223"/>
      <w:bookmarkEnd w:id="224"/>
      <w:bookmarkEnd w:id="225"/>
      <w:bookmarkEnd w:id="226"/>
    </w:p>
    <w:p w14:paraId="19DD2021" w14:textId="2B31E86E" w:rsidR="0086166F" w:rsidRDefault="0086166F" w:rsidP="00875A43">
      <w:pPr>
        <w:jc w:val="both"/>
      </w:pPr>
      <w:r w:rsidRPr="00D151AA">
        <w:rPr>
          <w:bCs/>
        </w:rPr>
        <w:t xml:space="preserve">The general population </w:t>
      </w:r>
      <w:proofErr w:type="gramStart"/>
      <w:r w:rsidRPr="00D151AA">
        <w:rPr>
          <w:bCs/>
        </w:rPr>
        <w:t>is exposed</w:t>
      </w:r>
      <w:proofErr w:type="gramEnd"/>
      <w:r w:rsidRPr="00D151AA">
        <w:rPr>
          <w:bCs/>
        </w:rPr>
        <w:t xml:space="preserve"> to cadmium primarily via food, but also via smoking, soil and dust ingestion, inhalation of a</w:t>
      </w:r>
      <w:r>
        <w:rPr>
          <w:bCs/>
        </w:rPr>
        <w:t xml:space="preserve">mbient air and drinking water. </w:t>
      </w:r>
      <w:r w:rsidRPr="00D151AA">
        <w:t xml:space="preserve">Three large and </w:t>
      </w:r>
      <w:proofErr w:type="gramStart"/>
      <w:r w:rsidRPr="00D151AA">
        <w:t>fairly recent</w:t>
      </w:r>
      <w:proofErr w:type="gramEnd"/>
      <w:r w:rsidRPr="00D151AA">
        <w:t xml:space="preserve"> studies may be used to display the “current” urinary cadmiu</w:t>
      </w:r>
      <w:r>
        <w:t>m concentrations, which reflect</w:t>
      </w:r>
      <w:r w:rsidRPr="00D151AA">
        <w:t xml:space="preserve"> body burden, in the Swedish population</w:t>
      </w:r>
      <w:r>
        <w:t xml:space="preserve"> (</w:t>
      </w:r>
      <w:proofErr w:type="spellStart"/>
      <w:r>
        <w:t>KemI</w:t>
      </w:r>
      <w:proofErr w:type="spellEnd"/>
      <w:r>
        <w:t xml:space="preserve"> 2011)</w:t>
      </w:r>
      <w:r w:rsidRPr="00D151AA">
        <w:t xml:space="preserve">. The results are </w:t>
      </w:r>
      <w:r w:rsidRPr="009813F0">
        <w:t>summari</w:t>
      </w:r>
      <w:r w:rsidR="001972D8">
        <w:t>s</w:t>
      </w:r>
      <w:r w:rsidRPr="009813F0">
        <w:t xml:space="preserve">ed </w:t>
      </w:r>
      <w:r w:rsidRPr="009813F0">
        <w:lastRenderedPageBreak/>
        <w:t xml:space="preserve">in </w:t>
      </w:r>
      <w:r>
        <w:t>T</w:t>
      </w:r>
      <w:r w:rsidRPr="009813F0">
        <w:t>able</w:t>
      </w:r>
      <w:r w:rsidR="002D3F8E">
        <w:t xml:space="preserve"> </w:t>
      </w:r>
      <w:r w:rsidR="00875A43">
        <w:t>4</w:t>
      </w:r>
      <w:r w:rsidR="00875A43" w:rsidRPr="009813F0">
        <w:t xml:space="preserve"> </w:t>
      </w:r>
      <w:r w:rsidRPr="009813F0">
        <w:t xml:space="preserve">below. </w:t>
      </w:r>
    </w:p>
    <w:p w14:paraId="4393546F" w14:textId="2F856D66" w:rsidR="0086166F" w:rsidRDefault="0086166F" w:rsidP="00875A43">
      <w:pPr>
        <w:jc w:val="both"/>
      </w:pPr>
    </w:p>
    <w:p w14:paraId="546D17D1" w14:textId="77777777" w:rsidR="0086166F" w:rsidRPr="00D151AA" w:rsidRDefault="0086166F" w:rsidP="00875A43">
      <w:pPr>
        <w:autoSpaceDE w:val="0"/>
        <w:autoSpaceDN w:val="0"/>
        <w:adjustRightInd w:val="0"/>
        <w:jc w:val="both"/>
      </w:pPr>
      <w:r w:rsidRPr="00D151AA">
        <w:t>Women in the age group 50-69 years were also used to evaluate the proportion of women having urinary cadmium levels above two predefined cut</w:t>
      </w:r>
      <w:r>
        <w:t xml:space="preserve"> </w:t>
      </w:r>
      <w:r w:rsidRPr="00D151AA">
        <w:t xml:space="preserve">offs of 0.5 and 1.0 </w:t>
      </w:r>
      <w:proofErr w:type="spellStart"/>
      <w:r w:rsidRPr="00D151AA">
        <w:t>μg</w:t>
      </w:r>
      <w:proofErr w:type="spellEnd"/>
      <w:r w:rsidRPr="00D151AA">
        <w:t xml:space="preserve">/g creatinine. In these studies, 20%, 70% and 23% of all the women (4%, 32% and 6% in never-smokers) had urinary cadmium concentrations above 0.5 </w:t>
      </w:r>
      <w:proofErr w:type="spellStart"/>
      <w:r w:rsidRPr="00D151AA">
        <w:t>μg</w:t>
      </w:r>
      <w:proofErr w:type="spellEnd"/>
      <w:r w:rsidRPr="00D151AA">
        <w:t xml:space="preserve">/g creatinine, respectively. The corresponding proportions for urinary cadmium concentrations above 1.0 </w:t>
      </w:r>
      <w:proofErr w:type="spellStart"/>
      <w:r w:rsidRPr="00D151AA">
        <w:t>μg</w:t>
      </w:r>
      <w:proofErr w:type="spellEnd"/>
      <w:r w:rsidRPr="00D151AA">
        <w:t>/g creatinine were 1.8%, 20% and 2%, respectively (0.3%, 6% and 0.2% in never-smokers). Differences between studies may indicate higher exposure in Southern Sweden, but comparability of measurements may contribute</w:t>
      </w:r>
      <w:r>
        <w:t xml:space="preserve"> to the differences observed</w:t>
      </w:r>
      <w:r w:rsidRPr="00D151AA">
        <w:t>.</w:t>
      </w:r>
    </w:p>
    <w:p w14:paraId="2CC2A4BE" w14:textId="77777777" w:rsidR="0086166F" w:rsidRDefault="0086166F" w:rsidP="0086166F"/>
    <w:p w14:paraId="75C3EA49" w14:textId="1986D6C3" w:rsidR="00B711CC" w:rsidRDefault="00B711CC" w:rsidP="00B711CC">
      <w:pPr>
        <w:pStyle w:val="Caption"/>
        <w:jc w:val="left"/>
      </w:pPr>
      <w:bookmarkStart w:id="227" w:name="_Toc491433638"/>
      <w:r w:rsidRPr="00B711CC">
        <w:rPr>
          <w:b/>
          <w:sz w:val="18"/>
        </w:rPr>
        <w:t xml:space="preserve">Table </w:t>
      </w:r>
      <w:r w:rsidRPr="00B711CC">
        <w:rPr>
          <w:b/>
          <w:sz w:val="18"/>
        </w:rPr>
        <w:fldChar w:fldCharType="begin"/>
      </w:r>
      <w:r w:rsidRPr="00B711CC">
        <w:rPr>
          <w:b/>
          <w:sz w:val="18"/>
        </w:rPr>
        <w:instrText xml:space="preserve"> SEQ Table \* ARABIC </w:instrText>
      </w:r>
      <w:r w:rsidRPr="00B711CC">
        <w:rPr>
          <w:b/>
          <w:sz w:val="18"/>
        </w:rPr>
        <w:fldChar w:fldCharType="separate"/>
      </w:r>
      <w:r w:rsidR="0087074B">
        <w:rPr>
          <w:b/>
          <w:noProof/>
          <w:sz w:val="18"/>
        </w:rPr>
        <w:t>4</w:t>
      </w:r>
      <w:r w:rsidRPr="00B711CC">
        <w:rPr>
          <w:b/>
          <w:sz w:val="18"/>
        </w:rPr>
        <w:fldChar w:fldCharType="end"/>
      </w:r>
      <w:r>
        <w:t>.</w:t>
      </w:r>
      <w:r w:rsidRPr="00B711CC">
        <w:rPr>
          <w:b/>
          <w:sz w:val="18"/>
          <w:szCs w:val="18"/>
        </w:rPr>
        <w:t xml:space="preserve"> </w:t>
      </w:r>
      <w:r w:rsidRPr="00B815E8">
        <w:rPr>
          <w:b/>
          <w:sz w:val="18"/>
          <w:szCs w:val="18"/>
        </w:rPr>
        <w:t>Summary of urinary concentrations observed in three Swedish population-based studies</w:t>
      </w:r>
      <w:bookmarkEnd w:id="227"/>
    </w:p>
    <w:p w14:paraId="0A742370" w14:textId="4E861962" w:rsidR="0086166F" w:rsidRPr="00C8477C" w:rsidRDefault="00853D53" w:rsidP="0086166F">
      <w:pPr>
        <w:autoSpaceDE w:val="0"/>
        <w:autoSpaceDN w:val="0"/>
        <w:adjustRightInd w:val="0"/>
        <w:rPr>
          <w:highlight w:val="yellow"/>
        </w:rPr>
      </w:pPr>
      <w:r>
        <w:rPr>
          <w:noProof/>
          <w:lang w:eastAsia="en-GB"/>
        </w:rPr>
        <w:drawing>
          <wp:inline distT="0" distB="0" distL="0" distR="0" wp14:anchorId="10FEDB42" wp14:editId="74D06976">
            <wp:extent cx="5076825" cy="2013665"/>
            <wp:effectExtent l="0" t="0" r="0" b="5715"/>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04715" cy="2024727"/>
                    </a:xfrm>
                    <a:prstGeom prst="rect">
                      <a:avLst/>
                    </a:prstGeom>
                  </pic:spPr>
                </pic:pic>
              </a:graphicData>
            </a:graphic>
          </wp:inline>
        </w:drawing>
      </w:r>
    </w:p>
    <w:p w14:paraId="4548E5DE" w14:textId="77777777" w:rsidR="00853D53" w:rsidRDefault="00853D53" w:rsidP="0086166F">
      <w:pPr>
        <w:autoSpaceDE w:val="0"/>
        <w:autoSpaceDN w:val="0"/>
        <w:adjustRightInd w:val="0"/>
      </w:pPr>
    </w:p>
    <w:p w14:paraId="21E92709" w14:textId="6A43C77D" w:rsidR="0086166F" w:rsidRDefault="0086166F" w:rsidP="0086166F">
      <w:pPr>
        <w:autoSpaceDE w:val="0"/>
        <w:autoSpaceDN w:val="0"/>
        <w:adjustRightInd w:val="0"/>
      </w:pPr>
      <w:r w:rsidRPr="00D151AA">
        <w:t xml:space="preserve">Biomonitoring data indicate that the exposure to cadmium has not changed during the last 2-3 decades in </w:t>
      </w:r>
      <w:r w:rsidRPr="0015051C">
        <w:t>Sweden (</w:t>
      </w:r>
      <w:proofErr w:type="spellStart"/>
      <w:r w:rsidRPr="0015051C">
        <w:t>KemI</w:t>
      </w:r>
      <w:proofErr w:type="spellEnd"/>
      <w:r w:rsidRPr="0015051C">
        <w:t xml:space="preserve"> 2011).</w:t>
      </w:r>
    </w:p>
    <w:p w14:paraId="088B507A" w14:textId="43DD7316" w:rsidR="0086166F" w:rsidRDefault="0086166F" w:rsidP="0086166F">
      <w:pPr>
        <w:autoSpaceDE w:val="0"/>
        <w:autoSpaceDN w:val="0"/>
        <w:adjustRightInd w:val="0"/>
      </w:pPr>
    </w:p>
    <w:p w14:paraId="47B33478" w14:textId="77777777" w:rsidR="002D3F8E" w:rsidRDefault="002D3F8E" w:rsidP="002D3F8E">
      <w:pPr>
        <w:pStyle w:val="NormalItalic"/>
        <w:rPr>
          <w:i w:val="0"/>
        </w:rPr>
      </w:pPr>
      <w:r>
        <w:rPr>
          <w:i w:val="0"/>
        </w:rPr>
        <w:t xml:space="preserve">Within a European human biomonitoring project (DEMOCOPHES - </w:t>
      </w:r>
      <w:proofErr w:type="spellStart"/>
      <w:r>
        <w:rPr>
          <w:i w:val="0"/>
        </w:rPr>
        <w:t>DEMOnstration</w:t>
      </w:r>
      <w:proofErr w:type="spellEnd"/>
      <w:r>
        <w:rPr>
          <w:i w:val="0"/>
        </w:rPr>
        <w:t xml:space="preserve"> of a study to </w:t>
      </w:r>
      <w:proofErr w:type="spellStart"/>
      <w:r>
        <w:rPr>
          <w:i w:val="0"/>
        </w:rPr>
        <w:t>COordinate</w:t>
      </w:r>
      <w:proofErr w:type="spellEnd"/>
      <w:r>
        <w:rPr>
          <w:i w:val="0"/>
        </w:rPr>
        <w:t xml:space="preserve"> and Perform Human biomonitoring on a European Scale), exposure to e.g. cadmium was studied in 16 European countries (</w:t>
      </w:r>
      <w:r w:rsidRPr="009242B4">
        <w:rPr>
          <w:i w:val="0"/>
        </w:rPr>
        <w:t>Belgium, Cyprus, Czech Republic, Denmark, Hungary, Ireland, Luxembourg, Poland, Portugal, Romania, Slovakia, Slovenia, Spain, Sweden, Switzerland, and the United Kingdom</w:t>
      </w:r>
      <w:r>
        <w:rPr>
          <w:i w:val="0"/>
        </w:rPr>
        <w:t>).</w:t>
      </w:r>
      <w:r w:rsidRPr="009242B4">
        <w:t xml:space="preserve"> </w:t>
      </w:r>
      <w:r>
        <w:rPr>
          <w:i w:val="0"/>
        </w:rPr>
        <w:t xml:space="preserve">The results showed that </w:t>
      </w:r>
      <w:r w:rsidRPr="00363F2A">
        <w:rPr>
          <w:i w:val="0"/>
        </w:rPr>
        <w:t>smoking mothers had higher geometric mean (gm) urinary cadmium (</w:t>
      </w:r>
      <w:proofErr w:type="spellStart"/>
      <w:r w:rsidRPr="00363F2A">
        <w:rPr>
          <w:i w:val="0"/>
        </w:rPr>
        <w:t>UCd</w:t>
      </w:r>
      <w:proofErr w:type="spellEnd"/>
      <w:r w:rsidRPr="00363F2A">
        <w:rPr>
          <w:i w:val="0"/>
        </w:rPr>
        <w:t xml:space="preserve">; 0.24 µg/g </w:t>
      </w:r>
      <w:proofErr w:type="spellStart"/>
      <w:r w:rsidRPr="00363F2A">
        <w:rPr>
          <w:i w:val="0"/>
        </w:rPr>
        <w:t>crea</w:t>
      </w:r>
      <w:proofErr w:type="spellEnd"/>
      <w:r w:rsidRPr="00363F2A">
        <w:rPr>
          <w:i w:val="0"/>
        </w:rPr>
        <w:t xml:space="preserve">; n=360) than non-smoking mothers (gm 0.18 µg/g </w:t>
      </w:r>
      <w:proofErr w:type="spellStart"/>
      <w:r w:rsidRPr="00363F2A">
        <w:rPr>
          <w:i w:val="0"/>
        </w:rPr>
        <w:t>crea</w:t>
      </w:r>
      <w:proofErr w:type="spellEnd"/>
      <w:r w:rsidRPr="00363F2A">
        <w:rPr>
          <w:i w:val="0"/>
        </w:rPr>
        <w:t xml:space="preserve">; n=1272; p&lt;0.0001), and children had lower </w:t>
      </w:r>
      <w:proofErr w:type="spellStart"/>
      <w:r w:rsidRPr="00363F2A">
        <w:rPr>
          <w:i w:val="0"/>
        </w:rPr>
        <w:t>UCd</w:t>
      </w:r>
      <w:proofErr w:type="spellEnd"/>
      <w:r w:rsidRPr="00363F2A">
        <w:rPr>
          <w:i w:val="0"/>
        </w:rPr>
        <w:t xml:space="preserve"> (gm 0.065 µg/g </w:t>
      </w:r>
      <w:proofErr w:type="spellStart"/>
      <w:r w:rsidRPr="00363F2A">
        <w:rPr>
          <w:i w:val="0"/>
        </w:rPr>
        <w:t>crea</w:t>
      </w:r>
      <w:proofErr w:type="spellEnd"/>
      <w:r w:rsidRPr="00363F2A">
        <w:rPr>
          <w:i w:val="0"/>
        </w:rPr>
        <w:t>; n=1689) than their mothers at the country level</w:t>
      </w:r>
      <w:r>
        <w:rPr>
          <w:i w:val="0"/>
        </w:rPr>
        <w:t xml:space="preserve">. Poland </w:t>
      </w:r>
      <w:r w:rsidRPr="000C3A46">
        <w:rPr>
          <w:i w:val="0"/>
        </w:rPr>
        <w:t xml:space="preserve">had the highest </w:t>
      </w:r>
      <w:proofErr w:type="spellStart"/>
      <w:r w:rsidRPr="000C3A46">
        <w:rPr>
          <w:i w:val="0"/>
        </w:rPr>
        <w:t>UCd</w:t>
      </w:r>
      <w:proofErr w:type="spellEnd"/>
      <w:r w:rsidRPr="000C3A46">
        <w:rPr>
          <w:i w:val="0"/>
        </w:rPr>
        <w:t xml:space="preserve"> in comparison between the 16 countries, while Denmark had the lowest. Whether the differences between countries </w:t>
      </w:r>
      <w:proofErr w:type="gramStart"/>
      <w:r w:rsidRPr="000C3A46">
        <w:rPr>
          <w:i w:val="0"/>
        </w:rPr>
        <w:t>are related</w:t>
      </w:r>
      <w:proofErr w:type="gramEnd"/>
      <w:r w:rsidRPr="000C3A46">
        <w:rPr>
          <w:i w:val="0"/>
        </w:rPr>
        <w:t xml:space="preserve"> to differences in the degree of environmental </w:t>
      </w:r>
      <w:r>
        <w:rPr>
          <w:i w:val="0"/>
        </w:rPr>
        <w:t>cadmium</w:t>
      </w:r>
      <w:r w:rsidRPr="000C3A46">
        <w:rPr>
          <w:i w:val="0"/>
        </w:rPr>
        <w:t xml:space="preserve"> contamination or to differences in lifestyle, socioeconomic status or dietary patterns is not clear</w:t>
      </w:r>
      <w:r>
        <w:rPr>
          <w:i w:val="0"/>
        </w:rPr>
        <w:t xml:space="preserve"> (Berglund et al. 2015)</w:t>
      </w:r>
      <w:r w:rsidRPr="000C3A46">
        <w:rPr>
          <w:i w:val="0"/>
        </w:rPr>
        <w:t>.</w:t>
      </w:r>
    </w:p>
    <w:p w14:paraId="639B0161" w14:textId="05DEB0DE" w:rsidR="0086166F" w:rsidRDefault="0086166F" w:rsidP="00BC494D">
      <w:pPr>
        <w:autoSpaceDE w:val="0"/>
        <w:autoSpaceDN w:val="0"/>
        <w:adjustRightInd w:val="0"/>
        <w:jc w:val="both"/>
        <w:rPr>
          <w:rFonts w:cs="TimesNewRomanPSMT"/>
        </w:rPr>
      </w:pPr>
      <w:r>
        <w:rPr>
          <w:bCs/>
        </w:rPr>
        <w:t>In</w:t>
      </w:r>
      <w:r w:rsidRPr="00E227BE">
        <w:rPr>
          <w:bCs/>
        </w:rPr>
        <w:t xml:space="preserve"> an EU research program</w:t>
      </w:r>
      <w:r w:rsidRPr="00E227BE">
        <w:rPr>
          <w:b/>
          <w:bCs/>
        </w:rPr>
        <w:t xml:space="preserve"> </w:t>
      </w:r>
      <w:r w:rsidRPr="00E227BE">
        <w:rPr>
          <w:bCs/>
        </w:rPr>
        <w:t>(</w:t>
      </w:r>
      <w:r w:rsidRPr="00E227BE">
        <w:rPr>
          <w:rFonts w:cs="TimesNewRomanPSMT"/>
        </w:rPr>
        <w:t xml:space="preserve">PHIME - Public health impact of long-term, low-level mixed element exposure in susceptible population strata), blood from 1363 children from six European (Croatia, Czech Republic, Poland, Slovakia, Slovenia, and Sweden), and three non-European countries (China, Ecuador, and Morocco), showed remarkably small differences between the European cities (the geometric means ranged 0.11-0.17 </w:t>
      </w:r>
      <w:proofErr w:type="spellStart"/>
      <w:r w:rsidRPr="00E227BE">
        <w:rPr>
          <w:rFonts w:cs="TimesNewRomanPSMT"/>
        </w:rPr>
        <w:t>μg</w:t>
      </w:r>
      <w:proofErr w:type="spellEnd"/>
      <w:r w:rsidRPr="00E227BE">
        <w:rPr>
          <w:rFonts w:cs="TimesNewRomanPSMT"/>
        </w:rPr>
        <w:t xml:space="preserve">/L for cadmium). The European differences were also small among 480 women (0.25-0.65 </w:t>
      </w:r>
      <w:proofErr w:type="spellStart"/>
      <w:r w:rsidRPr="00E227BE">
        <w:rPr>
          <w:rFonts w:cs="TimesNewRomanPSMT"/>
        </w:rPr>
        <w:t>μg</w:t>
      </w:r>
      <w:proofErr w:type="spellEnd"/>
      <w:r w:rsidRPr="00E227BE">
        <w:rPr>
          <w:rFonts w:cs="TimesNewRomanPSMT"/>
        </w:rPr>
        <w:t>/L). As regards industrially polluted areas, the results clearly showed that children living in certain such areas in Europe may have cadmium and lead levels in blood that are about double those in less polluted regions (PHIME 2011).</w:t>
      </w:r>
    </w:p>
    <w:p w14:paraId="7CB1F0D5" w14:textId="77777777" w:rsidR="002D3F8E" w:rsidRDefault="002D3F8E" w:rsidP="00BC494D">
      <w:pPr>
        <w:pStyle w:val="NormalItalic"/>
        <w:rPr>
          <w:i w:val="0"/>
        </w:rPr>
      </w:pPr>
    </w:p>
    <w:p w14:paraId="42A98294" w14:textId="41914286" w:rsidR="002D3F8E" w:rsidRDefault="002D3F8E" w:rsidP="00B02087">
      <w:pPr>
        <w:pStyle w:val="NormalItalic"/>
        <w:rPr>
          <w:i w:val="0"/>
        </w:rPr>
      </w:pPr>
      <w:r>
        <w:rPr>
          <w:i w:val="0"/>
        </w:rPr>
        <w:t xml:space="preserve">Cadmium concentrations in blood </w:t>
      </w:r>
      <w:proofErr w:type="gramStart"/>
      <w:r>
        <w:rPr>
          <w:i w:val="0"/>
        </w:rPr>
        <w:t>was measured</w:t>
      </w:r>
      <w:proofErr w:type="gramEnd"/>
      <w:r>
        <w:rPr>
          <w:i w:val="0"/>
        </w:rPr>
        <w:t xml:space="preserve"> in Swedish children during 1986-2013. The median blood cadmium concentration (b-Cd) was 0.10 (geometric mean 0.10; range 0.01-0.61) </w:t>
      </w:r>
      <w:proofErr w:type="spellStart"/>
      <w:r w:rsidRPr="004C1320">
        <w:rPr>
          <w:i w:val="0"/>
        </w:rPr>
        <w:t>μg</w:t>
      </w:r>
      <w:proofErr w:type="spellEnd"/>
      <w:r w:rsidRPr="004C1320">
        <w:rPr>
          <w:i w:val="0"/>
        </w:rPr>
        <w:t>/L</w:t>
      </w:r>
      <w:r>
        <w:rPr>
          <w:i w:val="0"/>
        </w:rPr>
        <w:t xml:space="preserve">. Over the studied time, b-Cd slightly decreased (0.7% per year, </w:t>
      </w:r>
      <w:r>
        <w:rPr>
          <w:i w:val="0"/>
        </w:rPr>
        <w:lastRenderedPageBreak/>
        <w:t>p&lt;0.001), but the authors conclude that increase of cadmium and the risk of disease might occur later in life. In addition, the decrease is dependent on the single observation from 1986 (</w:t>
      </w:r>
      <w:proofErr w:type="spellStart"/>
      <w:r>
        <w:rPr>
          <w:i w:val="0"/>
        </w:rPr>
        <w:t>Lundh</w:t>
      </w:r>
      <w:proofErr w:type="spellEnd"/>
      <w:r>
        <w:rPr>
          <w:i w:val="0"/>
        </w:rPr>
        <w:t xml:space="preserve"> et al. 2016).</w:t>
      </w:r>
    </w:p>
    <w:p w14:paraId="4B33DC6F" w14:textId="77777777" w:rsidR="002D3F8E" w:rsidRPr="00E227BE" w:rsidRDefault="002D3F8E" w:rsidP="0086166F">
      <w:pPr>
        <w:autoSpaceDE w:val="0"/>
        <w:autoSpaceDN w:val="0"/>
        <w:adjustRightInd w:val="0"/>
      </w:pPr>
    </w:p>
    <w:p w14:paraId="7D2F619E" w14:textId="1F6D026F" w:rsidR="00B12C39" w:rsidRDefault="00B12C39" w:rsidP="00B12C39">
      <w:pPr>
        <w:pStyle w:val="Heading1"/>
      </w:pPr>
      <w:bookmarkStart w:id="228" w:name="_Toc341888534"/>
      <w:bookmarkStart w:id="229" w:name="_Toc342400387"/>
      <w:bookmarkStart w:id="230" w:name="_Toc354499589"/>
      <w:bookmarkStart w:id="231" w:name="_Toc357083664"/>
      <w:bookmarkStart w:id="232" w:name="_Toc357184213"/>
      <w:bookmarkStart w:id="233" w:name="_Toc357184449"/>
      <w:bookmarkStart w:id="234" w:name="_Toc357185251"/>
      <w:bookmarkStart w:id="235" w:name="_Toc357186099"/>
      <w:bookmarkStart w:id="236" w:name="_Toc357186248"/>
      <w:bookmarkStart w:id="237" w:name="_Toc357437534"/>
      <w:bookmarkStart w:id="238" w:name="_Toc357590807"/>
      <w:bookmarkStart w:id="239" w:name="_Toc357692839"/>
      <w:bookmarkStart w:id="240" w:name="_Toc365649668"/>
      <w:bookmarkStart w:id="241" w:name="_Toc365649817"/>
      <w:bookmarkStart w:id="242" w:name="_Toc366489869"/>
      <w:bookmarkStart w:id="243" w:name="_Toc418498574"/>
      <w:bookmarkStart w:id="244" w:name="_Toc418506017"/>
      <w:bookmarkStart w:id="245" w:name="_Toc491435632"/>
      <w:r>
        <w:t>Human health hazard assessment</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4A203CEF" w14:textId="2529BDC9" w:rsidR="00EF067D" w:rsidRPr="00542751" w:rsidRDefault="001C73E1" w:rsidP="00295E9B">
      <w:pPr>
        <w:pStyle w:val="NormalItalic"/>
        <w:rPr>
          <w:i w:val="0"/>
        </w:rPr>
      </w:pPr>
      <w:r w:rsidRPr="00542751">
        <w:rPr>
          <w:i w:val="0"/>
        </w:rPr>
        <w:t>Cadmium hydroxide</w:t>
      </w:r>
      <w:r w:rsidR="00EF067D" w:rsidRPr="00542751">
        <w:rPr>
          <w:i w:val="0"/>
        </w:rPr>
        <w:t xml:space="preserve"> has harmoni</w:t>
      </w:r>
      <w:r w:rsidR="001972D8" w:rsidRPr="00542751">
        <w:rPr>
          <w:i w:val="0"/>
        </w:rPr>
        <w:t>s</w:t>
      </w:r>
      <w:r w:rsidR="00EF067D" w:rsidRPr="00542751">
        <w:rPr>
          <w:i w:val="0"/>
        </w:rPr>
        <w:t xml:space="preserve">ed classification as </w:t>
      </w:r>
      <w:r w:rsidR="00BC00CB" w:rsidRPr="00542751">
        <w:rPr>
          <w:i w:val="0"/>
        </w:rPr>
        <w:t>carcinogenic 1B</w:t>
      </w:r>
      <w:r w:rsidR="00E170AC" w:rsidRPr="00542751">
        <w:rPr>
          <w:i w:val="0"/>
        </w:rPr>
        <w:t>,</w:t>
      </w:r>
      <w:r w:rsidR="00BC00CB" w:rsidRPr="00542751">
        <w:rPr>
          <w:i w:val="0"/>
        </w:rPr>
        <w:t xml:space="preserve"> mutagenic </w:t>
      </w:r>
      <w:r w:rsidR="00C65F48" w:rsidRPr="00542751">
        <w:rPr>
          <w:i w:val="0"/>
        </w:rPr>
        <w:t>1B</w:t>
      </w:r>
      <w:r w:rsidR="008524FA" w:rsidRPr="00542751">
        <w:rPr>
          <w:i w:val="0"/>
        </w:rPr>
        <w:t xml:space="preserve"> </w:t>
      </w:r>
      <w:r w:rsidR="00E170AC" w:rsidRPr="00542751">
        <w:rPr>
          <w:i w:val="0"/>
        </w:rPr>
        <w:t xml:space="preserve">and STOT RE 1 </w:t>
      </w:r>
      <w:r w:rsidR="008524FA" w:rsidRPr="00542751">
        <w:rPr>
          <w:i w:val="0"/>
        </w:rPr>
        <w:t>(see section 2)</w:t>
      </w:r>
      <w:r w:rsidR="00C65F48" w:rsidRPr="00542751">
        <w:rPr>
          <w:i w:val="0"/>
        </w:rPr>
        <w:t>.</w:t>
      </w:r>
      <w:r w:rsidR="00481DCE" w:rsidRPr="00542751">
        <w:rPr>
          <w:i w:val="0"/>
        </w:rPr>
        <w:t xml:space="preserve"> </w:t>
      </w:r>
    </w:p>
    <w:p w14:paraId="4D628D8D" w14:textId="77777777" w:rsidR="00542751" w:rsidRDefault="00542751" w:rsidP="00295E9B">
      <w:pPr>
        <w:pStyle w:val="NormalItalic"/>
      </w:pPr>
    </w:p>
    <w:p w14:paraId="463C43DF" w14:textId="77777777" w:rsidR="00542751" w:rsidRDefault="00542751" w:rsidP="00542751">
      <w:pPr>
        <w:pStyle w:val="Heading2"/>
        <w:keepNext w:val="0"/>
        <w:numPr>
          <w:ilvl w:val="1"/>
          <w:numId w:val="31"/>
        </w:numPr>
      </w:pPr>
      <w:bookmarkStart w:id="246" w:name="_Toc486581169"/>
      <w:bookmarkStart w:id="247" w:name="_Toc491431100"/>
      <w:bookmarkStart w:id="248" w:name="_Toc491435633"/>
      <w:proofErr w:type="spellStart"/>
      <w:r>
        <w:t>Toxicokinetics</w:t>
      </w:r>
      <w:proofErr w:type="spellEnd"/>
      <w:r>
        <w:t xml:space="preserve"> (absorption, metabolism, distribution and elimination)</w:t>
      </w:r>
      <w:bookmarkEnd w:id="246"/>
      <w:bookmarkEnd w:id="247"/>
      <w:bookmarkEnd w:id="248"/>
    </w:p>
    <w:p w14:paraId="1104A90B" w14:textId="77777777" w:rsidR="00542751" w:rsidRDefault="00542751" w:rsidP="00542751">
      <w:pPr>
        <w:pStyle w:val="BodyText"/>
        <w:spacing w:after="180"/>
        <w:jc w:val="both"/>
      </w:pPr>
      <w:r>
        <w:t xml:space="preserve">A gastrointestinal absorption of cadmium ranging between 1 and 10 % is likely, with men and individuals with adequate iron status in the lower range and those with low iron stores and iron deficiency (mainly women) in the higher range (Swedish Chemicals Agency 2011). </w:t>
      </w:r>
      <w:proofErr w:type="spellStart"/>
      <w:r>
        <w:t>Newborns</w:t>
      </w:r>
      <w:proofErr w:type="spellEnd"/>
      <w:r>
        <w:t xml:space="preserve"> and small children may have an even higher absorption, independent of iron status. </w:t>
      </w:r>
    </w:p>
    <w:p w14:paraId="7AD5B51A" w14:textId="77777777" w:rsidR="00542751" w:rsidRDefault="00542751" w:rsidP="00542751">
      <w:pPr>
        <w:pStyle w:val="BodyText"/>
        <w:spacing w:after="180"/>
        <w:jc w:val="both"/>
      </w:pPr>
      <w:r>
        <w:t xml:space="preserve">Absorption via inhalation is higher; 25-50 % may be absorbed in the lungs from fumes and 10-30 % from dust, depending on the particle size. Dermal uptake </w:t>
      </w:r>
      <w:proofErr w:type="gramStart"/>
      <w:r>
        <w:t>is considered</w:t>
      </w:r>
      <w:proofErr w:type="gramEnd"/>
      <w:r>
        <w:t xml:space="preserve"> low, likely significantly less than 1 %. Cadmium </w:t>
      </w:r>
      <w:proofErr w:type="gramStart"/>
      <w:r>
        <w:t>can also cross the placenta, but at a low rate</w:t>
      </w:r>
      <w:proofErr w:type="gramEnd"/>
      <w:r>
        <w:t xml:space="preserve"> (ECB 2007).</w:t>
      </w:r>
    </w:p>
    <w:p w14:paraId="7391A9CB" w14:textId="77777777" w:rsidR="00542751" w:rsidRDefault="00542751" w:rsidP="00542751">
      <w:pPr>
        <w:pStyle w:val="BodyText"/>
        <w:spacing w:after="180"/>
        <w:jc w:val="both"/>
      </w:pPr>
      <w:r>
        <w:t xml:space="preserve">Following absorption, cadmium </w:t>
      </w:r>
      <w:proofErr w:type="gramStart"/>
      <w:r>
        <w:t>is transported</w:t>
      </w:r>
      <w:proofErr w:type="gramEnd"/>
      <w:r>
        <w:t xml:space="preserve"> in the blood to the liver where cadmium induces production of </w:t>
      </w:r>
      <w:proofErr w:type="spellStart"/>
      <w:r>
        <w:t>metallothionein</w:t>
      </w:r>
      <w:proofErr w:type="spellEnd"/>
      <w:r>
        <w:t xml:space="preserve"> and forms a complex with this protein. The cadmium–</w:t>
      </w:r>
      <w:proofErr w:type="spellStart"/>
      <w:r>
        <w:t>metallothionein</w:t>
      </w:r>
      <w:proofErr w:type="spellEnd"/>
      <w:r>
        <w:t xml:space="preserve"> complex </w:t>
      </w:r>
      <w:proofErr w:type="gramStart"/>
      <w:r>
        <w:t>is released from the liver and transported in the blood to the kidneys</w:t>
      </w:r>
      <w:proofErr w:type="gramEnd"/>
      <w:r>
        <w:t xml:space="preserve">. </w:t>
      </w:r>
      <w:proofErr w:type="spellStart"/>
      <w:r>
        <w:t>Metallothionein</w:t>
      </w:r>
      <w:proofErr w:type="spellEnd"/>
      <w:r>
        <w:t xml:space="preserve"> is inducible in different tissues (e.g. liver, kidney, intestine, and lung) by exposure to various agents, including cadmium. In the kidneys, cadmium–</w:t>
      </w:r>
      <w:proofErr w:type="spellStart"/>
      <w:r>
        <w:t>metallothionein</w:t>
      </w:r>
      <w:proofErr w:type="spellEnd"/>
      <w:r>
        <w:t xml:space="preserve"> </w:t>
      </w:r>
      <w:proofErr w:type="gramStart"/>
      <w:r>
        <w:t>is readily filtered</w:t>
      </w:r>
      <w:proofErr w:type="gramEnd"/>
      <w:r>
        <w:t xml:space="preserve"> at the glomerulus, and may be efficiently reabsorbed from the filtrate in the proximal tubules. In the tubules, the protein portion </w:t>
      </w:r>
      <w:proofErr w:type="gramStart"/>
      <w:r>
        <w:t>is rapidly degraded</w:t>
      </w:r>
      <w:proofErr w:type="gramEnd"/>
      <w:r>
        <w:t xml:space="preserve"> to release cadmium. Cadmium accumulates in kidney tubules and causes damage to tubular cells, especially in the proximal tubules. Absorbed cadmium </w:t>
      </w:r>
      <w:proofErr w:type="gramStart"/>
      <w:r>
        <w:t>is excreted</w:t>
      </w:r>
      <w:proofErr w:type="gramEnd"/>
      <w:r>
        <w:t xml:space="preserve"> very slowly, with the amounts excreted into urine and faeces being approximately equal. In humans, half-life estimates </w:t>
      </w:r>
      <w:proofErr w:type="gramStart"/>
      <w:r>
        <w:t>have been reported</w:t>
      </w:r>
      <w:proofErr w:type="gramEnd"/>
      <w:r>
        <w:t xml:space="preserve"> to be in the range of 7–16 years (IARC 2012) to 10-30 years (Swedish Chemicals Agency 2011) or 18 - 44 years (</w:t>
      </w:r>
      <w:proofErr w:type="spellStart"/>
      <w:r>
        <w:t>Åkerström</w:t>
      </w:r>
      <w:proofErr w:type="spellEnd"/>
      <w:r>
        <w:t xml:space="preserve"> et al. 2013a). </w:t>
      </w:r>
    </w:p>
    <w:p w14:paraId="362BBA9F" w14:textId="77777777" w:rsidR="00542751" w:rsidRDefault="00542751" w:rsidP="00542751">
      <w:pPr>
        <w:pStyle w:val="BodyText"/>
        <w:spacing w:after="180"/>
        <w:jc w:val="both"/>
      </w:pPr>
      <w:r>
        <w:t xml:space="preserve">The concentration of cadmium in urine </w:t>
      </w:r>
      <w:proofErr w:type="gramStart"/>
      <w:r>
        <w:t>is primarily influenced</w:t>
      </w:r>
      <w:proofErr w:type="gramEnd"/>
      <w:r>
        <w:t xml:space="preserve"> by the body burden of cadmium and is generally proportional to the concentration in the kidney. In adults, there is a close relationship between the cadmium concentrations in urine and kidneys (correlation coefficient 0.70) based on living kidney donors (</w:t>
      </w:r>
      <w:proofErr w:type="spellStart"/>
      <w:r>
        <w:t>Åkerström</w:t>
      </w:r>
      <w:proofErr w:type="spellEnd"/>
      <w:r>
        <w:t xml:space="preserve"> et al. 2013a). Because the half-life of cadmium in the body is very long, urinary cadmium is highly dependent on age in adults (Swedish Chemicals Agency 2011). Urinary cadmium is high during childhood followed by a decrease during adolescence and a progressive rise until the age of 60 years, where urinary Cd concentrations level off (Chaumont et al. 2013).</w:t>
      </w:r>
    </w:p>
    <w:p w14:paraId="46A33290" w14:textId="77777777" w:rsidR="00542751" w:rsidRDefault="00542751" w:rsidP="00542751">
      <w:pPr>
        <w:pStyle w:val="Heading2"/>
        <w:keepNext w:val="0"/>
        <w:jc w:val="both"/>
        <w:rPr>
          <w:rFonts w:cs="Times New Roman"/>
          <w:b w:val="0"/>
          <w:color w:val="auto"/>
          <w:sz w:val="20"/>
          <w:szCs w:val="20"/>
        </w:rPr>
      </w:pPr>
      <w:bookmarkStart w:id="249" w:name="_Toc486581170"/>
    </w:p>
    <w:p w14:paraId="7DD79F1E" w14:textId="77777777" w:rsidR="00542751" w:rsidRDefault="00542751" w:rsidP="00542751">
      <w:pPr>
        <w:pStyle w:val="Heading2"/>
        <w:keepNext w:val="0"/>
        <w:numPr>
          <w:ilvl w:val="1"/>
          <w:numId w:val="31"/>
        </w:numPr>
        <w:jc w:val="both"/>
      </w:pPr>
      <w:bookmarkStart w:id="250" w:name="_Toc491431101"/>
      <w:bookmarkStart w:id="251" w:name="_Toc491435634"/>
      <w:r>
        <w:t>Repeated dose toxicity</w:t>
      </w:r>
      <w:bookmarkEnd w:id="249"/>
      <w:bookmarkEnd w:id="250"/>
      <w:bookmarkEnd w:id="251"/>
      <w:r w:rsidRPr="005C33E5">
        <w:t xml:space="preserve"> </w:t>
      </w:r>
    </w:p>
    <w:p w14:paraId="540035D0" w14:textId="77777777" w:rsidR="00542751" w:rsidRPr="005C33E5" w:rsidRDefault="00542751" w:rsidP="00542751">
      <w:pPr>
        <w:pStyle w:val="Heading2"/>
        <w:keepNext w:val="0"/>
        <w:numPr>
          <w:ilvl w:val="2"/>
          <w:numId w:val="31"/>
        </w:numPr>
        <w:jc w:val="both"/>
      </w:pPr>
      <w:bookmarkStart w:id="252" w:name="_Toc486581171"/>
      <w:bookmarkStart w:id="253" w:name="_Toc491431102"/>
      <w:bookmarkStart w:id="254" w:name="_Toc491435635"/>
      <w:r>
        <w:t>K</w:t>
      </w:r>
      <w:r w:rsidRPr="00C468C9">
        <w:t>idney toxicity</w:t>
      </w:r>
      <w:bookmarkEnd w:id="252"/>
      <w:bookmarkEnd w:id="253"/>
      <w:bookmarkEnd w:id="254"/>
    </w:p>
    <w:p w14:paraId="271D4667" w14:textId="77777777" w:rsidR="00542751" w:rsidRPr="003F0F8F" w:rsidRDefault="00542751" w:rsidP="00542751">
      <w:pPr>
        <w:autoSpaceDE w:val="0"/>
        <w:autoSpaceDN w:val="0"/>
        <w:adjustRightInd w:val="0"/>
        <w:jc w:val="both"/>
        <w:rPr>
          <w:rFonts w:cs="TimesNewRomanPSMT"/>
        </w:rPr>
      </w:pPr>
      <w:r w:rsidRPr="003F0F8F">
        <w:t xml:space="preserve">In the EU </w:t>
      </w:r>
      <w:r>
        <w:t>Risk Assessment Report (</w:t>
      </w:r>
      <w:r w:rsidRPr="003F0F8F">
        <w:t>RAR</w:t>
      </w:r>
      <w:r>
        <w:t>)</w:t>
      </w:r>
      <w:r w:rsidRPr="003F0F8F">
        <w:t xml:space="preserve"> of Cd and </w:t>
      </w:r>
      <w:proofErr w:type="spellStart"/>
      <w:r w:rsidRPr="003F0F8F">
        <w:t>CdO</w:t>
      </w:r>
      <w:proofErr w:type="spellEnd"/>
      <w:r w:rsidRPr="003F0F8F">
        <w:t xml:space="preserve"> (ECB </w:t>
      </w:r>
      <w:proofErr w:type="gramStart"/>
      <w:r w:rsidRPr="003F0F8F">
        <w:t>2007)</w:t>
      </w:r>
      <w:proofErr w:type="gramEnd"/>
      <w:r w:rsidRPr="003F0F8F">
        <w:t xml:space="preserve"> it was concluded that </w:t>
      </w:r>
      <w:r w:rsidRPr="003F0F8F">
        <w:rPr>
          <w:rFonts w:cs="TimesNewRomanPSMT"/>
        </w:rPr>
        <w:t xml:space="preserve">there is ample and robust evidence of the nephrotoxic </w:t>
      </w:r>
      <w:r>
        <w:rPr>
          <w:rFonts w:cs="TimesNewRomanPSMT"/>
        </w:rPr>
        <w:t xml:space="preserve">properties </w:t>
      </w:r>
      <w:r w:rsidRPr="003F0F8F">
        <w:rPr>
          <w:rFonts w:cs="TimesNewRomanPSMT"/>
        </w:rPr>
        <w:t>of cadmium.</w:t>
      </w:r>
      <w:r w:rsidRPr="003F0F8F">
        <w:t xml:space="preserve"> </w:t>
      </w:r>
      <w:r w:rsidRPr="003F0F8F">
        <w:rPr>
          <w:rFonts w:cs="TimesNewRomanPSMT"/>
        </w:rPr>
        <w:t xml:space="preserve">The main issue was to define the dose-effect/response relationships as well as the relevance </w:t>
      </w:r>
      <w:r>
        <w:rPr>
          <w:rFonts w:cs="TimesNewRomanPSMT"/>
        </w:rPr>
        <w:t xml:space="preserve">to </w:t>
      </w:r>
      <w:r>
        <w:rPr>
          <w:rFonts w:cs="TimesNewRomanPSMT"/>
        </w:rPr>
        <w:lastRenderedPageBreak/>
        <w:t xml:space="preserve">human health </w:t>
      </w:r>
      <w:r w:rsidRPr="003F0F8F">
        <w:rPr>
          <w:rFonts w:cs="TimesNewRomanPSMT"/>
        </w:rPr>
        <w:t xml:space="preserve">of the endpoints used. For workers occupationally exposed to cadmium (mainly by inhalation), a LOAEL of </w:t>
      </w:r>
      <w:proofErr w:type="gramStart"/>
      <w:r w:rsidRPr="003F0F8F">
        <w:rPr>
          <w:rFonts w:cs="TimesNewRomanPSMT"/>
        </w:rPr>
        <w:t>5</w:t>
      </w:r>
      <w:proofErr w:type="gramEnd"/>
      <w:r w:rsidRPr="003F0F8F">
        <w:rPr>
          <w:rFonts w:cs="TimesNewRomanPSMT"/>
        </w:rPr>
        <w:t xml:space="preserve"> </w:t>
      </w:r>
      <w:proofErr w:type="spellStart"/>
      <w:r w:rsidRPr="003F0F8F">
        <w:rPr>
          <w:rFonts w:cs="TimesNewRomanPSMT"/>
        </w:rPr>
        <w:t>μg</w:t>
      </w:r>
      <w:proofErr w:type="spellEnd"/>
      <w:r w:rsidRPr="003F0F8F">
        <w:rPr>
          <w:rFonts w:cs="TimesNewRomanPSMT"/>
        </w:rPr>
        <w:t xml:space="preserve"> Cd/g creatinine in urine was </w:t>
      </w:r>
      <w:r>
        <w:rPr>
          <w:rFonts w:cs="TimesNewRomanPSMT"/>
        </w:rPr>
        <w:t>derived</w:t>
      </w:r>
      <w:r w:rsidRPr="003F0F8F">
        <w:rPr>
          <w:rFonts w:cs="TimesNewRomanPSMT"/>
        </w:rPr>
        <w:t>. The health significance of this threshold was justified by frequent observation</w:t>
      </w:r>
      <w:r>
        <w:rPr>
          <w:rFonts w:cs="TimesNewRomanPSMT"/>
        </w:rPr>
        <w:t>s</w:t>
      </w:r>
      <w:r w:rsidRPr="003F0F8F">
        <w:rPr>
          <w:rFonts w:cs="TimesNewRomanPSMT"/>
        </w:rPr>
        <w:t xml:space="preserve"> of irreversib</w:t>
      </w:r>
      <w:r>
        <w:rPr>
          <w:rFonts w:cs="TimesNewRomanPSMT"/>
        </w:rPr>
        <w:t>le</w:t>
      </w:r>
      <w:r w:rsidRPr="003F0F8F">
        <w:rPr>
          <w:rFonts w:cs="TimesNewRomanPSMT"/>
        </w:rPr>
        <w:t xml:space="preserve"> tubular changes above this </w:t>
      </w:r>
      <w:r>
        <w:rPr>
          <w:rFonts w:cs="TimesNewRomanPSMT"/>
        </w:rPr>
        <w:t xml:space="preserve">level </w:t>
      </w:r>
      <w:r w:rsidRPr="003F0F8F">
        <w:rPr>
          <w:rFonts w:cs="TimesNewRomanPSMT"/>
        </w:rPr>
        <w:t xml:space="preserve">and its association with </w:t>
      </w:r>
      <w:r>
        <w:rPr>
          <w:rFonts w:cs="TimesNewRomanPSMT"/>
        </w:rPr>
        <w:t xml:space="preserve">additional </w:t>
      </w:r>
      <w:r w:rsidRPr="003F0F8F">
        <w:rPr>
          <w:rFonts w:cs="TimesNewRomanPSMT"/>
        </w:rPr>
        <w:t xml:space="preserve">renal </w:t>
      </w:r>
      <w:r>
        <w:rPr>
          <w:rFonts w:cs="TimesNewRomanPSMT"/>
        </w:rPr>
        <w:t>effects</w:t>
      </w:r>
      <w:r w:rsidRPr="003F0F8F">
        <w:rPr>
          <w:rFonts w:cs="TimesNewRomanPSMT"/>
        </w:rPr>
        <w:t xml:space="preserve">. </w:t>
      </w:r>
      <w:r>
        <w:rPr>
          <w:rFonts w:cs="TimesNewRomanPSMT"/>
        </w:rPr>
        <w:t xml:space="preserve">For the </w:t>
      </w:r>
      <w:r w:rsidRPr="003F0F8F">
        <w:rPr>
          <w:rFonts w:cs="TimesNewRomanPSMT"/>
        </w:rPr>
        <w:t xml:space="preserve">general population exposed </w:t>
      </w:r>
      <w:r>
        <w:rPr>
          <w:rFonts w:cs="TimesNewRomanPSMT"/>
        </w:rPr>
        <w:t xml:space="preserve">to cadmium primarily </w:t>
      </w:r>
      <w:r w:rsidRPr="003F0F8F">
        <w:rPr>
          <w:rFonts w:cs="TimesNewRomanPSMT"/>
        </w:rPr>
        <w:t xml:space="preserve">by the oral route </w:t>
      </w:r>
      <w:r>
        <w:rPr>
          <w:rFonts w:cs="TimesNewRomanPSMT"/>
        </w:rPr>
        <w:t xml:space="preserve">a LOAEL of </w:t>
      </w:r>
      <w:proofErr w:type="gramStart"/>
      <w:r w:rsidRPr="003F0F8F">
        <w:rPr>
          <w:rFonts w:cs="TimesNewRomanPSMT"/>
        </w:rPr>
        <w:t xml:space="preserve">2 </w:t>
      </w:r>
      <w:proofErr w:type="spellStart"/>
      <w:r w:rsidRPr="003F0F8F">
        <w:rPr>
          <w:rFonts w:cs="TimesNewRomanPSMT"/>
        </w:rPr>
        <w:t>μg</w:t>
      </w:r>
      <w:proofErr w:type="spellEnd"/>
      <w:proofErr w:type="gramEnd"/>
      <w:r w:rsidRPr="003F0F8F">
        <w:rPr>
          <w:rFonts w:cs="TimesNewRomanPSMT"/>
        </w:rPr>
        <w:t xml:space="preserve"> Cd/g creatinine in urine</w:t>
      </w:r>
      <w:r>
        <w:rPr>
          <w:rFonts w:cs="TimesNewRomanPSMT"/>
        </w:rPr>
        <w:t xml:space="preserve"> was derived. However, this could </w:t>
      </w:r>
      <w:r w:rsidRPr="003F0F8F">
        <w:rPr>
          <w:rFonts w:cs="TimesNewRomanPSMT"/>
        </w:rPr>
        <w:t xml:space="preserve">be </w:t>
      </w:r>
      <w:r>
        <w:rPr>
          <w:rFonts w:cs="TimesNewRomanPSMT"/>
        </w:rPr>
        <w:t xml:space="preserve">a </w:t>
      </w:r>
      <w:r w:rsidRPr="003F0F8F">
        <w:rPr>
          <w:rFonts w:cs="TimesNewRomanPSMT"/>
        </w:rPr>
        <w:t>consequence of an interaction of Cd exposure with pre-existing or concurrent renal disease. It was emphasi</w:t>
      </w:r>
      <w:r>
        <w:rPr>
          <w:rFonts w:cs="TimesNewRomanPSMT"/>
        </w:rPr>
        <w:t>s</w:t>
      </w:r>
      <w:r w:rsidRPr="003F0F8F">
        <w:rPr>
          <w:rFonts w:cs="TimesNewRomanPSMT"/>
        </w:rPr>
        <w:t xml:space="preserve">ed that the interpretation of the LOAELs and the margin of safety should take into account the long half-life of cadmium and the uncertainties </w:t>
      </w:r>
      <w:r>
        <w:rPr>
          <w:rFonts w:cs="TimesNewRomanPSMT"/>
        </w:rPr>
        <w:t xml:space="preserve">in </w:t>
      </w:r>
      <w:r w:rsidRPr="003F0F8F">
        <w:rPr>
          <w:rFonts w:cs="TimesNewRomanPSMT"/>
        </w:rPr>
        <w:t>the present hazard assessment.</w:t>
      </w:r>
    </w:p>
    <w:p w14:paraId="2922AF17" w14:textId="77777777" w:rsidR="00542751" w:rsidRPr="003F0F8F" w:rsidRDefault="00542751" w:rsidP="00542751">
      <w:pPr>
        <w:autoSpaceDE w:val="0"/>
        <w:autoSpaceDN w:val="0"/>
        <w:adjustRightInd w:val="0"/>
        <w:jc w:val="both"/>
        <w:rPr>
          <w:rFonts w:cs="TimesNewRomanPSMT"/>
        </w:rPr>
      </w:pPr>
    </w:p>
    <w:p w14:paraId="32A3DEBF" w14:textId="77777777" w:rsidR="00542751" w:rsidRPr="001379F0" w:rsidRDefault="00542751" w:rsidP="00542751">
      <w:pPr>
        <w:autoSpaceDE w:val="0"/>
        <w:autoSpaceDN w:val="0"/>
        <w:adjustRightInd w:val="0"/>
        <w:jc w:val="both"/>
      </w:pPr>
      <w:r>
        <w:t>A</w:t>
      </w:r>
      <w:r w:rsidRPr="003F0F8F">
        <w:t xml:space="preserve"> number of studies show significant associations between cadmium in urine and/or blood and markers of impaired kidney function, mostly impaired tubu</w:t>
      </w:r>
      <w:r w:rsidRPr="001379F0">
        <w:t xml:space="preserve">lar function, where the risk starts to increase already below </w:t>
      </w:r>
      <w:proofErr w:type="gramStart"/>
      <w:r w:rsidRPr="001379F0">
        <w:t>1</w:t>
      </w:r>
      <w:proofErr w:type="gramEnd"/>
      <w:r w:rsidRPr="001379F0">
        <w:t xml:space="preserve"> </w:t>
      </w:r>
      <w:proofErr w:type="spellStart"/>
      <w:r w:rsidRPr="001379F0">
        <w:t>μg</w:t>
      </w:r>
      <w:proofErr w:type="spellEnd"/>
      <w:r w:rsidRPr="001379F0">
        <w:t>/g creatinine</w:t>
      </w:r>
      <w:r>
        <w:t xml:space="preserve"> </w:t>
      </w:r>
      <w:r w:rsidRPr="003F0F8F">
        <w:t>(</w:t>
      </w:r>
      <w:r w:rsidRPr="001379F0">
        <w:t>Swedish Chemicals Agency 2011</w:t>
      </w:r>
      <w:r w:rsidRPr="003F0F8F">
        <w:t>)</w:t>
      </w:r>
      <w:r w:rsidRPr="001379F0">
        <w:t xml:space="preserve">. Also impaired glomerular filtration rate </w:t>
      </w:r>
      <w:proofErr w:type="gramStart"/>
      <w:r w:rsidRPr="001379F0">
        <w:t>has been observed</w:t>
      </w:r>
      <w:proofErr w:type="gramEnd"/>
      <w:r w:rsidRPr="001379F0">
        <w:t xml:space="preserve">, the risk of which seems to start at 0.7 to 1.0 </w:t>
      </w:r>
      <w:proofErr w:type="spellStart"/>
      <w:r w:rsidRPr="001379F0">
        <w:t>μg</w:t>
      </w:r>
      <w:proofErr w:type="spellEnd"/>
      <w:r w:rsidRPr="001379F0">
        <w:t>/g creatinine.</w:t>
      </w:r>
    </w:p>
    <w:p w14:paraId="53A5139C" w14:textId="77777777" w:rsidR="00542751" w:rsidRPr="00443198" w:rsidRDefault="00542751" w:rsidP="00542751">
      <w:pPr>
        <w:autoSpaceDE w:val="0"/>
        <w:autoSpaceDN w:val="0"/>
        <w:adjustRightInd w:val="0"/>
        <w:jc w:val="both"/>
      </w:pPr>
    </w:p>
    <w:p w14:paraId="7EEE39C9" w14:textId="77777777" w:rsidR="00542751" w:rsidRPr="00443198" w:rsidRDefault="00542751" w:rsidP="00542751">
      <w:pPr>
        <w:autoSpaceDE w:val="0"/>
        <w:autoSpaceDN w:val="0"/>
        <w:adjustRightInd w:val="0"/>
        <w:jc w:val="both"/>
      </w:pPr>
      <w:r w:rsidRPr="00226EED">
        <w:t xml:space="preserve">A study using data from 5426 subjects in the USA </w:t>
      </w:r>
      <w:r w:rsidRPr="009879B9">
        <w:t xml:space="preserve">(National Health and Nutrition Examination Survey) </w:t>
      </w:r>
      <w:r w:rsidRPr="00443198">
        <w:t xml:space="preserve">revealed that a cadmium concentration ≥ 1 </w:t>
      </w:r>
      <w:proofErr w:type="spellStart"/>
      <w:r w:rsidRPr="00443198">
        <w:t>μg</w:t>
      </w:r>
      <w:proofErr w:type="spellEnd"/>
      <w:r w:rsidRPr="00443198">
        <w:t xml:space="preserve">/g creatinine in urine or ≥ 1 </w:t>
      </w:r>
      <w:proofErr w:type="spellStart"/>
      <w:r w:rsidRPr="00443198">
        <w:t>μg</w:t>
      </w:r>
      <w:proofErr w:type="spellEnd"/>
      <w:r w:rsidRPr="00443198">
        <w:t>/L in blood was associated with statistically significant increased risk of albuminuria</w:t>
      </w:r>
      <w:r>
        <w:t>. T</w:t>
      </w:r>
      <w:r w:rsidRPr="00443198">
        <w:t>he concentration of cadmium in blood</w:t>
      </w:r>
      <w:r>
        <w:t xml:space="preserve">, </w:t>
      </w:r>
      <w:r w:rsidRPr="00443198">
        <w:t>not in urine</w:t>
      </w:r>
      <w:r>
        <w:t>,</w:t>
      </w:r>
      <w:r w:rsidRPr="00443198">
        <w:t xml:space="preserve"> was associated with increased risk of lowered glomerular filtration rates (Ferraro et al, 2010). </w:t>
      </w:r>
    </w:p>
    <w:p w14:paraId="142BC65D" w14:textId="77777777" w:rsidR="00542751" w:rsidRPr="00443198" w:rsidRDefault="00542751" w:rsidP="00542751">
      <w:pPr>
        <w:autoSpaceDE w:val="0"/>
        <w:autoSpaceDN w:val="0"/>
        <w:adjustRightInd w:val="0"/>
        <w:jc w:val="both"/>
      </w:pPr>
    </w:p>
    <w:p w14:paraId="6E659874" w14:textId="77777777" w:rsidR="00542751" w:rsidRDefault="00542751" w:rsidP="00542751">
      <w:pPr>
        <w:autoSpaceDE w:val="0"/>
        <w:autoSpaceDN w:val="0"/>
        <w:adjustRightInd w:val="0"/>
        <w:jc w:val="both"/>
      </w:pPr>
      <w:r>
        <w:t>T</w:t>
      </w:r>
      <w:r w:rsidRPr="00443198">
        <w:t xml:space="preserve">he reported associations </w:t>
      </w:r>
      <w:r>
        <w:t xml:space="preserve">between increased cadmium levels in blood and urine and nephrotoxicity </w:t>
      </w:r>
      <w:r w:rsidRPr="00443198">
        <w:t>represent causal relationships</w:t>
      </w:r>
      <w:r>
        <w:t xml:space="preserve">. This </w:t>
      </w:r>
      <w:proofErr w:type="gramStart"/>
      <w:r w:rsidRPr="00443198">
        <w:t>is supported</w:t>
      </w:r>
      <w:proofErr w:type="gramEnd"/>
      <w:r w:rsidRPr="00443198">
        <w:t xml:space="preserve"> by the fact that associations </w:t>
      </w:r>
      <w:r>
        <w:t xml:space="preserve">have been </w:t>
      </w:r>
      <w:r w:rsidRPr="00443198">
        <w:t xml:space="preserve">observed for several different biomarkers of kidney </w:t>
      </w:r>
      <w:r>
        <w:t>toxicity</w:t>
      </w:r>
      <w:r w:rsidRPr="00443198">
        <w:t xml:space="preserve"> in several different populations, in both men and women. In addition, mechanistic studies support effect</w:t>
      </w:r>
      <w:r>
        <w:t>s</w:t>
      </w:r>
      <w:r w:rsidRPr="00443198">
        <w:t xml:space="preserve"> at low exposure</w:t>
      </w:r>
      <w:r>
        <w:t xml:space="preserve"> levels</w:t>
      </w:r>
      <w:r w:rsidRPr="00443198">
        <w:t>. It should</w:t>
      </w:r>
      <w:r w:rsidRPr="00226EED">
        <w:t xml:space="preserve">, however, be noted that associations between low-molecular-weight proteins and cadmium in urine at </w:t>
      </w:r>
      <w:r w:rsidRPr="00226EED">
        <w:rPr>
          <w:u w:val="single"/>
        </w:rPr>
        <w:t>very low</w:t>
      </w:r>
      <w:r w:rsidRPr="00226EED">
        <w:t xml:space="preserve"> environmental exposure levels should be interpreted with caution, given the unspecific nature of the tubular reabsorption of proteins. The close relationships between low-molecular-weight proteins and cadmium in urine might reflect the inter-individual variations in the tubular reabsorption capacity (Chaumont et al, 2012; </w:t>
      </w:r>
      <w:proofErr w:type="spellStart"/>
      <w:r w:rsidRPr="00226EED">
        <w:t>Åkerström</w:t>
      </w:r>
      <w:proofErr w:type="spellEnd"/>
      <w:r w:rsidRPr="00226EED">
        <w:t xml:space="preserve"> et al, 2013b). Moreover, the clinical significance of slight proteinuria may be limited. Thus, doubts </w:t>
      </w:r>
      <w:proofErr w:type="gramStart"/>
      <w:r w:rsidRPr="00226EED">
        <w:t>have recently been raised</w:t>
      </w:r>
      <w:proofErr w:type="gramEnd"/>
      <w:r w:rsidRPr="00226EED">
        <w:t xml:space="preserve"> regarding the justification of basing the risk assessment on this relationship at very low cadmium exposure. There is however evidence of low-level cadmium exposure causing toxic bone effects, with decrease of bone mineral density, increase of osteoporosis and fractures</w:t>
      </w:r>
      <w:r>
        <w:t xml:space="preserve"> (see section 3)</w:t>
      </w:r>
      <w:r w:rsidRPr="00226EED">
        <w:t>.</w:t>
      </w:r>
    </w:p>
    <w:p w14:paraId="4A967C99" w14:textId="77777777" w:rsidR="00542751" w:rsidRPr="00226EED" w:rsidRDefault="00542751" w:rsidP="00542751">
      <w:pPr>
        <w:autoSpaceDE w:val="0"/>
        <w:autoSpaceDN w:val="0"/>
        <w:adjustRightInd w:val="0"/>
        <w:jc w:val="both"/>
      </w:pPr>
    </w:p>
    <w:p w14:paraId="0A36C723" w14:textId="77777777" w:rsidR="00542751" w:rsidRDefault="00542751" w:rsidP="00542751">
      <w:pPr>
        <w:autoSpaceDE w:val="0"/>
        <w:autoSpaceDN w:val="0"/>
        <w:adjustRightInd w:val="0"/>
        <w:jc w:val="both"/>
        <w:rPr>
          <w:rFonts w:eastAsia="Calibri" w:cs="TimesNewRomanPSMT"/>
        </w:rPr>
      </w:pPr>
      <w:r w:rsidRPr="00226EED">
        <w:rPr>
          <w:rFonts w:eastAsia="Calibri" w:cs="TimesNewRomanPSMT"/>
        </w:rPr>
        <w:t xml:space="preserve">Although there is strong evidence </w:t>
      </w:r>
      <w:r>
        <w:rPr>
          <w:rFonts w:eastAsia="Calibri" w:cs="TimesNewRomanPSMT"/>
        </w:rPr>
        <w:t xml:space="preserve">of </w:t>
      </w:r>
      <w:r w:rsidRPr="00226EED">
        <w:rPr>
          <w:rFonts w:eastAsia="Calibri" w:cs="TimesNewRomanPSMT"/>
        </w:rPr>
        <w:t xml:space="preserve">elevated levels of several biomarkers of renal dysfunction in populations environmentally exposed to cadmium and/or associations between cadmium burden and these biomarkers, there is </w:t>
      </w:r>
      <w:r>
        <w:rPr>
          <w:rFonts w:eastAsia="Calibri" w:cs="TimesNewRomanPSMT"/>
        </w:rPr>
        <w:t>l</w:t>
      </w:r>
      <w:r w:rsidRPr="00226EED">
        <w:rPr>
          <w:rFonts w:eastAsia="Calibri" w:cs="TimesNewRomanPSMT"/>
        </w:rPr>
        <w:t xml:space="preserve">ess agreement about the significance </w:t>
      </w:r>
      <w:r>
        <w:rPr>
          <w:rFonts w:eastAsia="Calibri" w:cs="TimesNewRomanPSMT"/>
        </w:rPr>
        <w:t xml:space="preserve">for human health </w:t>
      </w:r>
      <w:r w:rsidRPr="00226EED">
        <w:rPr>
          <w:rFonts w:eastAsia="Calibri" w:cs="TimesNewRomanPSMT"/>
        </w:rPr>
        <w:t xml:space="preserve">of these changes. </w:t>
      </w:r>
    </w:p>
    <w:p w14:paraId="72823D1D" w14:textId="77777777" w:rsidR="00542751" w:rsidRDefault="00542751" w:rsidP="00542751">
      <w:pPr>
        <w:autoSpaceDE w:val="0"/>
        <w:autoSpaceDN w:val="0"/>
        <w:adjustRightInd w:val="0"/>
        <w:jc w:val="both"/>
        <w:rPr>
          <w:rFonts w:eastAsia="Calibri" w:cs="TimesNewRomanPSMT"/>
        </w:rPr>
      </w:pPr>
    </w:p>
    <w:p w14:paraId="096F729B" w14:textId="77777777" w:rsidR="00542751" w:rsidRDefault="00542751" w:rsidP="00542751">
      <w:pPr>
        <w:autoSpaceDE w:val="0"/>
        <w:autoSpaceDN w:val="0"/>
        <w:adjustRightInd w:val="0"/>
        <w:jc w:val="both"/>
      </w:pPr>
      <w:r w:rsidRPr="00226EED">
        <w:rPr>
          <w:rFonts w:eastAsia="Calibri" w:cs="TimesNewRomanPSMT"/>
        </w:rPr>
        <w:t>Cadmium may also potentiate diabetes-induced effects on the kidney (EFSA 2009).</w:t>
      </w:r>
      <w:r>
        <w:rPr>
          <w:rFonts w:eastAsia="Calibri" w:cs="TimesNewRomanPSMT"/>
        </w:rPr>
        <w:t xml:space="preserve"> </w:t>
      </w:r>
      <w:r w:rsidRPr="00226EED">
        <w:t>There are also indications that environmental and occupational exposures to cadmium affect the development of end-stage renal disease, measured as need for renal replacement therapy (</w:t>
      </w:r>
      <w:proofErr w:type="spellStart"/>
      <w:r w:rsidRPr="00226EED">
        <w:t>Hellström</w:t>
      </w:r>
      <w:proofErr w:type="spellEnd"/>
      <w:r w:rsidRPr="00226EED">
        <w:t xml:space="preserve"> et al. 2001). In a population based prospective case-referent study in Sweden, erythrocyte-Cd tended to be related to an increased risk of end-stage renal disease, but confounding by lead and mercury could partly explain this </w:t>
      </w:r>
      <w:r w:rsidRPr="009275B7">
        <w:t>finding (</w:t>
      </w:r>
      <w:proofErr w:type="spellStart"/>
      <w:r w:rsidRPr="009275B7">
        <w:t>Sommar</w:t>
      </w:r>
      <w:proofErr w:type="spellEnd"/>
      <w:r w:rsidRPr="009275B7">
        <w:t xml:space="preserve"> et al. 2013). </w:t>
      </w:r>
      <w:r>
        <w:t>A recent systematic review of epidemiological studies including associations between cadmium exposure and chronic kidney disease (CKD) on in total 34 exposed groups</w:t>
      </w:r>
      <w:r w:rsidRPr="0056246C">
        <w:t xml:space="preserve"> </w:t>
      </w:r>
      <w:r>
        <w:t xml:space="preserve">with </w:t>
      </w:r>
      <w:r w:rsidRPr="0056246C">
        <w:t>more than 3000 participants</w:t>
      </w:r>
      <w:r>
        <w:t xml:space="preserve"> concluded that there was no </w:t>
      </w:r>
      <w:r w:rsidRPr="0056246C">
        <w:t>convincing evidence supporting a risk of progression to CKD in populations exposed to Cd</w:t>
      </w:r>
      <w:r>
        <w:t xml:space="preserve"> (</w:t>
      </w:r>
      <w:proofErr w:type="spellStart"/>
      <w:r>
        <w:t>Byber</w:t>
      </w:r>
      <w:proofErr w:type="spellEnd"/>
      <w:r>
        <w:t xml:space="preserve"> et al. 2016)</w:t>
      </w:r>
      <w:r w:rsidRPr="0056246C">
        <w:t xml:space="preserve">. </w:t>
      </w:r>
    </w:p>
    <w:p w14:paraId="60734D29" w14:textId="77777777" w:rsidR="00973969" w:rsidRDefault="00973969" w:rsidP="00542751">
      <w:pPr>
        <w:autoSpaceDE w:val="0"/>
        <w:autoSpaceDN w:val="0"/>
        <w:adjustRightInd w:val="0"/>
        <w:jc w:val="both"/>
      </w:pPr>
    </w:p>
    <w:p w14:paraId="138C5B89" w14:textId="77777777" w:rsidR="00542751" w:rsidRPr="005C33E5" w:rsidRDefault="00542751" w:rsidP="00542751">
      <w:pPr>
        <w:autoSpaceDE w:val="0"/>
        <w:autoSpaceDN w:val="0"/>
        <w:adjustRightInd w:val="0"/>
        <w:jc w:val="both"/>
      </w:pPr>
      <w:r>
        <w:t xml:space="preserve"> </w:t>
      </w:r>
    </w:p>
    <w:p w14:paraId="0AA0453B" w14:textId="77777777" w:rsidR="00542751" w:rsidRDefault="00542751" w:rsidP="00542751">
      <w:pPr>
        <w:pStyle w:val="Heading2"/>
        <w:numPr>
          <w:ilvl w:val="2"/>
          <w:numId w:val="31"/>
        </w:numPr>
        <w:jc w:val="both"/>
      </w:pPr>
      <w:bookmarkStart w:id="255" w:name="_Toc486581172"/>
      <w:bookmarkStart w:id="256" w:name="_Toc491431103"/>
      <w:bookmarkStart w:id="257" w:name="_Toc491435636"/>
      <w:r>
        <w:lastRenderedPageBreak/>
        <w:t>B</w:t>
      </w:r>
      <w:r w:rsidRPr="00C468C9">
        <w:t>one toxicity</w:t>
      </w:r>
      <w:bookmarkEnd w:id="255"/>
      <w:bookmarkEnd w:id="256"/>
      <w:bookmarkEnd w:id="257"/>
    </w:p>
    <w:p w14:paraId="418C8D39" w14:textId="77777777" w:rsidR="00542751" w:rsidRDefault="00542751" w:rsidP="00542751">
      <w:pPr>
        <w:pStyle w:val="BodyText"/>
        <w:jc w:val="both"/>
      </w:pPr>
      <w:r>
        <w:t xml:space="preserve">In the EU RAR of Cd and </w:t>
      </w:r>
      <w:proofErr w:type="spellStart"/>
      <w:r>
        <w:t>CdO</w:t>
      </w:r>
      <w:proofErr w:type="spellEnd"/>
      <w:r>
        <w:t xml:space="preserve"> (ECB </w:t>
      </w:r>
      <w:proofErr w:type="gramStart"/>
      <w:r>
        <w:t>2007)</w:t>
      </w:r>
      <w:proofErr w:type="gramEnd"/>
      <w:r>
        <w:t xml:space="preserve"> it was concluded that it is evident that bone tissue is a target organ for general and occupational populations exposed to cadmium. The hazard </w:t>
      </w:r>
      <w:proofErr w:type="gramStart"/>
      <w:r>
        <w:t>was considered</w:t>
      </w:r>
      <w:proofErr w:type="gramEnd"/>
      <w:r>
        <w:t xml:space="preserve"> relatively well identified both in experimental and epidemiological studies. The mechanisms of bone toxicity </w:t>
      </w:r>
      <w:proofErr w:type="gramStart"/>
      <w:r>
        <w:t>is however not fully understood</w:t>
      </w:r>
      <w:proofErr w:type="gramEnd"/>
      <w:r>
        <w:t xml:space="preserve">, and the types of bone lesions associated with cadmium exposure are not clearly identified. </w:t>
      </w:r>
    </w:p>
    <w:p w14:paraId="4812A4AA" w14:textId="77777777" w:rsidR="00542751" w:rsidRDefault="00542751" w:rsidP="00542751">
      <w:pPr>
        <w:pStyle w:val="BodyText"/>
        <w:jc w:val="both"/>
      </w:pPr>
      <w:r>
        <w:t xml:space="preserve">The most severe form of cadmium toxicity is </w:t>
      </w:r>
      <w:proofErr w:type="spellStart"/>
      <w:r>
        <w:t>Itai-itai</w:t>
      </w:r>
      <w:proofErr w:type="spellEnd"/>
      <w:r>
        <w:t xml:space="preserve"> disease, which comprises severe signs of osteoporosis and </w:t>
      </w:r>
      <w:proofErr w:type="spellStart"/>
      <w:r>
        <w:t>osteomalacia</w:t>
      </w:r>
      <w:proofErr w:type="spellEnd"/>
      <w:r>
        <w:t xml:space="preserve"> associated with renal disease in aged women. Osteoporosis is characterised by low bone mass and </w:t>
      </w:r>
      <w:proofErr w:type="spellStart"/>
      <w:r>
        <w:t>microarchitectural</w:t>
      </w:r>
      <w:proofErr w:type="spellEnd"/>
      <w:r>
        <w:t xml:space="preserve"> deterioration of the skeleton, leading to fragility and increased risk of fractures. The disease is silent until the first fracture occurs. Common osteoporotic fractures are those of the hip, spine and forearm. These fractures are a considerable public health problem, causing suffering and a burden to society in terms of cost, morbidity and mortality. Established or suggested risk factors for osteoporosis and fractures are female sex, old age, low body weight, early menopause, family history of osteoporosis, deficiency of vitamin D and calcium, smoking, excessive alcohol consumption, inactivity and certain medical disorders and drugs (</w:t>
      </w:r>
      <w:proofErr w:type="spellStart"/>
      <w:r>
        <w:t>Genant</w:t>
      </w:r>
      <w:proofErr w:type="spellEnd"/>
      <w:r>
        <w:t xml:space="preserve"> et al. 1999, NIH 2001). </w:t>
      </w:r>
    </w:p>
    <w:p w14:paraId="0E43E940" w14:textId="77777777" w:rsidR="00542751" w:rsidRDefault="00542751" w:rsidP="00542751">
      <w:pPr>
        <w:pStyle w:val="BodyText"/>
        <w:jc w:val="both"/>
      </w:pPr>
      <w:r>
        <w:t xml:space="preserve">A risk assessment of cadmium showed a substantially increasing amount of data supporting an association between present cadmium exposure levels in Sweden and increased risk of osteoporosis (Swedish Chemicals Agency 2011). Only a couple of </w:t>
      </w:r>
      <w:proofErr w:type="gramStart"/>
      <w:r>
        <w:t>under-powered</w:t>
      </w:r>
      <w:proofErr w:type="gramEnd"/>
      <w:r>
        <w:t xml:space="preserve"> studies failed to show any association between cadmium and low bone-mineral density, and a few studies were inconclusive. Irrespective of whether the studies employed a decrease in bone mineral density, increased risk of osteoporosis or increased risk of fractures, these changes seem to occur at very low urinary cadmium concentrations. Studies on the Swedish Mammography Cohort (SMC) and the American National Health and Nutrition Examination Survey (NHANES) suggest that a urinary concentration of around 0.5 </w:t>
      </w:r>
      <w:proofErr w:type="spellStart"/>
      <w:r>
        <w:t>μg</w:t>
      </w:r>
      <w:proofErr w:type="spellEnd"/>
      <w:r>
        <w:t xml:space="preserve">/g creatinine is associated with increased risk of osteoporosis and fractures (Swedish Chemicals Agency 2011). There are an increasing amount of data suggesting that the effect of cadmium on bone is independent of kidney damage, and that these effects occur even before kidney damage (Swedish Chemicals Agency 2011). Furthermore, the Swedish Mammography Cohort studies showed very clear increased risk of osteoporosis and fractures even among those who never smoked. This finding suggests that dietary cadmium alone contribute to the risk (Swedish Chemicals Agency 2011; </w:t>
      </w:r>
      <w:proofErr w:type="spellStart"/>
      <w:r>
        <w:t>Engström</w:t>
      </w:r>
      <w:proofErr w:type="spellEnd"/>
      <w:r>
        <w:t xml:space="preserve"> et al. 2012). </w:t>
      </w:r>
    </w:p>
    <w:p w14:paraId="5E57E768" w14:textId="77777777" w:rsidR="00542751" w:rsidRDefault="00542751" w:rsidP="00542751">
      <w:pPr>
        <w:pStyle w:val="BodyText"/>
        <w:jc w:val="both"/>
      </w:pPr>
      <w:r>
        <w:t xml:space="preserve">The most adverse endpoint with respect to effects on bone is a fracture. A study investigating the risk of fractures in relation to biomarkers of cadmium exposure requires a large sample size in order to </w:t>
      </w:r>
      <w:proofErr w:type="gramStart"/>
      <w:r>
        <w:t>be adequately powered</w:t>
      </w:r>
      <w:proofErr w:type="gramEnd"/>
      <w:r>
        <w:t xml:space="preserve">. In these </w:t>
      </w:r>
      <w:proofErr w:type="gramStart"/>
      <w:r>
        <w:t>studies</w:t>
      </w:r>
      <w:proofErr w:type="gramEnd"/>
      <w:r>
        <w:t xml:space="preserve"> the risk is calculated based on comparison of exposure in those who developed a fracture and those who did not. Bone mineral density gives an estimation of the status of the skeleton, but is not the only factor predicting the risk of fractures. Biochemical markers of bone remodelling </w:t>
      </w:r>
      <w:proofErr w:type="gramStart"/>
      <w:r>
        <w:t>are measured</w:t>
      </w:r>
      <w:proofErr w:type="gramEnd"/>
      <w:r>
        <w:t xml:space="preserve"> in serum or urine and give an indication of the activity of the continuously ongoing formation and degradation of bone tissue. Although these markers may increase our understanding of possible mechanisms involved and </w:t>
      </w:r>
      <w:proofErr w:type="gramStart"/>
      <w:r>
        <w:t>may also</w:t>
      </w:r>
      <w:proofErr w:type="gramEnd"/>
      <w:r>
        <w:t xml:space="preserve"> support inference with respect to causality, they cannot independently be used as markers of an adverse effect.</w:t>
      </w:r>
    </w:p>
    <w:p w14:paraId="6D557298" w14:textId="77777777" w:rsidR="00542751" w:rsidRDefault="00542751" w:rsidP="00542751">
      <w:pPr>
        <w:pStyle w:val="BodyText"/>
        <w:jc w:val="both"/>
      </w:pPr>
      <w:r>
        <w:t xml:space="preserve">Whereas several epidemiological studies have observed an association between cadmium and bone mineral density (Swedish Chemicals Agency 2011), only few published studies have so far considered fracture incidence. </w:t>
      </w:r>
    </w:p>
    <w:p w14:paraId="021A2E0E" w14:textId="77777777" w:rsidR="00542751" w:rsidRDefault="00542751" w:rsidP="00542751">
      <w:pPr>
        <w:pStyle w:val="BodyText"/>
        <w:jc w:val="both"/>
      </w:pPr>
      <w:r>
        <w:t xml:space="preserve">In the prospective cohort </w:t>
      </w:r>
      <w:proofErr w:type="spellStart"/>
      <w:r>
        <w:t>CadmiBel</w:t>
      </w:r>
      <w:proofErr w:type="spellEnd"/>
      <w:r>
        <w:t xml:space="preserve"> (Cadmium in Belgium), including 506 subjects, observed risk ratios associated with doubled urinary cadmium concentrations were 1.73 (95% CI 1.16–2.57; P = 0.007) for fractures in women and 1.60 (95% CI 0.94–2.72, P = </w:t>
      </w:r>
      <w:r>
        <w:lastRenderedPageBreak/>
        <w:t xml:space="preserve">0.08) for height loss in men. Similar risk estimates </w:t>
      </w:r>
      <w:proofErr w:type="gramStart"/>
      <w:r>
        <w:t>were observed</w:t>
      </w:r>
      <w:proofErr w:type="gramEnd"/>
      <w:r>
        <w:t xml:space="preserve"> if cadmium concentrations in soil, leek and celery from the relevant districts of residence were used as proxy of cadmium exposure (Swedish Chemicals Agency 2011).</w:t>
      </w:r>
    </w:p>
    <w:p w14:paraId="416573E0" w14:textId="77777777" w:rsidR="00542751" w:rsidRDefault="00542751" w:rsidP="00542751">
      <w:pPr>
        <w:pStyle w:val="BodyText"/>
        <w:jc w:val="both"/>
      </w:pPr>
      <w:r>
        <w:t>In the Swedish OSCAR (</w:t>
      </w:r>
      <w:r w:rsidRPr="005B3AD1">
        <w:t>O</w:t>
      </w:r>
      <w:r>
        <w:t>s</w:t>
      </w:r>
      <w:r w:rsidRPr="005B3AD1">
        <w:t xml:space="preserve">teoporosis </w:t>
      </w:r>
      <w:r>
        <w:t>Ca</w:t>
      </w:r>
      <w:r w:rsidRPr="005B3AD1">
        <w:t xml:space="preserve">dmium as a </w:t>
      </w:r>
      <w:r>
        <w:t>R</w:t>
      </w:r>
      <w:r w:rsidRPr="005B3AD1">
        <w:t>isk factor</w:t>
      </w:r>
      <w:r>
        <w:t xml:space="preserve">) study, fracture incidence </w:t>
      </w:r>
      <w:proofErr w:type="gramStart"/>
      <w:r>
        <w:t>was assessed</w:t>
      </w:r>
      <w:proofErr w:type="gramEnd"/>
      <w:r>
        <w:t xml:space="preserve"> retrospectively. For fractures occurring after the age of 50 years (n = 558, 32 forearm fractures), the fracture hazard ratio, adjusted for sex and other relevant covariates, increased by 18% (95% CI 1.0–38%) per unit urinary cadmium (1 </w:t>
      </w:r>
      <w:proofErr w:type="spellStart"/>
      <w:r>
        <w:t>nmol</w:t>
      </w:r>
      <w:proofErr w:type="spellEnd"/>
      <w:r>
        <w:t>/</w:t>
      </w:r>
      <w:proofErr w:type="spellStart"/>
      <w:r>
        <w:t>mmol</w:t>
      </w:r>
      <w:proofErr w:type="spellEnd"/>
      <w:r>
        <w:t xml:space="preserve"> creatinine; ~ 1 </w:t>
      </w:r>
      <w:proofErr w:type="spellStart"/>
      <w:r>
        <w:t>μg</w:t>
      </w:r>
      <w:proofErr w:type="spellEnd"/>
      <w:r>
        <w:t xml:space="preserve">/g creatinine). When subjects were grouped in exposure categories, the hazard ratio reached 3.5 (90% CI 1.1–11) in the group of subjects with urinary cadmium concentrations between 2 and 4 </w:t>
      </w:r>
      <w:proofErr w:type="spellStart"/>
      <w:r>
        <w:t>nmol</w:t>
      </w:r>
      <w:proofErr w:type="spellEnd"/>
      <w:r>
        <w:t>/</w:t>
      </w:r>
      <w:proofErr w:type="spellStart"/>
      <w:r>
        <w:t>mmol</w:t>
      </w:r>
      <w:proofErr w:type="spellEnd"/>
      <w:r>
        <w:t xml:space="preserve"> creatinine and 8.8 (90% CI 2.6–30) in the group of subjects with urinary cadmium concentrations greater than or equal to </w:t>
      </w:r>
      <w:proofErr w:type="gramStart"/>
      <w:r>
        <w:t>4</w:t>
      </w:r>
      <w:proofErr w:type="gramEnd"/>
      <w:r>
        <w:t xml:space="preserve"> </w:t>
      </w:r>
      <w:proofErr w:type="spellStart"/>
      <w:r>
        <w:t>nmol</w:t>
      </w:r>
      <w:proofErr w:type="spellEnd"/>
      <w:r>
        <w:t>/</w:t>
      </w:r>
      <w:proofErr w:type="spellStart"/>
      <w:r>
        <w:t>mmol</w:t>
      </w:r>
      <w:proofErr w:type="spellEnd"/>
      <w:r>
        <w:t xml:space="preserve"> creatinine (mainly men). The relatively high cadmium exposure in this study </w:t>
      </w:r>
      <w:proofErr w:type="gramStart"/>
      <w:r>
        <w:t>could be attributed</w:t>
      </w:r>
      <w:proofErr w:type="gramEnd"/>
      <w:r>
        <w:t xml:space="preserve"> to the inclusion of workers occupationally exposed to cadmium. Associations between cadmium and fracture risk were absent before the age of 50 (</w:t>
      </w:r>
      <w:proofErr w:type="spellStart"/>
      <w:r>
        <w:t>Alfvén</w:t>
      </w:r>
      <w:proofErr w:type="spellEnd"/>
      <w:r>
        <w:t xml:space="preserve"> et al. 2004).</w:t>
      </w:r>
    </w:p>
    <w:p w14:paraId="6C1B3955" w14:textId="77777777" w:rsidR="00542751" w:rsidRDefault="00542751" w:rsidP="00542751">
      <w:pPr>
        <w:pStyle w:val="BodyText"/>
        <w:jc w:val="both"/>
      </w:pPr>
      <w:r>
        <w:t xml:space="preserve">In the Swedish Mammography Cohort it was shown that for any first fracture (n=395) the odds ratio (OR) was 1.16 (95% CI, 0.89-1.50) when comparing urinary Cd levels of ≥0.5 </w:t>
      </w:r>
      <w:proofErr w:type="spellStart"/>
      <w:r>
        <w:t>μg</w:t>
      </w:r>
      <w:proofErr w:type="spellEnd"/>
      <w:r>
        <w:t>/g creatinine with lower levels. Among never-smokers, the ORs (95% CIs) were 2.03 (1.33-3.09) for any first fracture, 2.06 (1.28-3.32) for first osteoporotic fracture, 2.18 (1.20-3.94) for first distal forearm fracture and 1.89 (1.25-2.85) for multiple incident fractures (</w:t>
      </w:r>
      <w:proofErr w:type="spellStart"/>
      <w:r>
        <w:t>Engström</w:t>
      </w:r>
      <w:proofErr w:type="spellEnd"/>
      <w:r>
        <w:t xml:space="preserve"> et al. 2011). Similar risks </w:t>
      </w:r>
      <w:proofErr w:type="gramStart"/>
      <w:r>
        <w:t>were observed</w:t>
      </w:r>
      <w:proofErr w:type="gramEnd"/>
      <w:r>
        <w:t xml:space="preserve"> when dietary cadmium was used instead of urinary cadmium in the same women. Comparing the women’s dietary cadmium exposure above the median (13 µg Cd/day) to that below the median was associated with OR 1.31 (1.02-1.69) for fractures in all women and OR 1.54 (1.06-2.24) in never smokers. In an analysis where women with both high dietary and high urinary cadmium were contrasted against the women with low exposure, the association with fractures was more pronounced OR 1.46 (1.00-2.15) in all women and 3.05 (1.66-5.59) in never-smokers (</w:t>
      </w:r>
      <w:proofErr w:type="spellStart"/>
      <w:r>
        <w:t>Engström</w:t>
      </w:r>
      <w:proofErr w:type="spellEnd"/>
      <w:r>
        <w:t xml:space="preserve"> et al. 2012). </w:t>
      </w:r>
    </w:p>
    <w:p w14:paraId="6B73645E" w14:textId="77777777" w:rsidR="00542751" w:rsidRDefault="00542751" w:rsidP="00542751">
      <w:pPr>
        <w:pStyle w:val="BodyText"/>
        <w:jc w:val="both"/>
      </w:pPr>
      <w:r>
        <w:t>In a study on 936 men from the Swedish cohort of the Osteoporotic Fractures (</w:t>
      </w:r>
      <w:proofErr w:type="spellStart"/>
      <w:r>
        <w:t>MrOS</w:t>
      </w:r>
      <w:proofErr w:type="spellEnd"/>
      <w:r>
        <w:t>), associations between low-level cadmium exposure, from diet and smoking, and bone mineral density (BMD) and incident fractures in elderly men were examined (</w:t>
      </w:r>
      <w:proofErr w:type="spellStart"/>
      <w:r>
        <w:t>Wallin</w:t>
      </w:r>
      <w:proofErr w:type="spellEnd"/>
      <w:r>
        <w:t xml:space="preserve"> et al. 2015). The result showed significant associations between increasing urinary cadmium (U-Cd) levels and decreasing BMD. In addition, associations </w:t>
      </w:r>
      <w:proofErr w:type="gramStart"/>
      <w:r>
        <w:t>were found</w:t>
      </w:r>
      <w:proofErr w:type="gramEnd"/>
      <w:r>
        <w:t xml:space="preserve"> between increasing U-Cd and incident fractures, especially </w:t>
      </w:r>
      <w:proofErr w:type="spellStart"/>
      <w:r>
        <w:t>nonvertebral</w:t>
      </w:r>
      <w:proofErr w:type="spellEnd"/>
      <w:r>
        <w:t xml:space="preserve"> osteoporosis fractures in the fourth quartile of U-Cd, with hazard ratios of 1.8 to 3.3 in the different models used. U-Cd as a continuous variable was significantly associated with </w:t>
      </w:r>
      <w:proofErr w:type="spellStart"/>
      <w:r>
        <w:t>nonvertebral</w:t>
      </w:r>
      <w:proofErr w:type="spellEnd"/>
      <w:r>
        <w:t xml:space="preserve"> osteoporosis fractures (adjusted hazard ratio 1.3 to 1.4 per mg Cd/g creatinine), also in never-smokers, but not with the other fracture groups (all fractures, hip fractures, vertebral fractures, and other fractures). </w:t>
      </w:r>
    </w:p>
    <w:p w14:paraId="44DE58F8" w14:textId="77777777" w:rsidR="00542751" w:rsidRDefault="00542751" w:rsidP="00542751">
      <w:pPr>
        <w:pStyle w:val="BodyText"/>
        <w:jc w:val="both"/>
      </w:pPr>
      <w:r>
        <w:t xml:space="preserve">In a population-based prospective cohort study on 22 000 </w:t>
      </w:r>
      <w:proofErr w:type="spellStart"/>
      <w:r>
        <w:t>swedish</w:t>
      </w:r>
      <w:proofErr w:type="spellEnd"/>
      <w:r>
        <w:t xml:space="preserve"> men, dietary cadmium was associated with a statistically significant 19 % higher rate of any fracture comparing the highest Cd intake </w:t>
      </w:r>
      <w:proofErr w:type="spellStart"/>
      <w:r>
        <w:t>tertile</w:t>
      </w:r>
      <w:proofErr w:type="spellEnd"/>
      <w:r>
        <w:t xml:space="preserve"> with the lowest </w:t>
      </w:r>
      <w:proofErr w:type="spellStart"/>
      <w:r>
        <w:t>tertile</w:t>
      </w:r>
      <w:proofErr w:type="spellEnd"/>
      <w:r>
        <w:t xml:space="preserve"> (Thomas et al. 2011).</w:t>
      </w:r>
    </w:p>
    <w:p w14:paraId="2107EE73" w14:textId="77777777" w:rsidR="00542751" w:rsidRPr="003C6DC6" w:rsidRDefault="00542751" w:rsidP="00542751">
      <w:pPr>
        <w:pStyle w:val="BodyText"/>
        <w:jc w:val="both"/>
      </w:pPr>
      <w:r>
        <w:t xml:space="preserve">In a study by </w:t>
      </w:r>
      <w:proofErr w:type="spellStart"/>
      <w:r>
        <w:t>Sommar</w:t>
      </w:r>
      <w:proofErr w:type="spellEnd"/>
      <w:r>
        <w:t xml:space="preserve"> et al. (</w:t>
      </w:r>
      <w:proofErr w:type="gramStart"/>
      <w:r>
        <w:t>2013)</w:t>
      </w:r>
      <w:proofErr w:type="gramEnd"/>
      <w:r>
        <w:t xml:space="preserve"> the association between hip fracture risk and cadmium in erythrocytes (</w:t>
      </w:r>
      <w:proofErr w:type="spellStart"/>
      <w:r>
        <w:t>Ery</w:t>
      </w:r>
      <w:proofErr w:type="spellEnd"/>
      <w:r>
        <w:t xml:space="preserve">-Cd) was investigated. Prospective samples from a Swedish biobank </w:t>
      </w:r>
      <w:proofErr w:type="gramStart"/>
      <w:r>
        <w:t>were used</w:t>
      </w:r>
      <w:proofErr w:type="gramEnd"/>
      <w:r>
        <w:t xml:space="preserve"> for 109 individuals who later in life had sustained a low-trauma hip fracture, matched with two controls of the same age and gender. The mean concentration of </w:t>
      </w:r>
      <w:proofErr w:type="spellStart"/>
      <w:r>
        <w:t>Ery</w:t>
      </w:r>
      <w:proofErr w:type="spellEnd"/>
      <w:r>
        <w:t xml:space="preserve">-Cd (±SD) in case samples was 1.3 ± 1.4 versus 0.9 ± 1.0 </w:t>
      </w:r>
      <w:proofErr w:type="spellStart"/>
      <w:r>
        <w:t>μg</w:t>
      </w:r>
      <w:proofErr w:type="spellEnd"/>
      <w:r>
        <w:t xml:space="preserve">/L in controls. The odds ratio (OR) was 1.63 (95 % confidence interval (CI) 1.10-2.42) for suffering a hip fracture for each microgram per </w:t>
      </w:r>
      <w:proofErr w:type="spellStart"/>
      <w:r>
        <w:t>liter</w:t>
      </w:r>
      <w:proofErr w:type="spellEnd"/>
      <w:r>
        <w:t xml:space="preserve"> increase in </w:t>
      </w:r>
      <w:proofErr w:type="spellStart"/>
      <w:r>
        <w:t>Ery</w:t>
      </w:r>
      <w:proofErr w:type="spellEnd"/>
      <w:r>
        <w:t xml:space="preserve">-Cd. However, when </w:t>
      </w:r>
      <w:proofErr w:type="gramStart"/>
      <w:r>
        <w:t>taking smoking into consideration</w:t>
      </w:r>
      <w:proofErr w:type="gramEnd"/>
      <w:r>
        <w:t xml:space="preserve">, neither </w:t>
      </w:r>
      <w:proofErr w:type="spellStart"/>
      <w:r>
        <w:t>Ery</w:t>
      </w:r>
      <w:proofErr w:type="spellEnd"/>
      <w:r>
        <w:t xml:space="preserve">-Cd nor smoking showed a statistically significant increase in fracture risk. Using multiple conditional logistic regression with BMI, height, and smoking, the estimated OR for a 1-μg/L increase in </w:t>
      </w:r>
      <w:proofErr w:type="spellStart"/>
      <w:r>
        <w:t>Ery</w:t>
      </w:r>
      <w:proofErr w:type="spellEnd"/>
      <w:r>
        <w:t xml:space="preserve">-Cd was 1.52 (95 % CI 0.77-2.97). Subgroup </w:t>
      </w:r>
      <w:r>
        <w:lastRenderedPageBreak/>
        <w:t xml:space="preserve">analysis showed an increased fracture risk among women (OR = 1.94, 95 % CI 1.18-3.20, for a 1 </w:t>
      </w:r>
      <w:proofErr w:type="spellStart"/>
      <w:r>
        <w:t>μg</w:t>
      </w:r>
      <w:proofErr w:type="spellEnd"/>
      <w:r>
        <w:t>/L increase), which also remained in the multiple analysis (OR = 3.33, 95 % CI 1.29-8.56).</w:t>
      </w:r>
    </w:p>
    <w:p w14:paraId="485368C6" w14:textId="77777777" w:rsidR="00542751" w:rsidRPr="008A4FDB" w:rsidRDefault="00542751" w:rsidP="00542751">
      <w:pPr>
        <w:pStyle w:val="BodyText"/>
        <w:jc w:val="both"/>
      </w:pPr>
      <w:r>
        <w:t xml:space="preserve">A recent meta-analysis to evaluate the relationship between cadmium exposure and risk of any fracture </w:t>
      </w:r>
      <w:proofErr w:type="gramStart"/>
      <w:r>
        <w:t>were performed</w:t>
      </w:r>
      <w:proofErr w:type="gramEnd"/>
      <w:r>
        <w:t xml:space="preserve"> by Cheng et al. (2016). In total </w:t>
      </w:r>
      <w:proofErr w:type="gramStart"/>
      <w:r>
        <w:t>8</w:t>
      </w:r>
      <w:proofErr w:type="gramEnd"/>
      <w:r>
        <w:t xml:space="preserve"> studies from 1999 – 2014 were included. The result showed that the pooled relative risk of any fracture for the highest versus lowest category of cadmium concentration was 1.30 (95% confidence interval¼ 1.13–1.49). In subgroup analyses, the significant association remained consistent when stratified by study type, geographical region, method of cadmium exposure assessment, and gender. </w:t>
      </w:r>
    </w:p>
    <w:p w14:paraId="42E75A35" w14:textId="77777777" w:rsidR="00542751" w:rsidRPr="00651B0A" w:rsidRDefault="00542751" w:rsidP="00542751">
      <w:pPr>
        <w:pStyle w:val="Heading3"/>
        <w:numPr>
          <w:ilvl w:val="2"/>
          <w:numId w:val="31"/>
        </w:numPr>
        <w:jc w:val="both"/>
      </w:pPr>
      <w:bookmarkStart w:id="258" w:name="_Toc486581173"/>
      <w:bookmarkStart w:id="259" w:name="_Toc491431104"/>
      <w:bookmarkStart w:id="260" w:name="_Toc491435637"/>
      <w:r>
        <w:t>Summary of other effects</w:t>
      </w:r>
      <w:bookmarkEnd w:id="258"/>
      <w:bookmarkEnd w:id="259"/>
      <w:bookmarkEnd w:id="260"/>
    </w:p>
    <w:p w14:paraId="407C7AC5" w14:textId="77777777" w:rsidR="00542751" w:rsidRPr="006033B8" w:rsidRDefault="00542751" w:rsidP="00542751">
      <w:pPr>
        <w:autoSpaceDE w:val="0"/>
        <w:autoSpaceDN w:val="0"/>
        <w:adjustRightInd w:val="0"/>
        <w:jc w:val="both"/>
        <w:rPr>
          <w:rFonts w:eastAsia="Calibri"/>
        </w:rPr>
      </w:pPr>
      <w:r>
        <w:t xml:space="preserve">Cadmium carbonate </w:t>
      </w:r>
      <w:r>
        <w:rPr>
          <w:rFonts w:eastAsia="Calibri"/>
        </w:rPr>
        <w:t xml:space="preserve">have the potential to </w:t>
      </w:r>
      <w:r w:rsidRPr="006033B8">
        <w:rPr>
          <w:rFonts w:eastAsia="Calibri"/>
        </w:rPr>
        <w:t xml:space="preserve">cause many serious health effects in addition to </w:t>
      </w:r>
      <w:r>
        <w:rPr>
          <w:rFonts w:eastAsia="Calibri"/>
        </w:rPr>
        <w:t xml:space="preserve">its </w:t>
      </w:r>
      <w:r w:rsidRPr="006033B8">
        <w:rPr>
          <w:rFonts w:eastAsia="Calibri"/>
        </w:rPr>
        <w:t xml:space="preserve">ability to cause </w:t>
      </w:r>
      <w:r>
        <w:rPr>
          <w:rFonts w:eastAsia="Calibri"/>
        </w:rPr>
        <w:t xml:space="preserve">mutagenicity and </w:t>
      </w:r>
      <w:r w:rsidRPr="006033B8">
        <w:rPr>
          <w:rFonts w:eastAsia="Calibri"/>
        </w:rPr>
        <w:t xml:space="preserve">cancer. </w:t>
      </w:r>
      <w:r w:rsidRPr="000A5B94">
        <w:t xml:space="preserve">Adverse effects on multiple organs after repeated exposure to cadmium, in particular on </w:t>
      </w:r>
      <w:r w:rsidRPr="006033B8">
        <w:rPr>
          <w:b/>
          <w:i/>
        </w:rPr>
        <w:t>kidney</w:t>
      </w:r>
      <w:r w:rsidRPr="000A5B94">
        <w:t xml:space="preserve"> and </w:t>
      </w:r>
      <w:r w:rsidRPr="006033B8">
        <w:rPr>
          <w:b/>
          <w:i/>
        </w:rPr>
        <w:t>bone</w:t>
      </w:r>
      <w:r>
        <w:rPr>
          <w:b/>
          <w:i/>
        </w:rPr>
        <w:t xml:space="preserve"> </w:t>
      </w:r>
      <w:r w:rsidRPr="006033B8">
        <w:rPr>
          <w:i/>
        </w:rPr>
        <w:t>as</w:t>
      </w:r>
      <w:r>
        <w:rPr>
          <w:b/>
          <w:i/>
        </w:rPr>
        <w:t xml:space="preserve"> </w:t>
      </w:r>
      <w:r>
        <w:t>described above</w:t>
      </w:r>
      <w:r w:rsidRPr="000A5B94">
        <w:t xml:space="preserve">, </w:t>
      </w:r>
      <w:r>
        <w:t xml:space="preserve">has </w:t>
      </w:r>
      <w:r w:rsidRPr="000A5B94">
        <w:t xml:space="preserve">motivated the classification </w:t>
      </w:r>
      <w:r>
        <w:t xml:space="preserve">of cadmium </w:t>
      </w:r>
      <w:r w:rsidRPr="000A5B94">
        <w:t>as STOT RE Category 1</w:t>
      </w:r>
      <w:r>
        <w:t xml:space="preserve">. </w:t>
      </w:r>
      <w:proofErr w:type="gramStart"/>
      <w:r>
        <w:t xml:space="preserve">It is in </w:t>
      </w:r>
      <w:r w:rsidRPr="000A5B94">
        <w:t xml:space="preserve">particular </w:t>
      </w:r>
      <w:r>
        <w:t xml:space="preserve">these </w:t>
      </w:r>
      <w:r w:rsidRPr="000A5B94">
        <w:t>effects on kidney and bone that</w:t>
      </w:r>
      <w:proofErr w:type="gramEnd"/>
      <w:r w:rsidRPr="000A5B94">
        <w:t xml:space="preserve"> justify </w:t>
      </w:r>
      <w:r>
        <w:t xml:space="preserve">cadmium to be regarded as a substance of </w:t>
      </w:r>
      <w:r w:rsidRPr="000A5B94">
        <w:t>equivalent level of concern</w:t>
      </w:r>
      <w:r>
        <w:t xml:space="preserve"> (article 57f)</w:t>
      </w:r>
      <w:r w:rsidRPr="000A5B94">
        <w:t>.</w:t>
      </w:r>
      <w:r w:rsidRPr="006033B8">
        <w:rPr>
          <w:rFonts w:eastAsia="Calibri"/>
        </w:rPr>
        <w:t xml:space="preserve"> </w:t>
      </w:r>
    </w:p>
    <w:p w14:paraId="3B6E62A7" w14:textId="77777777" w:rsidR="00960955" w:rsidRPr="00100AB6" w:rsidRDefault="00960955" w:rsidP="00295E9B">
      <w:pPr>
        <w:pStyle w:val="BodyText"/>
        <w:jc w:val="both"/>
      </w:pPr>
    </w:p>
    <w:p w14:paraId="2D181B9C" w14:textId="58690024" w:rsidR="00B12C39" w:rsidRPr="00E45915" w:rsidRDefault="00B12C39" w:rsidP="00E45915">
      <w:pPr>
        <w:pStyle w:val="Heading1"/>
      </w:pPr>
      <w:bookmarkStart w:id="261" w:name="_Toc341888586"/>
      <w:bookmarkStart w:id="262" w:name="_Toc342400447"/>
      <w:bookmarkStart w:id="263" w:name="_Toc354499624"/>
      <w:bookmarkStart w:id="264" w:name="_Toc357083699"/>
      <w:bookmarkStart w:id="265" w:name="_Toc357184248"/>
      <w:bookmarkStart w:id="266" w:name="_Toc357184484"/>
      <w:bookmarkStart w:id="267" w:name="_Toc357185286"/>
      <w:bookmarkStart w:id="268" w:name="_Toc357186134"/>
      <w:bookmarkStart w:id="269" w:name="_Toc357186283"/>
      <w:bookmarkStart w:id="270" w:name="_Toc357437569"/>
      <w:bookmarkStart w:id="271" w:name="_Toc357590842"/>
      <w:bookmarkStart w:id="272" w:name="_Toc357692874"/>
      <w:bookmarkStart w:id="273" w:name="_Toc365649702"/>
      <w:bookmarkStart w:id="274" w:name="_Toc365649851"/>
      <w:bookmarkStart w:id="275" w:name="_Toc366489903"/>
      <w:bookmarkStart w:id="276" w:name="_Toc418506055"/>
      <w:bookmarkStart w:id="277" w:name="_Toc491435638"/>
      <w:r w:rsidRPr="00E45915">
        <w:rPr>
          <w:rStyle w:val="Heading1Char"/>
          <w:b/>
        </w:rPr>
        <w:t>Environmental hazard assessment</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31431271" w14:textId="6802B479" w:rsidR="00B12C39" w:rsidRDefault="00B12C39" w:rsidP="00B12C39">
      <w:pPr>
        <w:pStyle w:val="NormalItalic"/>
        <w:rPr>
          <w:i w:val="0"/>
        </w:rPr>
      </w:pPr>
      <w:r w:rsidRPr="00163684">
        <w:rPr>
          <w:i w:val="0"/>
        </w:rPr>
        <w:t>Not relevant for the identification of the substance as SVHC in accordance with Article 57</w:t>
      </w:r>
      <w:r w:rsidR="00E42790">
        <w:rPr>
          <w:i w:val="0"/>
        </w:rPr>
        <w:t xml:space="preserve"> </w:t>
      </w:r>
      <w:r w:rsidR="003D7802">
        <w:rPr>
          <w:i w:val="0"/>
        </w:rPr>
        <w:t xml:space="preserve">points </w:t>
      </w:r>
      <w:r w:rsidR="003D36EB" w:rsidRPr="00D01C7C">
        <w:rPr>
          <w:i w:val="0"/>
        </w:rPr>
        <w:t>(a) to</w:t>
      </w:r>
      <w:r w:rsidR="00683E2D" w:rsidRPr="00D01C7C">
        <w:rPr>
          <w:i w:val="0"/>
        </w:rPr>
        <w:t xml:space="preserve"> (c) </w:t>
      </w:r>
      <w:r w:rsidR="008D1892" w:rsidRPr="00D01C7C">
        <w:rPr>
          <w:i w:val="0"/>
        </w:rPr>
        <w:t xml:space="preserve">and, in this case, </w:t>
      </w:r>
      <w:r w:rsidR="003D36EB" w:rsidRPr="00D01C7C">
        <w:rPr>
          <w:i w:val="0"/>
        </w:rPr>
        <w:t>(</w:t>
      </w:r>
      <w:r w:rsidR="00205E7E" w:rsidRPr="00D01C7C">
        <w:rPr>
          <w:i w:val="0"/>
        </w:rPr>
        <w:t>f</w:t>
      </w:r>
      <w:r w:rsidR="003D36EB" w:rsidRPr="00D01C7C">
        <w:rPr>
          <w:i w:val="0"/>
        </w:rPr>
        <w:t>)</w:t>
      </w:r>
      <w:r w:rsidR="00694799">
        <w:rPr>
          <w:i w:val="0"/>
        </w:rPr>
        <w:t xml:space="preserve"> of</w:t>
      </w:r>
      <w:r w:rsidR="003D36EB">
        <w:rPr>
          <w:i w:val="0"/>
        </w:rPr>
        <w:t xml:space="preserve"> </w:t>
      </w:r>
      <w:r w:rsidR="003D7802">
        <w:rPr>
          <w:i w:val="0"/>
        </w:rPr>
        <w:t>REACH</w:t>
      </w:r>
      <w:r w:rsidR="003D7802" w:rsidRPr="00E42790">
        <w:rPr>
          <w:i w:val="0"/>
        </w:rPr>
        <w:t>.</w:t>
      </w:r>
    </w:p>
    <w:p w14:paraId="4AD277EC" w14:textId="77777777" w:rsidR="008D4AA9" w:rsidRDefault="008D4AA9" w:rsidP="00B12C39">
      <w:pPr>
        <w:pStyle w:val="NormalItalic"/>
        <w:rPr>
          <w:i w:val="0"/>
        </w:rPr>
      </w:pPr>
    </w:p>
    <w:p w14:paraId="2D783A09" w14:textId="06DF41D9" w:rsidR="00B12C39" w:rsidRDefault="00B12C39" w:rsidP="002D3F8E">
      <w:pPr>
        <w:pStyle w:val="Heading1"/>
        <w:spacing w:before="240"/>
      </w:pPr>
      <w:bookmarkStart w:id="278" w:name="_Toc341888610"/>
      <w:bookmarkStart w:id="279" w:name="_Toc342400470"/>
      <w:bookmarkStart w:id="280" w:name="_Toc354499642"/>
      <w:bookmarkStart w:id="281" w:name="_Toc357083717"/>
      <w:bookmarkStart w:id="282" w:name="_Toc357184266"/>
      <w:bookmarkStart w:id="283" w:name="_Toc357184502"/>
      <w:bookmarkStart w:id="284" w:name="_Toc357185304"/>
      <w:bookmarkStart w:id="285" w:name="_Toc357186152"/>
      <w:bookmarkStart w:id="286" w:name="_Toc357186301"/>
      <w:bookmarkStart w:id="287" w:name="_Toc357437587"/>
      <w:bookmarkStart w:id="288" w:name="_Toc357590860"/>
      <w:bookmarkStart w:id="289" w:name="_Toc357692892"/>
      <w:bookmarkStart w:id="290" w:name="_Toc365649718"/>
      <w:bookmarkStart w:id="291" w:name="_Toc365649867"/>
      <w:bookmarkStart w:id="292" w:name="_Toc366489919"/>
      <w:bookmarkStart w:id="293" w:name="_Toc418498623"/>
      <w:bookmarkStart w:id="294" w:name="_Toc418506078"/>
      <w:bookmarkStart w:id="295" w:name="_Toc491435639"/>
      <w:r>
        <w:t>Conclusions on the SVHC Properties</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785734D9" w14:textId="77777777" w:rsidR="00B12C39" w:rsidRPr="00E45915" w:rsidRDefault="00E45915" w:rsidP="00E45915">
      <w:pPr>
        <w:pStyle w:val="Heading2"/>
      </w:pPr>
      <w:bookmarkStart w:id="296" w:name="_Toc354499643"/>
      <w:bookmarkStart w:id="297" w:name="_Toc357083718"/>
      <w:bookmarkStart w:id="298" w:name="_Toc357184267"/>
      <w:bookmarkStart w:id="299" w:name="_Toc357184503"/>
      <w:bookmarkStart w:id="300" w:name="_Toc357185305"/>
      <w:bookmarkStart w:id="301" w:name="_Toc357186153"/>
      <w:bookmarkStart w:id="302" w:name="_Toc357186302"/>
      <w:bookmarkStart w:id="303" w:name="_Toc357437588"/>
      <w:bookmarkStart w:id="304" w:name="_Toc357590861"/>
      <w:bookmarkStart w:id="305" w:name="_Toc357692893"/>
      <w:bookmarkStart w:id="306" w:name="_Toc365649719"/>
      <w:bookmarkStart w:id="307" w:name="_Toc365649868"/>
      <w:bookmarkStart w:id="308" w:name="_Toc366489920"/>
      <w:bookmarkStart w:id="309" w:name="_Toc418498624"/>
      <w:bookmarkStart w:id="310" w:name="_Toc418506079"/>
      <w:bookmarkStart w:id="311" w:name="_Toc491435640"/>
      <w:r>
        <w:t xml:space="preserve">6.1 </w:t>
      </w:r>
      <w:r w:rsidR="00B12C39" w:rsidRPr="00E45915">
        <w:t>CMR assessment</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3789E2F2" w14:textId="77777777" w:rsidR="00487686" w:rsidRPr="001957A4" w:rsidRDefault="00487686" w:rsidP="00487686">
      <w:pPr>
        <w:widowControl/>
        <w:spacing w:after="180"/>
        <w:jc w:val="both"/>
        <w:rPr>
          <w:rStyle w:val="Strong"/>
          <w:i/>
        </w:rPr>
      </w:pPr>
      <w:r w:rsidRPr="001957A4">
        <w:rPr>
          <w:rStyle w:val="Strong"/>
          <w:i/>
        </w:rPr>
        <w:t>Carcinogen 1B</w:t>
      </w:r>
      <w:r>
        <w:rPr>
          <w:rStyle w:val="Strong"/>
          <w:i/>
        </w:rPr>
        <w:t xml:space="preserve"> – 57(a)</w:t>
      </w:r>
    </w:p>
    <w:p w14:paraId="6293B9A8" w14:textId="7C46483E" w:rsidR="00E55DE1" w:rsidRPr="001C24B3" w:rsidRDefault="001C73E1" w:rsidP="00E55DE1">
      <w:pPr>
        <w:widowControl/>
        <w:spacing w:after="180"/>
        <w:jc w:val="both"/>
        <w:rPr>
          <w:szCs w:val="24"/>
          <w:lang w:eastAsia="en-US"/>
        </w:rPr>
      </w:pPr>
      <w:r>
        <w:rPr>
          <w:szCs w:val="24"/>
          <w:lang w:eastAsia="en-US"/>
        </w:rPr>
        <w:t>Cadmium hydroxide</w:t>
      </w:r>
      <w:r w:rsidR="00E55DE1" w:rsidRPr="00626669">
        <w:rPr>
          <w:szCs w:val="24"/>
          <w:lang w:eastAsia="en-US"/>
        </w:rPr>
        <w:t xml:space="preserve"> is covered by </w:t>
      </w:r>
      <w:r w:rsidR="00487686">
        <w:rPr>
          <w:szCs w:val="24"/>
          <w:lang w:eastAsia="en-US"/>
        </w:rPr>
        <w:t>I</w:t>
      </w:r>
      <w:r w:rsidR="00E55DE1" w:rsidRPr="00626669">
        <w:rPr>
          <w:szCs w:val="24"/>
          <w:lang w:eastAsia="en-US"/>
        </w:rPr>
        <w:t xml:space="preserve">ndex number </w:t>
      </w:r>
      <w:r w:rsidR="008D4AA9" w:rsidRPr="008D4AA9">
        <w:rPr>
          <w:szCs w:val="24"/>
          <w:lang w:eastAsia="en-US"/>
        </w:rPr>
        <w:t>048-013-00-0</w:t>
      </w:r>
      <w:r w:rsidR="008D4AA9">
        <w:rPr>
          <w:szCs w:val="24"/>
          <w:lang w:eastAsia="en-US"/>
        </w:rPr>
        <w:t xml:space="preserve"> </w:t>
      </w:r>
      <w:r w:rsidR="003740C1">
        <w:t>of Regulation (EC) No 1272/2008 in Annex VI, part 3, Table 3.1 (the list of harmonised classification and labelling of hazardous substances) and</w:t>
      </w:r>
      <w:r w:rsidR="00E55DE1">
        <w:rPr>
          <w:szCs w:val="24"/>
          <w:lang w:eastAsia="en-US"/>
        </w:rPr>
        <w:t xml:space="preserve"> it is classified in</w:t>
      </w:r>
      <w:r w:rsidR="00E55DE1">
        <w:t xml:space="preserve"> the hazard class</w:t>
      </w:r>
      <w:r w:rsidR="00E55DE1" w:rsidRPr="003909BD">
        <w:t xml:space="preserve"> </w:t>
      </w:r>
      <w:r w:rsidR="00E55DE1" w:rsidRPr="00626669">
        <w:rPr>
          <w:szCs w:val="24"/>
          <w:lang w:eastAsia="en-US"/>
        </w:rPr>
        <w:t>carcinogen</w:t>
      </w:r>
      <w:r w:rsidR="00E55DE1">
        <w:rPr>
          <w:szCs w:val="24"/>
          <w:lang w:eastAsia="en-US"/>
        </w:rPr>
        <w:t>icity</w:t>
      </w:r>
      <w:r w:rsidR="00E55DE1" w:rsidRPr="00626669">
        <w:rPr>
          <w:szCs w:val="24"/>
          <w:lang w:eastAsia="en-US"/>
        </w:rPr>
        <w:t xml:space="preserve"> </w:t>
      </w:r>
      <w:r w:rsidR="00E55DE1" w:rsidRPr="001C24B3">
        <w:t xml:space="preserve">category </w:t>
      </w:r>
      <w:r w:rsidR="00E55DE1" w:rsidRPr="001C24B3">
        <w:rPr>
          <w:szCs w:val="24"/>
          <w:lang w:eastAsia="en-US"/>
        </w:rPr>
        <w:t xml:space="preserve">1B (hazard statement H350: “May cause cancer”). </w:t>
      </w:r>
    </w:p>
    <w:p w14:paraId="3BCABA41" w14:textId="77777777" w:rsidR="00487686" w:rsidRDefault="00487686" w:rsidP="00487686">
      <w:pPr>
        <w:jc w:val="both"/>
        <w:rPr>
          <w:lang w:eastAsia="en-US"/>
        </w:rPr>
      </w:pPr>
      <w:r w:rsidRPr="00626669">
        <w:rPr>
          <w:lang w:eastAsia="en-US"/>
        </w:rPr>
        <w:t xml:space="preserve">Therefore, this classification of the substance in Regulation (EC) No 1272/2008 shows that it meets the criteria for classification </w:t>
      </w:r>
      <w:r>
        <w:t>in the hazard class</w:t>
      </w:r>
      <w:r>
        <w:rPr>
          <w:lang w:eastAsia="en-US"/>
        </w:rPr>
        <w:t xml:space="preserve">: </w:t>
      </w:r>
    </w:p>
    <w:p w14:paraId="6B5820E8" w14:textId="77777777" w:rsidR="00487686" w:rsidRDefault="00487686" w:rsidP="00487686">
      <w:pPr>
        <w:jc w:val="both"/>
        <w:rPr>
          <w:lang w:eastAsia="en-US"/>
        </w:rPr>
      </w:pPr>
    </w:p>
    <w:p w14:paraId="2EF3678F" w14:textId="77777777" w:rsidR="00487686" w:rsidRDefault="00487686" w:rsidP="00487686">
      <w:pPr>
        <w:numPr>
          <w:ilvl w:val="0"/>
          <w:numId w:val="27"/>
        </w:numPr>
        <w:jc w:val="both"/>
        <w:rPr>
          <w:lang w:eastAsia="en-US"/>
        </w:rPr>
      </w:pPr>
      <w:r w:rsidRPr="00626669">
        <w:rPr>
          <w:lang w:eastAsia="en-US"/>
        </w:rPr>
        <w:t>Carcinogen</w:t>
      </w:r>
      <w:r>
        <w:rPr>
          <w:lang w:eastAsia="en-US"/>
        </w:rPr>
        <w:t xml:space="preserve">icity </w:t>
      </w:r>
      <w:r>
        <w:t>category 1</w:t>
      </w:r>
      <w:r w:rsidRPr="003909BD">
        <w:t>B</w:t>
      </w:r>
      <w:r>
        <w:rPr>
          <w:lang w:eastAsia="en-US"/>
        </w:rPr>
        <w:t xml:space="preserve"> in accordance with Article 57</w:t>
      </w:r>
      <w:r w:rsidRPr="00626669">
        <w:rPr>
          <w:lang w:eastAsia="en-US"/>
        </w:rPr>
        <w:t>(a)</w:t>
      </w:r>
      <w:r w:rsidRPr="001723D9">
        <w:rPr>
          <w:lang w:eastAsia="en-US"/>
        </w:rPr>
        <w:t xml:space="preserve"> </w:t>
      </w:r>
      <w:r w:rsidRPr="00626669">
        <w:rPr>
          <w:lang w:eastAsia="en-US"/>
        </w:rPr>
        <w:t>of REACH</w:t>
      </w:r>
      <w:r>
        <w:rPr>
          <w:lang w:eastAsia="en-US"/>
        </w:rPr>
        <w:t>.</w:t>
      </w:r>
    </w:p>
    <w:p w14:paraId="4E22F0C6" w14:textId="286EDBB4" w:rsidR="00487686" w:rsidRDefault="00487686" w:rsidP="00E55DE1">
      <w:pPr>
        <w:widowControl/>
        <w:spacing w:after="180"/>
        <w:jc w:val="both"/>
        <w:rPr>
          <w:szCs w:val="24"/>
          <w:lang w:eastAsia="en-US"/>
        </w:rPr>
      </w:pPr>
    </w:p>
    <w:p w14:paraId="3FEF5784" w14:textId="0548649B" w:rsidR="00487686" w:rsidRPr="00487686" w:rsidRDefault="00487686" w:rsidP="00E55DE1">
      <w:pPr>
        <w:widowControl/>
        <w:spacing w:after="180"/>
        <w:jc w:val="both"/>
        <w:rPr>
          <w:b/>
          <w:bCs/>
          <w:i/>
        </w:rPr>
      </w:pPr>
      <w:r>
        <w:rPr>
          <w:rStyle w:val="Strong"/>
          <w:i/>
        </w:rPr>
        <w:t>Mutagen</w:t>
      </w:r>
      <w:r w:rsidRPr="001957A4">
        <w:rPr>
          <w:rStyle w:val="Strong"/>
          <w:i/>
        </w:rPr>
        <w:t xml:space="preserve"> 1B</w:t>
      </w:r>
      <w:r>
        <w:rPr>
          <w:rStyle w:val="Strong"/>
          <w:i/>
        </w:rPr>
        <w:t xml:space="preserve"> – 57(b)</w:t>
      </w:r>
    </w:p>
    <w:p w14:paraId="58465904" w14:textId="6D84BB96" w:rsidR="00E55DE1" w:rsidRDefault="001C73E1" w:rsidP="00E55DE1">
      <w:pPr>
        <w:widowControl/>
        <w:spacing w:after="180"/>
        <w:jc w:val="both"/>
        <w:rPr>
          <w:szCs w:val="24"/>
          <w:lang w:eastAsia="en-US"/>
        </w:rPr>
      </w:pPr>
      <w:r>
        <w:rPr>
          <w:szCs w:val="24"/>
          <w:lang w:eastAsia="en-US"/>
        </w:rPr>
        <w:t>Cadmium hydroxide</w:t>
      </w:r>
      <w:r w:rsidR="001C24B3" w:rsidRPr="001C24B3">
        <w:rPr>
          <w:szCs w:val="24"/>
          <w:lang w:eastAsia="en-US"/>
        </w:rPr>
        <w:t xml:space="preserve"> is covered by </w:t>
      </w:r>
      <w:r w:rsidR="00487686">
        <w:rPr>
          <w:szCs w:val="24"/>
          <w:lang w:eastAsia="en-US"/>
        </w:rPr>
        <w:t>I</w:t>
      </w:r>
      <w:r w:rsidR="001C24B3" w:rsidRPr="001C24B3">
        <w:rPr>
          <w:szCs w:val="24"/>
          <w:lang w:eastAsia="en-US"/>
        </w:rPr>
        <w:t xml:space="preserve">ndex number </w:t>
      </w:r>
      <w:r w:rsidR="008D4AA9" w:rsidRPr="008D4AA9">
        <w:rPr>
          <w:szCs w:val="24"/>
          <w:lang w:eastAsia="en-US"/>
        </w:rPr>
        <w:t>048-013-00-0</w:t>
      </w:r>
      <w:r w:rsidR="008D4AA9">
        <w:rPr>
          <w:szCs w:val="24"/>
          <w:lang w:eastAsia="en-US"/>
        </w:rPr>
        <w:t xml:space="preserve"> </w:t>
      </w:r>
      <w:r w:rsidR="003740C1" w:rsidRPr="001C24B3">
        <w:t>of Regulation (EC) No 1272/2008 in Annex VI, part 3, Table 3.1 (the list of harmonised classification and labelling of hazardous substances) and</w:t>
      </w:r>
      <w:r w:rsidR="00E55DE1" w:rsidRPr="001C24B3">
        <w:rPr>
          <w:szCs w:val="24"/>
          <w:lang w:eastAsia="en-US"/>
        </w:rPr>
        <w:t xml:space="preserve"> it is classified </w:t>
      </w:r>
      <w:r w:rsidR="00E55DE1" w:rsidRPr="001C24B3">
        <w:t xml:space="preserve">in the hazard class germ cell mutagenicity category </w:t>
      </w:r>
      <w:r w:rsidR="00E55DE1" w:rsidRPr="001C24B3">
        <w:rPr>
          <w:szCs w:val="24"/>
          <w:lang w:eastAsia="en-US"/>
        </w:rPr>
        <w:t xml:space="preserve"> 1B (hazard</w:t>
      </w:r>
      <w:r w:rsidR="00E55DE1">
        <w:rPr>
          <w:szCs w:val="24"/>
          <w:lang w:eastAsia="en-US"/>
        </w:rPr>
        <w:t xml:space="preserve"> statement </w:t>
      </w:r>
      <w:r w:rsidR="00E55DE1" w:rsidRPr="00626669">
        <w:rPr>
          <w:szCs w:val="24"/>
          <w:lang w:eastAsia="en-US"/>
        </w:rPr>
        <w:t xml:space="preserve">H340: “May cause genetic defects”). </w:t>
      </w:r>
    </w:p>
    <w:p w14:paraId="168D196F" w14:textId="22EE4A06" w:rsidR="007A25BC" w:rsidRDefault="007A25BC" w:rsidP="007A25BC">
      <w:pPr>
        <w:jc w:val="both"/>
        <w:rPr>
          <w:lang w:eastAsia="en-US"/>
        </w:rPr>
      </w:pPr>
      <w:r w:rsidRPr="00626669">
        <w:rPr>
          <w:lang w:eastAsia="en-US"/>
        </w:rPr>
        <w:t xml:space="preserve">Therefore, this classification of the substance in Regulation (EC) No 1272/2008 shows that it meets the criteria for classification </w:t>
      </w:r>
      <w:r w:rsidR="00F17301">
        <w:rPr>
          <w:lang w:eastAsia="en-US"/>
        </w:rPr>
        <w:t>in the hazard class</w:t>
      </w:r>
      <w:r>
        <w:rPr>
          <w:lang w:eastAsia="en-US"/>
        </w:rPr>
        <w:t>:</w:t>
      </w:r>
    </w:p>
    <w:p w14:paraId="3E157DD5" w14:textId="77777777" w:rsidR="007A25BC" w:rsidRDefault="007A25BC" w:rsidP="007A25BC">
      <w:pPr>
        <w:jc w:val="both"/>
        <w:rPr>
          <w:lang w:eastAsia="en-US"/>
        </w:rPr>
      </w:pPr>
    </w:p>
    <w:p w14:paraId="5F8E861F" w14:textId="77777777" w:rsidR="00487686" w:rsidRDefault="00487686" w:rsidP="00487686">
      <w:pPr>
        <w:numPr>
          <w:ilvl w:val="0"/>
          <w:numId w:val="27"/>
        </w:numPr>
        <w:jc w:val="both"/>
        <w:rPr>
          <w:lang w:eastAsia="en-US"/>
        </w:rPr>
      </w:pPr>
      <w:r>
        <w:rPr>
          <w:lang w:eastAsia="en-US"/>
        </w:rPr>
        <w:t xml:space="preserve">Germ cell </w:t>
      </w:r>
      <w:r w:rsidRPr="00626669">
        <w:rPr>
          <w:lang w:eastAsia="en-US"/>
        </w:rPr>
        <w:t>mutagen</w:t>
      </w:r>
      <w:r>
        <w:rPr>
          <w:lang w:eastAsia="en-US"/>
        </w:rPr>
        <w:t>icity</w:t>
      </w:r>
      <w:r w:rsidRPr="00626669">
        <w:rPr>
          <w:lang w:eastAsia="en-US"/>
        </w:rPr>
        <w:t xml:space="preserve"> </w:t>
      </w:r>
      <w:r>
        <w:t>category 1</w:t>
      </w:r>
      <w:r w:rsidRPr="003909BD">
        <w:t>B</w:t>
      </w:r>
      <w:r>
        <w:rPr>
          <w:lang w:eastAsia="en-US"/>
        </w:rPr>
        <w:t xml:space="preserve"> in accordance with Article 57</w:t>
      </w:r>
      <w:r w:rsidRPr="00626669">
        <w:rPr>
          <w:lang w:eastAsia="en-US"/>
        </w:rPr>
        <w:t>(b)</w:t>
      </w:r>
      <w:r w:rsidRPr="001723D9">
        <w:rPr>
          <w:lang w:eastAsia="en-US"/>
        </w:rPr>
        <w:t xml:space="preserve"> </w:t>
      </w:r>
      <w:r w:rsidRPr="00626669">
        <w:rPr>
          <w:lang w:eastAsia="en-US"/>
        </w:rPr>
        <w:t>of REACH</w:t>
      </w:r>
      <w:r>
        <w:rPr>
          <w:lang w:eastAsia="en-US"/>
        </w:rPr>
        <w:t>.</w:t>
      </w:r>
      <w:r w:rsidRPr="00626669">
        <w:rPr>
          <w:lang w:eastAsia="en-US"/>
        </w:rPr>
        <w:t xml:space="preserve"> </w:t>
      </w:r>
    </w:p>
    <w:p w14:paraId="797EAAEF" w14:textId="77777777" w:rsidR="007A25BC" w:rsidRDefault="007A25BC" w:rsidP="007A25BC">
      <w:pPr>
        <w:jc w:val="both"/>
        <w:rPr>
          <w:lang w:eastAsia="en-US"/>
        </w:rPr>
      </w:pPr>
    </w:p>
    <w:p w14:paraId="15DF6AAC" w14:textId="0A749044" w:rsidR="00B12C39" w:rsidRDefault="00E45915" w:rsidP="00E45915">
      <w:pPr>
        <w:pStyle w:val="Heading2"/>
      </w:pPr>
      <w:bookmarkStart w:id="312" w:name="_Toc341888611"/>
      <w:bookmarkStart w:id="313" w:name="_Toc342400471"/>
      <w:bookmarkStart w:id="314" w:name="_Toc354499644"/>
      <w:bookmarkStart w:id="315" w:name="_Toc357083719"/>
      <w:bookmarkStart w:id="316" w:name="_Toc357184268"/>
      <w:bookmarkStart w:id="317" w:name="_Toc357184504"/>
      <w:bookmarkStart w:id="318" w:name="_Toc357185306"/>
      <w:bookmarkStart w:id="319" w:name="_Toc357186154"/>
      <w:bookmarkStart w:id="320" w:name="_Toc357186303"/>
      <w:bookmarkStart w:id="321" w:name="_Toc357437589"/>
      <w:bookmarkStart w:id="322" w:name="_Toc357590862"/>
      <w:bookmarkStart w:id="323" w:name="_Toc357692894"/>
      <w:bookmarkStart w:id="324" w:name="_Toc365649720"/>
      <w:bookmarkStart w:id="325" w:name="_Toc365649869"/>
      <w:bookmarkStart w:id="326" w:name="_Toc366489921"/>
      <w:bookmarkStart w:id="327" w:name="_Toc418498625"/>
      <w:bookmarkStart w:id="328" w:name="_Toc418506080"/>
      <w:bookmarkStart w:id="329" w:name="_Toc491435641"/>
      <w:r>
        <w:t xml:space="preserve">6.2 </w:t>
      </w:r>
      <w:r w:rsidR="00B12C39" w:rsidRPr="00E45915">
        <w:t xml:space="preserve">PBT and </w:t>
      </w:r>
      <w:proofErr w:type="spellStart"/>
      <w:r w:rsidR="00B12C39" w:rsidRPr="00E45915">
        <w:t>vPvB</w:t>
      </w:r>
      <w:proofErr w:type="spellEnd"/>
      <w:r w:rsidR="00B12C39" w:rsidRPr="00E45915">
        <w:t xml:space="preserve"> assessment</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1F746F59" w14:textId="5A6AE2A2" w:rsidR="005D0D99" w:rsidRDefault="005D0D99" w:rsidP="005D0D99">
      <w:pPr>
        <w:pStyle w:val="NormalItalic"/>
        <w:rPr>
          <w:i w:val="0"/>
        </w:rPr>
      </w:pPr>
      <w:r w:rsidRPr="00163684">
        <w:rPr>
          <w:i w:val="0"/>
        </w:rPr>
        <w:t>Not relevant for the identification of the substance as SVHC in accordance with Article 57</w:t>
      </w:r>
      <w:r>
        <w:rPr>
          <w:i w:val="0"/>
        </w:rPr>
        <w:t xml:space="preserve"> points </w:t>
      </w:r>
      <w:r w:rsidRPr="00D01C7C">
        <w:rPr>
          <w:i w:val="0"/>
        </w:rPr>
        <w:t>(a) to (c) and, in this case, (f)</w:t>
      </w:r>
      <w:r>
        <w:rPr>
          <w:i w:val="0"/>
        </w:rPr>
        <w:t xml:space="preserve"> </w:t>
      </w:r>
      <w:r w:rsidR="00487686">
        <w:rPr>
          <w:i w:val="0"/>
        </w:rPr>
        <w:t xml:space="preserve">of </w:t>
      </w:r>
      <w:r>
        <w:rPr>
          <w:i w:val="0"/>
        </w:rPr>
        <w:t>REACH</w:t>
      </w:r>
      <w:r w:rsidRPr="00E42790">
        <w:rPr>
          <w:i w:val="0"/>
        </w:rPr>
        <w:t>.</w:t>
      </w:r>
    </w:p>
    <w:p w14:paraId="72A5C97B" w14:textId="77777777" w:rsidR="00BF78CF" w:rsidRPr="00E42790" w:rsidRDefault="00BF78CF" w:rsidP="00E42790">
      <w:pPr>
        <w:widowControl/>
        <w:autoSpaceDE w:val="0"/>
        <w:autoSpaceDN w:val="0"/>
        <w:adjustRightInd w:val="0"/>
        <w:jc w:val="both"/>
        <w:rPr>
          <w:rFonts w:cs="Verdana"/>
          <w:lang w:eastAsia="en-GB"/>
        </w:rPr>
      </w:pPr>
    </w:p>
    <w:p w14:paraId="5D2F6C77" w14:textId="77777777" w:rsidR="00B12C39" w:rsidRDefault="009A5369" w:rsidP="009A5369">
      <w:pPr>
        <w:pStyle w:val="Heading2"/>
      </w:pPr>
      <w:bookmarkStart w:id="330" w:name="_Toc341888618"/>
      <w:bookmarkStart w:id="331" w:name="_Toc342400478"/>
      <w:bookmarkStart w:id="332" w:name="_Toc354499647"/>
      <w:bookmarkStart w:id="333" w:name="_Toc357083725"/>
      <w:bookmarkStart w:id="334" w:name="_Toc357184271"/>
      <w:bookmarkStart w:id="335" w:name="_Toc357184507"/>
      <w:bookmarkStart w:id="336" w:name="_Toc357185309"/>
      <w:bookmarkStart w:id="337" w:name="_Toc357186157"/>
      <w:bookmarkStart w:id="338" w:name="_Toc357186306"/>
      <w:bookmarkStart w:id="339" w:name="_Toc357437592"/>
      <w:bookmarkStart w:id="340" w:name="_Toc357590865"/>
      <w:bookmarkStart w:id="341" w:name="_Toc357692897"/>
      <w:bookmarkStart w:id="342" w:name="_Toc365649723"/>
      <w:bookmarkStart w:id="343" w:name="_Toc365649872"/>
      <w:bookmarkStart w:id="344" w:name="_Toc366489924"/>
      <w:bookmarkStart w:id="345" w:name="_Toc418498628"/>
      <w:bookmarkStart w:id="346" w:name="_Toc418506083"/>
      <w:bookmarkStart w:id="347" w:name="_Toc491435642"/>
      <w:r>
        <w:t xml:space="preserve">6.3 </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00061796" w:rsidRPr="00061796">
        <w:t>Assessment under Article 57(f)</w:t>
      </w:r>
      <w:bookmarkEnd w:id="347"/>
    </w:p>
    <w:p w14:paraId="3FAFE633" w14:textId="77777777" w:rsidR="008F3F84" w:rsidRDefault="008F3F84" w:rsidP="004703C8">
      <w:pPr>
        <w:pStyle w:val="Heading3"/>
        <w:numPr>
          <w:ilvl w:val="0"/>
          <w:numId w:val="0"/>
        </w:numPr>
        <w:ind w:left="2127" w:hanging="2127"/>
      </w:pPr>
      <w:bookmarkStart w:id="348" w:name="_Toc357437593"/>
      <w:bookmarkStart w:id="349" w:name="_Toc357590866"/>
      <w:bookmarkStart w:id="350" w:name="_Toc357692898"/>
      <w:bookmarkStart w:id="351" w:name="_Toc365649724"/>
      <w:bookmarkStart w:id="352" w:name="_Toc365649873"/>
      <w:bookmarkStart w:id="353" w:name="_Toc366489925"/>
      <w:bookmarkStart w:id="354" w:name="_Toc418498629"/>
      <w:bookmarkStart w:id="355" w:name="_Toc418506084"/>
      <w:bookmarkStart w:id="356" w:name="_Toc491435643"/>
      <w:r>
        <w:t xml:space="preserve">6.3.1 Summary of the data </w:t>
      </w:r>
      <w:r w:rsidR="00B468C9">
        <w:t>on the hazardous properties</w:t>
      </w:r>
      <w:bookmarkEnd w:id="348"/>
      <w:bookmarkEnd w:id="349"/>
      <w:bookmarkEnd w:id="350"/>
      <w:bookmarkEnd w:id="351"/>
      <w:bookmarkEnd w:id="352"/>
      <w:bookmarkEnd w:id="353"/>
      <w:bookmarkEnd w:id="354"/>
      <w:bookmarkEnd w:id="355"/>
      <w:bookmarkEnd w:id="356"/>
    </w:p>
    <w:p w14:paraId="7B3F8D1A" w14:textId="001D8327" w:rsidR="00275EAE" w:rsidRPr="00275EAE" w:rsidRDefault="001C73E1" w:rsidP="008F3F84">
      <w:pPr>
        <w:pStyle w:val="NormalItalic"/>
        <w:rPr>
          <w:i w:val="0"/>
        </w:rPr>
      </w:pPr>
      <w:r>
        <w:rPr>
          <w:i w:val="0"/>
        </w:rPr>
        <w:t>Cadmium hydroxide</w:t>
      </w:r>
      <w:r w:rsidR="00275EAE">
        <w:rPr>
          <w:i w:val="0"/>
        </w:rPr>
        <w:t xml:space="preserve"> </w:t>
      </w:r>
      <w:r w:rsidR="008D1892">
        <w:rPr>
          <w:i w:val="0"/>
        </w:rPr>
        <w:t>has a harmonised classification</w:t>
      </w:r>
      <w:r w:rsidR="00275EAE">
        <w:rPr>
          <w:i w:val="0"/>
        </w:rPr>
        <w:t xml:space="preserve"> as </w:t>
      </w:r>
      <w:r w:rsidR="00275EAE" w:rsidRPr="00275EAE">
        <w:rPr>
          <w:i w:val="0"/>
        </w:rPr>
        <w:t>STOT RE</w:t>
      </w:r>
      <w:r w:rsidR="00275EAE">
        <w:rPr>
          <w:i w:val="0"/>
        </w:rPr>
        <w:t xml:space="preserve"> </w:t>
      </w:r>
      <w:r w:rsidR="00275EAE" w:rsidRPr="00275EAE">
        <w:rPr>
          <w:i w:val="0"/>
        </w:rPr>
        <w:t xml:space="preserve">1 (hazard statement H372: Causes damage to organs through prolonged or repeated exposure). </w:t>
      </w:r>
      <w:proofErr w:type="gramStart"/>
      <w:r>
        <w:rPr>
          <w:i w:val="0"/>
        </w:rPr>
        <w:t>Cadmium hydroxide</w:t>
      </w:r>
      <w:r w:rsidR="00275EAE" w:rsidRPr="00275EAE">
        <w:rPr>
          <w:i w:val="0"/>
        </w:rPr>
        <w:t xml:space="preserve"> is</w:t>
      </w:r>
      <w:r w:rsidR="00673080">
        <w:rPr>
          <w:i w:val="0"/>
        </w:rPr>
        <w:t xml:space="preserve"> proposed to be</w:t>
      </w:r>
      <w:bookmarkStart w:id="357" w:name="_GoBack"/>
      <w:bookmarkEnd w:id="357"/>
      <w:r w:rsidR="00275EAE" w:rsidRPr="00275EAE">
        <w:rPr>
          <w:i w:val="0"/>
        </w:rPr>
        <w:t xml:space="preserve"> identified as a substance of very high concern in accordance with Article 57(f) of Regulation (EC) 1907/2006 (REACH) because it is a substance with adverse effects on multiple organs after prolonged exposure, in particular </w:t>
      </w:r>
      <w:r w:rsidR="00275EAE" w:rsidRPr="00275EAE">
        <w:rPr>
          <w:b/>
        </w:rPr>
        <w:t>kidney</w:t>
      </w:r>
      <w:r w:rsidR="00275EAE" w:rsidRPr="00275EAE">
        <w:rPr>
          <w:i w:val="0"/>
        </w:rPr>
        <w:t xml:space="preserve"> and </w:t>
      </w:r>
      <w:r w:rsidR="00275EAE" w:rsidRPr="00275EAE">
        <w:rPr>
          <w:b/>
        </w:rPr>
        <w:t>bone</w:t>
      </w:r>
      <w:r w:rsidR="00275EAE" w:rsidRPr="00275EAE">
        <w:rPr>
          <w:i w:val="0"/>
        </w:rPr>
        <w:t>, for which there is scientific evidence of probable serious effects to human health which gives rise to an equivalent level of concern to those substances listed in points (a) to (</w:t>
      </w:r>
      <w:r w:rsidR="00CC3523">
        <w:rPr>
          <w:i w:val="0"/>
        </w:rPr>
        <w:t>e</w:t>
      </w:r>
      <w:r w:rsidR="00275EAE" w:rsidRPr="00275EAE">
        <w:rPr>
          <w:i w:val="0"/>
        </w:rPr>
        <w:t>) of Article 57 of REACH.</w:t>
      </w:r>
      <w:proofErr w:type="gramEnd"/>
    </w:p>
    <w:p w14:paraId="6CBB3FE7" w14:textId="77777777" w:rsidR="008F3F84" w:rsidRDefault="008F3F84" w:rsidP="004703C8">
      <w:pPr>
        <w:pStyle w:val="Heading3"/>
        <w:numPr>
          <w:ilvl w:val="0"/>
          <w:numId w:val="0"/>
        </w:numPr>
      </w:pPr>
      <w:bookmarkStart w:id="358" w:name="_Toc357437594"/>
      <w:bookmarkStart w:id="359" w:name="_Toc357590867"/>
      <w:bookmarkStart w:id="360" w:name="_Toc357692899"/>
      <w:bookmarkStart w:id="361" w:name="_Toc365649725"/>
      <w:bookmarkStart w:id="362" w:name="_Toc365649874"/>
      <w:bookmarkStart w:id="363" w:name="_Toc366489926"/>
      <w:bookmarkStart w:id="364" w:name="_Toc418498630"/>
      <w:bookmarkStart w:id="365" w:name="_Toc418506085"/>
      <w:bookmarkStart w:id="366" w:name="_Toc491435644"/>
      <w:r>
        <w:t>6.3.2 E</w:t>
      </w:r>
      <w:r w:rsidRPr="001A60CE">
        <w:t>quivalent level of concern assessment</w:t>
      </w:r>
      <w:bookmarkEnd w:id="358"/>
      <w:bookmarkEnd w:id="359"/>
      <w:bookmarkEnd w:id="360"/>
      <w:bookmarkEnd w:id="361"/>
      <w:bookmarkEnd w:id="362"/>
      <w:bookmarkEnd w:id="363"/>
      <w:bookmarkEnd w:id="364"/>
      <w:bookmarkEnd w:id="365"/>
      <w:bookmarkEnd w:id="366"/>
    </w:p>
    <w:p w14:paraId="09426204" w14:textId="77777777" w:rsidR="00ED0C73" w:rsidRDefault="00ED0C73" w:rsidP="00ED0C73">
      <w:pPr>
        <w:pStyle w:val="Heading4"/>
        <w:numPr>
          <w:ilvl w:val="0"/>
          <w:numId w:val="0"/>
        </w:numPr>
      </w:pPr>
      <w:r>
        <w:t>6.3.2.1 Human health</w:t>
      </w:r>
    </w:p>
    <w:p w14:paraId="52B6F4DD" w14:textId="35A1DFD8" w:rsidR="006538DF" w:rsidRPr="00487686" w:rsidRDefault="006538DF" w:rsidP="008D4AA9">
      <w:pPr>
        <w:jc w:val="both"/>
        <w:rPr>
          <w:rStyle w:val="Strong"/>
          <w:b w:val="0"/>
          <w:bCs/>
        </w:rPr>
      </w:pPr>
      <w:r w:rsidRPr="00487686">
        <w:rPr>
          <w:rStyle w:val="Strong"/>
          <w:b w:val="0"/>
          <w:bCs/>
        </w:rPr>
        <w:t>Where the equivalent level of concern relates to a human health effect, the key information in the report should be summarised taking into account</w:t>
      </w:r>
      <w:r w:rsidR="00A74769" w:rsidRPr="00487686">
        <w:rPr>
          <w:rStyle w:val="Strong"/>
          <w:b w:val="0"/>
          <w:bCs/>
        </w:rPr>
        <w:t>,</w:t>
      </w:r>
      <w:r w:rsidRPr="00487686">
        <w:rPr>
          <w:rStyle w:val="Strong"/>
          <w:b w:val="0"/>
          <w:bCs/>
        </w:rPr>
        <w:t xml:space="preserve"> </w:t>
      </w:r>
      <w:r w:rsidR="00A74769" w:rsidRPr="00487686">
        <w:rPr>
          <w:rStyle w:val="Strong"/>
          <w:b w:val="0"/>
          <w:bCs/>
        </w:rPr>
        <w:t xml:space="preserve">where relevant, </w:t>
      </w:r>
      <w:r w:rsidRPr="00487686">
        <w:rPr>
          <w:rStyle w:val="Strong"/>
          <w:b w:val="0"/>
          <w:bCs/>
        </w:rPr>
        <w:t>the following (non-exhaustive) list of discussion points:</w:t>
      </w:r>
    </w:p>
    <w:p w14:paraId="4FDCB214" w14:textId="1E15377D" w:rsidR="006538DF" w:rsidRPr="00925A33" w:rsidRDefault="006538DF" w:rsidP="008D4AA9">
      <w:pPr>
        <w:ind w:left="360"/>
        <w:jc w:val="both"/>
        <w:rPr>
          <w:rStyle w:val="Strong"/>
          <w:b w:val="0"/>
          <w:bCs/>
          <w:i/>
        </w:rPr>
      </w:pPr>
    </w:p>
    <w:p w14:paraId="60A88367" w14:textId="37D3497D" w:rsidR="006538DF" w:rsidRPr="00487686" w:rsidRDefault="006538DF" w:rsidP="008D4AA9">
      <w:pPr>
        <w:widowControl/>
        <w:numPr>
          <w:ilvl w:val="1"/>
          <w:numId w:val="8"/>
        </w:numPr>
        <w:ind w:left="360"/>
        <w:jc w:val="both"/>
      </w:pPr>
      <w:r w:rsidRPr="00487686">
        <w:t>Health effects:</w:t>
      </w:r>
    </w:p>
    <w:p w14:paraId="3BC5F3F7" w14:textId="2AEEB2E7" w:rsidR="006538DF" w:rsidRPr="00487686" w:rsidRDefault="006538DF" w:rsidP="008D4AA9">
      <w:pPr>
        <w:widowControl/>
        <w:numPr>
          <w:ilvl w:val="2"/>
          <w:numId w:val="8"/>
        </w:numPr>
        <w:ind w:left="1080"/>
        <w:jc w:val="both"/>
      </w:pPr>
      <w:r w:rsidRPr="00487686">
        <w:t xml:space="preserve">Type </w:t>
      </w:r>
      <w:r w:rsidR="00270DA9" w:rsidRPr="00487686">
        <w:t xml:space="preserve">and potential severity </w:t>
      </w:r>
      <w:r w:rsidRPr="00487686">
        <w:t>of possible health effects</w:t>
      </w:r>
    </w:p>
    <w:p w14:paraId="342D13A3" w14:textId="225218FE" w:rsidR="006538DF" w:rsidRPr="00487686" w:rsidRDefault="006538DF" w:rsidP="008D4AA9">
      <w:pPr>
        <w:widowControl/>
        <w:numPr>
          <w:ilvl w:val="2"/>
          <w:numId w:val="9"/>
        </w:numPr>
        <w:ind w:left="1080"/>
        <w:jc w:val="both"/>
      </w:pPr>
      <w:r w:rsidRPr="00487686">
        <w:t>Irreversibility of health effects</w:t>
      </w:r>
    </w:p>
    <w:p w14:paraId="405723F0" w14:textId="42959048" w:rsidR="006538DF" w:rsidRPr="00487686" w:rsidRDefault="006538DF" w:rsidP="008D4AA9">
      <w:pPr>
        <w:widowControl/>
        <w:numPr>
          <w:ilvl w:val="2"/>
          <w:numId w:val="9"/>
        </w:numPr>
        <w:ind w:left="1080"/>
        <w:jc w:val="both"/>
      </w:pPr>
      <w:r w:rsidRPr="00487686">
        <w:t>Delay of health effects</w:t>
      </w:r>
    </w:p>
    <w:p w14:paraId="6A0A9237" w14:textId="7ECCE2FC" w:rsidR="006538DF" w:rsidRPr="00487686" w:rsidRDefault="006538DF" w:rsidP="008D4AA9">
      <w:pPr>
        <w:widowControl/>
        <w:numPr>
          <w:ilvl w:val="1"/>
          <w:numId w:val="8"/>
        </w:numPr>
        <w:ind w:left="360"/>
        <w:jc w:val="both"/>
      </w:pPr>
      <w:r w:rsidRPr="00487686">
        <w:t xml:space="preserve">Other factors: </w:t>
      </w:r>
    </w:p>
    <w:p w14:paraId="329834A1" w14:textId="1151F96D" w:rsidR="006538DF" w:rsidRPr="00487686" w:rsidRDefault="006538DF" w:rsidP="008D4AA9">
      <w:pPr>
        <w:widowControl/>
        <w:numPr>
          <w:ilvl w:val="2"/>
          <w:numId w:val="10"/>
        </w:numPr>
        <w:ind w:left="1080"/>
        <w:jc w:val="both"/>
      </w:pPr>
      <w:r w:rsidRPr="00487686">
        <w:t>Quality of life affected</w:t>
      </w:r>
    </w:p>
    <w:p w14:paraId="1427C681" w14:textId="10DA8C2A" w:rsidR="006538DF" w:rsidRPr="00487686" w:rsidRDefault="006538DF" w:rsidP="008D4AA9">
      <w:pPr>
        <w:widowControl/>
        <w:numPr>
          <w:ilvl w:val="2"/>
          <w:numId w:val="10"/>
        </w:numPr>
        <w:ind w:left="1080"/>
        <w:jc w:val="both"/>
      </w:pPr>
      <w:r w:rsidRPr="00487686">
        <w:t>Societal concern</w:t>
      </w:r>
    </w:p>
    <w:p w14:paraId="4E10041B" w14:textId="16A47018" w:rsidR="00621A45" w:rsidRPr="00487686" w:rsidRDefault="006538DF" w:rsidP="008D4AA9">
      <w:pPr>
        <w:widowControl/>
        <w:numPr>
          <w:ilvl w:val="2"/>
          <w:numId w:val="10"/>
        </w:numPr>
        <w:ind w:left="1080"/>
        <w:jc w:val="both"/>
      </w:pPr>
      <w:r w:rsidRPr="00487686">
        <w:t>Is derivation of a ‘safe concentration’ possible?</w:t>
      </w:r>
    </w:p>
    <w:p w14:paraId="6515E5D1" w14:textId="1E38FBC3" w:rsidR="00621A45" w:rsidRDefault="00621A45" w:rsidP="008D4AA9">
      <w:pPr>
        <w:widowControl/>
        <w:jc w:val="both"/>
        <w:rPr>
          <w:i/>
        </w:rPr>
      </w:pPr>
    </w:p>
    <w:p w14:paraId="04DA8C2D" w14:textId="6253A934" w:rsidR="00621A45" w:rsidRPr="00A515D1" w:rsidRDefault="00621A45" w:rsidP="008D4AA9">
      <w:pPr>
        <w:pStyle w:val="BodyText"/>
        <w:jc w:val="both"/>
      </w:pPr>
      <w:r>
        <w:t xml:space="preserve">Since the toxic effects of all cadmium compounds </w:t>
      </w:r>
      <w:proofErr w:type="gramStart"/>
      <w:r>
        <w:t>are caused</w:t>
      </w:r>
      <w:proofErr w:type="gramEnd"/>
      <w:r>
        <w:t xml:space="preserve"> by the cadmium ion, the conclusions for “cadmium” are relevant for </w:t>
      </w:r>
      <w:r w:rsidR="001C73E1">
        <w:t>cadmium hydroxide</w:t>
      </w:r>
      <w:r>
        <w:t xml:space="preserve">. </w:t>
      </w:r>
    </w:p>
    <w:p w14:paraId="4F405DC8" w14:textId="77777777" w:rsidR="00621A45" w:rsidRPr="00865565" w:rsidRDefault="00621A45" w:rsidP="008D4AA9">
      <w:pPr>
        <w:autoSpaceDE w:val="0"/>
        <w:autoSpaceDN w:val="0"/>
        <w:adjustRightInd w:val="0"/>
        <w:jc w:val="both"/>
      </w:pPr>
      <w:r w:rsidRPr="00865565">
        <w:t xml:space="preserve">A significant part of the European population </w:t>
      </w:r>
      <w:proofErr w:type="gramStart"/>
      <w:r w:rsidRPr="00865565">
        <w:t>is today exposed</w:t>
      </w:r>
      <w:proofErr w:type="gramEnd"/>
      <w:r w:rsidRPr="00865565">
        <w:t xml:space="preserve"> to levels of cadmium </w:t>
      </w:r>
      <w:r>
        <w:t xml:space="preserve">(originating from cadmium metal and cadmium compounds) </w:t>
      </w:r>
      <w:r w:rsidRPr="00865565">
        <w:t xml:space="preserve">that may cause effects on kidney and bone. In non-smokers, food is the main intake route and it is therefore important to reduce all input of cadmium to foodstuff. </w:t>
      </w:r>
      <w:r>
        <w:t>D</w:t>
      </w:r>
      <w:r w:rsidRPr="00865565">
        <w:t>eposition from air</w:t>
      </w:r>
      <w:r>
        <w:t xml:space="preserve"> is an important source to the input of cadmium to soil and</w:t>
      </w:r>
      <w:r w:rsidRPr="00865565">
        <w:t xml:space="preserve"> </w:t>
      </w:r>
      <w:proofErr w:type="gramStart"/>
      <w:r w:rsidRPr="00865565">
        <w:t xml:space="preserve">must </w:t>
      </w:r>
      <w:r>
        <w:t xml:space="preserve">therefore </w:t>
      </w:r>
      <w:r w:rsidRPr="00865565">
        <w:t>be reduced</w:t>
      </w:r>
      <w:proofErr w:type="gramEnd"/>
      <w:r>
        <w:t>. I</w:t>
      </w:r>
      <w:r w:rsidRPr="00865565">
        <w:t xml:space="preserve">n order to achieve this all uses of cadmium and cadmium compounds </w:t>
      </w:r>
      <w:proofErr w:type="gramStart"/>
      <w:r w:rsidRPr="00865565">
        <w:t>should, wherever possible, be substituted</w:t>
      </w:r>
      <w:proofErr w:type="gramEnd"/>
      <w:r w:rsidRPr="00865565">
        <w:t xml:space="preserve">. </w:t>
      </w:r>
    </w:p>
    <w:p w14:paraId="735AADC6" w14:textId="77777777" w:rsidR="00621A45" w:rsidRDefault="00621A45" w:rsidP="008D4AA9">
      <w:pPr>
        <w:jc w:val="both"/>
      </w:pPr>
    </w:p>
    <w:p w14:paraId="78C98940" w14:textId="3BD8DDE3" w:rsidR="00621A45" w:rsidRPr="00716740" w:rsidRDefault="00621A45" w:rsidP="00F2493B">
      <w:pPr>
        <w:jc w:val="both"/>
      </w:pPr>
      <w:r>
        <w:t>Almost 30</w:t>
      </w:r>
      <w:r w:rsidRPr="00D27DE7">
        <w:t xml:space="preserve"> years </w:t>
      </w:r>
      <w:proofErr w:type="gramStart"/>
      <w:r w:rsidRPr="00D27DE7">
        <w:t>ago</w:t>
      </w:r>
      <w:proofErr w:type="gramEnd"/>
      <w:r w:rsidRPr="00D27DE7">
        <w:t xml:space="preserve"> it was acknowledged within </w:t>
      </w:r>
      <w:r w:rsidR="00875A43">
        <w:t xml:space="preserve">the </w:t>
      </w:r>
      <w:r w:rsidRPr="00D27DE7">
        <w:t xml:space="preserve">EU that cadmium exposure </w:t>
      </w:r>
      <w:r w:rsidRPr="000A5B94">
        <w:t xml:space="preserve">constitutes a problem for human health and the environment and new action should be taken at Community level </w:t>
      </w:r>
      <w:r w:rsidRPr="00716740">
        <w:t>to control and reduce cadmium pollution</w:t>
      </w:r>
      <w:r w:rsidRPr="009F554D">
        <w:t xml:space="preserve"> (Council Resolution 1988</w:t>
      </w:r>
      <w:r>
        <w:t xml:space="preserve">). </w:t>
      </w:r>
      <w:r w:rsidRPr="00716740">
        <w:t>Major elements of the strategy for cadmium control in the interests of the protection of human health and the environment included for example:</w:t>
      </w:r>
    </w:p>
    <w:p w14:paraId="667D038F" w14:textId="77777777" w:rsidR="00043751" w:rsidRDefault="00043751" w:rsidP="008D4AA9">
      <w:pPr>
        <w:pStyle w:val="ListParagraph"/>
        <w:numPr>
          <w:ilvl w:val="0"/>
          <w:numId w:val="20"/>
        </w:numPr>
        <w:jc w:val="both"/>
        <w:rPr>
          <w:rFonts w:cs="Verdana"/>
          <w:lang w:eastAsia="en-GB"/>
        </w:rPr>
      </w:pPr>
      <w:r w:rsidRPr="006D2A34">
        <w:rPr>
          <w:rFonts w:cs="Verdana"/>
          <w:lang w:eastAsia="en-GB"/>
        </w:rPr>
        <w:t xml:space="preserve">limitation of the uses of cadmium to cases where suitable alternatives do not exist; </w:t>
      </w:r>
    </w:p>
    <w:p w14:paraId="64FE67ED" w14:textId="28A21EAE" w:rsidR="00043751" w:rsidRDefault="00043751" w:rsidP="008D4AA9">
      <w:pPr>
        <w:pStyle w:val="ListParagraph"/>
        <w:numPr>
          <w:ilvl w:val="0"/>
          <w:numId w:val="20"/>
        </w:numPr>
        <w:jc w:val="both"/>
        <w:rPr>
          <w:rFonts w:cs="Verdana"/>
          <w:lang w:eastAsia="en-GB"/>
        </w:rPr>
      </w:pPr>
      <w:r w:rsidRPr="006D2A34">
        <w:rPr>
          <w:rFonts w:cs="Verdana"/>
          <w:lang w:eastAsia="en-GB"/>
        </w:rPr>
        <w:t>stimulation of research and development: - of substitutes and technological derivatives, in particular, encouragement to the development of further alternatives to the use of cadmium in pigments, stabili</w:t>
      </w:r>
      <w:r w:rsidR="001972D8">
        <w:rPr>
          <w:rFonts w:cs="Verdana"/>
          <w:lang w:eastAsia="en-GB"/>
        </w:rPr>
        <w:t>s</w:t>
      </w:r>
      <w:r w:rsidRPr="006D2A34">
        <w:rPr>
          <w:rFonts w:cs="Verdana"/>
          <w:lang w:eastAsia="en-GB"/>
        </w:rPr>
        <w:t xml:space="preserve">ers and plating; </w:t>
      </w:r>
    </w:p>
    <w:p w14:paraId="0EE5ED48" w14:textId="77777777" w:rsidR="00043751" w:rsidRDefault="00043751" w:rsidP="008D4AA9">
      <w:pPr>
        <w:pStyle w:val="ListParagraph"/>
        <w:numPr>
          <w:ilvl w:val="0"/>
          <w:numId w:val="20"/>
        </w:numPr>
        <w:jc w:val="both"/>
        <w:rPr>
          <w:rFonts w:cs="Verdana"/>
          <w:lang w:eastAsia="en-GB"/>
        </w:rPr>
      </w:pPr>
      <w:r w:rsidRPr="006D2A34">
        <w:rPr>
          <w:rFonts w:cs="Verdana"/>
          <w:lang w:eastAsia="en-GB"/>
        </w:rPr>
        <w:lastRenderedPageBreak/>
        <w:t xml:space="preserve">collection and recycling of products containing cadmium, for example batteries; </w:t>
      </w:r>
    </w:p>
    <w:p w14:paraId="25CC9223" w14:textId="77777777" w:rsidR="00043751" w:rsidRDefault="00043751" w:rsidP="008D4AA9">
      <w:pPr>
        <w:pStyle w:val="ListParagraph"/>
        <w:numPr>
          <w:ilvl w:val="0"/>
          <w:numId w:val="20"/>
        </w:numPr>
        <w:jc w:val="both"/>
        <w:rPr>
          <w:rFonts w:cs="Verdana"/>
          <w:lang w:eastAsia="en-GB"/>
        </w:rPr>
      </w:pPr>
      <w:r w:rsidRPr="006D2A34">
        <w:rPr>
          <w:rFonts w:cs="Verdana"/>
          <w:lang w:eastAsia="en-GB"/>
        </w:rPr>
        <w:t xml:space="preserve">development of a strategy designed to reduce cadmium input in soil; </w:t>
      </w:r>
    </w:p>
    <w:p w14:paraId="340F1E49" w14:textId="77777777" w:rsidR="00043751" w:rsidRDefault="00043751" w:rsidP="008D4AA9">
      <w:pPr>
        <w:pStyle w:val="ListParagraph"/>
        <w:numPr>
          <w:ilvl w:val="0"/>
          <w:numId w:val="20"/>
        </w:numPr>
        <w:jc w:val="both"/>
        <w:rPr>
          <w:rFonts w:cs="Verdana"/>
          <w:lang w:eastAsia="en-GB"/>
        </w:rPr>
      </w:pPr>
      <w:proofErr w:type="gramStart"/>
      <w:r w:rsidRPr="006D2A34">
        <w:rPr>
          <w:rFonts w:cs="Verdana"/>
          <w:lang w:eastAsia="en-GB"/>
        </w:rPr>
        <w:t>combatting</w:t>
      </w:r>
      <w:proofErr w:type="gramEnd"/>
      <w:r w:rsidRPr="006D2A34">
        <w:rPr>
          <w:rFonts w:cs="Verdana"/>
          <w:lang w:eastAsia="en-GB"/>
        </w:rPr>
        <w:t xml:space="preserve"> significant sources of airborne and water pollution. </w:t>
      </w:r>
    </w:p>
    <w:p w14:paraId="7F394E3D" w14:textId="77777777" w:rsidR="00621A45" w:rsidRDefault="00621A45" w:rsidP="00621A45">
      <w:pPr>
        <w:autoSpaceDE w:val="0"/>
        <w:autoSpaceDN w:val="0"/>
        <w:adjustRightInd w:val="0"/>
      </w:pPr>
    </w:p>
    <w:p w14:paraId="5EF23A35" w14:textId="2D54597B" w:rsidR="00043751" w:rsidRDefault="00043751" w:rsidP="00043751">
      <w:pPr>
        <w:jc w:val="both"/>
        <w:rPr>
          <w:rFonts w:cs="Verdana"/>
          <w:lang w:eastAsia="en-GB"/>
        </w:rPr>
      </w:pPr>
      <w:r w:rsidRPr="006D2A34">
        <w:rPr>
          <w:rFonts w:cs="Verdana"/>
          <w:lang w:eastAsia="en-GB"/>
        </w:rPr>
        <w:t xml:space="preserve">Cadmium is a toxic metal that ranks </w:t>
      </w:r>
      <w:r>
        <w:rPr>
          <w:rFonts w:cs="Verdana"/>
          <w:lang w:eastAsia="en-GB"/>
        </w:rPr>
        <w:t xml:space="preserve">as no. </w:t>
      </w:r>
      <w:r w:rsidRPr="006D2A34">
        <w:rPr>
          <w:rFonts w:cs="Verdana"/>
          <w:lang w:eastAsia="en-GB"/>
        </w:rPr>
        <w:t>7 on the US Agency for Toxic Substances &amp; Disease Registry’s priority list of hazardous substances (</w:t>
      </w:r>
      <w:hyperlink r:id="rId15" w:history="1">
        <w:r w:rsidR="00CC3523" w:rsidRPr="005D10E8">
          <w:rPr>
            <w:rStyle w:val="Hyperlink"/>
            <w:rFonts w:cs="Verdana"/>
            <w:lang w:eastAsia="en-GB"/>
          </w:rPr>
          <w:t>https://www.atsdr.cdc.gov/spl/index.html</w:t>
        </w:r>
      </w:hyperlink>
      <w:r w:rsidRPr="006D2A34">
        <w:rPr>
          <w:rFonts w:cs="Verdana"/>
          <w:lang w:eastAsia="en-GB"/>
        </w:rPr>
        <w:t>), a prioriti</w:t>
      </w:r>
      <w:r w:rsidR="001972D8">
        <w:rPr>
          <w:rFonts w:cs="Verdana"/>
          <w:lang w:eastAsia="en-GB"/>
        </w:rPr>
        <w:t>s</w:t>
      </w:r>
      <w:r w:rsidRPr="006D2A34">
        <w:rPr>
          <w:rFonts w:cs="Verdana"/>
          <w:lang w:eastAsia="en-GB"/>
        </w:rPr>
        <w:t xml:space="preserve">ation of substances based on a combination of their frequency, toxicity, and potential for human exposure. As a pollutant of worldwide concern, cadmium </w:t>
      </w:r>
      <w:proofErr w:type="gramStart"/>
      <w:r w:rsidRPr="006D2A34">
        <w:rPr>
          <w:rFonts w:cs="Verdana"/>
          <w:lang w:eastAsia="en-GB"/>
        </w:rPr>
        <w:t>has been reviewed by the United Nations Environment Program, and included on the list of chemical substances considered potentially dangerous at the global level</w:t>
      </w:r>
      <w:proofErr w:type="gramEnd"/>
      <w:r w:rsidRPr="006D2A34">
        <w:rPr>
          <w:rFonts w:cs="Verdana"/>
          <w:lang w:eastAsia="en-GB"/>
        </w:rPr>
        <w:t xml:space="preserve">. </w:t>
      </w:r>
    </w:p>
    <w:p w14:paraId="211A87A3" w14:textId="77777777" w:rsidR="00621A45" w:rsidRPr="00C8477C" w:rsidRDefault="00621A45" w:rsidP="00043751">
      <w:pPr>
        <w:autoSpaceDE w:val="0"/>
        <w:autoSpaceDN w:val="0"/>
        <w:adjustRightInd w:val="0"/>
        <w:jc w:val="both"/>
        <w:rPr>
          <w:rFonts w:eastAsia="Calibri"/>
          <w:highlight w:val="yellow"/>
        </w:rPr>
      </w:pPr>
    </w:p>
    <w:p w14:paraId="11D236B5" w14:textId="77777777" w:rsidR="00621A45" w:rsidRDefault="00621A45" w:rsidP="00043751">
      <w:pPr>
        <w:autoSpaceDE w:val="0"/>
        <w:autoSpaceDN w:val="0"/>
        <w:adjustRightInd w:val="0"/>
        <w:jc w:val="both"/>
        <w:rPr>
          <w:rFonts w:eastAsia="Calibri"/>
        </w:rPr>
      </w:pPr>
      <w:r w:rsidRPr="00716740">
        <w:rPr>
          <w:rFonts w:eastAsia="Calibri"/>
        </w:rPr>
        <w:t xml:space="preserve">To assess whether a substance </w:t>
      </w:r>
      <w:proofErr w:type="gramStart"/>
      <w:r w:rsidRPr="00716740">
        <w:rPr>
          <w:rFonts w:eastAsia="Calibri"/>
        </w:rPr>
        <w:t>can be identified</w:t>
      </w:r>
      <w:proofErr w:type="gramEnd"/>
      <w:r w:rsidRPr="00716740">
        <w:rPr>
          <w:rFonts w:eastAsia="Calibri"/>
        </w:rPr>
        <w:t xml:space="preserve"> as SVHC based on REACH Article 57(f) the hazardous properties of the substance, the potential impact on health and the potential impact on society as a whole have to be compared to those effects elicited by CMR (or PBT/</w:t>
      </w:r>
      <w:proofErr w:type="spellStart"/>
      <w:r w:rsidRPr="00716740">
        <w:rPr>
          <w:rFonts w:eastAsia="Calibri"/>
        </w:rPr>
        <w:t>vPvB</w:t>
      </w:r>
      <w:proofErr w:type="spellEnd"/>
      <w:r w:rsidRPr="00716740">
        <w:rPr>
          <w:rFonts w:eastAsia="Calibri"/>
        </w:rPr>
        <w:t xml:space="preserve">) substances. The following factors that are characteristic for most of the CMRs </w:t>
      </w:r>
      <w:proofErr w:type="gramStart"/>
      <w:r w:rsidRPr="00716740">
        <w:rPr>
          <w:rFonts w:eastAsia="Calibri"/>
        </w:rPr>
        <w:t>have been taken</w:t>
      </w:r>
      <w:proofErr w:type="gramEnd"/>
      <w:r w:rsidRPr="00716740">
        <w:rPr>
          <w:rFonts w:eastAsia="Calibri"/>
        </w:rPr>
        <w:t xml:space="preserve"> into account:</w:t>
      </w:r>
    </w:p>
    <w:p w14:paraId="488983F6" w14:textId="77777777" w:rsidR="00621A45" w:rsidRPr="00716740" w:rsidRDefault="00621A45" w:rsidP="00621A45">
      <w:pPr>
        <w:autoSpaceDE w:val="0"/>
        <w:autoSpaceDN w:val="0"/>
        <w:adjustRightInd w:val="0"/>
        <w:rPr>
          <w:rFonts w:eastAsia="Calibri"/>
        </w:rPr>
      </w:pPr>
    </w:p>
    <w:p w14:paraId="5E9855C6" w14:textId="77777777" w:rsidR="00621A45" w:rsidRPr="00716740" w:rsidRDefault="00621A45" w:rsidP="00FF1A53">
      <w:pPr>
        <w:widowControl/>
        <w:numPr>
          <w:ilvl w:val="0"/>
          <w:numId w:val="24"/>
        </w:numPr>
        <w:autoSpaceDE w:val="0"/>
        <w:autoSpaceDN w:val="0"/>
        <w:adjustRightInd w:val="0"/>
        <w:rPr>
          <w:rFonts w:eastAsia="Calibri"/>
        </w:rPr>
      </w:pPr>
      <w:r w:rsidRPr="00716740">
        <w:rPr>
          <w:rFonts w:eastAsia="Calibri"/>
        </w:rPr>
        <w:t>Severity of health effects</w:t>
      </w:r>
    </w:p>
    <w:p w14:paraId="151F6BDE" w14:textId="77777777" w:rsidR="00621A45" w:rsidRPr="00716740" w:rsidRDefault="00621A45" w:rsidP="00FF1A53">
      <w:pPr>
        <w:widowControl/>
        <w:numPr>
          <w:ilvl w:val="0"/>
          <w:numId w:val="24"/>
        </w:numPr>
        <w:autoSpaceDE w:val="0"/>
        <w:autoSpaceDN w:val="0"/>
        <w:adjustRightInd w:val="0"/>
        <w:rPr>
          <w:rFonts w:eastAsia="Calibri"/>
        </w:rPr>
      </w:pPr>
      <w:r w:rsidRPr="00716740">
        <w:rPr>
          <w:rFonts w:eastAsia="Calibri"/>
        </w:rPr>
        <w:t>Irreversibility of health effects</w:t>
      </w:r>
    </w:p>
    <w:p w14:paraId="7179DC71" w14:textId="77777777" w:rsidR="00621A45" w:rsidRPr="00716740" w:rsidRDefault="00621A45" w:rsidP="00FF1A53">
      <w:pPr>
        <w:widowControl/>
        <w:numPr>
          <w:ilvl w:val="0"/>
          <w:numId w:val="24"/>
        </w:numPr>
        <w:autoSpaceDE w:val="0"/>
        <w:autoSpaceDN w:val="0"/>
        <w:adjustRightInd w:val="0"/>
        <w:rPr>
          <w:rFonts w:eastAsia="Calibri"/>
        </w:rPr>
      </w:pPr>
      <w:r w:rsidRPr="00716740">
        <w:rPr>
          <w:rFonts w:eastAsia="Calibri"/>
        </w:rPr>
        <w:t>Delay of health effects</w:t>
      </w:r>
    </w:p>
    <w:p w14:paraId="6B0ACF1D" w14:textId="77777777" w:rsidR="00621A45" w:rsidRPr="00716740" w:rsidRDefault="00621A45" w:rsidP="00FF1A53">
      <w:pPr>
        <w:widowControl/>
        <w:numPr>
          <w:ilvl w:val="0"/>
          <w:numId w:val="24"/>
        </w:numPr>
        <w:autoSpaceDE w:val="0"/>
        <w:autoSpaceDN w:val="0"/>
        <w:adjustRightInd w:val="0"/>
        <w:rPr>
          <w:rFonts w:eastAsia="Calibri"/>
        </w:rPr>
      </w:pPr>
      <w:r w:rsidRPr="00716740">
        <w:rPr>
          <w:rFonts w:eastAsia="Calibri"/>
        </w:rPr>
        <w:t>Uncertainties on safe exposure</w:t>
      </w:r>
    </w:p>
    <w:p w14:paraId="18B87350" w14:textId="77777777" w:rsidR="00621A45" w:rsidRPr="00716740" w:rsidRDefault="00621A45" w:rsidP="00FF1A53">
      <w:pPr>
        <w:widowControl/>
        <w:numPr>
          <w:ilvl w:val="0"/>
          <w:numId w:val="24"/>
        </w:numPr>
        <w:autoSpaceDE w:val="0"/>
        <w:autoSpaceDN w:val="0"/>
        <w:adjustRightInd w:val="0"/>
        <w:rPr>
          <w:rFonts w:eastAsia="Calibri"/>
        </w:rPr>
      </w:pPr>
      <w:r w:rsidRPr="00716740">
        <w:rPr>
          <w:rFonts w:eastAsia="Calibri"/>
        </w:rPr>
        <w:t>Societal concern and impairment of quality of life</w:t>
      </w:r>
    </w:p>
    <w:p w14:paraId="772C8D90" w14:textId="77777777" w:rsidR="00621A45" w:rsidRPr="00C8477C" w:rsidRDefault="00621A45" w:rsidP="00621A45">
      <w:pPr>
        <w:autoSpaceDE w:val="0"/>
        <w:autoSpaceDN w:val="0"/>
        <w:adjustRightInd w:val="0"/>
        <w:rPr>
          <w:rFonts w:eastAsia="Calibri"/>
          <w:b/>
          <w:bCs/>
          <w:i/>
          <w:highlight w:val="yellow"/>
        </w:rPr>
      </w:pPr>
    </w:p>
    <w:p w14:paraId="3C355F7E" w14:textId="1B03382D" w:rsidR="00043751" w:rsidRDefault="00043751" w:rsidP="00043751">
      <w:pPr>
        <w:jc w:val="both"/>
        <w:rPr>
          <w:rFonts w:cs="Verdana"/>
          <w:lang w:eastAsia="en-GB"/>
        </w:rPr>
      </w:pPr>
      <w:r w:rsidRPr="006D2A34">
        <w:rPr>
          <w:rFonts w:cs="Verdana"/>
          <w:b/>
          <w:bCs/>
          <w:i/>
          <w:iCs/>
          <w:lang w:eastAsia="en-GB"/>
        </w:rPr>
        <w:t xml:space="preserve">Severity of health effect: </w:t>
      </w:r>
      <w:r w:rsidRPr="006D2A34">
        <w:rPr>
          <w:rFonts w:cs="Verdana"/>
          <w:lang w:eastAsia="en-GB"/>
        </w:rPr>
        <w:t xml:space="preserve">The severity of health effects due to exposure to cadmium is dependent on the concentration attained in body tissues and organs. Kidney effects range from indications of </w:t>
      </w:r>
      <w:r>
        <w:rPr>
          <w:rFonts w:cs="Verdana"/>
          <w:lang w:eastAsia="en-GB"/>
        </w:rPr>
        <w:t xml:space="preserve">impaired </w:t>
      </w:r>
      <w:r w:rsidRPr="006D2A34">
        <w:rPr>
          <w:rFonts w:cs="Verdana"/>
          <w:lang w:eastAsia="en-GB"/>
        </w:rPr>
        <w:t xml:space="preserve">tubular and glomerular function (measured by the presence of proteins in the urine) to an increased risk of end stage renal disease, which necessitates dialysis treatment for survival. The effects on bone range from disturbances on bone tissue homeostasis to actual bone fractures, which especially for older people </w:t>
      </w:r>
      <w:proofErr w:type="gramStart"/>
      <w:r w:rsidRPr="006D2A34">
        <w:rPr>
          <w:rFonts w:cs="Verdana"/>
          <w:lang w:eastAsia="en-GB"/>
        </w:rPr>
        <w:t>are considered</w:t>
      </w:r>
      <w:proofErr w:type="gramEnd"/>
      <w:r w:rsidRPr="006D2A34">
        <w:rPr>
          <w:rFonts w:cs="Verdana"/>
          <w:lang w:eastAsia="en-GB"/>
        </w:rPr>
        <w:t xml:space="preserve"> quite serious and can contribute to a premature death. In a population-based study in patients aged 65 or older the risk of mortality in hip fracture patients was 3-fold higher than in the general population and included every major cause of death</w:t>
      </w:r>
      <w:r w:rsidR="008C484C">
        <w:rPr>
          <w:rFonts w:cs="Verdana"/>
          <w:lang w:eastAsia="en-GB"/>
        </w:rPr>
        <w:t xml:space="preserve"> </w:t>
      </w:r>
      <w:r w:rsidR="008C484C" w:rsidRPr="00716740">
        <w:rPr>
          <w:rFonts w:eastAsia="Calibri"/>
        </w:rPr>
        <w:t>(</w:t>
      </w:r>
      <w:proofErr w:type="spellStart"/>
      <w:r w:rsidR="008C484C" w:rsidRPr="00716740">
        <w:rPr>
          <w:rFonts w:eastAsia="Calibri"/>
        </w:rPr>
        <w:t>Panula</w:t>
      </w:r>
      <w:proofErr w:type="spellEnd"/>
      <w:r w:rsidR="008C484C" w:rsidRPr="00716740">
        <w:rPr>
          <w:rFonts w:eastAsia="Calibri"/>
        </w:rPr>
        <w:t xml:space="preserve"> et al</w:t>
      </w:r>
      <w:r w:rsidR="008C484C">
        <w:rPr>
          <w:rFonts w:eastAsia="Calibri"/>
        </w:rPr>
        <w:t>.</w:t>
      </w:r>
      <w:r w:rsidR="008C484C" w:rsidRPr="00716740">
        <w:rPr>
          <w:rFonts w:eastAsia="Calibri"/>
        </w:rPr>
        <w:t xml:space="preserve"> 2011)</w:t>
      </w:r>
      <w:r w:rsidRPr="006D2A34">
        <w:rPr>
          <w:rFonts w:cs="Verdana"/>
          <w:lang w:eastAsia="en-GB"/>
        </w:rPr>
        <w:t xml:space="preserve">. The quality of life for affected individuals is clearly impaired (for example after a hip fracture), but may also have consequences for society as a whole if many individuals are affected. When comparing with CMR effects, it </w:t>
      </w:r>
      <w:proofErr w:type="gramStart"/>
      <w:r w:rsidRPr="006D2A34">
        <w:rPr>
          <w:rFonts w:cs="Verdana"/>
          <w:lang w:eastAsia="en-GB"/>
        </w:rPr>
        <w:t>should be acknowledged</w:t>
      </w:r>
      <w:proofErr w:type="gramEnd"/>
      <w:r w:rsidRPr="006D2A34">
        <w:rPr>
          <w:rFonts w:cs="Verdana"/>
          <w:lang w:eastAsia="en-GB"/>
        </w:rPr>
        <w:t xml:space="preserve"> that also these effects vary in severity.</w:t>
      </w:r>
    </w:p>
    <w:p w14:paraId="42D2E615" w14:textId="77777777" w:rsidR="00621A45" w:rsidRPr="00D51A67" w:rsidRDefault="00621A45" w:rsidP="00621A45">
      <w:pPr>
        <w:autoSpaceDE w:val="0"/>
        <w:autoSpaceDN w:val="0"/>
        <w:adjustRightInd w:val="0"/>
        <w:rPr>
          <w:rFonts w:eastAsia="Calibri"/>
          <w:b/>
          <w:bCs/>
          <w:i/>
        </w:rPr>
      </w:pPr>
    </w:p>
    <w:p w14:paraId="2FD17CEA" w14:textId="77777777" w:rsidR="00621A45" w:rsidRDefault="00621A45" w:rsidP="008C484C">
      <w:pPr>
        <w:autoSpaceDE w:val="0"/>
        <w:autoSpaceDN w:val="0"/>
        <w:adjustRightInd w:val="0"/>
        <w:jc w:val="both"/>
        <w:rPr>
          <w:rFonts w:cs="TimesNewRomanPSMT"/>
        </w:rPr>
      </w:pPr>
      <w:r w:rsidRPr="00EA0EA9">
        <w:rPr>
          <w:rFonts w:eastAsia="Calibri"/>
          <w:b/>
          <w:i/>
        </w:rPr>
        <w:t xml:space="preserve">Irreversibility of health effects: </w:t>
      </w:r>
      <w:r w:rsidRPr="00EA0EA9">
        <w:rPr>
          <w:rFonts w:cs="TimesNewRomanPSMT"/>
        </w:rPr>
        <w:t xml:space="preserve">According to the EU RAR on Cd and </w:t>
      </w:r>
      <w:proofErr w:type="spellStart"/>
      <w:r w:rsidRPr="00EA0EA9">
        <w:rPr>
          <w:rFonts w:cs="TimesNewRomanPSMT"/>
        </w:rPr>
        <w:t>CdO</w:t>
      </w:r>
      <w:proofErr w:type="spellEnd"/>
      <w:r w:rsidRPr="00EA0EA9">
        <w:rPr>
          <w:rFonts w:cs="TimesNewRomanPSMT"/>
        </w:rPr>
        <w:t xml:space="preserve"> (ECB </w:t>
      </w:r>
      <w:proofErr w:type="gramStart"/>
      <w:r w:rsidRPr="00EA0EA9">
        <w:rPr>
          <w:rFonts w:cs="TimesNewRomanPSMT"/>
        </w:rPr>
        <w:t>2007)</w:t>
      </w:r>
      <w:proofErr w:type="gramEnd"/>
      <w:r w:rsidRPr="00EA0EA9">
        <w:rPr>
          <w:rFonts w:cs="TimesNewRomanPSMT"/>
        </w:rPr>
        <w:t xml:space="preserve"> some controversy exists as to the reversibility of renal effects of cadmium both in the general population and in workers. The (</w:t>
      </w:r>
      <w:proofErr w:type="spellStart"/>
      <w:r w:rsidRPr="00EA0EA9">
        <w:rPr>
          <w:rFonts w:cs="TimesNewRomanPSMT"/>
        </w:rPr>
        <w:t>ir</w:t>
      </w:r>
      <w:proofErr w:type="spellEnd"/>
      <w:proofErr w:type="gramStart"/>
      <w:r w:rsidRPr="00EA0EA9">
        <w:rPr>
          <w:rFonts w:cs="TimesNewRomanPSMT"/>
        </w:rPr>
        <w:t>)reversibility</w:t>
      </w:r>
      <w:proofErr w:type="gramEnd"/>
      <w:r w:rsidRPr="00EA0EA9">
        <w:rPr>
          <w:rFonts w:cs="TimesNewRomanPSMT"/>
        </w:rPr>
        <w:t xml:space="preserve"> of tubular proteinuria after reduction or cessation of exposure depends on the intensity of exposure and/or the severity of the tubular damage. It </w:t>
      </w:r>
      <w:proofErr w:type="gramStart"/>
      <w:r w:rsidRPr="00EA0EA9">
        <w:rPr>
          <w:rFonts w:cs="TimesNewRomanPSMT"/>
        </w:rPr>
        <w:t>was concluded</w:t>
      </w:r>
      <w:proofErr w:type="gramEnd"/>
      <w:r w:rsidRPr="00EA0EA9">
        <w:rPr>
          <w:rFonts w:cs="TimesNewRomanPSMT"/>
        </w:rPr>
        <w:t xml:space="preserve"> that, as for inhalation exposure, incipient tubular effects associated with low cadmium exposure in the general population are reversible if exposure is substantially decreased. Severe tubular damage (urinary leakage of the proteins RBP or ß2M &gt; 1,000-1,500 </w:t>
      </w:r>
      <w:proofErr w:type="spellStart"/>
      <w:r w:rsidRPr="00EA0EA9">
        <w:rPr>
          <w:rFonts w:cs="TimesNewRomanPSMT"/>
        </w:rPr>
        <w:t>μg</w:t>
      </w:r>
      <w:proofErr w:type="spellEnd"/>
      <w:r w:rsidRPr="00EA0EA9">
        <w:rPr>
          <w:rFonts w:cs="TimesNewRomanPSMT"/>
        </w:rPr>
        <w:t>/g creatinine) is generally irreversible.</w:t>
      </w:r>
    </w:p>
    <w:p w14:paraId="12B1D9DA" w14:textId="77777777" w:rsidR="00621A45" w:rsidRPr="00EA0EA9" w:rsidRDefault="00621A45" w:rsidP="008C484C">
      <w:pPr>
        <w:autoSpaceDE w:val="0"/>
        <w:autoSpaceDN w:val="0"/>
        <w:adjustRightInd w:val="0"/>
        <w:jc w:val="both"/>
        <w:rPr>
          <w:rFonts w:eastAsia="Calibri"/>
          <w:b/>
          <w:i/>
        </w:rPr>
      </w:pPr>
    </w:p>
    <w:p w14:paraId="4BFF468D" w14:textId="77777777" w:rsidR="00621A45" w:rsidRDefault="00621A45" w:rsidP="008C484C">
      <w:pPr>
        <w:autoSpaceDE w:val="0"/>
        <w:autoSpaceDN w:val="0"/>
        <w:adjustRightInd w:val="0"/>
        <w:jc w:val="both"/>
        <w:rPr>
          <w:rFonts w:cs="TimesNewRomanPSMT"/>
        </w:rPr>
      </w:pPr>
      <w:r w:rsidRPr="00EA0EA9">
        <w:rPr>
          <w:rFonts w:cs="TimesNewRomanPSMT"/>
        </w:rPr>
        <w:t>A longitudinal study on 74 inhabitants from a cadmium-polluted area in Japan (Kido et al. 1988) showed irreversible and even progression of renal dysfunction 5 years after cessation of cadmium exposure. Likewise, a study from China indicates that the negative effects on bone still remains 10 years after the population abandoned ingestion of cadmium-polluted rice (Chen et al. 2009).</w:t>
      </w:r>
    </w:p>
    <w:p w14:paraId="1B427E92" w14:textId="77777777" w:rsidR="00621A45" w:rsidRPr="00EA0EA9" w:rsidRDefault="00621A45" w:rsidP="00621A45">
      <w:pPr>
        <w:autoSpaceDE w:val="0"/>
        <w:autoSpaceDN w:val="0"/>
        <w:adjustRightInd w:val="0"/>
        <w:rPr>
          <w:rFonts w:cs="TimesNewRomanPSMT"/>
        </w:rPr>
      </w:pPr>
    </w:p>
    <w:p w14:paraId="4B4BB31B" w14:textId="4441C9A5" w:rsidR="00621A45" w:rsidRDefault="00621A45" w:rsidP="008C484C">
      <w:pPr>
        <w:autoSpaceDE w:val="0"/>
        <w:autoSpaceDN w:val="0"/>
        <w:adjustRightInd w:val="0"/>
        <w:jc w:val="both"/>
        <w:rPr>
          <w:rFonts w:cs="TimesNewRomanPSMT"/>
        </w:rPr>
      </w:pPr>
      <w:r w:rsidRPr="00EA0EA9">
        <w:rPr>
          <w:rFonts w:cs="TimesNewRomanPSMT"/>
        </w:rPr>
        <w:t>The biological half-life of cadmium in humans is extremely long (estimated to be 10-30 years) and the body burden of cadmium therefore increases, mainly via accumulation in the kidney, during the entire life span of an individual (</w:t>
      </w:r>
      <w:proofErr w:type="spellStart"/>
      <w:r w:rsidRPr="00EA0EA9">
        <w:rPr>
          <w:rFonts w:cs="TimesNewRomanPSMT"/>
        </w:rPr>
        <w:t>KemI</w:t>
      </w:r>
      <w:proofErr w:type="spellEnd"/>
      <w:r w:rsidRPr="00EA0EA9">
        <w:rPr>
          <w:rFonts w:cs="TimesNewRomanPSMT"/>
        </w:rPr>
        <w:t xml:space="preserve"> 2011). All uses of cadmium and its compounds, including when present as a contaminant, contribute to this </w:t>
      </w:r>
      <w:r w:rsidRPr="00EA0EA9">
        <w:rPr>
          <w:rFonts w:cs="TimesNewRomanPSMT"/>
        </w:rPr>
        <w:lastRenderedPageBreak/>
        <w:t xml:space="preserve">bioaccumulation in humans, which starts already in early life. Unless exposure </w:t>
      </w:r>
      <w:proofErr w:type="gramStart"/>
      <w:r w:rsidRPr="00EA0EA9">
        <w:rPr>
          <w:rFonts w:cs="TimesNewRomanPSMT"/>
        </w:rPr>
        <w:t>is</w:t>
      </w:r>
      <w:proofErr w:type="gramEnd"/>
      <w:r w:rsidRPr="00EA0EA9">
        <w:rPr>
          <w:rFonts w:cs="TimesNewRomanPSMT"/>
        </w:rPr>
        <w:t xml:space="preserve"> substantially decreased kidney and bone effects therefore tend to be irreversible due to the continued internal exposure from stored cadmium. In </w:t>
      </w:r>
      <w:proofErr w:type="gramStart"/>
      <w:r w:rsidRPr="00EA0EA9">
        <w:rPr>
          <w:rFonts w:cs="TimesNewRomanPSMT"/>
        </w:rPr>
        <w:t>that</w:t>
      </w:r>
      <w:proofErr w:type="gramEnd"/>
      <w:r w:rsidRPr="00EA0EA9">
        <w:rPr>
          <w:rFonts w:cs="TimesNewRomanPSMT"/>
        </w:rPr>
        <w:t xml:space="preserve"> respect cadmium behaves in a way that resembles substances that are persistent and </w:t>
      </w:r>
      <w:proofErr w:type="spellStart"/>
      <w:r w:rsidRPr="00EA0EA9">
        <w:rPr>
          <w:rFonts w:cs="TimesNewRomanPSMT"/>
        </w:rPr>
        <w:t>bioaccumulating</w:t>
      </w:r>
      <w:proofErr w:type="spellEnd"/>
      <w:r w:rsidRPr="00EA0EA9">
        <w:rPr>
          <w:rFonts w:cs="TimesNewRomanPSMT"/>
        </w:rPr>
        <w:t xml:space="preserve"> in the environment. </w:t>
      </w:r>
    </w:p>
    <w:p w14:paraId="3222F7AA" w14:textId="77777777" w:rsidR="00621A45" w:rsidRPr="00EA0EA9" w:rsidRDefault="00621A45" w:rsidP="00621A45">
      <w:pPr>
        <w:autoSpaceDE w:val="0"/>
        <w:autoSpaceDN w:val="0"/>
        <w:adjustRightInd w:val="0"/>
        <w:rPr>
          <w:rFonts w:cs="TimesNewRomanPSMT"/>
        </w:rPr>
      </w:pPr>
    </w:p>
    <w:p w14:paraId="18F5BDAD" w14:textId="77777777" w:rsidR="008C484C" w:rsidRDefault="008C484C" w:rsidP="008C484C">
      <w:pPr>
        <w:jc w:val="both"/>
        <w:rPr>
          <w:rFonts w:cs="Verdana"/>
          <w:lang w:eastAsia="en-GB"/>
        </w:rPr>
      </w:pPr>
      <w:r w:rsidRPr="006D2A34">
        <w:rPr>
          <w:rFonts w:cs="Verdana"/>
          <w:b/>
          <w:bCs/>
          <w:i/>
          <w:iCs/>
          <w:lang w:eastAsia="en-GB"/>
        </w:rPr>
        <w:t xml:space="preserve">Delay of health effects: </w:t>
      </w:r>
      <w:r w:rsidRPr="006D2A34">
        <w:rPr>
          <w:rFonts w:cs="Verdana"/>
          <w:lang w:eastAsia="en-GB"/>
        </w:rPr>
        <w:t xml:space="preserve">The bioaccumulation over the lifetime of an individual also affects when effects appear; in most instances, the delay between first exposure and appearance of effects is very long, i.e. decades. </w:t>
      </w:r>
    </w:p>
    <w:p w14:paraId="1C3FB724" w14:textId="77777777" w:rsidR="00621A45" w:rsidRPr="00EA0EA9" w:rsidRDefault="00621A45" w:rsidP="00621A45">
      <w:pPr>
        <w:autoSpaceDE w:val="0"/>
        <w:autoSpaceDN w:val="0"/>
        <w:adjustRightInd w:val="0"/>
        <w:rPr>
          <w:rFonts w:eastAsia="Calibri"/>
          <w:b/>
          <w:i/>
        </w:rPr>
      </w:pPr>
    </w:p>
    <w:p w14:paraId="536198A7" w14:textId="331EA888" w:rsidR="00621A45" w:rsidRPr="00EA0EA9" w:rsidRDefault="00621A45" w:rsidP="008C484C">
      <w:pPr>
        <w:jc w:val="both"/>
        <w:rPr>
          <w:b/>
          <w:i/>
        </w:rPr>
      </w:pPr>
      <w:r w:rsidRPr="00EA0EA9">
        <w:rPr>
          <w:rFonts w:eastAsia="Calibri"/>
          <w:b/>
          <w:i/>
        </w:rPr>
        <w:t>Uncertainties on safe exposure</w:t>
      </w:r>
      <w:r w:rsidRPr="00EA0EA9">
        <w:rPr>
          <w:b/>
          <w:i/>
        </w:rPr>
        <w:t xml:space="preserve">: </w:t>
      </w:r>
      <w:r w:rsidRPr="00EA0EA9">
        <w:t xml:space="preserve">There is uncertainty about identifying safe exposure levels for cadmium. Biomedical research on cadmium is intense. A search of the literature </w:t>
      </w:r>
      <w:proofErr w:type="gramStart"/>
      <w:r w:rsidRPr="00EA0EA9">
        <w:t>data base</w:t>
      </w:r>
      <w:proofErr w:type="gramEnd"/>
      <w:r w:rsidRPr="00EA0EA9">
        <w:t xml:space="preserve"> PubMed revealed </w:t>
      </w:r>
      <w:r w:rsidR="008C484C">
        <w:t>19</w:t>
      </w:r>
      <w:r w:rsidR="00D62225">
        <w:t xml:space="preserve"> </w:t>
      </w:r>
      <w:r>
        <w:t>0</w:t>
      </w:r>
      <w:r w:rsidRPr="00EA0EA9">
        <w:t xml:space="preserve">00 articles published during the last 10 years and </w:t>
      </w:r>
      <w:r w:rsidR="008C484C">
        <w:t xml:space="preserve">more than </w:t>
      </w:r>
      <w:r w:rsidR="00D62225">
        <w:t>1</w:t>
      </w:r>
      <w:r w:rsidR="008C484C">
        <w:t>0</w:t>
      </w:r>
      <w:r w:rsidR="00D62225">
        <w:t xml:space="preserve"> 0</w:t>
      </w:r>
      <w:r w:rsidR="00D62225" w:rsidRPr="00EA0EA9">
        <w:t xml:space="preserve">00 </w:t>
      </w:r>
      <w:r w:rsidRPr="00EA0EA9">
        <w:t xml:space="preserve">articles during the last 5 years. Consequently, new findings on hazards and risks connected with cadmium and its compounds continuously appear. As an example, effects on bone tissue </w:t>
      </w:r>
      <w:proofErr w:type="gramStart"/>
      <w:r w:rsidRPr="00EA0EA9">
        <w:t>have been shown</w:t>
      </w:r>
      <w:proofErr w:type="gramEnd"/>
      <w:r w:rsidRPr="00EA0EA9">
        <w:t xml:space="preserve"> at exposure levels previously considered without effects. Since what can be </w:t>
      </w:r>
      <w:proofErr w:type="gramStart"/>
      <w:r w:rsidRPr="00EA0EA9">
        <w:t>considered</w:t>
      </w:r>
      <w:proofErr w:type="gramEnd"/>
      <w:r w:rsidRPr="00EA0EA9">
        <w:t xml:space="preserve"> as a “safe exposure level” is steadily decreasing, precautionary community wide actions are warranted. </w:t>
      </w:r>
    </w:p>
    <w:p w14:paraId="622A0E77" w14:textId="70A5EC9B" w:rsidR="00621A45" w:rsidRPr="00EA0EA9" w:rsidRDefault="00621A45" w:rsidP="002D3F8E">
      <w:pPr>
        <w:spacing w:before="100" w:after="100"/>
        <w:jc w:val="both"/>
        <w:rPr>
          <w:iCs/>
          <w:color w:val="000000"/>
        </w:rPr>
      </w:pPr>
      <w:r w:rsidRPr="00332981">
        <w:t xml:space="preserve">Further, it is not clear whether an effect on bone/kidney or carcinogenesis is the critical end-point from a risk assessment point of view, although most risk assessments concerning cadmium exposure of the general population </w:t>
      </w:r>
      <w:r w:rsidRPr="00753436">
        <w:t>(for example the assessment from EFSA (2009, 2012))</w:t>
      </w:r>
      <w:r w:rsidRPr="00332981">
        <w:t xml:space="preserve"> </w:t>
      </w:r>
      <w:proofErr w:type="gramStart"/>
      <w:r w:rsidRPr="00332981">
        <w:t>are based</w:t>
      </w:r>
      <w:proofErr w:type="gramEnd"/>
      <w:r w:rsidRPr="00332981">
        <w:t xml:space="preserve"> on kidney effects. In the risk assessment for workers by SCOEL (2009), the proposed limit values </w:t>
      </w:r>
      <w:proofErr w:type="gramStart"/>
      <w:r w:rsidRPr="00332981">
        <w:t>are also based</w:t>
      </w:r>
      <w:proofErr w:type="gramEnd"/>
      <w:r w:rsidRPr="00332981">
        <w:t xml:space="preserve"> on effects on the kidney and, to some extent, bone tissue, representing the most sensitive targets of cadmium toxicity after occupational exposure. The suggested IOEL (in air) is considered </w:t>
      </w:r>
      <w:proofErr w:type="gramStart"/>
      <w:r w:rsidRPr="00332981">
        <w:t>to be protective</w:t>
      </w:r>
      <w:proofErr w:type="gramEnd"/>
      <w:r w:rsidRPr="00332981">
        <w:t xml:space="preserve"> against long-term local effects (respiratory effects including lung cancer). Whether this value is also protective against cancer in other tissues </w:t>
      </w:r>
      <w:proofErr w:type="gramStart"/>
      <w:r w:rsidRPr="00332981">
        <w:t>was not assessed</w:t>
      </w:r>
      <w:proofErr w:type="gramEnd"/>
      <w:r w:rsidRPr="00332981">
        <w:t>. According to a paper from the Austrian Workers’ Compensation Board (</w:t>
      </w:r>
      <w:proofErr w:type="spellStart"/>
      <w:r w:rsidRPr="00332981">
        <w:rPr>
          <w:bCs/>
          <w:color w:val="000000"/>
        </w:rPr>
        <w:t>Püringer</w:t>
      </w:r>
      <w:proofErr w:type="spellEnd"/>
      <w:r w:rsidRPr="00332981">
        <w:rPr>
          <w:bCs/>
          <w:color w:val="000000"/>
        </w:rPr>
        <w:t xml:space="preserve"> </w:t>
      </w:r>
      <w:r w:rsidRPr="00332981">
        <w:rPr>
          <w:color w:val="000000"/>
        </w:rPr>
        <w:t xml:space="preserve">2011), </w:t>
      </w:r>
      <w:r w:rsidRPr="00332981">
        <w:rPr>
          <w:iCs/>
          <w:color w:val="000000"/>
        </w:rPr>
        <w:t>the German Committee on Hazardous Substances (AGS) has endorsed a limit value of 16 ng Cd/m³ based on the acceptable cancer risk of 1 : 25,000, i.e. a value 250-fold lower than the IOEL suggested by SCOEL.</w:t>
      </w:r>
    </w:p>
    <w:p w14:paraId="0279D63B" w14:textId="1346DFE9" w:rsidR="00621A45" w:rsidRDefault="00621A45" w:rsidP="002D3F8E">
      <w:pPr>
        <w:jc w:val="both"/>
        <w:rPr>
          <w:rFonts w:eastAsia="TimesNewRoman,Bold"/>
        </w:rPr>
      </w:pPr>
      <w:r w:rsidRPr="00A11CC9">
        <w:rPr>
          <w:rFonts w:eastAsia="Calibri"/>
          <w:b/>
          <w:i/>
        </w:rPr>
        <w:t>Societal concern and impairment of quality of life</w:t>
      </w:r>
      <w:r w:rsidRPr="00A11CC9">
        <w:rPr>
          <w:b/>
          <w:i/>
        </w:rPr>
        <w:t xml:space="preserve">: </w:t>
      </w:r>
      <w:r w:rsidRPr="00A11CC9">
        <w:t>In particular</w:t>
      </w:r>
      <w:r w:rsidR="006E2F85">
        <w:t>,</w:t>
      </w:r>
      <w:r w:rsidRPr="00A11CC9">
        <w:t xml:space="preserve"> the effects on bone tissue, with increased risk for bone fractures, </w:t>
      </w:r>
      <w:r w:rsidRPr="00A11CC9">
        <w:rPr>
          <w:rFonts w:eastAsia="TimesNewRoman,Bold"/>
        </w:rPr>
        <w:t xml:space="preserve">are a considerable public health problem causing a lot of suffering and a burden to society in terms of cost, morbidity and mortality. </w:t>
      </w:r>
      <w:r w:rsidRPr="00A11CC9">
        <w:t xml:space="preserve">Osteoporotic complications are particularly prevalent in northern Europe and, statistically, every second woman in Sweden will suffer from an osteoporotic fracture during her lifetime. </w:t>
      </w:r>
      <w:r w:rsidRPr="00A11CC9">
        <w:rPr>
          <w:rFonts w:eastAsia="TimesNewRoman,Bold"/>
        </w:rPr>
        <w:t>The incidence of hip fractures is more than seven-fold higher in Northern Europe than in the rest of Europe. The reason(s) for the large age-standardi</w:t>
      </w:r>
      <w:r w:rsidR="001972D8">
        <w:rPr>
          <w:rFonts w:eastAsia="TimesNewRoman,Bold"/>
        </w:rPr>
        <w:t>s</w:t>
      </w:r>
      <w:r w:rsidRPr="00A11CC9">
        <w:rPr>
          <w:rFonts w:eastAsia="TimesNewRoman,Bold"/>
        </w:rPr>
        <w:t xml:space="preserve">ed geographical differences </w:t>
      </w:r>
      <w:proofErr w:type="gramStart"/>
      <w:r w:rsidRPr="00A11CC9">
        <w:rPr>
          <w:rFonts w:eastAsia="TimesNewRoman,Bold"/>
        </w:rPr>
        <w:t>is still not known</w:t>
      </w:r>
      <w:proofErr w:type="gramEnd"/>
      <w:r w:rsidRPr="00A11CC9">
        <w:rPr>
          <w:rFonts w:eastAsia="TimesNewRoman,Bold"/>
        </w:rPr>
        <w:t>, but the differences cannot be explained by differences in risk of slipping, low calcium intake, vitamin D deficiency or by inactivity. The fracture incidence has increased substantially since the 1950ies. As the number of old and very old people in the population increases, a further increase in the prevalence of fractures is to be expected.</w:t>
      </w:r>
    </w:p>
    <w:p w14:paraId="171C5799" w14:textId="77777777" w:rsidR="00621A45" w:rsidRPr="00A11CC9" w:rsidRDefault="00621A45" w:rsidP="00621A45">
      <w:pPr>
        <w:rPr>
          <w:b/>
          <w:i/>
        </w:rPr>
      </w:pPr>
    </w:p>
    <w:p w14:paraId="35594AF9" w14:textId="052C3499" w:rsidR="00621A45" w:rsidRDefault="00621A45" w:rsidP="00F2493B">
      <w:pPr>
        <w:jc w:val="both"/>
      </w:pPr>
      <w:r w:rsidRPr="00A11CC9">
        <w:t xml:space="preserve">According to a report published by the Swedish Chemicals Agency, the </w:t>
      </w:r>
      <w:r>
        <w:t xml:space="preserve">Swedish </w:t>
      </w:r>
      <w:r w:rsidRPr="00A11CC9">
        <w:t xml:space="preserve">annual societal </w:t>
      </w:r>
      <w:r>
        <w:t xml:space="preserve">economic </w:t>
      </w:r>
      <w:r w:rsidRPr="00A11CC9">
        <w:t>cost</w:t>
      </w:r>
      <w:r>
        <w:t xml:space="preserve"> of fractures caused</w:t>
      </w:r>
      <w:r w:rsidRPr="00A11CC9">
        <w:t xml:space="preserve"> </w:t>
      </w:r>
      <w:r>
        <w:t>by</w:t>
      </w:r>
      <w:r w:rsidRPr="00A11CC9">
        <w:t xml:space="preserve"> cadmium in </w:t>
      </w:r>
      <w:r>
        <w:t>food amounts to</w:t>
      </w:r>
      <w:r w:rsidRPr="00A11CC9">
        <w:t xml:space="preserve"> approximately 4.2 billion SEK (approx. 4</w:t>
      </w:r>
      <w:r w:rsidR="002D3F8E">
        <w:t>2</w:t>
      </w:r>
      <w:r w:rsidRPr="00A11CC9">
        <w:t>0 million Euros) (</w:t>
      </w:r>
      <w:proofErr w:type="spellStart"/>
      <w:r w:rsidRPr="00A11CC9">
        <w:t>KemI</w:t>
      </w:r>
      <w:proofErr w:type="spellEnd"/>
      <w:r w:rsidRPr="00A11CC9">
        <w:t xml:space="preserve"> 201</w:t>
      </w:r>
      <w:r>
        <w:t>3</w:t>
      </w:r>
      <w:r w:rsidRPr="00A11CC9">
        <w:t xml:space="preserve">). </w:t>
      </w:r>
      <w:proofErr w:type="gramStart"/>
      <w:r w:rsidRPr="00A11CC9">
        <w:t>This fi</w:t>
      </w:r>
      <w:r>
        <w:t xml:space="preserve">gure is based on the estimation </w:t>
      </w:r>
      <w:r w:rsidRPr="00A11CC9">
        <w:t>that 7 and 13 %, in males and females respectively, of all fractures in Sweden are caused by cadmium exposure, mainly via food, and include direct treatment and care costs for bone fractures (approx. 1.5 billion SEK</w:t>
      </w:r>
      <w:r>
        <w:t xml:space="preserve"> or 1</w:t>
      </w:r>
      <w:r w:rsidR="002D3F8E">
        <w:t>5</w:t>
      </w:r>
      <w:r>
        <w:t>0 million Euros</w:t>
      </w:r>
      <w:r w:rsidRPr="00A11CC9">
        <w:t xml:space="preserve">), as well as a valuation </w:t>
      </w:r>
      <w:r>
        <w:t xml:space="preserve">of </w:t>
      </w:r>
      <w:r w:rsidRPr="00A11CC9">
        <w:t xml:space="preserve">a </w:t>
      </w:r>
      <w:r>
        <w:t>lower</w:t>
      </w:r>
      <w:r w:rsidRPr="00A11CC9">
        <w:t xml:space="preserve"> quality of life</w:t>
      </w:r>
      <w:r>
        <w:t xml:space="preserve"> and shortened</w:t>
      </w:r>
      <w:r w:rsidRPr="00A11CC9">
        <w:t xml:space="preserve"> life </w:t>
      </w:r>
      <w:r>
        <w:t>expectancy for those who suffer fractures, mostly the elderly</w:t>
      </w:r>
      <w:r w:rsidRPr="00A11CC9">
        <w:t>.</w:t>
      </w:r>
      <w:proofErr w:type="gramEnd"/>
      <w:r w:rsidRPr="00A11CC9">
        <w:t xml:space="preserve"> </w:t>
      </w:r>
    </w:p>
    <w:p w14:paraId="6D8E0B64" w14:textId="360C136A" w:rsidR="00BD1DE1" w:rsidRDefault="00BD1DE1" w:rsidP="00621A45"/>
    <w:p w14:paraId="42F28A1D" w14:textId="0AF928E8" w:rsidR="008F3F84" w:rsidRDefault="008F3F84" w:rsidP="004703C8">
      <w:pPr>
        <w:pStyle w:val="Heading3"/>
        <w:numPr>
          <w:ilvl w:val="0"/>
          <w:numId w:val="0"/>
        </w:numPr>
      </w:pPr>
      <w:bookmarkStart w:id="367" w:name="_Toc357437595"/>
      <w:bookmarkStart w:id="368" w:name="_Toc357590868"/>
      <w:bookmarkStart w:id="369" w:name="_Toc357692900"/>
      <w:bookmarkStart w:id="370" w:name="_Toc365649726"/>
      <w:bookmarkStart w:id="371" w:name="_Toc365649875"/>
      <w:bookmarkStart w:id="372" w:name="_Toc366489927"/>
      <w:bookmarkStart w:id="373" w:name="_Toc418498631"/>
      <w:bookmarkStart w:id="374" w:name="_Toc418506086"/>
      <w:bookmarkStart w:id="375" w:name="_Toc491435645"/>
      <w:r>
        <w:lastRenderedPageBreak/>
        <w:t xml:space="preserve">6.3.3 Conclusion </w:t>
      </w:r>
      <w:bookmarkEnd w:id="367"/>
      <w:bookmarkEnd w:id="368"/>
      <w:bookmarkEnd w:id="369"/>
      <w:bookmarkEnd w:id="370"/>
      <w:bookmarkEnd w:id="371"/>
      <w:bookmarkEnd w:id="372"/>
      <w:bookmarkEnd w:id="373"/>
      <w:bookmarkEnd w:id="374"/>
      <w:r w:rsidR="00CC53BB">
        <w:t xml:space="preserve">on </w:t>
      </w:r>
      <w:r w:rsidR="00DF76D5">
        <w:t xml:space="preserve">the </w:t>
      </w:r>
      <w:r w:rsidR="00CC53BB">
        <w:t>hazard properties and equivalent level of concern assessment</w:t>
      </w:r>
      <w:bookmarkEnd w:id="375"/>
    </w:p>
    <w:p w14:paraId="21CACBE9" w14:textId="6C6B3A94" w:rsidR="00C220F1" w:rsidRDefault="001C73E1" w:rsidP="00467E83">
      <w:pPr>
        <w:widowControl/>
        <w:autoSpaceDE w:val="0"/>
        <w:autoSpaceDN w:val="0"/>
        <w:adjustRightInd w:val="0"/>
        <w:jc w:val="both"/>
        <w:rPr>
          <w:rFonts w:cs="Verdana"/>
          <w:lang w:eastAsia="en-GB"/>
        </w:rPr>
      </w:pPr>
      <w:r>
        <w:rPr>
          <w:lang w:eastAsia="en-US"/>
        </w:rPr>
        <w:t>Cadmium hydroxide</w:t>
      </w:r>
      <w:r w:rsidR="00C220F1" w:rsidRPr="00A172E7">
        <w:rPr>
          <w:lang w:eastAsia="en-US"/>
        </w:rPr>
        <w:t xml:space="preserve"> </w:t>
      </w:r>
      <w:proofErr w:type="gramStart"/>
      <w:r w:rsidR="00C220F1" w:rsidRPr="002429A4">
        <w:rPr>
          <w:rFonts w:cs="Verdana"/>
          <w:lang w:eastAsia="en-GB"/>
        </w:rPr>
        <w:t xml:space="preserve">is </w:t>
      </w:r>
      <w:r w:rsidR="00C220F1" w:rsidRPr="006D2A34">
        <w:rPr>
          <w:rFonts w:cs="Verdana"/>
          <w:lang w:eastAsia="en-GB"/>
        </w:rPr>
        <w:t>considered</w:t>
      </w:r>
      <w:proofErr w:type="gramEnd"/>
      <w:r w:rsidR="00C220F1" w:rsidRPr="006D2A34">
        <w:rPr>
          <w:rFonts w:cs="Verdana"/>
          <w:lang w:eastAsia="en-GB"/>
        </w:rPr>
        <w:t xml:space="preserve"> to fulfil the criteria according to Art. 57(f),</w:t>
      </w:r>
      <w:r w:rsidR="00467E83">
        <w:rPr>
          <w:rFonts w:cs="Verdana"/>
          <w:lang w:eastAsia="en-GB"/>
        </w:rPr>
        <w:t xml:space="preserve"> </w:t>
      </w:r>
      <w:r w:rsidR="00467E83" w:rsidRPr="00467E83">
        <w:rPr>
          <w:rFonts w:cs="Verdana"/>
          <w:lang w:eastAsia="en-GB"/>
        </w:rPr>
        <w:t>i.e. there is scientific evidence of probable serious effects to human health which give rise to “equivalent level of concern”, due to;</w:t>
      </w:r>
    </w:p>
    <w:p w14:paraId="701F4538" w14:textId="77777777" w:rsidR="00467E83" w:rsidRPr="00467E83" w:rsidRDefault="00467E83" w:rsidP="00467E83">
      <w:pPr>
        <w:widowControl/>
        <w:autoSpaceDE w:val="0"/>
        <w:autoSpaceDN w:val="0"/>
        <w:adjustRightInd w:val="0"/>
        <w:jc w:val="both"/>
        <w:rPr>
          <w:rFonts w:cs="Verdana"/>
          <w:lang w:eastAsia="en-GB"/>
        </w:rPr>
      </w:pPr>
    </w:p>
    <w:p w14:paraId="62E4D045" w14:textId="77777777" w:rsidR="00C220F1" w:rsidRDefault="00C220F1" w:rsidP="00FF1A53">
      <w:pPr>
        <w:pStyle w:val="ListParagraph"/>
        <w:numPr>
          <w:ilvl w:val="0"/>
          <w:numId w:val="22"/>
        </w:numPr>
        <w:jc w:val="both"/>
        <w:rPr>
          <w:rFonts w:cs="Verdana"/>
          <w:lang w:eastAsia="en-GB"/>
        </w:rPr>
      </w:pPr>
      <w:r w:rsidRPr="006D2A34">
        <w:rPr>
          <w:rFonts w:cs="Verdana"/>
          <w:lang w:eastAsia="en-GB"/>
        </w:rPr>
        <w:t xml:space="preserve">the adverse effects on kidney and bones, effects that depending on dose may be serious and even contribute to premature death, </w:t>
      </w:r>
    </w:p>
    <w:p w14:paraId="0B48FCF5" w14:textId="77777777" w:rsidR="00467E83" w:rsidRDefault="00C220F1" w:rsidP="00FF1A53">
      <w:pPr>
        <w:pStyle w:val="ListParagraph"/>
        <w:numPr>
          <w:ilvl w:val="0"/>
          <w:numId w:val="22"/>
        </w:numPr>
        <w:jc w:val="both"/>
        <w:rPr>
          <w:rFonts w:cs="Verdana"/>
          <w:lang w:eastAsia="en-GB"/>
        </w:rPr>
      </w:pPr>
      <w:r w:rsidRPr="006D2A34">
        <w:rPr>
          <w:rFonts w:cs="Verdana"/>
          <w:lang w:eastAsia="en-GB"/>
        </w:rPr>
        <w:t xml:space="preserve">the continuous accumulation of cadmium in the body, which leads to continuous internal exposure and in practice irreversible effects once adverse effect levels are reached, </w:t>
      </w:r>
    </w:p>
    <w:p w14:paraId="7F16DDAD" w14:textId="675A38FC" w:rsidR="00C220F1" w:rsidRDefault="00C220F1" w:rsidP="00FF1A53">
      <w:pPr>
        <w:pStyle w:val="ListParagraph"/>
        <w:numPr>
          <w:ilvl w:val="0"/>
          <w:numId w:val="22"/>
        </w:numPr>
        <w:jc w:val="both"/>
        <w:rPr>
          <w:rFonts w:cs="Verdana"/>
          <w:lang w:eastAsia="en-GB"/>
        </w:rPr>
      </w:pPr>
      <w:r w:rsidRPr="006D2A34">
        <w:rPr>
          <w:rFonts w:cs="Verdana"/>
          <w:lang w:eastAsia="en-GB"/>
        </w:rPr>
        <w:t xml:space="preserve">the occurrence of adverse effects in a significant part of the general population at present exposure levels, which are primarily of anthropogenic origin, </w:t>
      </w:r>
    </w:p>
    <w:p w14:paraId="2B43244B" w14:textId="77777777" w:rsidR="00C220F1" w:rsidRDefault="00C220F1" w:rsidP="00FF1A53">
      <w:pPr>
        <w:pStyle w:val="ListParagraph"/>
        <w:numPr>
          <w:ilvl w:val="0"/>
          <w:numId w:val="22"/>
        </w:numPr>
        <w:jc w:val="both"/>
        <w:rPr>
          <w:rFonts w:cs="Verdana"/>
          <w:lang w:eastAsia="en-GB"/>
        </w:rPr>
      </w:pPr>
      <w:r w:rsidRPr="006D2A34">
        <w:rPr>
          <w:rFonts w:cs="Verdana"/>
          <w:lang w:eastAsia="en-GB"/>
        </w:rPr>
        <w:t xml:space="preserve">uncertainties in deriving a safe exposure level, and </w:t>
      </w:r>
    </w:p>
    <w:p w14:paraId="49D42132" w14:textId="77777777" w:rsidR="00C220F1" w:rsidRPr="006D2A34" w:rsidRDefault="00C220F1" w:rsidP="00FF1A53">
      <w:pPr>
        <w:pStyle w:val="ListParagraph"/>
        <w:numPr>
          <w:ilvl w:val="0"/>
          <w:numId w:val="22"/>
        </w:numPr>
        <w:jc w:val="both"/>
        <w:rPr>
          <w:rFonts w:cs="Verdana"/>
          <w:lang w:eastAsia="en-GB"/>
        </w:rPr>
      </w:pPr>
      <w:proofErr w:type="gramStart"/>
      <w:r w:rsidRPr="006D2A34">
        <w:rPr>
          <w:rFonts w:cs="Verdana"/>
          <w:lang w:eastAsia="en-GB"/>
        </w:rPr>
        <w:t>high</w:t>
      </w:r>
      <w:proofErr w:type="gramEnd"/>
      <w:r w:rsidRPr="006D2A34">
        <w:rPr>
          <w:rFonts w:cs="Verdana"/>
          <w:lang w:eastAsia="en-GB"/>
        </w:rPr>
        <w:t xml:space="preserve"> societal costs in terms of health care and shortening of life time and a decreased quality of life. </w:t>
      </w:r>
    </w:p>
    <w:p w14:paraId="7C486B3D" w14:textId="77777777" w:rsidR="00C220F1" w:rsidRDefault="00C220F1" w:rsidP="00A43267">
      <w:pPr>
        <w:pStyle w:val="BulletedList1-usermanual"/>
        <w:numPr>
          <w:ilvl w:val="0"/>
          <w:numId w:val="0"/>
        </w:numPr>
        <w:rPr>
          <w:highlight w:val="yellow"/>
        </w:rPr>
      </w:pPr>
    </w:p>
    <w:p w14:paraId="34D9F909" w14:textId="77777777" w:rsidR="00B12C39" w:rsidRDefault="00B12C39" w:rsidP="008F3F84">
      <w:pPr>
        <w:pStyle w:val="BulletedList1-usermanual"/>
        <w:numPr>
          <w:ilvl w:val="0"/>
          <w:numId w:val="0"/>
        </w:numPr>
        <w:rPr>
          <w:highlight w:val="yellow"/>
        </w:rPr>
      </w:pPr>
    </w:p>
    <w:p w14:paraId="29338EDC" w14:textId="77777777" w:rsidR="00B12C39" w:rsidRPr="00CD2F3D" w:rsidRDefault="00B12C39" w:rsidP="00CD2F3D">
      <w:pPr>
        <w:pStyle w:val="Title"/>
        <w:numPr>
          <w:ilvl w:val="0"/>
          <w:numId w:val="0"/>
        </w:numPr>
        <w:jc w:val="center"/>
        <w:rPr>
          <w:sz w:val="32"/>
        </w:rPr>
      </w:pPr>
      <w:r>
        <w:rPr>
          <w:highlight w:val="yellow"/>
        </w:rPr>
        <w:br w:type="page"/>
      </w:r>
      <w:bookmarkStart w:id="376" w:name="_Toc316637392"/>
      <w:bookmarkStart w:id="377" w:name="_Toc341888619"/>
      <w:bookmarkStart w:id="378" w:name="_Toc342400479"/>
      <w:bookmarkStart w:id="379" w:name="_Toc357184272"/>
      <w:bookmarkStart w:id="380" w:name="_Toc357184508"/>
      <w:bookmarkStart w:id="381" w:name="_Toc357185310"/>
      <w:bookmarkStart w:id="382" w:name="_Toc357186158"/>
      <w:bookmarkStart w:id="383" w:name="_Toc357186307"/>
      <w:bookmarkStart w:id="384" w:name="_Toc357437596"/>
      <w:bookmarkStart w:id="385" w:name="_Toc357590869"/>
      <w:bookmarkStart w:id="386" w:name="_Toc357692901"/>
      <w:bookmarkStart w:id="387" w:name="_Toc365649727"/>
      <w:bookmarkStart w:id="388" w:name="_Toc365649876"/>
      <w:bookmarkStart w:id="389" w:name="_Toc366489928"/>
      <w:bookmarkStart w:id="390" w:name="_Toc418498632"/>
      <w:bookmarkStart w:id="391" w:name="_Toc418506087"/>
      <w:bookmarkStart w:id="392" w:name="_Toc491435646"/>
      <w:r w:rsidRPr="00CD2F3D">
        <w:rPr>
          <w:sz w:val="32"/>
        </w:rPr>
        <w:lastRenderedPageBreak/>
        <w:t>Part II</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6577D9C8" w14:textId="77777777" w:rsidR="0089087B" w:rsidRDefault="0089087B" w:rsidP="0089087B">
      <w:pPr>
        <w:pStyle w:val="Heading1"/>
      </w:pPr>
      <w:bookmarkStart w:id="393" w:name="_Toc422996193"/>
      <w:bookmarkStart w:id="394" w:name="_Toc491435647"/>
      <w:r>
        <w:t>Registration and C&amp;L notification status</w:t>
      </w:r>
      <w:bookmarkEnd w:id="393"/>
      <w:bookmarkEnd w:id="394"/>
      <w:r>
        <w:t xml:space="preserve"> </w:t>
      </w:r>
    </w:p>
    <w:p w14:paraId="41EAA7CC" w14:textId="77777777" w:rsidR="0089087B" w:rsidRDefault="00B467B2" w:rsidP="00FF1A53">
      <w:pPr>
        <w:pStyle w:val="Heading2"/>
        <w:numPr>
          <w:ilvl w:val="1"/>
          <w:numId w:val="16"/>
        </w:numPr>
        <w:tabs>
          <w:tab w:val="clear" w:pos="360"/>
          <w:tab w:val="num" w:pos="284"/>
        </w:tabs>
      </w:pPr>
      <w:bookmarkStart w:id="395" w:name="_Toc422996194"/>
      <w:bookmarkStart w:id="396" w:name="_Toc491435648"/>
      <w:r>
        <w:t>R</w:t>
      </w:r>
      <w:r w:rsidR="0089087B">
        <w:t>egistration status</w:t>
      </w:r>
      <w:bookmarkEnd w:id="395"/>
      <w:bookmarkEnd w:id="396"/>
      <w:r w:rsidR="0089087B">
        <w:t xml:space="preserve"> </w:t>
      </w:r>
    </w:p>
    <w:p w14:paraId="0167DF06" w14:textId="75BF8ABA" w:rsidR="00B711CC" w:rsidRDefault="00B711CC" w:rsidP="00B711CC">
      <w:pPr>
        <w:pStyle w:val="Caption"/>
      </w:pPr>
      <w:bookmarkStart w:id="397" w:name="_Toc491433639"/>
      <w:r w:rsidRPr="00B711CC">
        <w:rPr>
          <w:b/>
          <w:sz w:val="18"/>
        </w:rPr>
        <w:t xml:space="preserve">Table </w:t>
      </w:r>
      <w:r w:rsidRPr="00B711CC">
        <w:rPr>
          <w:b/>
          <w:sz w:val="18"/>
        </w:rPr>
        <w:fldChar w:fldCharType="begin"/>
      </w:r>
      <w:r w:rsidRPr="00B711CC">
        <w:rPr>
          <w:b/>
          <w:sz w:val="18"/>
        </w:rPr>
        <w:instrText xml:space="preserve"> SEQ Table \* ARABIC </w:instrText>
      </w:r>
      <w:r w:rsidRPr="00B711CC">
        <w:rPr>
          <w:b/>
          <w:sz w:val="18"/>
        </w:rPr>
        <w:fldChar w:fldCharType="separate"/>
      </w:r>
      <w:r w:rsidR="0087074B">
        <w:rPr>
          <w:b/>
          <w:noProof/>
          <w:sz w:val="18"/>
        </w:rPr>
        <w:t>5</w:t>
      </w:r>
      <w:r w:rsidRPr="00B711CC">
        <w:rPr>
          <w:b/>
          <w:sz w:val="18"/>
        </w:rPr>
        <w:fldChar w:fldCharType="end"/>
      </w:r>
      <w:r w:rsidRPr="00B711CC">
        <w:rPr>
          <w:b/>
          <w:sz w:val="18"/>
        </w:rPr>
        <w:t>.</w:t>
      </w:r>
      <w:r w:rsidRPr="00B711CC">
        <w:rPr>
          <w:sz w:val="18"/>
        </w:rPr>
        <w:t xml:space="preserve"> </w:t>
      </w:r>
      <w:r>
        <w:rPr>
          <w:b/>
          <w:sz w:val="18"/>
        </w:rPr>
        <w:t>R</w:t>
      </w:r>
      <w:r w:rsidRPr="003215DB">
        <w:rPr>
          <w:b/>
          <w:sz w:val="18"/>
        </w:rPr>
        <w:t>egistration status</w:t>
      </w:r>
      <w:bookmarkEnd w:id="397"/>
      <w:r>
        <w:t xml:space="preserve"> </w:t>
      </w:r>
    </w:p>
    <w:tbl>
      <w:tblPr>
        <w:tblW w:w="8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4825"/>
      </w:tblGrid>
      <w:tr w:rsidR="0089087B" w:rsidRPr="00336750" w14:paraId="017BF9E5" w14:textId="77777777" w:rsidTr="000F3847">
        <w:trPr>
          <w:trHeight w:val="375"/>
        </w:trPr>
        <w:tc>
          <w:tcPr>
            <w:tcW w:w="8270" w:type="dxa"/>
            <w:gridSpan w:val="2"/>
            <w:shd w:val="clear" w:color="auto" w:fill="auto"/>
            <w:vAlign w:val="center"/>
          </w:tcPr>
          <w:p w14:paraId="00957A28" w14:textId="77777777" w:rsidR="0089087B" w:rsidRPr="00C5178C" w:rsidRDefault="0089087B" w:rsidP="0089087B">
            <w:pPr>
              <w:pStyle w:val="Caption"/>
              <w:rPr>
                <w:b/>
                <w:sz w:val="20"/>
              </w:rPr>
            </w:pPr>
            <w:r w:rsidRPr="00973C04">
              <w:rPr>
                <w:b/>
                <w:sz w:val="20"/>
              </w:rPr>
              <w:t xml:space="preserve">From </w:t>
            </w:r>
            <w:r>
              <w:rPr>
                <w:b/>
                <w:sz w:val="20"/>
              </w:rPr>
              <w:t xml:space="preserve">the </w:t>
            </w:r>
            <w:r w:rsidRPr="00973C04">
              <w:rPr>
                <w:b/>
                <w:sz w:val="20"/>
              </w:rPr>
              <w:t>ECHA dissemination site</w:t>
            </w:r>
            <w:r w:rsidRPr="001340DF">
              <w:rPr>
                <w:rStyle w:val="FootnoteReference"/>
                <w:rFonts w:ascii="Verdana" w:hAnsi="Verdana"/>
                <w:b/>
                <w:sz w:val="20"/>
              </w:rPr>
              <w:footnoteReference w:id="4"/>
            </w:r>
          </w:p>
        </w:tc>
      </w:tr>
      <w:tr w:rsidR="0089087B" w:rsidRPr="00336750" w14:paraId="0F20B309" w14:textId="77777777" w:rsidTr="000F3847">
        <w:trPr>
          <w:trHeight w:val="1846"/>
        </w:trPr>
        <w:tc>
          <w:tcPr>
            <w:tcW w:w="3445" w:type="dxa"/>
            <w:shd w:val="clear" w:color="auto" w:fill="auto"/>
            <w:vAlign w:val="center"/>
          </w:tcPr>
          <w:p w14:paraId="0C2E83DD" w14:textId="77777777" w:rsidR="0089087B" w:rsidRPr="00336750" w:rsidRDefault="0089087B" w:rsidP="00550964">
            <w:pPr>
              <w:pStyle w:val="Caption"/>
              <w:spacing w:before="0"/>
              <w:rPr>
                <w:sz w:val="20"/>
              </w:rPr>
            </w:pPr>
            <w:r>
              <w:rPr>
                <w:sz w:val="20"/>
              </w:rPr>
              <w:t>Registrations</w:t>
            </w:r>
          </w:p>
        </w:tc>
        <w:tc>
          <w:tcPr>
            <w:tcW w:w="4825" w:type="dxa"/>
            <w:shd w:val="clear" w:color="auto" w:fill="auto"/>
            <w:vAlign w:val="center"/>
          </w:tcPr>
          <w:p w14:paraId="6F8560B4" w14:textId="77777777" w:rsidR="0089087B" w:rsidRDefault="0089087B" w:rsidP="00550964">
            <w:pPr>
              <w:pStyle w:val="Caption"/>
              <w:spacing w:after="0"/>
              <w:ind w:left="1122"/>
              <w:rPr>
                <w:sz w:val="20"/>
              </w:rPr>
            </w:pPr>
            <w:r w:rsidRPr="006F55A8">
              <w:rPr>
                <w:rFonts w:ascii="MS Gothic" w:eastAsia="MS Gothic" w:hAnsi="MS Gothic" w:hint="eastAsia"/>
              </w:rPr>
              <w:t>☒</w:t>
            </w:r>
            <w:r w:rsidRPr="00336750">
              <w:rPr>
                <w:sz w:val="20"/>
              </w:rPr>
              <w:t xml:space="preserve"> Full registration(s)</w:t>
            </w:r>
          </w:p>
          <w:p w14:paraId="6ADBB96B" w14:textId="77777777" w:rsidR="0089087B" w:rsidRPr="00336750" w:rsidRDefault="0089087B" w:rsidP="00550964">
            <w:pPr>
              <w:pStyle w:val="Caption"/>
              <w:spacing w:before="0"/>
              <w:ind w:left="1524"/>
              <w:rPr>
                <w:sz w:val="20"/>
              </w:rPr>
            </w:pPr>
            <w:r>
              <w:rPr>
                <w:sz w:val="20"/>
              </w:rPr>
              <w:t>(Art. 10)</w:t>
            </w:r>
          </w:p>
          <w:p w14:paraId="0A65317D" w14:textId="43A4E7AC" w:rsidR="0089087B" w:rsidRDefault="006F55A8" w:rsidP="00550964">
            <w:pPr>
              <w:pStyle w:val="Caption"/>
              <w:spacing w:after="0"/>
              <w:ind w:left="1122"/>
              <w:rPr>
                <w:sz w:val="20"/>
              </w:rPr>
            </w:pPr>
            <w:r>
              <w:rPr>
                <w:rFonts w:ascii="MS Gothic" w:eastAsia="MS Gothic" w:hAnsi="MS Gothic" w:hint="eastAsia"/>
              </w:rPr>
              <w:t>☐</w:t>
            </w:r>
            <w:r w:rsidR="0089087B" w:rsidRPr="00336750">
              <w:rPr>
                <w:sz w:val="20"/>
              </w:rPr>
              <w:t xml:space="preserve"> </w:t>
            </w:r>
            <w:r w:rsidR="0089087B">
              <w:rPr>
                <w:sz w:val="20"/>
              </w:rPr>
              <w:t>Intermediate</w:t>
            </w:r>
            <w:r w:rsidR="0089087B" w:rsidRPr="00336750">
              <w:rPr>
                <w:sz w:val="20"/>
              </w:rPr>
              <w:t xml:space="preserve"> registration(s)</w:t>
            </w:r>
          </w:p>
          <w:p w14:paraId="67284660" w14:textId="77777777" w:rsidR="0089087B" w:rsidRPr="00336750" w:rsidRDefault="0089087B" w:rsidP="00550964">
            <w:pPr>
              <w:pStyle w:val="Caption"/>
              <w:spacing w:after="0"/>
              <w:ind w:left="1122"/>
              <w:rPr>
                <w:sz w:val="20"/>
              </w:rPr>
            </w:pPr>
            <w:r>
              <w:rPr>
                <w:sz w:val="20"/>
              </w:rPr>
              <w:t>(Art. 17 and/or 18)</w:t>
            </w:r>
          </w:p>
        </w:tc>
      </w:tr>
    </w:tbl>
    <w:p w14:paraId="748111CB" w14:textId="77777777" w:rsidR="0089087B" w:rsidRDefault="0089087B" w:rsidP="0089087B">
      <w:pPr>
        <w:pStyle w:val="BodyText"/>
        <w:rPr>
          <w:bCs/>
        </w:rPr>
      </w:pPr>
    </w:p>
    <w:p w14:paraId="5E1B4FAE" w14:textId="77777777" w:rsidR="001340DF" w:rsidRDefault="001340DF" w:rsidP="001340DF">
      <w:pPr>
        <w:pStyle w:val="Heading2"/>
      </w:pPr>
      <w:bookmarkStart w:id="398" w:name="_Toc422996196"/>
      <w:bookmarkStart w:id="399" w:name="_Toc491435649"/>
      <w:r>
        <w:t>7.</w:t>
      </w:r>
      <w:r w:rsidR="001A3B94">
        <w:t>2</w:t>
      </w:r>
      <w:r>
        <w:t xml:space="preserve"> </w:t>
      </w:r>
      <w:r w:rsidRPr="00793703">
        <w:t xml:space="preserve">CLP </w:t>
      </w:r>
      <w:r>
        <w:t>n</w:t>
      </w:r>
      <w:r w:rsidRPr="00793703">
        <w:t xml:space="preserve">otification </w:t>
      </w:r>
      <w:r>
        <w:t>s</w:t>
      </w:r>
      <w:r w:rsidRPr="00793703">
        <w:t>tatus</w:t>
      </w:r>
      <w:bookmarkEnd w:id="398"/>
      <w:bookmarkEnd w:id="399"/>
    </w:p>
    <w:p w14:paraId="1C72B6DC" w14:textId="0256E023" w:rsidR="00B711CC" w:rsidRDefault="00B711CC" w:rsidP="00B711CC">
      <w:pPr>
        <w:pStyle w:val="Caption"/>
      </w:pPr>
      <w:bookmarkStart w:id="400" w:name="_Toc491433640"/>
      <w:r w:rsidRPr="00B711CC">
        <w:rPr>
          <w:b/>
          <w:sz w:val="18"/>
          <w:szCs w:val="18"/>
        </w:rPr>
        <w:t xml:space="preserve">Table </w:t>
      </w:r>
      <w:r w:rsidRPr="00B711CC">
        <w:rPr>
          <w:b/>
          <w:sz w:val="18"/>
          <w:szCs w:val="18"/>
        </w:rPr>
        <w:fldChar w:fldCharType="begin"/>
      </w:r>
      <w:r w:rsidRPr="00B711CC">
        <w:rPr>
          <w:b/>
          <w:sz w:val="18"/>
          <w:szCs w:val="18"/>
        </w:rPr>
        <w:instrText xml:space="preserve"> SEQ Table \* ARABIC </w:instrText>
      </w:r>
      <w:r w:rsidRPr="00B711CC">
        <w:rPr>
          <w:b/>
          <w:sz w:val="18"/>
          <w:szCs w:val="18"/>
        </w:rPr>
        <w:fldChar w:fldCharType="separate"/>
      </w:r>
      <w:r w:rsidR="0087074B">
        <w:rPr>
          <w:b/>
          <w:noProof/>
          <w:sz w:val="18"/>
          <w:szCs w:val="18"/>
        </w:rPr>
        <w:t>6</w:t>
      </w:r>
      <w:r w:rsidRPr="00B711CC">
        <w:rPr>
          <w:b/>
          <w:sz w:val="18"/>
          <w:szCs w:val="18"/>
        </w:rPr>
        <w:fldChar w:fldCharType="end"/>
      </w:r>
      <w:r w:rsidRPr="00B711CC">
        <w:rPr>
          <w:b/>
          <w:sz w:val="18"/>
          <w:szCs w:val="18"/>
        </w:rPr>
        <w:t xml:space="preserve">. CLP </w:t>
      </w:r>
      <w:r w:rsidRPr="003215DB">
        <w:rPr>
          <w:b/>
          <w:sz w:val="18"/>
        </w:rPr>
        <w:t>notifications</w:t>
      </w:r>
      <w:bookmarkEnd w:id="400"/>
    </w:p>
    <w:tbl>
      <w:tblPr>
        <w:tblW w:w="4904" w:type="pct"/>
        <w:tblInd w:w="107" w:type="dxa"/>
        <w:tblLayout w:type="fixed"/>
        <w:tblLook w:val="0000" w:firstRow="0" w:lastRow="0" w:firstColumn="0" w:lastColumn="0" w:noHBand="0" w:noVBand="0"/>
      </w:tblPr>
      <w:tblGrid>
        <w:gridCol w:w="6148"/>
        <w:gridCol w:w="2698"/>
      </w:tblGrid>
      <w:tr w:rsidR="001340DF" w:rsidRPr="00A53620" w14:paraId="6298A1E1" w14:textId="77777777" w:rsidTr="00550964">
        <w:trPr>
          <w:cantSplit/>
          <w:trHeight w:val="98"/>
        </w:trPr>
        <w:tc>
          <w:tcPr>
            <w:tcW w:w="3475" w:type="pct"/>
            <w:tcBorders>
              <w:top w:val="single" w:sz="2" w:space="0" w:color="auto"/>
              <w:left w:val="single" w:sz="4" w:space="0" w:color="auto"/>
              <w:bottom w:val="single" w:sz="4" w:space="0" w:color="auto"/>
              <w:right w:val="single" w:sz="4" w:space="0" w:color="auto"/>
            </w:tcBorders>
          </w:tcPr>
          <w:p w14:paraId="3FB1670A" w14:textId="77777777" w:rsidR="001340DF" w:rsidRPr="00554DC9" w:rsidRDefault="001340DF" w:rsidP="00550964">
            <w:pPr>
              <w:spacing w:before="60" w:after="60"/>
              <w:jc w:val="center"/>
              <w:rPr>
                <w:b/>
                <w:sz w:val="18"/>
                <w:szCs w:val="16"/>
              </w:rPr>
            </w:pPr>
          </w:p>
        </w:tc>
        <w:tc>
          <w:tcPr>
            <w:tcW w:w="1525" w:type="pct"/>
            <w:tcBorders>
              <w:top w:val="single" w:sz="2" w:space="0" w:color="auto"/>
              <w:left w:val="single" w:sz="4" w:space="0" w:color="auto"/>
              <w:bottom w:val="single" w:sz="4" w:space="0" w:color="auto"/>
              <w:right w:val="single" w:sz="2" w:space="0" w:color="auto"/>
            </w:tcBorders>
          </w:tcPr>
          <w:p w14:paraId="13CAB544" w14:textId="77777777" w:rsidR="001340DF" w:rsidRPr="00554DC9" w:rsidRDefault="001340DF" w:rsidP="00550964">
            <w:pPr>
              <w:spacing w:before="60" w:after="60"/>
              <w:jc w:val="center"/>
              <w:rPr>
                <w:b/>
                <w:sz w:val="18"/>
                <w:szCs w:val="16"/>
              </w:rPr>
            </w:pPr>
            <w:r w:rsidRPr="00554DC9">
              <w:rPr>
                <w:b/>
                <w:sz w:val="18"/>
                <w:szCs w:val="16"/>
              </w:rPr>
              <w:t>CLP Notifications</w:t>
            </w:r>
            <w:r w:rsidRPr="00554DC9">
              <w:rPr>
                <w:rStyle w:val="FootnoteReference"/>
                <w:rFonts w:ascii="Verdana" w:hAnsi="Verdana"/>
                <w:b/>
                <w:sz w:val="18"/>
              </w:rPr>
              <w:footnoteReference w:id="5"/>
            </w:r>
          </w:p>
        </w:tc>
      </w:tr>
      <w:tr w:rsidR="001340DF" w:rsidRPr="00A53620" w14:paraId="40009C94" w14:textId="77777777" w:rsidTr="00550964">
        <w:trPr>
          <w:cantSplit/>
          <w:trHeight w:val="168"/>
        </w:trPr>
        <w:tc>
          <w:tcPr>
            <w:tcW w:w="3475" w:type="pct"/>
            <w:tcBorders>
              <w:top w:val="single" w:sz="2" w:space="0" w:color="auto"/>
              <w:left w:val="single" w:sz="4" w:space="0" w:color="auto"/>
              <w:bottom w:val="single" w:sz="2" w:space="0" w:color="auto"/>
              <w:right w:val="single" w:sz="4" w:space="0" w:color="auto"/>
            </w:tcBorders>
          </w:tcPr>
          <w:p w14:paraId="14872D13" w14:textId="77777777" w:rsidR="001340DF" w:rsidRPr="00A22024" w:rsidRDefault="001340DF" w:rsidP="00550964">
            <w:pPr>
              <w:spacing w:before="60" w:after="60"/>
              <w:ind w:right="-108"/>
              <w:rPr>
                <w:sz w:val="18"/>
                <w:szCs w:val="16"/>
              </w:rPr>
            </w:pPr>
            <w:r w:rsidRPr="00A22024">
              <w:rPr>
                <w:sz w:val="18"/>
                <w:szCs w:val="16"/>
              </w:rPr>
              <w:t>Number of aggregated notifications</w:t>
            </w:r>
          </w:p>
        </w:tc>
        <w:tc>
          <w:tcPr>
            <w:tcW w:w="1525" w:type="pct"/>
            <w:tcBorders>
              <w:top w:val="single" w:sz="2" w:space="0" w:color="auto"/>
              <w:left w:val="single" w:sz="4" w:space="0" w:color="auto"/>
              <w:bottom w:val="single" w:sz="2" w:space="0" w:color="auto"/>
              <w:right w:val="single" w:sz="2" w:space="0" w:color="auto"/>
            </w:tcBorders>
          </w:tcPr>
          <w:p w14:paraId="20D900CE" w14:textId="2F611C67" w:rsidR="001340DF" w:rsidRPr="00554DC9" w:rsidRDefault="00050D7D" w:rsidP="00550964">
            <w:pPr>
              <w:spacing w:before="60" w:after="60"/>
              <w:jc w:val="center"/>
              <w:rPr>
                <w:sz w:val="18"/>
                <w:szCs w:val="16"/>
              </w:rPr>
            </w:pPr>
            <w:r>
              <w:rPr>
                <w:sz w:val="18"/>
                <w:szCs w:val="16"/>
              </w:rPr>
              <w:t>4</w:t>
            </w:r>
          </w:p>
        </w:tc>
      </w:tr>
      <w:tr w:rsidR="001340DF" w:rsidRPr="00A53620" w14:paraId="24458318" w14:textId="77777777" w:rsidTr="00550964">
        <w:trPr>
          <w:cantSplit/>
          <w:trHeight w:val="168"/>
        </w:trPr>
        <w:tc>
          <w:tcPr>
            <w:tcW w:w="3475" w:type="pct"/>
            <w:tcBorders>
              <w:top w:val="single" w:sz="2" w:space="0" w:color="auto"/>
              <w:left w:val="single" w:sz="4" w:space="0" w:color="auto"/>
              <w:bottom w:val="single" w:sz="2" w:space="0" w:color="auto"/>
              <w:right w:val="single" w:sz="4" w:space="0" w:color="auto"/>
            </w:tcBorders>
          </w:tcPr>
          <w:p w14:paraId="7283A704" w14:textId="77777777" w:rsidR="001340DF" w:rsidRPr="00A22024" w:rsidRDefault="001340DF" w:rsidP="00550964">
            <w:pPr>
              <w:spacing w:before="60" w:after="60"/>
              <w:ind w:right="-108"/>
              <w:rPr>
                <w:color w:val="000000"/>
                <w:sz w:val="18"/>
                <w:szCs w:val="16"/>
              </w:rPr>
            </w:pPr>
            <w:r w:rsidRPr="00A22024">
              <w:rPr>
                <w:sz w:val="18"/>
                <w:szCs w:val="16"/>
              </w:rPr>
              <w:t xml:space="preserve">Total number of </w:t>
            </w:r>
            <w:proofErr w:type="spellStart"/>
            <w:r w:rsidRPr="00A22024">
              <w:rPr>
                <w:sz w:val="18"/>
                <w:szCs w:val="16"/>
              </w:rPr>
              <w:t>notifiers</w:t>
            </w:r>
            <w:proofErr w:type="spellEnd"/>
            <w:r w:rsidRPr="00A22024">
              <w:rPr>
                <w:sz w:val="18"/>
                <w:szCs w:val="16"/>
              </w:rPr>
              <w:t xml:space="preserve"> </w:t>
            </w:r>
          </w:p>
        </w:tc>
        <w:tc>
          <w:tcPr>
            <w:tcW w:w="1525" w:type="pct"/>
            <w:tcBorders>
              <w:top w:val="single" w:sz="2" w:space="0" w:color="auto"/>
              <w:left w:val="single" w:sz="4" w:space="0" w:color="auto"/>
              <w:bottom w:val="single" w:sz="2" w:space="0" w:color="auto"/>
              <w:right w:val="single" w:sz="2" w:space="0" w:color="auto"/>
            </w:tcBorders>
          </w:tcPr>
          <w:p w14:paraId="3FAB28B5" w14:textId="113ACE86" w:rsidR="001340DF" w:rsidRPr="00554DC9" w:rsidRDefault="00007294" w:rsidP="00550964">
            <w:pPr>
              <w:spacing w:before="60" w:after="60"/>
              <w:jc w:val="center"/>
              <w:rPr>
                <w:sz w:val="18"/>
                <w:szCs w:val="16"/>
              </w:rPr>
            </w:pPr>
            <w:r>
              <w:rPr>
                <w:sz w:val="18"/>
                <w:szCs w:val="16"/>
              </w:rPr>
              <w:t>44</w:t>
            </w:r>
          </w:p>
        </w:tc>
      </w:tr>
    </w:tbl>
    <w:p w14:paraId="19C2F34F" w14:textId="77777777" w:rsidR="00554DC9" w:rsidRDefault="00554DC9" w:rsidP="00554DC9">
      <w:pPr>
        <w:rPr>
          <w:color w:val="0046AD"/>
        </w:rPr>
      </w:pPr>
    </w:p>
    <w:p w14:paraId="417F3354" w14:textId="29E14427" w:rsidR="00577AFB" w:rsidRDefault="00577AFB" w:rsidP="00554DC9">
      <w:pPr>
        <w:rPr>
          <w:color w:val="0046AD"/>
        </w:rPr>
      </w:pPr>
    </w:p>
    <w:p w14:paraId="42005320" w14:textId="77777777" w:rsidR="00894DF9" w:rsidRDefault="00894DF9" w:rsidP="00554DC9">
      <w:pPr>
        <w:rPr>
          <w:color w:val="0046AD"/>
        </w:rPr>
      </w:pPr>
    </w:p>
    <w:p w14:paraId="47E0F914" w14:textId="77777777" w:rsidR="00CD0831" w:rsidRPr="00CD0831" w:rsidRDefault="00CD0831" w:rsidP="00CD0831">
      <w:pPr>
        <w:pStyle w:val="Heading1"/>
      </w:pPr>
      <w:bookmarkStart w:id="401" w:name="_Toc491435650"/>
      <w:bookmarkStart w:id="402" w:name="_Toc422996197"/>
      <w:r>
        <w:t>Total tonnage of the substance</w:t>
      </w:r>
      <w:bookmarkEnd w:id="401"/>
      <w:r>
        <w:t xml:space="preserve"> </w:t>
      </w:r>
    </w:p>
    <w:p w14:paraId="4B260180" w14:textId="5252DD3B" w:rsidR="00B711CC" w:rsidRDefault="00B711CC" w:rsidP="00B711CC">
      <w:pPr>
        <w:pStyle w:val="Caption"/>
      </w:pPr>
      <w:bookmarkStart w:id="403" w:name="_Toc491433641"/>
      <w:r w:rsidRPr="00B711CC">
        <w:rPr>
          <w:b/>
          <w:sz w:val="18"/>
        </w:rPr>
        <w:t xml:space="preserve">Table </w:t>
      </w:r>
      <w:r w:rsidRPr="00B711CC">
        <w:rPr>
          <w:b/>
          <w:sz w:val="18"/>
        </w:rPr>
        <w:fldChar w:fldCharType="begin"/>
      </w:r>
      <w:r w:rsidRPr="00B711CC">
        <w:rPr>
          <w:b/>
          <w:sz w:val="18"/>
        </w:rPr>
        <w:instrText xml:space="preserve"> SEQ Table \* ARABIC </w:instrText>
      </w:r>
      <w:r w:rsidRPr="00B711CC">
        <w:rPr>
          <w:b/>
          <w:sz w:val="18"/>
        </w:rPr>
        <w:fldChar w:fldCharType="separate"/>
      </w:r>
      <w:r w:rsidR="0087074B">
        <w:rPr>
          <w:b/>
          <w:noProof/>
          <w:sz w:val="18"/>
        </w:rPr>
        <w:t>7</w:t>
      </w:r>
      <w:r w:rsidRPr="00B711CC">
        <w:rPr>
          <w:b/>
          <w:sz w:val="18"/>
        </w:rPr>
        <w:fldChar w:fldCharType="end"/>
      </w:r>
      <w:r w:rsidRPr="00B711CC">
        <w:rPr>
          <w:b/>
          <w:sz w:val="18"/>
        </w:rPr>
        <w:t>.</w:t>
      </w:r>
      <w:r w:rsidRPr="00B711CC">
        <w:rPr>
          <w:b/>
          <w:sz w:val="14"/>
        </w:rPr>
        <w:t xml:space="preserve"> </w:t>
      </w:r>
      <w:r>
        <w:rPr>
          <w:b/>
          <w:sz w:val="18"/>
        </w:rPr>
        <w:t>Tonnage</w:t>
      </w:r>
      <w:r w:rsidRPr="003215DB">
        <w:rPr>
          <w:b/>
          <w:sz w:val="18"/>
        </w:rPr>
        <w:t xml:space="preserve"> status</w:t>
      </w:r>
      <w:bookmarkEnd w:id="403"/>
    </w:p>
    <w:tbl>
      <w:tblPr>
        <w:tblStyle w:val="TableGrid"/>
        <w:tblW w:w="0" w:type="auto"/>
        <w:tblInd w:w="137" w:type="dxa"/>
        <w:tblLook w:val="04A0" w:firstRow="1" w:lastRow="0" w:firstColumn="1" w:lastColumn="0" w:noHBand="0" w:noVBand="1"/>
      </w:tblPr>
      <w:tblGrid>
        <w:gridCol w:w="4111"/>
        <w:gridCol w:w="3402"/>
      </w:tblGrid>
      <w:tr w:rsidR="00577AFB" w14:paraId="07FF31C9" w14:textId="77777777" w:rsidTr="000F3847">
        <w:tc>
          <w:tcPr>
            <w:tcW w:w="4111" w:type="dxa"/>
            <w:vAlign w:val="center"/>
          </w:tcPr>
          <w:p w14:paraId="5A51CB3F" w14:textId="77777777" w:rsidR="00577AFB" w:rsidRDefault="00577AFB" w:rsidP="00577AFB">
            <w:pPr>
              <w:rPr>
                <w:lang w:eastAsia="en-US"/>
              </w:rPr>
            </w:pPr>
            <w:r w:rsidRPr="00397DA7">
              <w:t>Total tonnage band for</w:t>
            </w:r>
            <w:r>
              <w:t xml:space="preserve"> the</w:t>
            </w:r>
            <w:r w:rsidRPr="00397DA7">
              <w:t xml:space="preserve"> </w:t>
            </w:r>
            <w:r w:rsidR="00815240">
              <w:t xml:space="preserve">registered </w:t>
            </w:r>
            <w:r w:rsidRPr="00397DA7">
              <w:t>substance (excluding the volume registered under Art 17 or Art 18)</w:t>
            </w:r>
            <w:r w:rsidRPr="0040013B">
              <w:rPr>
                <w:rStyle w:val="FootnoteReference"/>
                <w:rFonts w:ascii="Verdana" w:hAnsi="Verdana"/>
                <w:sz w:val="20"/>
              </w:rPr>
              <w:footnoteReference w:id="6"/>
            </w:r>
          </w:p>
        </w:tc>
        <w:tc>
          <w:tcPr>
            <w:tcW w:w="3402" w:type="dxa"/>
            <w:vAlign w:val="center"/>
          </w:tcPr>
          <w:p w14:paraId="0EEF236E" w14:textId="77777777" w:rsidR="00577AFB" w:rsidRDefault="00577AFB" w:rsidP="00FC5726">
            <w:pPr>
              <w:pStyle w:val="Caption"/>
              <w:rPr>
                <w:sz w:val="20"/>
              </w:rPr>
            </w:pPr>
          </w:p>
          <w:p w14:paraId="072EE9E3" w14:textId="10B7E627" w:rsidR="00577AFB" w:rsidRDefault="00A67740" w:rsidP="00FC5726">
            <w:pPr>
              <w:pStyle w:val="BodyText"/>
              <w:jc w:val="center"/>
            </w:pPr>
            <w:r>
              <w:t>10</w:t>
            </w:r>
            <w:r w:rsidR="009615C4">
              <w:t>00</w:t>
            </w:r>
            <w:r>
              <w:t xml:space="preserve"> </w:t>
            </w:r>
            <w:r w:rsidR="009615C4">
              <w:t>–</w:t>
            </w:r>
            <w:r>
              <w:t xml:space="preserve"> 10</w:t>
            </w:r>
            <w:r w:rsidR="009615C4">
              <w:t xml:space="preserve"> </w:t>
            </w:r>
            <w:r>
              <w:t>0</w:t>
            </w:r>
            <w:r w:rsidR="009615C4">
              <w:t>00</w:t>
            </w:r>
            <w:r w:rsidR="00577AFB">
              <w:t xml:space="preserve"> t/pa</w:t>
            </w:r>
          </w:p>
          <w:p w14:paraId="2DCF6269" w14:textId="77777777" w:rsidR="00577AFB" w:rsidRDefault="00577AFB" w:rsidP="00577AFB">
            <w:pPr>
              <w:rPr>
                <w:lang w:eastAsia="en-US"/>
              </w:rPr>
            </w:pPr>
          </w:p>
        </w:tc>
      </w:tr>
    </w:tbl>
    <w:p w14:paraId="12997B91" w14:textId="77777777" w:rsidR="00577AFB" w:rsidRPr="00577AFB" w:rsidRDefault="00577AFB" w:rsidP="00577AFB">
      <w:pPr>
        <w:rPr>
          <w:lang w:eastAsia="en-US"/>
        </w:rPr>
      </w:pPr>
    </w:p>
    <w:p w14:paraId="2526173C" w14:textId="077D39B5" w:rsidR="00577AFB" w:rsidRDefault="00577AFB" w:rsidP="00B467B2">
      <w:pPr>
        <w:pStyle w:val="Heading2"/>
      </w:pPr>
    </w:p>
    <w:p w14:paraId="6A1B9C62" w14:textId="70C3BCEE" w:rsidR="00050D7D" w:rsidRDefault="00050D7D" w:rsidP="00050D7D">
      <w:pPr>
        <w:pStyle w:val="BodyText"/>
      </w:pPr>
    </w:p>
    <w:p w14:paraId="2033D94B" w14:textId="5C27262F" w:rsidR="00050D7D" w:rsidRDefault="00050D7D" w:rsidP="00050D7D">
      <w:pPr>
        <w:pStyle w:val="BodyText"/>
      </w:pPr>
    </w:p>
    <w:p w14:paraId="64F0CE43" w14:textId="447A64E9" w:rsidR="00050D7D" w:rsidRDefault="00050D7D" w:rsidP="00050D7D">
      <w:pPr>
        <w:pStyle w:val="BodyText"/>
      </w:pPr>
    </w:p>
    <w:p w14:paraId="267E1EEE" w14:textId="77777777" w:rsidR="00050D7D" w:rsidRPr="00050D7D" w:rsidRDefault="00050D7D" w:rsidP="00050D7D">
      <w:pPr>
        <w:pStyle w:val="BodyText"/>
      </w:pPr>
    </w:p>
    <w:p w14:paraId="41561D0F" w14:textId="77777777" w:rsidR="00554DC9" w:rsidRPr="0077059D" w:rsidRDefault="00554DC9" w:rsidP="00554DC9">
      <w:pPr>
        <w:pStyle w:val="Heading1"/>
      </w:pPr>
      <w:bookmarkStart w:id="404" w:name="_Toc491435651"/>
      <w:r w:rsidRPr="0077059D">
        <w:lastRenderedPageBreak/>
        <w:t>Information on uses of the substance</w:t>
      </w:r>
      <w:bookmarkEnd w:id="402"/>
      <w:bookmarkEnd w:id="404"/>
    </w:p>
    <w:p w14:paraId="1805D870" w14:textId="657E163B" w:rsidR="00542751" w:rsidRPr="00402473" w:rsidRDefault="00542751" w:rsidP="00542751">
      <w:pPr>
        <w:pStyle w:val="NormalItalic"/>
        <w:keepNext/>
        <w:jc w:val="left"/>
        <w:rPr>
          <w:i w:val="0"/>
        </w:rPr>
      </w:pPr>
      <w:r>
        <w:rPr>
          <w:i w:val="0"/>
        </w:rPr>
        <w:t>Uses of cadmium hydroxide and other cadmium compounds has been summarised and visualised in figure 1 below, illustrating the complexity and interrelations of the uses of this group of compounds.</w:t>
      </w:r>
    </w:p>
    <w:p w14:paraId="130E8DB8" w14:textId="16D41533" w:rsidR="00C5587A" w:rsidRDefault="00C5587A" w:rsidP="00C5587A">
      <w:pPr>
        <w:pStyle w:val="NormalItalic"/>
      </w:pPr>
    </w:p>
    <w:p w14:paraId="665198F2" w14:textId="1BE4E025" w:rsidR="00894DF9" w:rsidRDefault="00EC4C20" w:rsidP="00894DF9">
      <w:pPr>
        <w:pStyle w:val="NormalItalic"/>
        <w:keepNext/>
        <w:jc w:val="center"/>
      </w:pPr>
      <w:r>
        <w:rPr>
          <w:noProof/>
          <w:szCs w:val="20"/>
          <w:lang w:eastAsia="en-GB"/>
        </w:rPr>
        <w:drawing>
          <wp:inline distT="0" distB="0" distL="0" distR="0" wp14:anchorId="779E54E3" wp14:editId="102B7198">
            <wp:extent cx="5278120" cy="3877388"/>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278120" cy="3877388"/>
                    </a:xfrm>
                    <a:prstGeom prst="rect">
                      <a:avLst/>
                    </a:prstGeom>
                    <a:noFill/>
                    <a:ln w="9525">
                      <a:noFill/>
                      <a:miter lim="800000"/>
                      <a:headEnd/>
                      <a:tailEnd/>
                    </a:ln>
                  </pic:spPr>
                </pic:pic>
              </a:graphicData>
            </a:graphic>
          </wp:inline>
        </w:drawing>
      </w:r>
    </w:p>
    <w:p w14:paraId="161EC0CA" w14:textId="70CA3D12" w:rsidR="00B05510" w:rsidRPr="004F1B96" w:rsidRDefault="00894DF9" w:rsidP="00007294">
      <w:pPr>
        <w:pStyle w:val="Caption"/>
        <w:jc w:val="left"/>
        <w:rPr>
          <w:sz w:val="18"/>
        </w:rPr>
      </w:pPr>
      <w:r w:rsidRPr="00CC3523">
        <w:rPr>
          <w:b/>
          <w:sz w:val="18"/>
        </w:rPr>
        <w:t xml:space="preserve">Figure </w:t>
      </w:r>
      <w:r w:rsidRPr="00CC3523">
        <w:rPr>
          <w:b/>
          <w:sz w:val="18"/>
        </w:rPr>
        <w:fldChar w:fldCharType="begin"/>
      </w:r>
      <w:r w:rsidRPr="00CC3523">
        <w:rPr>
          <w:b/>
          <w:sz w:val="18"/>
        </w:rPr>
        <w:instrText xml:space="preserve"> SEQ Figure \* ARABIC </w:instrText>
      </w:r>
      <w:r w:rsidRPr="00CC3523">
        <w:rPr>
          <w:b/>
          <w:sz w:val="18"/>
        </w:rPr>
        <w:fldChar w:fldCharType="separate"/>
      </w:r>
      <w:r w:rsidR="0087074B" w:rsidRPr="00CC3523">
        <w:rPr>
          <w:b/>
          <w:noProof/>
          <w:sz w:val="18"/>
        </w:rPr>
        <w:t>1</w:t>
      </w:r>
      <w:r w:rsidRPr="00CC3523">
        <w:rPr>
          <w:b/>
          <w:sz w:val="18"/>
        </w:rPr>
        <w:fldChar w:fldCharType="end"/>
      </w:r>
      <w:r w:rsidRPr="004F1B96">
        <w:rPr>
          <w:sz w:val="18"/>
        </w:rPr>
        <w:t xml:space="preserve">. Overview of the cadmium downstream uses with focus on </w:t>
      </w:r>
      <w:r w:rsidR="001C73E1" w:rsidRPr="004F1B96">
        <w:rPr>
          <w:sz w:val="18"/>
        </w:rPr>
        <w:t>cadmium hydroxide</w:t>
      </w:r>
      <w:r w:rsidR="00B73239">
        <w:rPr>
          <w:sz w:val="18"/>
        </w:rPr>
        <w:t xml:space="preserve"> summarised and visualised</w:t>
      </w:r>
      <w:r w:rsidRPr="004F1B96">
        <w:rPr>
          <w:sz w:val="18"/>
        </w:rPr>
        <w:t xml:space="preserve">. </w:t>
      </w:r>
    </w:p>
    <w:p w14:paraId="31639FB7" w14:textId="77777777" w:rsidR="004F1B96" w:rsidRPr="004F1B96" w:rsidRDefault="004F1B96" w:rsidP="004F1B96">
      <w:pPr>
        <w:rPr>
          <w:lang w:eastAsia="en-US"/>
        </w:rPr>
      </w:pPr>
    </w:p>
    <w:p w14:paraId="028CEE73" w14:textId="77777777" w:rsidR="004F1B96" w:rsidRPr="00205C87" w:rsidRDefault="004F1B96" w:rsidP="004F1B96">
      <w:pPr>
        <w:pStyle w:val="ListParagraph"/>
        <w:ind w:left="0"/>
        <w:jc w:val="both"/>
        <w:rPr>
          <w:rFonts w:cs="Calibri"/>
          <w:lang w:eastAsia="en-US"/>
        </w:rPr>
      </w:pPr>
      <w:r w:rsidRPr="00205C87">
        <w:rPr>
          <w:rFonts w:cs="Arial"/>
          <w:lang w:eastAsia="en-GB"/>
        </w:rPr>
        <w:t xml:space="preserve">Table </w:t>
      </w:r>
      <w:r w:rsidRPr="00205C87">
        <w:rPr>
          <w:rFonts w:cs="Arial"/>
          <w:color w:val="000000"/>
          <w:lang w:eastAsia="en-GB"/>
        </w:rPr>
        <w:t>8</w:t>
      </w:r>
      <w:r w:rsidRPr="00205C87">
        <w:rPr>
          <w:rFonts w:cs="Arial"/>
          <w:lang w:eastAsia="en-GB"/>
        </w:rPr>
        <w:t xml:space="preserve"> below summarises the uses from the registration dossiers. </w:t>
      </w:r>
      <w:r>
        <w:rPr>
          <w:rFonts w:cs="Arial"/>
          <w:lang w:eastAsia="en-GB"/>
        </w:rPr>
        <w:t>A</w:t>
      </w:r>
      <w:r w:rsidRPr="00205C87">
        <w:rPr>
          <w:rFonts w:cs="Arial"/>
          <w:lang w:eastAsia="en-GB"/>
        </w:rPr>
        <w:t xml:space="preserve"> conclusion on whether the use is in the scope of Authorisation </w:t>
      </w:r>
      <w:proofErr w:type="gramStart"/>
      <w:r>
        <w:rPr>
          <w:rFonts w:cs="Arial"/>
          <w:lang w:eastAsia="en-GB"/>
        </w:rPr>
        <w:t xml:space="preserve">is </w:t>
      </w:r>
      <w:r w:rsidRPr="00205C87">
        <w:rPr>
          <w:rFonts w:cs="Arial"/>
          <w:lang w:eastAsia="en-GB"/>
        </w:rPr>
        <w:t xml:space="preserve">not </w:t>
      </w:r>
      <w:r>
        <w:rPr>
          <w:rFonts w:cs="Arial"/>
          <w:lang w:eastAsia="en-GB"/>
        </w:rPr>
        <w:t xml:space="preserve">possible </w:t>
      </w:r>
      <w:r w:rsidRPr="00205C87">
        <w:rPr>
          <w:rFonts w:cs="Arial"/>
          <w:lang w:eastAsia="en-GB"/>
        </w:rPr>
        <w:t>based</w:t>
      </w:r>
      <w:proofErr w:type="gramEnd"/>
      <w:r w:rsidRPr="00205C87">
        <w:rPr>
          <w:rFonts w:cs="Arial"/>
          <w:lang w:eastAsia="en-GB"/>
        </w:rPr>
        <w:t xml:space="preserve"> on the general information available in the registration dossiers. Further information would be necessary to confirm whether the uses as reported by the registrants are intermediate uses.</w:t>
      </w:r>
    </w:p>
    <w:p w14:paraId="500E0CBC" w14:textId="77777777" w:rsidR="001A06B7" w:rsidRPr="001A06B7" w:rsidRDefault="001A06B7" w:rsidP="001A06B7">
      <w:pPr>
        <w:rPr>
          <w:lang w:eastAsia="en-US"/>
        </w:rPr>
      </w:pPr>
    </w:p>
    <w:p w14:paraId="34D6B9FC" w14:textId="1BDC54D0" w:rsidR="003215DB" w:rsidRPr="003215DB" w:rsidRDefault="003215DB" w:rsidP="003215DB">
      <w:pPr>
        <w:pStyle w:val="Caption"/>
        <w:rPr>
          <w:b/>
          <w:sz w:val="18"/>
        </w:rPr>
      </w:pPr>
      <w:bookmarkStart w:id="405" w:name="_Toc491433642"/>
      <w:r w:rsidRPr="003215DB">
        <w:rPr>
          <w:b/>
          <w:sz w:val="18"/>
        </w:rPr>
        <w:t xml:space="preserve">Table </w:t>
      </w:r>
      <w:r w:rsidR="000721AD" w:rsidRPr="003215DB">
        <w:rPr>
          <w:b/>
          <w:sz w:val="18"/>
        </w:rPr>
        <w:fldChar w:fldCharType="begin"/>
      </w:r>
      <w:r w:rsidRPr="003215DB">
        <w:rPr>
          <w:b/>
          <w:sz w:val="18"/>
        </w:rPr>
        <w:instrText xml:space="preserve"> SEQ Table \* ARABIC </w:instrText>
      </w:r>
      <w:r w:rsidR="000721AD" w:rsidRPr="003215DB">
        <w:rPr>
          <w:b/>
          <w:sz w:val="18"/>
        </w:rPr>
        <w:fldChar w:fldCharType="separate"/>
      </w:r>
      <w:r w:rsidR="0087074B">
        <w:rPr>
          <w:b/>
          <w:noProof/>
          <w:sz w:val="18"/>
        </w:rPr>
        <w:t>8</w:t>
      </w:r>
      <w:r w:rsidR="000721AD" w:rsidRPr="003215DB">
        <w:rPr>
          <w:b/>
          <w:sz w:val="18"/>
        </w:rPr>
        <w:fldChar w:fldCharType="end"/>
      </w:r>
      <w:r w:rsidRPr="003215DB">
        <w:rPr>
          <w:b/>
          <w:noProof/>
          <w:sz w:val="18"/>
        </w:rPr>
        <w:t>: Uses</w:t>
      </w:r>
      <w:r w:rsidR="00DB2D71" w:rsidRPr="004F1B96">
        <w:rPr>
          <w:rStyle w:val="FootnoteReference"/>
          <w:rFonts w:ascii="Verdana" w:hAnsi="Verdana"/>
          <w:noProof/>
          <w:sz w:val="20"/>
        </w:rPr>
        <w:footnoteReference w:id="7"/>
      </w:r>
      <w:bookmarkEnd w:id="405"/>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4546"/>
        <w:gridCol w:w="1563"/>
        <w:gridCol w:w="1959"/>
      </w:tblGrid>
      <w:tr w:rsidR="005C4AA4" w:rsidRPr="00035135" w14:paraId="5B86D7C9" w14:textId="77777777" w:rsidTr="00DB2D71">
        <w:tc>
          <w:tcPr>
            <w:tcW w:w="1675" w:type="dxa"/>
            <w:tcBorders>
              <w:top w:val="nil"/>
              <w:left w:val="nil"/>
            </w:tcBorders>
            <w:shd w:val="clear" w:color="auto" w:fill="auto"/>
            <w:vAlign w:val="center"/>
          </w:tcPr>
          <w:p w14:paraId="2CA9BFA8" w14:textId="77777777" w:rsidR="005C4AA4" w:rsidRPr="0033478E" w:rsidRDefault="005C4AA4" w:rsidP="00550964">
            <w:pPr>
              <w:pStyle w:val="BodyText"/>
              <w:rPr>
                <w:sz w:val="18"/>
              </w:rPr>
            </w:pPr>
          </w:p>
        </w:tc>
        <w:tc>
          <w:tcPr>
            <w:tcW w:w="4550" w:type="dxa"/>
            <w:shd w:val="clear" w:color="auto" w:fill="auto"/>
          </w:tcPr>
          <w:p w14:paraId="072A51F9" w14:textId="77777777" w:rsidR="005C4AA4" w:rsidRPr="0033478E" w:rsidRDefault="005C4AA4" w:rsidP="00550964">
            <w:pPr>
              <w:pStyle w:val="Caption"/>
              <w:jc w:val="center"/>
              <w:rPr>
                <w:b/>
                <w:sz w:val="18"/>
                <w:lang w:val="en-IE"/>
              </w:rPr>
            </w:pPr>
            <w:r w:rsidRPr="0033478E">
              <w:rPr>
                <w:b/>
                <w:sz w:val="18"/>
                <w:lang w:val="en-IE"/>
              </w:rPr>
              <w:t>Use(s)</w:t>
            </w:r>
          </w:p>
        </w:tc>
        <w:tc>
          <w:tcPr>
            <w:tcW w:w="1563" w:type="dxa"/>
          </w:tcPr>
          <w:p w14:paraId="7D976AEF" w14:textId="77777777" w:rsidR="005C4AA4" w:rsidRPr="009E0412" w:rsidRDefault="005C4AA4" w:rsidP="00141B05">
            <w:pPr>
              <w:pStyle w:val="CommentText"/>
              <w:jc w:val="center"/>
              <w:rPr>
                <w:b/>
                <w:sz w:val="18"/>
              </w:rPr>
            </w:pPr>
            <w:r w:rsidRPr="009E0412">
              <w:rPr>
                <w:b/>
                <w:sz w:val="18"/>
              </w:rPr>
              <w:t>Registered use</w:t>
            </w:r>
          </w:p>
          <w:p w14:paraId="34EE5CD8" w14:textId="77777777" w:rsidR="005C4AA4" w:rsidRPr="009E0412" w:rsidRDefault="005C4AA4" w:rsidP="00141B05">
            <w:pPr>
              <w:pStyle w:val="CommentText"/>
              <w:rPr>
                <w:b/>
                <w:i/>
                <w:sz w:val="18"/>
                <w:lang w:val="en-IE"/>
              </w:rPr>
            </w:pPr>
            <w:r w:rsidRPr="009E0412">
              <w:rPr>
                <w:i/>
                <w:sz w:val="16"/>
              </w:rPr>
              <w:t>(If not, specify the source of the information)</w:t>
            </w:r>
          </w:p>
        </w:tc>
        <w:tc>
          <w:tcPr>
            <w:tcW w:w="1959" w:type="dxa"/>
          </w:tcPr>
          <w:p w14:paraId="376C946C" w14:textId="77777777" w:rsidR="005C4AA4" w:rsidRPr="0033478E" w:rsidRDefault="005C4AA4" w:rsidP="00550964">
            <w:pPr>
              <w:pStyle w:val="Caption"/>
              <w:jc w:val="center"/>
              <w:rPr>
                <w:b/>
                <w:sz w:val="18"/>
                <w:lang w:val="en-IE"/>
              </w:rPr>
            </w:pPr>
            <w:r>
              <w:rPr>
                <w:b/>
                <w:sz w:val="18"/>
                <w:lang w:val="en-IE"/>
              </w:rPr>
              <w:t>Use in the scope of Authorisation</w:t>
            </w:r>
          </w:p>
        </w:tc>
      </w:tr>
      <w:tr w:rsidR="00A563FD" w:rsidRPr="00035135" w14:paraId="3ECB2337" w14:textId="77777777" w:rsidTr="0032266C">
        <w:tc>
          <w:tcPr>
            <w:tcW w:w="1675" w:type="dxa"/>
            <w:shd w:val="clear" w:color="auto" w:fill="auto"/>
            <w:vAlign w:val="center"/>
          </w:tcPr>
          <w:p w14:paraId="5F113114" w14:textId="77777777" w:rsidR="00A563FD" w:rsidRPr="0033478E" w:rsidRDefault="00A563FD" w:rsidP="0032266C">
            <w:pPr>
              <w:pStyle w:val="BodyText"/>
              <w:rPr>
                <w:b/>
                <w:sz w:val="18"/>
              </w:rPr>
            </w:pPr>
            <w:r w:rsidRPr="0033478E">
              <w:rPr>
                <w:b/>
                <w:sz w:val="18"/>
              </w:rPr>
              <w:t>Uses as intermediate</w:t>
            </w:r>
          </w:p>
        </w:tc>
        <w:tc>
          <w:tcPr>
            <w:tcW w:w="4550" w:type="dxa"/>
            <w:shd w:val="clear" w:color="auto" w:fill="auto"/>
            <w:vAlign w:val="center"/>
          </w:tcPr>
          <w:p w14:paraId="3194BE28" w14:textId="7A282076" w:rsidR="00A563FD" w:rsidRPr="0033478E" w:rsidRDefault="00A563FD" w:rsidP="0032266C">
            <w:pPr>
              <w:pStyle w:val="BodyText"/>
              <w:spacing w:before="120" w:after="120"/>
              <w:rPr>
                <w:sz w:val="18"/>
              </w:rPr>
            </w:pPr>
            <w:r>
              <w:rPr>
                <w:sz w:val="18"/>
                <w:lang w:val="en-IE"/>
              </w:rPr>
              <w:t>Cadmium hydroxide is used as c</w:t>
            </w:r>
            <w:r w:rsidRPr="005B4029">
              <w:rPr>
                <w:sz w:val="18"/>
                <w:lang w:val="en-IE"/>
              </w:rPr>
              <w:t xml:space="preserve">omponent for production of </w:t>
            </w:r>
            <w:r>
              <w:rPr>
                <w:sz w:val="18"/>
                <w:lang w:val="en-IE"/>
              </w:rPr>
              <w:t>other c</w:t>
            </w:r>
            <w:r w:rsidRPr="005B4029">
              <w:rPr>
                <w:sz w:val="18"/>
                <w:lang w:val="en-IE"/>
              </w:rPr>
              <w:t>admium compounds and pigments</w:t>
            </w:r>
            <w:r>
              <w:rPr>
                <w:sz w:val="18"/>
                <w:lang w:val="en-IE"/>
              </w:rPr>
              <w:t>.</w:t>
            </w:r>
          </w:p>
        </w:tc>
        <w:tc>
          <w:tcPr>
            <w:tcW w:w="1563" w:type="dxa"/>
          </w:tcPr>
          <w:p w14:paraId="324FE1F8" w14:textId="312D62E2" w:rsidR="00A563FD" w:rsidRPr="009E0412" w:rsidRDefault="00A563FD" w:rsidP="00DB2D71">
            <w:pPr>
              <w:pStyle w:val="Caption"/>
              <w:ind w:left="0"/>
              <w:jc w:val="center"/>
              <w:rPr>
                <w:sz w:val="18"/>
                <w:highlight w:val="green"/>
              </w:rPr>
            </w:pPr>
            <w:r w:rsidRPr="00427881">
              <w:rPr>
                <w:sz w:val="18"/>
              </w:rPr>
              <w:t>Yes</w:t>
            </w:r>
          </w:p>
        </w:tc>
        <w:tc>
          <w:tcPr>
            <w:tcW w:w="1959" w:type="dxa"/>
          </w:tcPr>
          <w:p w14:paraId="3D9CADFA" w14:textId="260A25D7" w:rsidR="00A563FD" w:rsidRPr="009A2FF0" w:rsidRDefault="00542751" w:rsidP="00DB2D71">
            <w:pPr>
              <w:pStyle w:val="Caption"/>
              <w:ind w:left="0"/>
              <w:jc w:val="center"/>
              <w:rPr>
                <w:sz w:val="18"/>
              </w:rPr>
            </w:pPr>
            <w:r>
              <w:rPr>
                <w:sz w:val="18"/>
              </w:rPr>
              <w:t>-</w:t>
            </w:r>
          </w:p>
        </w:tc>
      </w:tr>
      <w:tr w:rsidR="00A563FD" w:rsidRPr="00035135" w14:paraId="1992E854" w14:textId="77777777" w:rsidTr="0032266C">
        <w:tc>
          <w:tcPr>
            <w:tcW w:w="1680" w:type="dxa"/>
            <w:shd w:val="clear" w:color="auto" w:fill="auto"/>
            <w:vAlign w:val="center"/>
          </w:tcPr>
          <w:p w14:paraId="1212D531" w14:textId="77777777" w:rsidR="00A563FD" w:rsidRPr="0033478E" w:rsidRDefault="00A563FD" w:rsidP="0032266C">
            <w:pPr>
              <w:pStyle w:val="BodyText"/>
              <w:spacing w:after="0"/>
              <w:rPr>
                <w:b/>
                <w:sz w:val="18"/>
              </w:rPr>
            </w:pPr>
            <w:r w:rsidRPr="0033478E">
              <w:rPr>
                <w:b/>
                <w:sz w:val="18"/>
              </w:rPr>
              <w:t>Formulation</w:t>
            </w:r>
            <w:r>
              <w:rPr>
                <w:b/>
                <w:sz w:val="18"/>
              </w:rPr>
              <w:t xml:space="preserve"> or repacking</w:t>
            </w:r>
          </w:p>
        </w:tc>
        <w:tc>
          <w:tcPr>
            <w:tcW w:w="4546" w:type="dxa"/>
            <w:shd w:val="clear" w:color="auto" w:fill="auto"/>
            <w:vAlign w:val="center"/>
          </w:tcPr>
          <w:p w14:paraId="778974F7" w14:textId="54F3D1A1" w:rsidR="00A563FD" w:rsidRPr="0033478E" w:rsidRDefault="00A563FD" w:rsidP="0032266C">
            <w:pPr>
              <w:pStyle w:val="Caption"/>
              <w:spacing w:after="120"/>
              <w:jc w:val="left"/>
              <w:rPr>
                <w:sz w:val="18"/>
                <w:lang w:val="en-IE"/>
              </w:rPr>
            </w:pPr>
            <w:r>
              <w:rPr>
                <w:sz w:val="18"/>
                <w:lang w:val="en-IE"/>
              </w:rPr>
              <w:t xml:space="preserve">Cadmium hydroxide is </w:t>
            </w:r>
            <w:r w:rsidRPr="00A563FD">
              <w:rPr>
                <w:sz w:val="18"/>
                <w:lang w:val="en-IE"/>
              </w:rPr>
              <w:t xml:space="preserve">used in </w:t>
            </w:r>
            <w:r>
              <w:rPr>
                <w:sz w:val="18"/>
                <w:lang w:val="en-IE"/>
              </w:rPr>
              <w:t xml:space="preserve">laboratory chemicals.  </w:t>
            </w:r>
          </w:p>
        </w:tc>
        <w:tc>
          <w:tcPr>
            <w:tcW w:w="1563" w:type="dxa"/>
          </w:tcPr>
          <w:p w14:paraId="6F592276" w14:textId="2F959AC8" w:rsidR="00A563FD" w:rsidRPr="009E0412" w:rsidRDefault="00A563FD" w:rsidP="00DB2D71">
            <w:pPr>
              <w:pStyle w:val="Caption"/>
              <w:spacing w:after="0"/>
              <w:ind w:left="0"/>
              <w:jc w:val="center"/>
              <w:rPr>
                <w:sz w:val="18"/>
                <w:highlight w:val="green"/>
              </w:rPr>
            </w:pPr>
            <w:r w:rsidRPr="005B4029">
              <w:rPr>
                <w:sz w:val="18"/>
              </w:rPr>
              <w:t>Yes</w:t>
            </w:r>
          </w:p>
        </w:tc>
        <w:tc>
          <w:tcPr>
            <w:tcW w:w="1958" w:type="dxa"/>
          </w:tcPr>
          <w:p w14:paraId="498BF716" w14:textId="09FC4E12" w:rsidR="00A563FD" w:rsidRPr="0033478E" w:rsidRDefault="00A563FD" w:rsidP="00DB2D71">
            <w:pPr>
              <w:pStyle w:val="Caption"/>
              <w:spacing w:after="0"/>
              <w:ind w:left="0"/>
              <w:jc w:val="center"/>
              <w:rPr>
                <w:rStyle w:val="value1"/>
                <w:sz w:val="18"/>
                <w:szCs w:val="20"/>
              </w:rPr>
            </w:pPr>
            <w:r w:rsidRPr="00827D9B">
              <w:rPr>
                <w:sz w:val="18"/>
              </w:rPr>
              <w:t>Yes</w:t>
            </w:r>
          </w:p>
        </w:tc>
      </w:tr>
      <w:tr w:rsidR="00DB2D71" w:rsidRPr="00035135" w14:paraId="209C1C7F" w14:textId="77777777" w:rsidTr="0032266C">
        <w:tc>
          <w:tcPr>
            <w:tcW w:w="1680" w:type="dxa"/>
            <w:shd w:val="clear" w:color="auto" w:fill="auto"/>
            <w:vAlign w:val="center"/>
          </w:tcPr>
          <w:p w14:paraId="33E7901F" w14:textId="77777777" w:rsidR="00DB2D71" w:rsidRPr="0033478E" w:rsidRDefault="00DB2D71" w:rsidP="0032266C">
            <w:pPr>
              <w:pStyle w:val="BodyText"/>
              <w:spacing w:after="0"/>
              <w:rPr>
                <w:b/>
                <w:sz w:val="18"/>
              </w:rPr>
            </w:pPr>
            <w:r w:rsidRPr="0033478E">
              <w:rPr>
                <w:b/>
                <w:sz w:val="18"/>
              </w:rPr>
              <w:lastRenderedPageBreak/>
              <w:t>Uses at industrial sites</w:t>
            </w:r>
          </w:p>
        </w:tc>
        <w:tc>
          <w:tcPr>
            <w:tcW w:w="4546" w:type="dxa"/>
            <w:shd w:val="clear" w:color="auto" w:fill="auto"/>
            <w:vAlign w:val="center"/>
          </w:tcPr>
          <w:p w14:paraId="5590B22D" w14:textId="70E0890B" w:rsidR="00DB2D71" w:rsidRPr="00DB2D71" w:rsidRDefault="00DB2D71" w:rsidP="0032266C">
            <w:pPr>
              <w:pStyle w:val="Caption"/>
              <w:spacing w:after="120"/>
              <w:jc w:val="left"/>
              <w:rPr>
                <w:sz w:val="18"/>
                <w:lang w:val="en-IE"/>
              </w:rPr>
            </w:pPr>
            <w:r>
              <w:rPr>
                <w:sz w:val="18"/>
                <w:lang w:val="en-IE"/>
              </w:rPr>
              <w:t>Cadmium hydroxide</w:t>
            </w:r>
            <w:r w:rsidRPr="00ED5E7E">
              <w:rPr>
                <w:sz w:val="18"/>
                <w:lang w:val="en-IE"/>
              </w:rPr>
              <w:t xml:space="preserve"> </w:t>
            </w:r>
            <w:r>
              <w:rPr>
                <w:sz w:val="18"/>
                <w:lang w:val="en-IE"/>
              </w:rPr>
              <w:t xml:space="preserve">is used at industrial sites for </w:t>
            </w:r>
            <w:r w:rsidRPr="00DB2D71">
              <w:rPr>
                <w:sz w:val="18"/>
                <w:lang w:val="en-IE"/>
              </w:rPr>
              <w:t>the manufacture of chemicals and electrical, el</w:t>
            </w:r>
            <w:r>
              <w:rPr>
                <w:sz w:val="18"/>
                <w:lang w:val="en-IE"/>
              </w:rPr>
              <w:t>ectronic and optical equipment.</w:t>
            </w:r>
          </w:p>
        </w:tc>
        <w:tc>
          <w:tcPr>
            <w:tcW w:w="1563" w:type="dxa"/>
          </w:tcPr>
          <w:p w14:paraId="2B105C0A" w14:textId="2E787173" w:rsidR="00DB2D71" w:rsidRPr="009E0412" w:rsidRDefault="00DB2D71" w:rsidP="00DB2D71">
            <w:pPr>
              <w:pStyle w:val="Caption"/>
              <w:ind w:left="0"/>
              <w:jc w:val="center"/>
              <w:rPr>
                <w:sz w:val="18"/>
                <w:highlight w:val="green"/>
              </w:rPr>
            </w:pPr>
            <w:r w:rsidRPr="00427881">
              <w:rPr>
                <w:sz w:val="18"/>
              </w:rPr>
              <w:t>Yes</w:t>
            </w:r>
          </w:p>
        </w:tc>
        <w:tc>
          <w:tcPr>
            <w:tcW w:w="1958" w:type="dxa"/>
          </w:tcPr>
          <w:p w14:paraId="152AA8D8" w14:textId="21D208B9" w:rsidR="00DB2D71" w:rsidRPr="009A2FF0" w:rsidRDefault="00DB2D71" w:rsidP="00DB2D71">
            <w:pPr>
              <w:pStyle w:val="Caption"/>
              <w:ind w:left="0"/>
              <w:jc w:val="center"/>
              <w:rPr>
                <w:sz w:val="18"/>
              </w:rPr>
            </w:pPr>
            <w:r w:rsidRPr="00427881">
              <w:rPr>
                <w:sz w:val="18"/>
              </w:rPr>
              <w:t>Yes</w:t>
            </w:r>
          </w:p>
        </w:tc>
      </w:tr>
      <w:tr w:rsidR="005C4AA4" w:rsidRPr="00035135" w14:paraId="62FE94DC" w14:textId="77777777" w:rsidTr="0032266C">
        <w:tc>
          <w:tcPr>
            <w:tcW w:w="1675" w:type="dxa"/>
            <w:shd w:val="clear" w:color="auto" w:fill="auto"/>
            <w:vAlign w:val="center"/>
          </w:tcPr>
          <w:p w14:paraId="1FFDE631" w14:textId="77777777" w:rsidR="005C4AA4" w:rsidRPr="0033478E" w:rsidRDefault="005C4AA4" w:rsidP="0032266C">
            <w:pPr>
              <w:pStyle w:val="BodyText"/>
              <w:spacing w:after="0"/>
              <w:rPr>
                <w:b/>
                <w:sz w:val="18"/>
              </w:rPr>
            </w:pPr>
            <w:r>
              <w:rPr>
                <w:b/>
                <w:sz w:val="18"/>
                <w:lang w:val="en-IE"/>
              </w:rPr>
              <w:t>U</w:t>
            </w:r>
            <w:r w:rsidRPr="0033478E">
              <w:rPr>
                <w:b/>
                <w:sz w:val="18"/>
                <w:lang w:val="en-IE"/>
              </w:rPr>
              <w:t>ses by professional workers</w:t>
            </w:r>
          </w:p>
        </w:tc>
        <w:tc>
          <w:tcPr>
            <w:tcW w:w="4550" w:type="dxa"/>
            <w:shd w:val="clear" w:color="auto" w:fill="auto"/>
            <w:vAlign w:val="center"/>
          </w:tcPr>
          <w:p w14:paraId="6A74A629" w14:textId="17917747" w:rsidR="005C4AA4" w:rsidRPr="00ED5E7E" w:rsidRDefault="0032266C" w:rsidP="0032266C">
            <w:pPr>
              <w:pStyle w:val="Caption"/>
              <w:spacing w:after="120"/>
              <w:ind w:left="0"/>
              <w:jc w:val="left"/>
              <w:rPr>
                <w:sz w:val="18"/>
                <w:lang w:eastAsia="en-GB"/>
              </w:rPr>
            </w:pPr>
            <w:r>
              <w:rPr>
                <w:sz w:val="18"/>
                <w:lang w:val="en-IE"/>
              </w:rPr>
              <w:t xml:space="preserve">No professional uses were registered for cadmium hydroxide. </w:t>
            </w:r>
          </w:p>
        </w:tc>
        <w:tc>
          <w:tcPr>
            <w:tcW w:w="1563" w:type="dxa"/>
          </w:tcPr>
          <w:p w14:paraId="18177439" w14:textId="400ED54F" w:rsidR="005C4AA4" w:rsidRPr="0032266C" w:rsidRDefault="0032266C" w:rsidP="00ED5E7E">
            <w:pPr>
              <w:pStyle w:val="Caption"/>
              <w:jc w:val="center"/>
              <w:rPr>
                <w:sz w:val="18"/>
              </w:rPr>
            </w:pPr>
            <w:r w:rsidRPr="0032266C">
              <w:rPr>
                <w:sz w:val="18"/>
              </w:rPr>
              <w:t>No</w:t>
            </w:r>
          </w:p>
        </w:tc>
        <w:tc>
          <w:tcPr>
            <w:tcW w:w="1959" w:type="dxa"/>
          </w:tcPr>
          <w:p w14:paraId="56D275D0" w14:textId="600D97E2" w:rsidR="005C4AA4" w:rsidRPr="0033478E" w:rsidRDefault="0032266C" w:rsidP="00554DC9">
            <w:pPr>
              <w:pStyle w:val="Caption"/>
              <w:jc w:val="center"/>
              <w:rPr>
                <w:sz w:val="18"/>
                <w:lang w:val="en-IE"/>
              </w:rPr>
            </w:pPr>
            <w:r>
              <w:rPr>
                <w:sz w:val="18"/>
              </w:rPr>
              <w:t>-</w:t>
            </w:r>
          </w:p>
        </w:tc>
      </w:tr>
      <w:tr w:rsidR="005C4AA4" w:rsidRPr="00035135" w14:paraId="03CC774F" w14:textId="77777777" w:rsidTr="0032266C">
        <w:tc>
          <w:tcPr>
            <w:tcW w:w="1675" w:type="dxa"/>
            <w:shd w:val="clear" w:color="auto" w:fill="auto"/>
            <w:vAlign w:val="center"/>
          </w:tcPr>
          <w:p w14:paraId="5BA1B621" w14:textId="77777777" w:rsidR="005C4AA4" w:rsidRPr="0033478E" w:rsidRDefault="005C4AA4" w:rsidP="0032266C">
            <w:pPr>
              <w:pStyle w:val="BodyText"/>
              <w:rPr>
                <w:b/>
                <w:sz w:val="18"/>
              </w:rPr>
            </w:pPr>
            <w:r w:rsidRPr="0033478E">
              <w:rPr>
                <w:b/>
                <w:sz w:val="18"/>
              </w:rPr>
              <w:t xml:space="preserve">Consumer </w:t>
            </w:r>
            <w:r>
              <w:rPr>
                <w:b/>
                <w:sz w:val="18"/>
              </w:rPr>
              <w:t>u</w:t>
            </w:r>
            <w:r w:rsidRPr="0033478E">
              <w:rPr>
                <w:b/>
                <w:sz w:val="18"/>
              </w:rPr>
              <w:t>ses</w:t>
            </w:r>
          </w:p>
        </w:tc>
        <w:tc>
          <w:tcPr>
            <w:tcW w:w="4550" w:type="dxa"/>
            <w:shd w:val="clear" w:color="auto" w:fill="auto"/>
            <w:vAlign w:val="center"/>
          </w:tcPr>
          <w:p w14:paraId="65D4F3A4" w14:textId="0BFFD88E" w:rsidR="005C4AA4" w:rsidRPr="00ED5E7E" w:rsidRDefault="00ED5E7E" w:rsidP="0032266C">
            <w:pPr>
              <w:pStyle w:val="Caption"/>
              <w:spacing w:after="120"/>
              <w:ind w:left="0"/>
              <w:jc w:val="left"/>
              <w:rPr>
                <w:sz w:val="18"/>
                <w:lang w:val="en-IE"/>
              </w:rPr>
            </w:pPr>
            <w:r w:rsidRPr="00ED5E7E">
              <w:rPr>
                <w:sz w:val="18"/>
                <w:lang w:val="en-IE"/>
              </w:rPr>
              <w:t xml:space="preserve">No consumer uses were registered for </w:t>
            </w:r>
            <w:r w:rsidR="001C73E1">
              <w:rPr>
                <w:sz w:val="18"/>
                <w:lang w:val="en-IE"/>
              </w:rPr>
              <w:t>cadmium hydroxide</w:t>
            </w:r>
          </w:p>
        </w:tc>
        <w:tc>
          <w:tcPr>
            <w:tcW w:w="1563" w:type="dxa"/>
          </w:tcPr>
          <w:p w14:paraId="3593CABF" w14:textId="4A59BF90" w:rsidR="005C4AA4" w:rsidRPr="0032266C" w:rsidRDefault="0032266C" w:rsidP="00554DC9">
            <w:pPr>
              <w:pStyle w:val="Caption"/>
              <w:jc w:val="center"/>
              <w:rPr>
                <w:sz w:val="18"/>
              </w:rPr>
            </w:pPr>
            <w:r w:rsidRPr="0032266C">
              <w:rPr>
                <w:sz w:val="18"/>
              </w:rPr>
              <w:t>No</w:t>
            </w:r>
          </w:p>
        </w:tc>
        <w:tc>
          <w:tcPr>
            <w:tcW w:w="1959" w:type="dxa"/>
          </w:tcPr>
          <w:p w14:paraId="01D5D802" w14:textId="106D72DF" w:rsidR="005C4AA4" w:rsidRPr="0033478E" w:rsidRDefault="0032266C" w:rsidP="00554DC9">
            <w:pPr>
              <w:pStyle w:val="Caption"/>
              <w:jc w:val="center"/>
              <w:rPr>
                <w:sz w:val="18"/>
                <w:lang w:val="en-IE"/>
              </w:rPr>
            </w:pPr>
            <w:r>
              <w:rPr>
                <w:sz w:val="18"/>
                <w:lang w:val="en-IE"/>
              </w:rPr>
              <w:t>-</w:t>
            </w:r>
          </w:p>
        </w:tc>
      </w:tr>
      <w:tr w:rsidR="0032266C" w:rsidRPr="00035135" w14:paraId="073A86C9" w14:textId="77777777" w:rsidTr="00DB2D71">
        <w:tc>
          <w:tcPr>
            <w:tcW w:w="1675" w:type="dxa"/>
            <w:shd w:val="clear" w:color="auto" w:fill="auto"/>
            <w:vAlign w:val="center"/>
          </w:tcPr>
          <w:p w14:paraId="5609B61E" w14:textId="77777777" w:rsidR="0032266C" w:rsidRPr="0033478E" w:rsidRDefault="0032266C" w:rsidP="0032266C">
            <w:pPr>
              <w:pStyle w:val="BodyText"/>
              <w:rPr>
                <w:b/>
                <w:sz w:val="18"/>
              </w:rPr>
            </w:pPr>
            <w:r>
              <w:rPr>
                <w:b/>
                <w:sz w:val="18"/>
                <w:lang w:val="en-IE"/>
              </w:rPr>
              <w:t xml:space="preserve">Article service </w:t>
            </w:r>
            <w:r w:rsidRPr="0033478E">
              <w:rPr>
                <w:b/>
                <w:sz w:val="18"/>
                <w:lang w:val="en-IE"/>
              </w:rPr>
              <w:t>life</w:t>
            </w:r>
          </w:p>
        </w:tc>
        <w:tc>
          <w:tcPr>
            <w:tcW w:w="4550" w:type="dxa"/>
            <w:shd w:val="clear" w:color="auto" w:fill="auto"/>
            <w:vAlign w:val="center"/>
          </w:tcPr>
          <w:p w14:paraId="0BC06942" w14:textId="77777777" w:rsidR="00561F7A" w:rsidRDefault="00561F7A" w:rsidP="00561F7A">
            <w:pPr>
              <w:pStyle w:val="Caption"/>
              <w:rPr>
                <w:sz w:val="18"/>
                <w:lang w:val="en-IE"/>
              </w:rPr>
            </w:pPr>
            <w:r>
              <w:rPr>
                <w:sz w:val="18"/>
                <w:lang w:val="en-IE"/>
              </w:rPr>
              <w:t xml:space="preserve">Cadmium hydroxide can be found in </w:t>
            </w:r>
            <w:r w:rsidRPr="00561F7A">
              <w:rPr>
                <w:sz w:val="18"/>
                <w:lang w:val="en-IE"/>
              </w:rPr>
              <w:t>complex articles with no release intended: electrical batteries and accumulators.</w:t>
            </w:r>
          </w:p>
          <w:p w14:paraId="4D9C7202" w14:textId="40F828C5" w:rsidR="0032266C" w:rsidRPr="0033478E" w:rsidRDefault="00561F7A" w:rsidP="00561F7A">
            <w:pPr>
              <w:pStyle w:val="Caption"/>
              <w:rPr>
                <w:sz w:val="18"/>
                <w:lang w:val="en-IE"/>
              </w:rPr>
            </w:pPr>
            <w:r w:rsidRPr="00561F7A">
              <w:rPr>
                <w:sz w:val="18"/>
                <w:lang w:val="en-IE"/>
              </w:rPr>
              <w:t>Other release</w:t>
            </w:r>
            <w:r>
              <w:rPr>
                <w:sz w:val="18"/>
                <w:lang w:val="en-IE"/>
              </w:rPr>
              <w:t>s</w:t>
            </w:r>
            <w:r w:rsidRPr="00561F7A">
              <w:rPr>
                <w:sz w:val="18"/>
                <w:lang w:val="en-IE"/>
              </w:rPr>
              <w:t xml:space="preserve"> to the environment is likely to occur from indoor use in long-life materials with low release rate (e.g. flooring, furniture, toys, construction materials, curtains, foot-wear, leather products, paper and cardboard products, electronic equipment).</w:t>
            </w:r>
          </w:p>
        </w:tc>
        <w:tc>
          <w:tcPr>
            <w:tcW w:w="1563" w:type="dxa"/>
          </w:tcPr>
          <w:p w14:paraId="05CE8E79" w14:textId="2579995E" w:rsidR="0032266C" w:rsidRPr="009E0412" w:rsidRDefault="0032266C" w:rsidP="0032266C">
            <w:pPr>
              <w:pStyle w:val="Caption"/>
              <w:ind w:left="0"/>
              <w:jc w:val="center"/>
              <w:rPr>
                <w:sz w:val="18"/>
                <w:highlight w:val="green"/>
              </w:rPr>
            </w:pPr>
            <w:r w:rsidRPr="00491846">
              <w:rPr>
                <w:sz w:val="18"/>
              </w:rPr>
              <w:t>Yes</w:t>
            </w:r>
          </w:p>
        </w:tc>
        <w:tc>
          <w:tcPr>
            <w:tcW w:w="1959" w:type="dxa"/>
          </w:tcPr>
          <w:p w14:paraId="603C5FF8" w14:textId="77BB2521" w:rsidR="0032266C" w:rsidRPr="0033478E" w:rsidRDefault="00542751" w:rsidP="0032266C">
            <w:pPr>
              <w:pStyle w:val="Caption"/>
              <w:ind w:left="0"/>
              <w:jc w:val="center"/>
              <w:rPr>
                <w:sz w:val="18"/>
                <w:lang w:val="en-IE"/>
              </w:rPr>
            </w:pPr>
            <w:r>
              <w:rPr>
                <w:sz w:val="18"/>
              </w:rPr>
              <w:t>-</w:t>
            </w:r>
          </w:p>
        </w:tc>
      </w:tr>
    </w:tbl>
    <w:p w14:paraId="67A46A3F" w14:textId="77777777" w:rsidR="00561F7A" w:rsidRDefault="00561F7A" w:rsidP="003F28A5">
      <w:pPr>
        <w:widowControl/>
        <w:spacing w:line="276" w:lineRule="auto"/>
        <w:contextualSpacing/>
        <w:jc w:val="both"/>
      </w:pPr>
      <w:bookmarkStart w:id="406" w:name="_Toc422996198"/>
    </w:p>
    <w:p w14:paraId="00418908" w14:textId="0B76CD08" w:rsidR="003F28A5" w:rsidRPr="00077513" w:rsidRDefault="001C73E1" w:rsidP="003F28A5">
      <w:pPr>
        <w:widowControl/>
        <w:spacing w:line="276" w:lineRule="auto"/>
        <w:contextualSpacing/>
        <w:jc w:val="both"/>
      </w:pPr>
      <w:r>
        <w:t>Cadmium hydroxide</w:t>
      </w:r>
      <w:r w:rsidR="003F28A5" w:rsidRPr="00077513">
        <w:t xml:space="preserve"> </w:t>
      </w:r>
      <w:proofErr w:type="gramStart"/>
      <w:r w:rsidR="003F28A5" w:rsidRPr="00077513">
        <w:t>can be considered</w:t>
      </w:r>
      <w:proofErr w:type="gramEnd"/>
      <w:r w:rsidR="003F28A5" w:rsidRPr="00077513">
        <w:t xml:space="preserve"> to have wide dispersive use because: </w:t>
      </w:r>
    </w:p>
    <w:p w14:paraId="3DE7FAAF" w14:textId="05EE9047" w:rsidR="003F28A5" w:rsidRDefault="003F28A5" w:rsidP="003F28A5">
      <w:pPr>
        <w:pStyle w:val="ListParagraph"/>
        <w:widowControl/>
        <w:numPr>
          <w:ilvl w:val="1"/>
          <w:numId w:val="26"/>
        </w:numPr>
        <w:spacing w:after="180"/>
        <w:contextualSpacing/>
      </w:pPr>
      <w:r w:rsidRPr="00077513">
        <w:t>It is registered for PROC 5</w:t>
      </w:r>
      <w:r>
        <w:t xml:space="preserve"> (</w:t>
      </w:r>
      <w:r w:rsidR="00FF1A53">
        <w:t>m</w:t>
      </w:r>
      <w:r w:rsidRPr="003F28A5">
        <w:t>ixing or blending in batch processes</w:t>
      </w:r>
      <w:r>
        <w:t xml:space="preserve">) </w:t>
      </w:r>
      <w:r w:rsidRPr="00077513">
        <w:t xml:space="preserve">indicating a potential for exposure to </w:t>
      </w:r>
      <w:r w:rsidRPr="00FF1A53">
        <w:t>humans</w:t>
      </w:r>
      <w:r w:rsidRPr="00FF1A53">
        <w:rPr>
          <w:rStyle w:val="FootnoteReference"/>
          <w:rFonts w:ascii="Verdana" w:hAnsi="Verdana"/>
          <w:sz w:val="20"/>
        </w:rPr>
        <w:footnoteReference w:id="8"/>
      </w:r>
      <w:r w:rsidRPr="00FF1A53">
        <w:t xml:space="preserve">. </w:t>
      </w:r>
    </w:p>
    <w:p w14:paraId="0C2E2656" w14:textId="77777777" w:rsidR="003C2CF3" w:rsidRPr="003F28A5" w:rsidRDefault="003C2CF3" w:rsidP="003C2CF3">
      <w:pPr>
        <w:pStyle w:val="ListParagraph"/>
        <w:widowControl/>
        <w:spacing w:after="180"/>
        <w:ind w:left="1080"/>
        <w:contextualSpacing/>
      </w:pPr>
    </w:p>
    <w:p w14:paraId="1820F5F1" w14:textId="77777777" w:rsidR="00554DC9" w:rsidRDefault="00CF6F1B" w:rsidP="00554DC9">
      <w:pPr>
        <w:pStyle w:val="Title"/>
        <w:numPr>
          <w:ilvl w:val="0"/>
          <w:numId w:val="0"/>
        </w:numPr>
      </w:pPr>
      <w:bookmarkStart w:id="407" w:name="_Toc491435652"/>
      <w:r>
        <w:t>10</w:t>
      </w:r>
      <w:r w:rsidR="00554DC9">
        <w:t>. Information on structure of the supply chain</w:t>
      </w:r>
      <w:bookmarkEnd w:id="406"/>
      <w:bookmarkEnd w:id="407"/>
    </w:p>
    <w:p w14:paraId="4C8E4858" w14:textId="11CBDFE8" w:rsidR="003819B8" w:rsidRDefault="00EF0F71" w:rsidP="00677023">
      <w:r>
        <w:t xml:space="preserve">No information available. </w:t>
      </w:r>
    </w:p>
    <w:p w14:paraId="555981F3" w14:textId="77777777" w:rsidR="00EF0F71" w:rsidRPr="00025C99" w:rsidRDefault="00EF0F71" w:rsidP="00677023"/>
    <w:p w14:paraId="097A357C" w14:textId="77777777" w:rsidR="005E6402" w:rsidRDefault="00CF6F1B" w:rsidP="00CF6F1B">
      <w:pPr>
        <w:pStyle w:val="Heading1"/>
        <w:numPr>
          <w:ilvl w:val="0"/>
          <w:numId w:val="0"/>
        </w:numPr>
      </w:pPr>
      <w:bookmarkStart w:id="408" w:name="_Toc491435653"/>
      <w:r>
        <w:t xml:space="preserve">11. </w:t>
      </w:r>
      <w:r w:rsidR="005E6402">
        <w:t>Additional information</w:t>
      </w:r>
      <w:bookmarkEnd w:id="408"/>
      <w:r w:rsidR="005E6402">
        <w:t xml:space="preserve"> </w:t>
      </w:r>
    </w:p>
    <w:p w14:paraId="4D76C00B" w14:textId="6FF0C6A8" w:rsidR="005E6402" w:rsidRDefault="0010600C" w:rsidP="0010600C">
      <w:pPr>
        <w:pStyle w:val="Heading2"/>
      </w:pPr>
      <w:bookmarkStart w:id="409" w:name="_Toc491435654"/>
      <w:r>
        <w:t xml:space="preserve">11.1 </w:t>
      </w:r>
      <w:r w:rsidR="005E6402" w:rsidRPr="0010600C">
        <w:t>Substances with similar hazard and use profiles</w:t>
      </w:r>
      <w:r w:rsidR="00E26FE8" w:rsidRPr="0010600C">
        <w:t xml:space="preserve"> on the Candidate List</w:t>
      </w:r>
      <w:bookmarkEnd w:id="409"/>
    </w:p>
    <w:p w14:paraId="0302018A" w14:textId="74324A29" w:rsidR="00677023" w:rsidRDefault="00677023" w:rsidP="00677023">
      <w:pPr>
        <w:pStyle w:val="BodyText"/>
      </w:pPr>
      <w:r>
        <w:t>The following cadmium compounds are currently included on the Candidate List</w:t>
      </w:r>
      <w:r w:rsidR="00931430">
        <w:t xml:space="preserve"> (Table 9)</w:t>
      </w:r>
      <w:r>
        <w:t>:</w:t>
      </w:r>
    </w:p>
    <w:p w14:paraId="613FD78C" w14:textId="61B319C0" w:rsidR="00B711CC" w:rsidRPr="00B711CC" w:rsidRDefault="00B711CC" w:rsidP="00B711CC">
      <w:pPr>
        <w:pStyle w:val="Caption"/>
        <w:rPr>
          <w:b/>
        </w:rPr>
      </w:pPr>
      <w:bookmarkStart w:id="410" w:name="_Toc491433643"/>
      <w:r w:rsidRPr="00B711CC">
        <w:rPr>
          <w:b/>
          <w:sz w:val="18"/>
        </w:rPr>
        <w:t xml:space="preserve">Table </w:t>
      </w:r>
      <w:r w:rsidRPr="00B711CC">
        <w:rPr>
          <w:b/>
          <w:sz w:val="18"/>
        </w:rPr>
        <w:fldChar w:fldCharType="begin"/>
      </w:r>
      <w:r w:rsidRPr="00B711CC">
        <w:rPr>
          <w:b/>
          <w:sz w:val="18"/>
        </w:rPr>
        <w:instrText xml:space="preserve"> SEQ Table \* ARABIC </w:instrText>
      </w:r>
      <w:r w:rsidRPr="00B711CC">
        <w:rPr>
          <w:b/>
          <w:sz w:val="18"/>
        </w:rPr>
        <w:fldChar w:fldCharType="separate"/>
      </w:r>
      <w:r w:rsidR="0087074B">
        <w:rPr>
          <w:b/>
          <w:noProof/>
          <w:sz w:val="18"/>
        </w:rPr>
        <w:t>9</w:t>
      </w:r>
      <w:r w:rsidRPr="00B711CC">
        <w:rPr>
          <w:b/>
          <w:sz w:val="18"/>
        </w:rPr>
        <w:fldChar w:fldCharType="end"/>
      </w:r>
      <w:r w:rsidRPr="00B711CC">
        <w:rPr>
          <w:b/>
          <w:sz w:val="18"/>
        </w:rPr>
        <w:t>. Cadmium compounds on the REACH candidate list.</w:t>
      </w:r>
      <w:bookmarkEnd w:id="410"/>
      <w:r w:rsidRPr="00B711CC">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3"/>
        <w:gridCol w:w="1090"/>
        <w:gridCol w:w="1320"/>
        <w:gridCol w:w="2714"/>
        <w:gridCol w:w="1980"/>
      </w:tblGrid>
      <w:tr w:rsidR="00677023" w14:paraId="16F57C91" w14:textId="77777777" w:rsidTr="00F45B04">
        <w:tc>
          <w:tcPr>
            <w:tcW w:w="1927" w:type="dxa"/>
          </w:tcPr>
          <w:p w14:paraId="71B3B1A5" w14:textId="4A3D6AAA" w:rsidR="00677023" w:rsidRPr="00F45B04" w:rsidRDefault="00677023" w:rsidP="00677023">
            <w:pPr>
              <w:pStyle w:val="BodyText"/>
              <w:rPr>
                <w:b/>
              </w:rPr>
            </w:pPr>
            <w:r w:rsidRPr="00F45B04">
              <w:rPr>
                <w:b/>
              </w:rPr>
              <w:t>Name</w:t>
            </w:r>
          </w:p>
        </w:tc>
        <w:tc>
          <w:tcPr>
            <w:tcW w:w="1187" w:type="dxa"/>
          </w:tcPr>
          <w:p w14:paraId="15B303A0" w14:textId="631EB9A8" w:rsidR="00677023" w:rsidRPr="00F45B04" w:rsidRDefault="00677023" w:rsidP="00677023">
            <w:pPr>
              <w:pStyle w:val="BodyText"/>
              <w:rPr>
                <w:b/>
              </w:rPr>
            </w:pPr>
            <w:r w:rsidRPr="00F45B04">
              <w:rPr>
                <w:b/>
              </w:rPr>
              <w:t>EC no.</w:t>
            </w:r>
          </w:p>
        </w:tc>
        <w:tc>
          <w:tcPr>
            <w:tcW w:w="1417" w:type="dxa"/>
          </w:tcPr>
          <w:p w14:paraId="0F9ECE32" w14:textId="5EE60EA8" w:rsidR="00677023" w:rsidRPr="00F45B04" w:rsidRDefault="00677023" w:rsidP="00677023">
            <w:pPr>
              <w:pStyle w:val="BodyText"/>
              <w:rPr>
                <w:b/>
              </w:rPr>
            </w:pPr>
            <w:r w:rsidRPr="00F45B04">
              <w:rPr>
                <w:b/>
              </w:rPr>
              <w:t>CAS no.</w:t>
            </w:r>
          </w:p>
        </w:tc>
        <w:tc>
          <w:tcPr>
            <w:tcW w:w="2977" w:type="dxa"/>
          </w:tcPr>
          <w:p w14:paraId="5A590910" w14:textId="21EF4AC2" w:rsidR="00677023" w:rsidRPr="00F45B04" w:rsidRDefault="00677023" w:rsidP="00677023">
            <w:pPr>
              <w:pStyle w:val="BodyText"/>
              <w:rPr>
                <w:b/>
              </w:rPr>
            </w:pPr>
            <w:r w:rsidRPr="00F45B04">
              <w:rPr>
                <w:b/>
              </w:rPr>
              <w:t>Reason for inclusion</w:t>
            </w:r>
          </w:p>
        </w:tc>
        <w:tc>
          <w:tcPr>
            <w:tcW w:w="2121" w:type="dxa"/>
          </w:tcPr>
          <w:p w14:paraId="24BD8DCB" w14:textId="07F3E6B0" w:rsidR="00677023" w:rsidRPr="00F45B04" w:rsidRDefault="00677023" w:rsidP="00677023">
            <w:pPr>
              <w:pStyle w:val="BodyText"/>
              <w:rPr>
                <w:b/>
              </w:rPr>
            </w:pPr>
            <w:r w:rsidRPr="00F45B04">
              <w:rPr>
                <w:b/>
              </w:rPr>
              <w:t>Date of inclusion</w:t>
            </w:r>
          </w:p>
        </w:tc>
      </w:tr>
      <w:tr w:rsidR="00677023" w14:paraId="283758CE" w14:textId="77777777" w:rsidTr="00F45B04">
        <w:tc>
          <w:tcPr>
            <w:tcW w:w="1927" w:type="dxa"/>
          </w:tcPr>
          <w:p w14:paraId="7F4A7618" w14:textId="7BD7F300" w:rsidR="00677023" w:rsidRPr="00F2493B" w:rsidRDefault="00677023" w:rsidP="00677023">
            <w:pPr>
              <w:pStyle w:val="BodyText"/>
              <w:rPr>
                <w:sz w:val="18"/>
              </w:rPr>
            </w:pPr>
            <w:proofErr w:type="spellStart"/>
            <w:r w:rsidRPr="00F2493B">
              <w:rPr>
                <w:rFonts w:cs="Arial"/>
                <w:sz w:val="18"/>
                <w:lang w:val="sv-SE" w:eastAsia="sv-SE"/>
              </w:rPr>
              <w:t>Cadmium</w:t>
            </w:r>
            <w:proofErr w:type="spellEnd"/>
            <w:r w:rsidRPr="00F2493B">
              <w:rPr>
                <w:rFonts w:cs="Arial"/>
                <w:sz w:val="18"/>
                <w:lang w:val="sv-SE" w:eastAsia="sv-SE"/>
              </w:rPr>
              <w:t xml:space="preserve"> </w:t>
            </w:r>
            <w:proofErr w:type="spellStart"/>
            <w:r w:rsidRPr="00F2493B">
              <w:rPr>
                <w:rFonts w:cs="Arial"/>
                <w:sz w:val="18"/>
                <w:lang w:val="sv-SE" w:eastAsia="sv-SE"/>
              </w:rPr>
              <w:t>fluoride</w:t>
            </w:r>
            <w:proofErr w:type="spellEnd"/>
          </w:p>
        </w:tc>
        <w:tc>
          <w:tcPr>
            <w:tcW w:w="1187" w:type="dxa"/>
          </w:tcPr>
          <w:p w14:paraId="66A18083" w14:textId="1E7171B3" w:rsidR="00677023" w:rsidRPr="00F2493B" w:rsidRDefault="00677023" w:rsidP="00677023">
            <w:pPr>
              <w:pStyle w:val="BodyText"/>
              <w:rPr>
                <w:sz w:val="18"/>
              </w:rPr>
            </w:pPr>
            <w:r w:rsidRPr="00F2493B">
              <w:rPr>
                <w:rFonts w:cs="Arial"/>
                <w:sz w:val="18"/>
              </w:rPr>
              <w:t>232-222-0</w:t>
            </w:r>
          </w:p>
        </w:tc>
        <w:tc>
          <w:tcPr>
            <w:tcW w:w="1417" w:type="dxa"/>
          </w:tcPr>
          <w:p w14:paraId="5CCBFCED" w14:textId="21AD7D45" w:rsidR="00677023" w:rsidRPr="00F2493B" w:rsidRDefault="00677023" w:rsidP="00677023">
            <w:pPr>
              <w:pStyle w:val="BodyText"/>
              <w:rPr>
                <w:sz w:val="18"/>
              </w:rPr>
            </w:pPr>
            <w:r w:rsidRPr="00F2493B">
              <w:rPr>
                <w:rFonts w:cs="Arial"/>
                <w:sz w:val="18"/>
              </w:rPr>
              <w:t>7790-79-6</w:t>
            </w:r>
          </w:p>
        </w:tc>
        <w:tc>
          <w:tcPr>
            <w:tcW w:w="2977" w:type="dxa"/>
          </w:tcPr>
          <w:p w14:paraId="18B2FA0D" w14:textId="0757693A" w:rsidR="00677023" w:rsidRPr="00F2493B" w:rsidRDefault="00677023" w:rsidP="00677023">
            <w:pPr>
              <w:pStyle w:val="BodyText"/>
              <w:rPr>
                <w:rFonts w:cs="Arial"/>
                <w:sz w:val="18"/>
              </w:rPr>
            </w:pPr>
            <w:r w:rsidRPr="00F2493B">
              <w:rPr>
                <w:rFonts w:cs="Arial"/>
                <w:sz w:val="18"/>
              </w:rPr>
              <w:t>Carcinogenic (Article 57a) Mutagenic (Article 57b) Toxic for reproduction (Article 57c) Equivalent level of concern having probable serious effects to human health (Article 57 f)</w:t>
            </w:r>
          </w:p>
        </w:tc>
        <w:tc>
          <w:tcPr>
            <w:tcW w:w="2121" w:type="dxa"/>
          </w:tcPr>
          <w:p w14:paraId="252F720E" w14:textId="0D9CF7C8" w:rsidR="00677023" w:rsidRPr="00F2493B" w:rsidRDefault="00677023" w:rsidP="00677023">
            <w:pPr>
              <w:pStyle w:val="BodyText"/>
              <w:rPr>
                <w:sz w:val="18"/>
              </w:rPr>
            </w:pPr>
            <w:r w:rsidRPr="00F2493B">
              <w:rPr>
                <w:rFonts w:cs="Arial"/>
                <w:sz w:val="18"/>
              </w:rPr>
              <w:t>17/12/2014</w:t>
            </w:r>
          </w:p>
        </w:tc>
      </w:tr>
      <w:tr w:rsidR="00677023" w14:paraId="2CC3E50E" w14:textId="77777777" w:rsidTr="00F45B04">
        <w:tc>
          <w:tcPr>
            <w:tcW w:w="1927" w:type="dxa"/>
          </w:tcPr>
          <w:p w14:paraId="7E85887D" w14:textId="086D6116" w:rsidR="00677023" w:rsidRPr="00F2493B" w:rsidRDefault="00677023" w:rsidP="00677023">
            <w:pPr>
              <w:widowControl/>
              <w:rPr>
                <w:rFonts w:cs="Arial"/>
                <w:sz w:val="18"/>
                <w:lang w:val="sv-SE" w:eastAsia="sv-SE"/>
              </w:rPr>
            </w:pPr>
            <w:proofErr w:type="spellStart"/>
            <w:r w:rsidRPr="00F2493B">
              <w:rPr>
                <w:rFonts w:cs="Arial"/>
                <w:sz w:val="18"/>
                <w:lang w:val="sv-SE" w:eastAsia="sv-SE"/>
              </w:rPr>
              <w:t>Cadmium</w:t>
            </w:r>
            <w:proofErr w:type="spellEnd"/>
            <w:r w:rsidRPr="00F2493B">
              <w:rPr>
                <w:rFonts w:cs="Arial"/>
                <w:sz w:val="18"/>
                <w:lang w:val="sv-SE" w:eastAsia="sv-SE"/>
              </w:rPr>
              <w:t xml:space="preserve"> </w:t>
            </w:r>
            <w:proofErr w:type="spellStart"/>
            <w:r w:rsidRPr="00F2493B">
              <w:rPr>
                <w:rFonts w:cs="Arial"/>
                <w:sz w:val="18"/>
                <w:lang w:val="sv-SE" w:eastAsia="sv-SE"/>
              </w:rPr>
              <w:t>sulphate</w:t>
            </w:r>
            <w:proofErr w:type="spellEnd"/>
          </w:p>
        </w:tc>
        <w:tc>
          <w:tcPr>
            <w:tcW w:w="1187" w:type="dxa"/>
          </w:tcPr>
          <w:p w14:paraId="63D220C3" w14:textId="0123B2E7" w:rsidR="00677023" w:rsidRPr="00F2493B" w:rsidRDefault="00677023" w:rsidP="00677023">
            <w:pPr>
              <w:pStyle w:val="BodyText"/>
              <w:rPr>
                <w:sz w:val="18"/>
              </w:rPr>
            </w:pPr>
            <w:r w:rsidRPr="00F2493B">
              <w:rPr>
                <w:rFonts w:cs="Arial"/>
                <w:sz w:val="18"/>
              </w:rPr>
              <w:t>233-331-6</w:t>
            </w:r>
          </w:p>
        </w:tc>
        <w:tc>
          <w:tcPr>
            <w:tcW w:w="1417" w:type="dxa"/>
          </w:tcPr>
          <w:p w14:paraId="0F3FD4B3" w14:textId="17AB95B6" w:rsidR="00677023" w:rsidRPr="00F2493B" w:rsidRDefault="00677023" w:rsidP="00677023">
            <w:pPr>
              <w:pStyle w:val="BodyText"/>
              <w:rPr>
                <w:sz w:val="18"/>
              </w:rPr>
            </w:pPr>
            <w:r w:rsidRPr="00F2493B">
              <w:rPr>
                <w:rFonts w:cs="Arial"/>
                <w:sz w:val="18"/>
              </w:rPr>
              <w:t>10124-36-4, 31119-53-6</w:t>
            </w:r>
          </w:p>
        </w:tc>
        <w:tc>
          <w:tcPr>
            <w:tcW w:w="2977" w:type="dxa"/>
          </w:tcPr>
          <w:p w14:paraId="1ECF942C" w14:textId="1D2EA381" w:rsidR="00677023" w:rsidRPr="00F2493B" w:rsidRDefault="00677023" w:rsidP="00677023">
            <w:pPr>
              <w:pStyle w:val="BodyText"/>
              <w:rPr>
                <w:sz w:val="18"/>
              </w:rPr>
            </w:pPr>
            <w:r w:rsidRPr="00F2493B">
              <w:rPr>
                <w:rFonts w:cs="Arial"/>
                <w:sz w:val="18"/>
              </w:rPr>
              <w:t xml:space="preserve">Carcinogenic (Article 57a) Mutagenic (Article 57b) Toxic for reproduction (Article 57c) Equivalent level of concern having </w:t>
            </w:r>
            <w:r w:rsidRPr="00F2493B">
              <w:rPr>
                <w:rFonts w:cs="Arial"/>
                <w:sz w:val="18"/>
              </w:rPr>
              <w:lastRenderedPageBreak/>
              <w:t>probable serious effects to human health (Article 57 f)</w:t>
            </w:r>
          </w:p>
        </w:tc>
        <w:tc>
          <w:tcPr>
            <w:tcW w:w="2121" w:type="dxa"/>
          </w:tcPr>
          <w:p w14:paraId="1C7417DB" w14:textId="59DA7D76" w:rsidR="00677023" w:rsidRPr="00F2493B" w:rsidRDefault="00677023" w:rsidP="00677023">
            <w:pPr>
              <w:pStyle w:val="BodyText"/>
              <w:rPr>
                <w:sz w:val="18"/>
              </w:rPr>
            </w:pPr>
            <w:r w:rsidRPr="00F2493B">
              <w:rPr>
                <w:rFonts w:cs="Arial"/>
                <w:sz w:val="18"/>
              </w:rPr>
              <w:lastRenderedPageBreak/>
              <w:t>17/12/2014</w:t>
            </w:r>
          </w:p>
        </w:tc>
      </w:tr>
      <w:tr w:rsidR="00677023" w14:paraId="5380EC2F" w14:textId="77777777" w:rsidTr="00F45B04">
        <w:tc>
          <w:tcPr>
            <w:tcW w:w="1927" w:type="dxa"/>
          </w:tcPr>
          <w:p w14:paraId="6C990131" w14:textId="6BA95C70" w:rsidR="00677023" w:rsidRPr="00F2493B" w:rsidRDefault="00677023" w:rsidP="00677023">
            <w:pPr>
              <w:widowControl/>
              <w:rPr>
                <w:rFonts w:cs="Arial"/>
                <w:sz w:val="18"/>
                <w:lang w:val="sv-SE" w:eastAsia="sv-SE"/>
              </w:rPr>
            </w:pPr>
            <w:proofErr w:type="spellStart"/>
            <w:r w:rsidRPr="00F2493B">
              <w:rPr>
                <w:rFonts w:cs="Arial"/>
                <w:sz w:val="18"/>
                <w:lang w:val="sv-SE" w:eastAsia="sv-SE"/>
              </w:rPr>
              <w:t>Cadmium</w:t>
            </w:r>
            <w:proofErr w:type="spellEnd"/>
            <w:r w:rsidRPr="00F2493B">
              <w:rPr>
                <w:rFonts w:cs="Arial"/>
                <w:sz w:val="18"/>
                <w:lang w:val="sv-SE" w:eastAsia="sv-SE"/>
              </w:rPr>
              <w:t xml:space="preserve"> </w:t>
            </w:r>
            <w:proofErr w:type="spellStart"/>
            <w:r w:rsidRPr="00F2493B">
              <w:rPr>
                <w:rFonts w:cs="Arial"/>
                <w:sz w:val="18"/>
                <w:lang w:val="sv-SE" w:eastAsia="sv-SE"/>
              </w:rPr>
              <w:t>chloride</w:t>
            </w:r>
            <w:proofErr w:type="spellEnd"/>
          </w:p>
        </w:tc>
        <w:tc>
          <w:tcPr>
            <w:tcW w:w="1187" w:type="dxa"/>
          </w:tcPr>
          <w:p w14:paraId="44CFA5B8" w14:textId="5192F759" w:rsidR="00677023" w:rsidRPr="00F2493B" w:rsidRDefault="00677023" w:rsidP="00677023">
            <w:pPr>
              <w:pStyle w:val="BodyText"/>
              <w:rPr>
                <w:sz w:val="18"/>
              </w:rPr>
            </w:pPr>
            <w:r w:rsidRPr="00F2493B">
              <w:rPr>
                <w:rFonts w:cs="Arial"/>
                <w:sz w:val="18"/>
              </w:rPr>
              <w:t>233-296-7</w:t>
            </w:r>
          </w:p>
        </w:tc>
        <w:tc>
          <w:tcPr>
            <w:tcW w:w="1417" w:type="dxa"/>
          </w:tcPr>
          <w:p w14:paraId="6D15537D" w14:textId="2C9B3232" w:rsidR="00677023" w:rsidRPr="00F2493B" w:rsidRDefault="00677023" w:rsidP="00677023">
            <w:pPr>
              <w:pStyle w:val="BodyText"/>
              <w:rPr>
                <w:sz w:val="18"/>
              </w:rPr>
            </w:pPr>
            <w:r w:rsidRPr="00F2493B">
              <w:rPr>
                <w:rFonts w:cs="Arial"/>
                <w:sz w:val="18"/>
              </w:rPr>
              <w:t>10108-64-2</w:t>
            </w:r>
          </w:p>
        </w:tc>
        <w:tc>
          <w:tcPr>
            <w:tcW w:w="2977" w:type="dxa"/>
          </w:tcPr>
          <w:p w14:paraId="6630E5D5" w14:textId="683B1F4B" w:rsidR="00677023" w:rsidRPr="00F2493B" w:rsidRDefault="00677023" w:rsidP="00677023">
            <w:pPr>
              <w:pStyle w:val="BodyText"/>
              <w:rPr>
                <w:sz w:val="18"/>
              </w:rPr>
            </w:pPr>
            <w:r w:rsidRPr="00F2493B">
              <w:rPr>
                <w:rFonts w:cs="Arial"/>
                <w:sz w:val="18"/>
              </w:rPr>
              <w:t>Carcinogenic (Article 57a) Mutagenic (Article 57b) Toxic for reproduction (Article 57c) Equivalent level of concern having probable serious effects to human health (Article 57 f)</w:t>
            </w:r>
          </w:p>
        </w:tc>
        <w:tc>
          <w:tcPr>
            <w:tcW w:w="2121" w:type="dxa"/>
          </w:tcPr>
          <w:p w14:paraId="7CEE0D4B" w14:textId="2E0BEE7C" w:rsidR="00677023" w:rsidRPr="00F2493B" w:rsidRDefault="00677023" w:rsidP="00677023">
            <w:pPr>
              <w:pStyle w:val="BodyText"/>
              <w:rPr>
                <w:sz w:val="18"/>
              </w:rPr>
            </w:pPr>
            <w:r w:rsidRPr="00F2493B">
              <w:rPr>
                <w:rFonts w:cs="Arial"/>
                <w:sz w:val="18"/>
              </w:rPr>
              <w:t>16/06/2014</w:t>
            </w:r>
          </w:p>
        </w:tc>
      </w:tr>
      <w:tr w:rsidR="00677023" w14:paraId="44506ABF" w14:textId="77777777" w:rsidTr="00F45B04">
        <w:tc>
          <w:tcPr>
            <w:tcW w:w="1927" w:type="dxa"/>
          </w:tcPr>
          <w:p w14:paraId="7DA21FA5" w14:textId="60919CCB" w:rsidR="00677023" w:rsidRPr="00F2493B" w:rsidRDefault="00677023" w:rsidP="00677023">
            <w:pPr>
              <w:widowControl/>
              <w:rPr>
                <w:rFonts w:cs="Arial"/>
                <w:sz w:val="18"/>
                <w:lang w:val="sv-SE" w:eastAsia="sv-SE"/>
              </w:rPr>
            </w:pPr>
            <w:proofErr w:type="spellStart"/>
            <w:r w:rsidRPr="00F2493B">
              <w:rPr>
                <w:rFonts w:cs="Arial"/>
                <w:sz w:val="18"/>
                <w:lang w:val="sv-SE" w:eastAsia="sv-SE"/>
              </w:rPr>
              <w:t>Cadmium</w:t>
            </w:r>
            <w:proofErr w:type="spellEnd"/>
            <w:r w:rsidRPr="00F2493B">
              <w:rPr>
                <w:rFonts w:cs="Arial"/>
                <w:sz w:val="18"/>
                <w:lang w:val="sv-SE" w:eastAsia="sv-SE"/>
              </w:rPr>
              <w:t xml:space="preserve"> </w:t>
            </w:r>
            <w:proofErr w:type="spellStart"/>
            <w:r w:rsidRPr="00F2493B">
              <w:rPr>
                <w:rFonts w:cs="Arial"/>
                <w:sz w:val="18"/>
                <w:lang w:val="sv-SE" w:eastAsia="sv-SE"/>
              </w:rPr>
              <w:t>sulphide</w:t>
            </w:r>
            <w:proofErr w:type="spellEnd"/>
          </w:p>
        </w:tc>
        <w:tc>
          <w:tcPr>
            <w:tcW w:w="1187" w:type="dxa"/>
          </w:tcPr>
          <w:p w14:paraId="4FA508D5" w14:textId="0E27EA5A" w:rsidR="00677023" w:rsidRPr="00F2493B" w:rsidRDefault="00677023" w:rsidP="00677023">
            <w:pPr>
              <w:pStyle w:val="BodyText"/>
              <w:rPr>
                <w:sz w:val="18"/>
              </w:rPr>
            </w:pPr>
            <w:r w:rsidRPr="00F2493B">
              <w:rPr>
                <w:rFonts w:cs="Arial"/>
                <w:sz w:val="18"/>
              </w:rPr>
              <w:t>215-147-8</w:t>
            </w:r>
          </w:p>
        </w:tc>
        <w:tc>
          <w:tcPr>
            <w:tcW w:w="1417" w:type="dxa"/>
          </w:tcPr>
          <w:p w14:paraId="0950B204" w14:textId="58E18227" w:rsidR="00677023" w:rsidRPr="00F2493B" w:rsidRDefault="00677023" w:rsidP="00677023">
            <w:pPr>
              <w:pStyle w:val="BodyText"/>
              <w:rPr>
                <w:sz w:val="18"/>
              </w:rPr>
            </w:pPr>
            <w:r w:rsidRPr="00F2493B">
              <w:rPr>
                <w:rFonts w:cs="Arial"/>
                <w:sz w:val="18"/>
              </w:rPr>
              <w:t>1306-23-6</w:t>
            </w:r>
          </w:p>
        </w:tc>
        <w:tc>
          <w:tcPr>
            <w:tcW w:w="2977" w:type="dxa"/>
          </w:tcPr>
          <w:p w14:paraId="77CA06BC" w14:textId="60CC2C35" w:rsidR="00677023" w:rsidRPr="00F2493B" w:rsidRDefault="00677023" w:rsidP="00677023">
            <w:pPr>
              <w:pStyle w:val="BodyText"/>
              <w:rPr>
                <w:sz w:val="18"/>
              </w:rPr>
            </w:pPr>
            <w:r w:rsidRPr="00F2493B">
              <w:rPr>
                <w:rFonts w:cs="Arial"/>
                <w:sz w:val="18"/>
              </w:rPr>
              <w:t>Carcinogenic (Article 57a) Equivalent level of concern having probable serious effects to human health (Article 57 f)</w:t>
            </w:r>
          </w:p>
        </w:tc>
        <w:tc>
          <w:tcPr>
            <w:tcW w:w="2121" w:type="dxa"/>
          </w:tcPr>
          <w:p w14:paraId="1C715ED9" w14:textId="1AC8E3FD" w:rsidR="00677023" w:rsidRPr="00F2493B" w:rsidRDefault="00677023" w:rsidP="00677023">
            <w:pPr>
              <w:pStyle w:val="BodyText"/>
              <w:rPr>
                <w:sz w:val="18"/>
              </w:rPr>
            </w:pPr>
            <w:r w:rsidRPr="00F2493B">
              <w:rPr>
                <w:rFonts w:cs="Arial"/>
                <w:sz w:val="18"/>
              </w:rPr>
              <w:t>16/12/2013</w:t>
            </w:r>
          </w:p>
        </w:tc>
      </w:tr>
      <w:tr w:rsidR="00677023" w14:paraId="3825AB1F" w14:textId="77777777" w:rsidTr="00F45B04">
        <w:tc>
          <w:tcPr>
            <w:tcW w:w="1927" w:type="dxa"/>
          </w:tcPr>
          <w:p w14:paraId="33FAB677" w14:textId="4D20529D" w:rsidR="00677023" w:rsidRPr="00F2493B" w:rsidRDefault="00677023" w:rsidP="00677023">
            <w:pPr>
              <w:widowControl/>
              <w:rPr>
                <w:rFonts w:cs="Arial"/>
                <w:sz w:val="18"/>
                <w:lang w:val="sv-SE" w:eastAsia="sv-SE"/>
              </w:rPr>
            </w:pPr>
            <w:proofErr w:type="spellStart"/>
            <w:r w:rsidRPr="00F2493B">
              <w:rPr>
                <w:rFonts w:cs="Arial"/>
                <w:sz w:val="18"/>
                <w:lang w:val="sv-SE" w:eastAsia="sv-SE"/>
              </w:rPr>
              <w:t>Cadmium</w:t>
            </w:r>
            <w:proofErr w:type="spellEnd"/>
          </w:p>
        </w:tc>
        <w:tc>
          <w:tcPr>
            <w:tcW w:w="1187" w:type="dxa"/>
          </w:tcPr>
          <w:p w14:paraId="3436CBCC" w14:textId="2C56358B" w:rsidR="00677023" w:rsidRPr="00F2493B" w:rsidRDefault="00677023" w:rsidP="00677023">
            <w:pPr>
              <w:pStyle w:val="BodyText"/>
              <w:rPr>
                <w:sz w:val="18"/>
              </w:rPr>
            </w:pPr>
            <w:r w:rsidRPr="00F2493B">
              <w:rPr>
                <w:rFonts w:cs="Arial"/>
                <w:sz w:val="18"/>
              </w:rPr>
              <w:t>231-152-8</w:t>
            </w:r>
          </w:p>
        </w:tc>
        <w:tc>
          <w:tcPr>
            <w:tcW w:w="1417" w:type="dxa"/>
          </w:tcPr>
          <w:p w14:paraId="35351F69" w14:textId="5E4AF1C6" w:rsidR="00677023" w:rsidRPr="00F2493B" w:rsidRDefault="00677023" w:rsidP="00677023">
            <w:pPr>
              <w:pStyle w:val="BodyText"/>
              <w:rPr>
                <w:sz w:val="18"/>
              </w:rPr>
            </w:pPr>
            <w:r w:rsidRPr="00F2493B">
              <w:rPr>
                <w:rFonts w:cs="Arial"/>
                <w:sz w:val="18"/>
              </w:rPr>
              <w:t>7440-43-9</w:t>
            </w:r>
          </w:p>
        </w:tc>
        <w:tc>
          <w:tcPr>
            <w:tcW w:w="2977" w:type="dxa"/>
          </w:tcPr>
          <w:p w14:paraId="5202D1DD" w14:textId="79306EE5" w:rsidR="00677023" w:rsidRPr="00F2493B" w:rsidRDefault="00677023" w:rsidP="00677023">
            <w:pPr>
              <w:pStyle w:val="BodyText"/>
              <w:rPr>
                <w:sz w:val="18"/>
              </w:rPr>
            </w:pPr>
            <w:r w:rsidRPr="00F2493B">
              <w:rPr>
                <w:rFonts w:cs="Arial"/>
                <w:sz w:val="18"/>
              </w:rPr>
              <w:t>Carcinogenic (Article 57a) Equivalent level of concern having probable serious effects to human health (Article 57 f)</w:t>
            </w:r>
          </w:p>
        </w:tc>
        <w:tc>
          <w:tcPr>
            <w:tcW w:w="2121" w:type="dxa"/>
          </w:tcPr>
          <w:p w14:paraId="5139F981" w14:textId="27DF2BB1" w:rsidR="00677023" w:rsidRPr="00F2493B" w:rsidRDefault="00677023" w:rsidP="00677023">
            <w:pPr>
              <w:pStyle w:val="BodyText"/>
              <w:rPr>
                <w:sz w:val="18"/>
              </w:rPr>
            </w:pPr>
            <w:r w:rsidRPr="00F2493B">
              <w:rPr>
                <w:rFonts w:cs="Arial"/>
                <w:sz w:val="18"/>
              </w:rPr>
              <w:t>20/06/2013</w:t>
            </w:r>
          </w:p>
        </w:tc>
      </w:tr>
      <w:tr w:rsidR="00677023" w14:paraId="3103E0BE" w14:textId="77777777" w:rsidTr="00F45B04">
        <w:tc>
          <w:tcPr>
            <w:tcW w:w="1927" w:type="dxa"/>
          </w:tcPr>
          <w:tbl>
            <w:tblPr>
              <w:tblW w:w="1698" w:type="dxa"/>
              <w:tblCellMar>
                <w:left w:w="70" w:type="dxa"/>
                <w:right w:w="70" w:type="dxa"/>
              </w:tblCellMar>
              <w:tblLook w:val="04A0" w:firstRow="1" w:lastRow="0" w:firstColumn="1" w:lastColumn="0" w:noHBand="0" w:noVBand="1"/>
            </w:tblPr>
            <w:tblGrid>
              <w:gridCol w:w="1698"/>
            </w:tblGrid>
            <w:tr w:rsidR="00677023" w:rsidRPr="00F2493B" w14:paraId="736066EA" w14:textId="77777777" w:rsidTr="005216AB">
              <w:trPr>
                <w:trHeight w:val="255"/>
              </w:trPr>
              <w:tc>
                <w:tcPr>
                  <w:tcW w:w="1698" w:type="dxa"/>
                  <w:tcBorders>
                    <w:top w:val="nil"/>
                    <w:left w:val="nil"/>
                    <w:bottom w:val="nil"/>
                    <w:right w:val="nil"/>
                  </w:tcBorders>
                  <w:shd w:val="clear" w:color="auto" w:fill="auto"/>
                  <w:noWrap/>
                  <w:vAlign w:val="bottom"/>
                  <w:hideMark/>
                </w:tcPr>
                <w:p w14:paraId="10E319C5" w14:textId="77777777" w:rsidR="00677023" w:rsidRPr="00F2493B" w:rsidRDefault="00677023" w:rsidP="00677023">
                  <w:pPr>
                    <w:widowControl/>
                    <w:rPr>
                      <w:rFonts w:cs="Arial"/>
                      <w:sz w:val="18"/>
                      <w:lang w:val="sv-SE" w:eastAsia="sv-SE"/>
                    </w:rPr>
                  </w:pPr>
                  <w:proofErr w:type="spellStart"/>
                  <w:r w:rsidRPr="00F2493B">
                    <w:rPr>
                      <w:rFonts w:cs="Arial"/>
                      <w:sz w:val="18"/>
                      <w:lang w:val="sv-SE" w:eastAsia="sv-SE"/>
                    </w:rPr>
                    <w:t>Cadmium</w:t>
                  </w:r>
                  <w:proofErr w:type="spellEnd"/>
                  <w:r w:rsidRPr="00F2493B">
                    <w:rPr>
                      <w:rFonts w:cs="Arial"/>
                      <w:sz w:val="18"/>
                      <w:lang w:val="sv-SE" w:eastAsia="sv-SE"/>
                    </w:rPr>
                    <w:t xml:space="preserve"> </w:t>
                  </w:r>
                  <w:proofErr w:type="spellStart"/>
                  <w:r w:rsidRPr="00F2493B">
                    <w:rPr>
                      <w:rFonts w:cs="Arial"/>
                      <w:sz w:val="18"/>
                      <w:lang w:val="sv-SE" w:eastAsia="sv-SE"/>
                    </w:rPr>
                    <w:t>oxide</w:t>
                  </w:r>
                  <w:proofErr w:type="spellEnd"/>
                </w:p>
              </w:tc>
            </w:tr>
          </w:tbl>
          <w:p w14:paraId="3ED3C572" w14:textId="77777777" w:rsidR="00677023" w:rsidRPr="00F2493B" w:rsidRDefault="00677023" w:rsidP="00677023">
            <w:pPr>
              <w:widowControl/>
              <w:rPr>
                <w:rFonts w:cs="Arial"/>
                <w:sz w:val="18"/>
                <w:lang w:val="sv-SE" w:eastAsia="sv-SE"/>
              </w:rPr>
            </w:pPr>
          </w:p>
        </w:tc>
        <w:tc>
          <w:tcPr>
            <w:tcW w:w="1187" w:type="dxa"/>
          </w:tcPr>
          <w:p w14:paraId="5D4A6F65" w14:textId="0250EDD7" w:rsidR="00677023" w:rsidRPr="00F2493B" w:rsidRDefault="00677023" w:rsidP="00677023">
            <w:pPr>
              <w:pStyle w:val="BodyText"/>
              <w:rPr>
                <w:sz w:val="18"/>
              </w:rPr>
            </w:pPr>
            <w:r w:rsidRPr="00F2493B">
              <w:rPr>
                <w:rFonts w:cs="Arial"/>
                <w:sz w:val="18"/>
              </w:rPr>
              <w:t>215-146-2</w:t>
            </w:r>
          </w:p>
        </w:tc>
        <w:tc>
          <w:tcPr>
            <w:tcW w:w="1417" w:type="dxa"/>
          </w:tcPr>
          <w:p w14:paraId="0BA04C63" w14:textId="7C2A3070" w:rsidR="00677023" w:rsidRPr="00F2493B" w:rsidRDefault="00677023" w:rsidP="00677023">
            <w:pPr>
              <w:pStyle w:val="BodyText"/>
              <w:rPr>
                <w:sz w:val="18"/>
              </w:rPr>
            </w:pPr>
            <w:r w:rsidRPr="00F2493B">
              <w:rPr>
                <w:rFonts w:cs="Arial"/>
                <w:sz w:val="18"/>
              </w:rPr>
              <w:t>1306-19-0</w:t>
            </w:r>
          </w:p>
        </w:tc>
        <w:tc>
          <w:tcPr>
            <w:tcW w:w="2977" w:type="dxa"/>
          </w:tcPr>
          <w:p w14:paraId="1F9F2B83" w14:textId="3548B83F" w:rsidR="00677023" w:rsidRPr="00F2493B" w:rsidRDefault="00677023" w:rsidP="00677023">
            <w:pPr>
              <w:pStyle w:val="BodyText"/>
              <w:rPr>
                <w:sz w:val="18"/>
              </w:rPr>
            </w:pPr>
            <w:r w:rsidRPr="00F2493B">
              <w:rPr>
                <w:rFonts w:cs="Arial"/>
                <w:sz w:val="18"/>
              </w:rPr>
              <w:t>Carcinogenic (Article 57a) Equivalent level of concern having probable serious effects to human health (Article 57 f)</w:t>
            </w:r>
          </w:p>
        </w:tc>
        <w:tc>
          <w:tcPr>
            <w:tcW w:w="2121" w:type="dxa"/>
          </w:tcPr>
          <w:p w14:paraId="3855073F" w14:textId="379BE36B" w:rsidR="00677023" w:rsidRPr="00F2493B" w:rsidRDefault="00677023" w:rsidP="00677023">
            <w:pPr>
              <w:pStyle w:val="BodyText"/>
              <w:rPr>
                <w:sz w:val="18"/>
              </w:rPr>
            </w:pPr>
            <w:r w:rsidRPr="00F2493B">
              <w:rPr>
                <w:rFonts w:cs="Arial"/>
                <w:sz w:val="18"/>
              </w:rPr>
              <w:t>20/06/2013</w:t>
            </w:r>
          </w:p>
        </w:tc>
      </w:tr>
    </w:tbl>
    <w:p w14:paraId="4F92B20B" w14:textId="77777777" w:rsidR="0010600C" w:rsidRPr="00C81C2F" w:rsidRDefault="0010600C" w:rsidP="0010600C">
      <w:pPr>
        <w:pStyle w:val="BodyText"/>
        <w:ind w:left="1134"/>
        <w:rPr>
          <w:i/>
        </w:rPr>
      </w:pPr>
    </w:p>
    <w:p w14:paraId="49C53F0A" w14:textId="77777777" w:rsidR="008476D2" w:rsidRPr="00C81C2F" w:rsidRDefault="0010600C" w:rsidP="0010600C">
      <w:pPr>
        <w:pStyle w:val="Heading2"/>
      </w:pPr>
      <w:bookmarkStart w:id="411" w:name="_Toc491435655"/>
      <w:r>
        <w:t xml:space="preserve">11.2 </w:t>
      </w:r>
      <w:r w:rsidR="007E6629" w:rsidRPr="00C81C2F">
        <w:t>Alternatives</w:t>
      </w:r>
      <w:bookmarkEnd w:id="411"/>
    </w:p>
    <w:p w14:paraId="6FA08BBF" w14:textId="77777777" w:rsidR="0018615C" w:rsidRPr="00BD2A9E" w:rsidRDefault="0018615C" w:rsidP="0018615C">
      <w:pPr>
        <w:pStyle w:val="BodyText"/>
      </w:pPr>
      <w:r>
        <w:t>O</w:t>
      </w:r>
      <w:r w:rsidRPr="00BD2A9E">
        <w:t>ther cadmium s</w:t>
      </w:r>
      <w:r>
        <w:t xml:space="preserve">alts </w:t>
      </w:r>
      <w:proofErr w:type="gramStart"/>
      <w:r>
        <w:t>can be used</w:t>
      </w:r>
      <w:proofErr w:type="gramEnd"/>
      <w:r>
        <w:t xml:space="preserve"> as raw material f</w:t>
      </w:r>
      <w:r w:rsidRPr="00BD2A9E">
        <w:t xml:space="preserve">or </w:t>
      </w:r>
      <w:r>
        <w:t xml:space="preserve">the </w:t>
      </w:r>
      <w:r w:rsidRPr="00BD2A9E">
        <w:t>synthesis of inorganic cadmium compounds</w:t>
      </w:r>
      <w:r>
        <w:t>.</w:t>
      </w:r>
      <w:r w:rsidRPr="00BD2A9E">
        <w:t xml:space="preserve"> </w:t>
      </w:r>
    </w:p>
    <w:p w14:paraId="66362998" w14:textId="77777777" w:rsidR="005E6402" w:rsidRPr="008036AD" w:rsidRDefault="0010600C" w:rsidP="009B03B5">
      <w:pPr>
        <w:pStyle w:val="Heading2"/>
        <w:jc w:val="both"/>
      </w:pPr>
      <w:bookmarkStart w:id="412" w:name="_Toc491435656"/>
      <w:r w:rsidRPr="008036AD">
        <w:t xml:space="preserve">11.3 </w:t>
      </w:r>
      <w:r w:rsidR="005E6402" w:rsidRPr="008036AD">
        <w:t>Existing EU legislation</w:t>
      </w:r>
      <w:bookmarkEnd w:id="412"/>
    </w:p>
    <w:p w14:paraId="25DC7BE2" w14:textId="661EF9F0" w:rsidR="00661BDF" w:rsidRPr="00677023" w:rsidRDefault="00661BDF" w:rsidP="00F2493B">
      <w:pPr>
        <w:jc w:val="both"/>
      </w:pPr>
      <w:r w:rsidRPr="00677023">
        <w:t xml:space="preserve">REACH Regulation, Entry 23 in Annex XVII includes restrictions of cadmium and its </w:t>
      </w:r>
      <w:r w:rsidR="00677023" w:rsidRPr="00677023">
        <w:t>compound</w:t>
      </w:r>
      <w:r w:rsidR="00677023">
        <w:t>s</w:t>
      </w:r>
      <w:r w:rsidR="00677023" w:rsidRPr="00677023">
        <w:t>,</w:t>
      </w:r>
      <w:r w:rsidR="00677023">
        <w:t xml:space="preserve"> </w:t>
      </w:r>
      <w:r w:rsidR="00677023" w:rsidRPr="00677023">
        <w:t>which</w:t>
      </w:r>
      <w:r w:rsidRPr="00677023">
        <w:t xml:space="preserve"> will decrease the risk for consumers. However, given the wide range of potential uses of cadmium and its compounds, it </w:t>
      </w:r>
      <w:proofErr w:type="gramStart"/>
      <w:r w:rsidRPr="00677023">
        <w:t>cannot be completely ruled out</w:t>
      </w:r>
      <w:proofErr w:type="gramEnd"/>
      <w:r w:rsidRPr="00677023">
        <w:t xml:space="preserve"> that some consumer exposure from articles containing cadmium may still occur.</w:t>
      </w:r>
    </w:p>
    <w:p w14:paraId="6C59877B" w14:textId="1A4F2839" w:rsidR="00661BDF" w:rsidRDefault="00661BDF" w:rsidP="009B03B5">
      <w:pPr>
        <w:pStyle w:val="ListParagraph"/>
        <w:ind w:left="0"/>
        <w:jc w:val="both"/>
        <w:rPr>
          <w:i/>
        </w:rPr>
      </w:pPr>
    </w:p>
    <w:p w14:paraId="69C6D4DE" w14:textId="4FE40264" w:rsidR="0018615C" w:rsidRPr="0018615C" w:rsidRDefault="0018615C" w:rsidP="004830FB">
      <w:pPr>
        <w:pStyle w:val="ListParagraph"/>
        <w:spacing w:after="120"/>
        <w:ind w:left="0"/>
        <w:jc w:val="both"/>
      </w:pPr>
      <w:r w:rsidRPr="0018615C">
        <w:t>Selected EU regulations on use and emissions of cadmium</w:t>
      </w:r>
      <w:r w:rsidR="004830FB">
        <w:t xml:space="preserve"> include: </w:t>
      </w:r>
    </w:p>
    <w:p w14:paraId="252BF2EA" w14:textId="77777777" w:rsidR="004830FB" w:rsidRPr="00542751" w:rsidRDefault="00673080" w:rsidP="004830FB">
      <w:pPr>
        <w:numPr>
          <w:ilvl w:val="0"/>
          <w:numId w:val="28"/>
        </w:numPr>
        <w:autoSpaceDE w:val="0"/>
        <w:autoSpaceDN w:val="0"/>
        <w:adjustRightInd w:val="0"/>
        <w:spacing w:after="120"/>
      </w:pPr>
      <w:hyperlink r:id="rId17" w:tgtFrame="_blank" w:history="1">
        <w:r w:rsidR="004830FB" w:rsidRPr="00542751">
          <w:rPr>
            <w:rStyle w:val="Hyperlink"/>
            <w:color w:val="auto"/>
            <w:u w:val="none"/>
          </w:rPr>
          <w:t>Regulation (EC) 1223/2009 on cosmetics</w:t>
        </w:r>
      </w:hyperlink>
    </w:p>
    <w:p w14:paraId="2212CA0F" w14:textId="77777777" w:rsidR="004830FB" w:rsidRPr="00EC5C44" w:rsidRDefault="004830FB" w:rsidP="004830FB">
      <w:pPr>
        <w:numPr>
          <w:ilvl w:val="0"/>
          <w:numId w:val="28"/>
        </w:numPr>
        <w:autoSpaceDE w:val="0"/>
        <w:autoSpaceDN w:val="0"/>
        <w:adjustRightInd w:val="0"/>
        <w:spacing w:after="120"/>
        <w:rPr>
          <w:lang w:eastAsia="en-US"/>
        </w:rPr>
      </w:pPr>
      <w:r w:rsidRPr="00EC5C44">
        <w:rPr>
          <w:lang w:eastAsia="en-US"/>
        </w:rPr>
        <w:t>Directive 2009/48/EC about the safety of toys</w:t>
      </w:r>
    </w:p>
    <w:p w14:paraId="45DE6D20" w14:textId="77777777" w:rsidR="004830FB" w:rsidRPr="00EC5C44" w:rsidRDefault="004830FB" w:rsidP="004830FB">
      <w:pPr>
        <w:numPr>
          <w:ilvl w:val="0"/>
          <w:numId w:val="28"/>
        </w:numPr>
        <w:autoSpaceDE w:val="0"/>
        <w:autoSpaceDN w:val="0"/>
        <w:adjustRightInd w:val="0"/>
        <w:spacing w:after="120"/>
        <w:rPr>
          <w:lang w:eastAsia="en-US"/>
        </w:rPr>
      </w:pPr>
      <w:r w:rsidRPr="00EC5C44">
        <w:rPr>
          <w:lang w:eastAsia="en-US"/>
        </w:rPr>
        <w:t>Directive 94/62/EC on packaging and packaging waste</w:t>
      </w:r>
    </w:p>
    <w:p w14:paraId="010D5000" w14:textId="77777777" w:rsidR="004830FB" w:rsidRPr="00EC5C44" w:rsidRDefault="004830FB" w:rsidP="004830FB">
      <w:pPr>
        <w:numPr>
          <w:ilvl w:val="0"/>
          <w:numId w:val="28"/>
        </w:numPr>
        <w:autoSpaceDE w:val="0"/>
        <w:autoSpaceDN w:val="0"/>
        <w:adjustRightInd w:val="0"/>
        <w:spacing w:after="120"/>
        <w:rPr>
          <w:lang w:eastAsia="en-US"/>
        </w:rPr>
      </w:pPr>
      <w:r w:rsidRPr="00EC5C44">
        <w:rPr>
          <w:lang w:eastAsia="en-US"/>
        </w:rPr>
        <w:t>Directive 2006/66/EC on batteries and accumulators and waste batteries and accumulators</w:t>
      </w:r>
    </w:p>
    <w:p w14:paraId="76C2CEA3" w14:textId="77777777" w:rsidR="004830FB" w:rsidRDefault="004830FB" w:rsidP="004830FB">
      <w:pPr>
        <w:numPr>
          <w:ilvl w:val="0"/>
          <w:numId w:val="28"/>
        </w:numPr>
        <w:autoSpaceDE w:val="0"/>
        <w:autoSpaceDN w:val="0"/>
        <w:adjustRightInd w:val="0"/>
        <w:spacing w:after="120"/>
        <w:rPr>
          <w:lang w:eastAsia="en-US"/>
        </w:rPr>
      </w:pPr>
      <w:r w:rsidRPr="00EC5C44">
        <w:rPr>
          <w:lang w:eastAsia="en-US"/>
        </w:rPr>
        <w:t>Directive 2002/95/EC on the Restriction of the Use of certain Hazardous</w:t>
      </w:r>
      <w:r>
        <w:rPr>
          <w:lang w:eastAsia="en-US"/>
        </w:rPr>
        <w:t xml:space="preserve"> </w:t>
      </w:r>
      <w:r w:rsidRPr="00EC5C44">
        <w:rPr>
          <w:lang w:eastAsia="en-US"/>
        </w:rPr>
        <w:t>Substances in Electrical and Electronic Equipment (RoHS)</w:t>
      </w:r>
    </w:p>
    <w:p w14:paraId="2A7E3DBA" w14:textId="77777777" w:rsidR="004830FB" w:rsidRPr="00EC5C44" w:rsidRDefault="004830FB" w:rsidP="004830FB">
      <w:pPr>
        <w:numPr>
          <w:ilvl w:val="0"/>
          <w:numId w:val="28"/>
        </w:numPr>
        <w:autoSpaceDE w:val="0"/>
        <w:autoSpaceDN w:val="0"/>
        <w:adjustRightInd w:val="0"/>
        <w:spacing w:after="120"/>
        <w:rPr>
          <w:lang w:eastAsia="en-US"/>
        </w:rPr>
      </w:pPr>
      <w:r w:rsidRPr="00EC5C44">
        <w:rPr>
          <w:lang w:eastAsia="en-US"/>
        </w:rPr>
        <w:t>Directive 2002/96/EC on Waste Electrical and Electronic Equipment (WEEE)</w:t>
      </w:r>
    </w:p>
    <w:p w14:paraId="4812C6FC" w14:textId="77777777" w:rsidR="004830FB" w:rsidRPr="00EC5C44" w:rsidRDefault="004830FB" w:rsidP="004830FB">
      <w:pPr>
        <w:numPr>
          <w:ilvl w:val="0"/>
          <w:numId w:val="28"/>
        </w:numPr>
        <w:autoSpaceDE w:val="0"/>
        <w:autoSpaceDN w:val="0"/>
        <w:adjustRightInd w:val="0"/>
        <w:spacing w:after="120"/>
        <w:rPr>
          <w:lang w:eastAsia="en-US"/>
        </w:rPr>
      </w:pPr>
      <w:r w:rsidRPr="00EC5C44">
        <w:rPr>
          <w:lang w:eastAsia="en-US"/>
        </w:rPr>
        <w:t>Directive 2000/53/EC on end-of life vehicles</w:t>
      </w:r>
    </w:p>
    <w:p w14:paraId="13689727" w14:textId="77777777" w:rsidR="004830FB" w:rsidRPr="00EC5C44" w:rsidRDefault="004830FB" w:rsidP="004830FB">
      <w:pPr>
        <w:numPr>
          <w:ilvl w:val="0"/>
          <w:numId w:val="28"/>
        </w:numPr>
        <w:autoSpaceDE w:val="0"/>
        <w:autoSpaceDN w:val="0"/>
        <w:adjustRightInd w:val="0"/>
        <w:spacing w:after="120"/>
        <w:rPr>
          <w:lang w:eastAsia="en-US"/>
        </w:rPr>
      </w:pPr>
      <w:r w:rsidRPr="00EC5C44">
        <w:rPr>
          <w:lang w:eastAsia="en-US"/>
        </w:rPr>
        <w:t>Directive 2000/60/EC establishing a framework for the Community action in the field of water policy</w:t>
      </w:r>
    </w:p>
    <w:p w14:paraId="2E7B7255" w14:textId="77777777" w:rsidR="004830FB" w:rsidRPr="004830FB" w:rsidRDefault="004830FB" w:rsidP="004830FB">
      <w:pPr>
        <w:numPr>
          <w:ilvl w:val="0"/>
          <w:numId w:val="28"/>
        </w:numPr>
        <w:autoSpaceDE w:val="0"/>
        <w:autoSpaceDN w:val="0"/>
        <w:adjustRightInd w:val="0"/>
        <w:spacing w:after="120"/>
        <w:rPr>
          <w:lang w:eastAsia="en-US"/>
        </w:rPr>
      </w:pPr>
      <w:r w:rsidRPr="004830FB">
        <w:rPr>
          <w:lang w:eastAsia="en-US"/>
        </w:rPr>
        <w:lastRenderedPageBreak/>
        <w:t>Directive 2006/11/EC on pollution caused by certain dangerous substances discharged into the aquatic environment of the Community</w:t>
      </w:r>
    </w:p>
    <w:p w14:paraId="50DE0570" w14:textId="77777777" w:rsidR="004830FB" w:rsidRPr="004830FB" w:rsidRDefault="004830FB" w:rsidP="004830FB">
      <w:pPr>
        <w:numPr>
          <w:ilvl w:val="0"/>
          <w:numId w:val="28"/>
        </w:numPr>
        <w:autoSpaceDE w:val="0"/>
        <w:autoSpaceDN w:val="0"/>
        <w:adjustRightInd w:val="0"/>
        <w:spacing w:after="120"/>
        <w:rPr>
          <w:lang w:eastAsia="en-US"/>
        </w:rPr>
      </w:pPr>
      <w:r w:rsidRPr="004830FB">
        <w:rPr>
          <w:lang w:eastAsia="en-US"/>
        </w:rPr>
        <w:t>Directive 86/278/EEC of 12 June 1986 on the protection of the environment, and in particular of the soil, when sewage sludge is used in agriculture</w:t>
      </w:r>
    </w:p>
    <w:p w14:paraId="70837C5E" w14:textId="77777777" w:rsidR="004830FB" w:rsidRPr="004830FB" w:rsidRDefault="004830FB" w:rsidP="004830FB">
      <w:pPr>
        <w:numPr>
          <w:ilvl w:val="0"/>
          <w:numId w:val="28"/>
        </w:numPr>
        <w:autoSpaceDE w:val="0"/>
        <w:autoSpaceDN w:val="0"/>
        <w:adjustRightInd w:val="0"/>
        <w:spacing w:after="120"/>
        <w:rPr>
          <w:lang w:eastAsia="en-US"/>
        </w:rPr>
      </w:pPr>
      <w:r w:rsidRPr="004830FB">
        <w:rPr>
          <w:lang w:eastAsia="en-US"/>
        </w:rPr>
        <w:t>Directive 2010/75/EU on industrial emissions (integrated pollution prevention and control).</w:t>
      </w:r>
    </w:p>
    <w:p w14:paraId="7F470473" w14:textId="77777777" w:rsidR="004830FB" w:rsidRPr="004830FB" w:rsidRDefault="004830FB" w:rsidP="004830FB">
      <w:pPr>
        <w:numPr>
          <w:ilvl w:val="0"/>
          <w:numId w:val="28"/>
        </w:numPr>
        <w:autoSpaceDE w:val="0"/>
        <w:autoSpaceDN w:val="0"/>
        <w:adjustRightInd w:val="0"/>
        <w:spacing w:after="120"/>
        <w:rPr>
          <w:lang w:eastAsia="en-US"/>
        </w:rPr>
      </w:pPr>
      <w:r w:rsidRPr="004830FB">
        <w:rPr>
          <w:lang w:eastAsia="en-US"/>
        </w:rPr>
        <w:t>Directive 2008/1/EC concerning integrated pollution prevention and control</w:t>
      </w:r>
    </w:p>
    <w:p w14:paraId="6282BBF7" w14:textId="346490AE" w:rsidR="004830FB" w:rsidRDefault="004830FB" w:rsidP="004830FB">
      <w:pPr>
        <w:numPr>
          <w:ilvl w:val="0"/>
          <w:numId w:val="28"/>
        </w:numPr>
        <w:autoSpaceDE w:val="0"/>
        <w:autoSpaceDN w:val="0"/>
        <w:adjustRightInd w:val="0"/>
        <w:spacing w:after="120"/>
        <w:rPr>
          <w:lang w:eastAsia="en-US"/>
        </w:rPr>
      </w:pPr>
      <w:r w:rsidRPr="004830FB">
        <w:rPr>
          <w:lang w:eastAsia="en-US"/>
        </w:rPr>
        <w:t>Directive 2001/80/EC on the limitation of emissions of certain pollutants into the air from large combustion plants</w:t>
      </w:r>
    </w:p>
    <w:p w14:paraId="110F3243" w14:textId="043C7454" w:rsidR="004830FB" w:rsidRDefault="004830FB" w:rsidP="004830FB">
      <w:pPr>
        <w:autoSpaceDE w:val="0"/>
        <w:autoSpaceDN w:val="0"/>
        <w:adjustRightInd w:val="0"/>
        <w:spacing w:after="120"/>
        <w:rPr>
          <w:lang w:eastAsia="en-US"/>
        </w:rPr>
      </w:pPr>
    </w:p>
    <w:p w14:paraId="1B3EE12C" w14:textId="1DA25419" w:rsidR="004830FB" w:rsidRDefault="004830FB" w:rsidP="004830FB">
      <w:pPr>
        <w:autoSpaceDE w:val="0"/>
        <w:autoSpaceDN w:val="0"/>
        <w:adjustRightInd w:val="0"/>
        <w:spacing w:after="120"/>
        <w:rPr>
          <w:lang w:eastAsia="en-US"/>
        </w:rPr>
      </w:pPr>
      <w:r>
        <w:rPr>
          <w:lang w:eastAsia="en-US"/>
        </w:rPr>
        <w:t xml:space="preserve">Selected EU regulations on cadmium in food or materials in contact with food include: </w:t>
      </w:r>
    </w:p>
    <w:p w14:paraId="56512708" w14:textId="77777777" w:rsidR="004830FB" w:rsidRDefault="004830FB" w:rsidP="004830FB">
      <w:pPr>
        <w:pStyle w:val="ListParagraph"/>
        <w:numPr>
          <w:ilvl w:val="0"/>
          <w:numId w:val="29"/>
        </w:numPr>
        <w:autoSpaceDE w:val="0"/>
        <w:autoSpaceDN w:val="0"/>
        <w:adjustRightInd w:val="0"/>
        <w:spacing w:after="120"/>
        <w:rPr>
          <w:lang w:eastAsia="en-US"/>
        </w:rPr>
      </w:pPr>
      <w:r>
        <w:rPr>
          <w:lang w:eastAsia="en-US"/>
        </w:rPr>
        <w:t>Regulation (EC) No 315/93 laying down Community procedures for contaminants in food</w:t>
      </w:r>
    </w:p>
    <w:p w14:paraId="025333C7" w14:textId="77777777" w:rsidR="004830FB" w:rsidRDefault="004830FB" w:rsidP="004830FB">
      <w:pPr>
        <w:pStyle w:val="ListParagraph"/>
        <w:numPr>
          <w:ilvl w:val="0"/>
          <w:numId w:val="29"/>
        </w:numPr>
        <w:autoSpaceDE w:val="0"/>
        <w:autoSpaceDN w:val="0"/>
        <w:adjustRightInd w:val="0"/>
        <w:spacing w:after="120"/>
        <w:rPr>
          <w:lang w:eastAsia="en-US"/>
        </w:rPr>
      </w:pPr>
      <w:r>
        <w:rPr>
          <w:lang w:eastAsia="en-US"/>
        </w:rPr>
        <w:t>Directive 96/77/EC laying down specific purity criteria on food additives other than colours and sweeteners</w:t>
      </w:r>
    </w:p>
    <w:p w14:paraId="4CF612EA" w14:textId="77777777" w:rsidR="004830FB" w:rsidRDefault="004830FB" w:rsidP="004830FB">
      <w:pPr>
        <w:pStyle w:val="ListParagraph"/>
        <w:numPr>
          <w:ilvl w:val="0"/>
          <w:numId w:val="29"/>
        </w:numPr>
        <w:autoSpaceDE w:val="0"/>
        <w:autoSpaceDN w:val="0"/>
        <w:adjustRightInd w:val="0"/>
        <w:spacing w:after="120"/>
        <w:rPr>
          <w:lang w:eastAsia="en-US"/>
        </w:rPr>
      </w:pPr>
      <w:r>
        <w:rPr>
          <w:lang w:eastAsia="en-US"/>
        </w:rPr>
        <w:t>Directive 98/83/EC on the quality of water intended for human consumption</w:t>
      </w:r>
    </w:p>
    <w:p w14:paraId="174068A4" w14:textId="77777777" w:rsidR="004830FB" w:rsidRDefault="004830FB" w:rsidP="004830FB">
      <w:pPr>
        <w:pStyle w:val="ListParagraph"/>
        <w:numPr>
          <w:ilvl w:val="0"/>
          <w:numId w:val="29"/>
        </w:numPr>
        <w:autoSpaceDE w:val="0"/>
        <w:autoSpaceDN w:val="0"/>
        <w:adjustRightInd w:val="0"/>
        <w:spacing w:after="120"/>
        <w:rPr>
          <w:lang w:eastAsia="en-US"/>
        </w:rPr>
      </w:pPr>
      <w:r>
        <w:rPr>
          <w:lang w:eastAsia="en-US"/>
        </w:rPr>
        <w:t>Directive 84/500/EC on the approximation of the laws of the Member States relating to ceramic articles intended to come into contact with foodstuffs</w:t>
      </w:r>
    </w:p>
    <w:p w14:paraId="1CFB0697" w14:textId="77777777" w:rsidR="004830FB" w:rsidRDefault="004830FB" w:rsidP="004830FB">
      <w:pPr>
        <w:autoSpaceDE w:val="0"/>
        <w:autoSpaceDN w:val="0"/>
        <w:adjustRightInd w:val="0"/>
        <w:spacing w:after="120"/>
        <w:rPr>
          <w:lang w:eastAsia="en-US"/>
        </w:rPr>
      </w:pPr>
    </w:p>
    <w:p w14:paraId="456DF739" w14:textId="41397B1C" w:rsidR="004830FB" w:rsidRDefault="004830FB" w:rsidP="004830FB">
      <w:pPr>
        <w:autoSpaceDE w:val="0"/>
        <w:autoSpaceDN w:val="0"/>
        <w:adjustRightInd w:val="0"/>
        <w:spacing w:after="120"/>
        <w:rPr>
          <w:lang w:eastAsia="en-US"/>
        </w:rPr>
      </w:pPr>
      <w:r>
        <w:rPr>
          <w:lang w:eastAsia="en-US"/>
        </w:rPr>
        <w:t xml:space="preserve">Other related EU regulations related to cadmium include: </w:t>
      </w:r>
    </w:p>
    <w:p w14:paraId="26B20FF6" w14:textId="49FBD6F1" w:rsidR="004830FB" w:rsidRDefault="004830FB" w:rsidP="00542751">
      <w:pPr>
        <w:pStyle w:val="ListParagraph"/>
        <w:numPr>
          <w:ilvl w:val="0"/>
          <w:numId w:val="30"/>
        </w:numPr>
        <w:autoSpaceDE w:val="0"/>
        <w:autoSpaceDN w:val="0"/>
        <w:adjustRightInd w:val="0"/>
        <w:spacing w:after="120"/>
        <w:ind w:left="426" w:hanging="426"/>
        <w:rPr>
          <w:lang w:eastAsia="en-US"/>
        </w:rPr>
      </w:pPr>
      <w:r>
        <w:rPr>
          <w:lang w:eastAsia="en-US"/>
        </w:rPr>
        <w:t>Regulation (EC) No 2003/2003 of the European parliament and of 13 October 2003 relating to fertilisers.</w:t>
      </w:r>
    </w:p>
    <w:p w14:paraId="181B2A6F" w14:textId="77777777" w:rsidR="004830FB" w:rsidRDefault="004830FB" w:rsidP="00542751">
      <w:pPr>
        <w:pStyle w:val="ListParagraph"/>
        <w:numPr>
          <w:ilvl w:val="0"/>
          <w:numId w:val="30"/>
        </w:numPr>
        <w:autoSpaceDE w:val="0"/>
        <w:autoSpaceDN w:val="0"/>
        <w:adjustRightInd w:val="0"/>
        <w:spacing w:after="120"/>
        <w:ind w:left="426" w:hanging="426"/>
        <w:rPr>
          <w:lang w:eastAsia="en-US"/>
        </w:rPr>
      </w:pPr>
      <w:r>
        <w:rPr>
          <w:lang w:eastAsia="en-US"/>
        </w:rPr>
        <w:t xml:space="preserve">Directive 86/278/EEC of 12 June 1986 on the protection of the environment, and in particular of the soil, when sewage sludge is used in agriculture </w:t>
      </w:r>
    </w:p>
    <w:p w14:paraId="1E4760F5" w14:textId="6537A489" w:rsidR="004830FB" w:rsidRPr="004830FB" w:rsidRDefault="004830FB" w:rsidP="00542751">
      <w:pPr>
        <w:pStyle w:val="ListParagraph"/>
        <w:numPr>
          <w:ilvl w:val="0"/>
          <w:numId w:val="30"/>
        </w:numPr>
        <w:autoSpaceDE w:val="0"/>
        <w:autoSpaceDN w:val="0"/>
        <w:adjustRightInd w:val="0"/>
        <w:spacing w:after="120"/>
        <w:ind w:left="426" w:hanging="426"/>
        <w:rPr>
          <w:lang w:eastAsia="en-US"/>
        </w:rPr>
      </w:pPr>
      <w:r>
        <w:rPr>
          <w:lang w:eastAsia="en-US"/>
        </w:rPr>
        <w:t>Directive 1999/31/EC of 26 April 1999 on the landfill of waste</w:t>
      </w:r>
    </w:p>
    <w:p w14:paraId="2508003B" w14:textId="77777777" w:rsidR="004830FB" w:rsidRDefault="004830FB" w:rsidP="00212038">
      <w:pPr>
        <w:pStyle w:val="ListParagraph"/>
        <w:ind w:left="0"/>
        <w:rPr>
          <w:i/>
        </w:rPr>
      </w:pPr>
    </w:p>
    <w:p w14:paraId="7CD78028" w14:textId="77777777" w:rsidR="000D0078" w:rsidRPr="00C81C2F" w:rsidRDefault="000D0078" w:rsidP="00212038">
      <w:pPr>
        <w:pStyle w:val="ListParagraph"/>
        <w:ind w:left="0"/>
        <w:rPr>
          <w:i/>
          <w:caps/>
        </w:rPr>
      </w:pPr>
    </w:p>
    <w:p w14:paraId="725C8660" w14:textId="5359DC9C" w:rsidR="005E6402" w:rsidRDefault="0010600C" w:rsidP="0010600C">
      <w:pPr>
        <w:pStyle w:val="Heading2"/>
      </w:pPr>
      <w:bookmarkStart w:id="413" w:name="_Toc491435657"/>
      <w:r>
        <w:t xml:space="preserve">11.4 </w:t>
      </w:r>
      <w:r w:rsidR="005E6402" w:rsidRPr="0010600C">
        <w:t>Previous assessments by other authorities</w:t>
      </w:r>
      <w:bookmarkEnd w:id="413"/>
    </w:p>
    <w:p w14:paraId="3CA0AAC5" w14:textId="2DF499BF" w:rsidR="004830FB" w:rsidRDefault="004830FB" w:rsidP="004830FB">
      <w:pPr>
        <w:pStyle w:val="Heading3"/>
      </w:pPr>
      <w:bookmarkStart w:id="414" w:name="_Toc491435658"/>
      <w:r>
        <w:t>11.4.1 EU RAR</w:t>
      </w:r>
      <w:bookmarkEnd w:id="414"/>
    </w:p>
    <w:p w14:paraId="39712ADC" w14:textId="03FF398B" w:rsidR="004830FB" w:rsidRDefault="004830FB" w:rsidP="00F2493B">
      <w:pPr>
        <w:pStyle w:val="BodyText"/>
        <w:jc w:val="both"/>
      </w:pPr>
      <w:r>
        <w:t xml:space="preserve">An EU risk assessment is available for cadmium and cadmium oxide (ECB 2007). It </w:t>
      </w:r>
      <w:proofErr w:type="gramStart"/>
      <w:r>
        <w:t>was concluded</w:t>
      </w:r>
      <w:proofErr w:type="gramEnd"/>
      <w:r>
        <w:t xml:space="preserve"> that there was a need for limiting the risks for workers and for humans exposed via the environment, whereas for consumers, no need for further risk reduction measures was identified.</w:t>
      </w:r>
    </w:p>
    <w:p w14:paraId="73E8B80B" w14:textId="2A4B66E3" w:rsidR="004830FB" w:rsidRDefault="00B42176" w:rsidP="00B42176">
      <w:pPr>
        <w:pStyle w:val="Heading3"/>
      </w:pPr>
      <w:bookmarkStart w:id="415" w:name="_Toc491435659"/>
      <w:r>
        <w:t xml:space="preserve">11.4.2 </w:t>
      </w:r>
      <w:r w:rsidR="004830FB">
        <w:t>Work environment – SCOEL assessment</w:t>
      </w:r>
      <w:bookmarkEnd w:id="415"/>
    </w:p>
    <w:p w14:paraId="41E97A61" w14:textId="0BB79879" w:rsidR="004830FB" w:rsidRDefault="004830FB" w:rsidP="00F2493B">
      <w:pPr>
        <w:pStyle w:val="BodyText"/>
        <w:jc w:val="both"/>
      </w:pPr>
      <w:r>
        <w:t xml:space="preserve">SCOEL (Scientific Expert Group on Occupational Exposure Limits) has evaluated cadmium (and its inorganic compounds) and suggests an 8-hour time-weighted average (TWA) value of 4 </w:t>
      </w:r>
      <w:r w:rsidR="00F2493B">
        <w:sym w:font="Symbol" w:char="F06D"/>
      </w:r>
      <w:r>
        <w:t>g/m</w:t>
      </w:r>
      <w:r w:rsidRPr="00542751">
        <w:rPr>
          <w:vertAlign w:val="superscript"/>
        </w:rPr>
        <w:t>3</w:t>
      </w:r>
      <w:r>
        <w:t xml:space="preserve"> (respirable fraction). Further, a biological limit value in urine </w:t>
      </w:r>
      <w:proofErr w:type="gramStart"/>
      <w:r>
        <w:t>is suggested</w:t>
      </w:r>
      <w:proofErr w:type="gramEnd"/>
      <w:r>
        <w:t xml:space="preserve">: 2 </w:t>
      </w:r>
      <w:r w:rsidR="00F2493B">
        <w:sym w:font="Symbol" w:char="F06D"/>
      </w:r>
      <w:r>
        <w:t xml:space="preserve">g/g creatinine. It </w:t>
      </w:r>
      <w:proofErr w:type="gramStart"/>
      <w:r>
        <w:t>may be noted</w:t>
      </w:r>
      <w:proofErr w:type="gramEnd"/>
      <w:r>
        <w:t xml:space="preserve"> that a lower value, 1 </w:t>
      </w:r>
      <w:r w:rsidR="00A27FB7">
        <w:sym w:font="Symbol" w:char="F06D"/>
      </w:r>
      <w:r>
        <w:t xml:space="preserve">g/g creatinine, was used by EFSA as a reference point for their risk evaluation of cadmium in food (EFSA 2009). The suggested values for the work environment have so far not been included in the list of indicative occupational exposure limit values (the most recent directive on indicative occupational exposure limit values, 2009/161/EU, </w:t>
      </w:r>
      <w:proofErr w:type="gramStart"/>
      <w:r>
        <w:t>was published</w:t>
      </w:r>
      <w:proofErr w:type="gramEnd"/>
      <w:r>
        <w:t xml:space="preserve"> 17 December 2009).</w:t>
      </w:r>
    </w:p>
    <w:p w14:paraId="3508A2CC" w14:textId="77777777" w:rsidR="004830FB" w:rsidRDefault="004830FB" w:rsidP="00F2493B">
      <w:pPr>
        <w:pStyle w:val="BodyText"/>
        <w:jc w:val="both"/>
      </w:pPr>
      <w:r>
        <w:t xml:space="preserve">In the SCOEL document, the proposed limit values </w:t>
      </w:r>
      <w:proofErr w:type="gramStart"/>
      <w:r>
        <w:t>are based</w:t>
      </w:r>
      <w:proofErr w:type="gramEnd"/>
      <w:r>
        <w:t xml:space="preserve"> on effects on the kidney and, to some extent, bone tissue, representing the most sensitive targets of Cd toxicity after </w:t>
      </w:r>
      <w:r>
        <w:lastRenderedPageBreak/>
        <w:t xml:space="preserve">occupational exposure. The suggested IOEL (in air) is considered </w:t>
      </w:r>
      <w:proofErr w:type="gramStart"/>
      <w:r>
        <w:t>to be protective</w:t>
      </w:r>
      <w:proofErr w:type="gramEnd"/>
      <w:r>
        <w:t xml:space="preserve"> against long-term local effects (respiratory effects including lung cancer).</w:t>
      </w:r>
    </w:p>
    <w:p w14:paraId="275A317F" w14:textId="78A97FEF" w:rsidR="004830FB" w:rsidRDefault="00B42176" w:rsidP="00F2493B">
      <w:pPr>
        <w:pStyle w:val="Heading3"/>
        <w:jc w:val="both"/>
      </w:pPr>
      <w:bookmarkStart w:id="416" w:name="_Toc491435660"/>
      <w:r>
        <w:t xml:space="preserve">11.4.3 </w:t>
      </w:r>
      <w:r w:rsidR="004830FB">
        <w:t>Swedish risk assessment of cadmium (</w:t>
      </w:r>
      <w:proofErr w:type="spellStart"/>
      <w:r w:rsidR="004830FB">
        <w:t>KemI</w:t>
      </w:r>
      <w:proofErr w:type="spellEnd"/>
      <w:r w:rsidR="004830FB">
        <w:t xml:space="preserve"> 2011)</w:t>
      </w:r>
      <w:bookmarkEnd w:id="416"/>
    </w:p>
    <w:p w14:paraId="4A299041" w14:textId="77777777" w:rsidR="004830FB" w:rsidRDefault="004830FB" w:rsidP="00F2493B">
      <w:pPr>
        <w:pStyle w:val="BodyText"/>
        <w:jc w:val="both"/>
      </w:pPr>
      <w:r>
        <w:t>In a recent report (</w:t>
      </w:r>
      <w:proofErr w:type="spellStart"/>
      <w:r>
        <w:t>KemI</w:t>
      </w:r>
      <w:proofErr w:type="spellEnd"/>
      <w:r>
        <w:t xml:space="preserve"> Rapport </w:t>
      </w:r>
      <w:proofErr w:type="spellStart"/>
      <w:r>
        <w:t>Nr</w:t>
      </w:r>
      <w:proofErr w:type="spellEnd"/>
      <w:r>
        <w:t xml:space="preserve"> 1/11) from the Swedish Chemicals Agency, health effects of cadmium in Sweden </w:t>
      </w:r>
      <w:proofErr w:type="gramStart"/>
      <w:r>
        <w:t>were evaluated</w:t>
      </w:r>
      <w:proofErr w:type="gramEnd"/>
      <w:r>
        <w:t xml:space="preserve">. The summary </w:t>
      </w:r>
      <w:proofErr w:type="gramStart"/>
      <w:r>
        <w:t>is cited</w:t>
      </w:r>
      <w:proofErr w:type="gramEnd"/>
      <w:r>
        <w:t xml:space="preserve"> below.</w:t>
      </w:r>
    </w:p>
    <w:p w14:paraId="287DE9FE" w14:textId="77777777" w:rsidR="004830FB" w:rsidRPr="00B42176" w:rsidRDefault="004830FB" w:rsidP="004830FB">
      <w:pPr>
        <w:pStyle w:val="BodyText"/>
        <w:rPr>
          <w:b/>
          <w:i/>
        </w:rPr>
      </w:pPr>
      <w:r w:rsidRPr="00B42176">
        <w:rPr>
          <w:b/>
          <w:i/>
        </w:rPr>
        <w:t>Summary</w:t>
      </w:r>
    </w:p>
    <w:p w14:paraId="0186835A" w14:textId="77777777" w:rsidR="004830FB" w:rsidRPr="00B42176" w:rsidRDefault="004830FB" w:rsidP="004830FB">
      <w:pPr>
        <w:pStyle w:val="BodyText"/>
        <w:rPr>
          <w:i/>
        </w:rPr>
      </w:pPr>
      <w:r w:rsidRPr="00B42176">
        <w:rPr>
          <w:i/>
        </w:rPr>
        <w:t xml:space="preserve">The main source of cadmium exposure is food, mainly food of plant origin, offal and seafood. The gastrointestinal absorption of cadmium </w:t>
      </w:r>
      <w:proofErr w:type="gramStart"/>
      <w:r w:rsidRPr="00B42176">
        <w:rPr>
          <w:i/>
        </w:rPr>
        <w:t>is influenced</w:t>
      </w:r>
      <w:proofErr w:type="gramEnd"/>
      <w:r w:rsidRPr="00B42176">
        <w:rPr>
          <w:i/>
        </w:rPr>
        <w:t xml:space="preserve"> by age, type of diet, and nutritional status, with iron status being particularly important.</w:t>
      </w:r>
    </w:p>
    <w:p w14:paraId="169762D0" w14:textId="125E4A0F" w:rsidR="004830FB" w:rsidRPr="00B42176" w:rsidRDefault="004830FB" w:rsidP="004830FB">
      <w:pPr>
        <w:pStyle w:val="BodyText"/>
        <w:rPr>
          <w:i/>
        </w:rPr>
      </w:pPr>
      <w:r w:rsidRPr="00B42176">
        <w:rPr>
          <w:i/>
        </w:rPr>
        <w:t>Blood cadmium is locali</w:t>
      </w:r>
      <w:r w:rsidR="001972D8">
        <w:rPr>
          <w:i/>
        </w:rPr>
        <w:t>s</w:t>
      </w:r>
      <w:r w:rsidRPr="00B42176">
        <w:rPr>
          <w:i/>
        </w:rPr>
        <w:t xml:space="preserve">ed mainly in the red blood cells and is a useful marker of ongoing exposure. Urinary cadmium is a useful biomarker of long-term exposure, as it reflects the concentration in the kidney, where cadmium is accumulating with very long half-life. It is the most frequently used biomarker of cadmium exposure. The measured concentrations need to </w:t>
      </w:r>
      <w:proofErr w:type="gramStart"/>
      <w:r w:rsidRPr="00B42176">
        <w:rPr>
          <w:i/>
        </w:rPr>
        <w:t>be adjusted</w:t>
      </w:r>
      <w:proofErr w:type="gramEnd"/>
      <w:r w:rsidRPr="00B42176">
        <w:rPr>
          <w:i/>
        </w:rPr>
        <w:t xml:space="preserve"> for variation in urine dilution, mainly by creatinine or specific gravity. In particular </w:t>
      </w:r>
      <w:proofErr w:type="gramStart"/>
      <w:r w:rsidRPr="00B42176">
        <w:rPr>
          <w:i/>
        </w:rPr>
        <w:t>creatinine</w:t>
      </w:r>
      <w:proofErr w:type="gramEnd"/>
      <w:r w:rsidRPr="00B42176">
        <w:rPr>
          <w:i/>
        </w:rPr>
        <w:t xml:space="preserve"> adjusted urinary cadmium will vary by age, body size, gender, and meat consumption. An alternative way of adjustment is by specific gravity. A critical review of the database on biomarkers of cadmium exposure provides no evidence for a decrease in cadmium exposure over time during the last 2-3 decades in Sweden.</w:t>
      </w:r>
    </w:p>
    <w:p w14:paraId="1DF8F798" w14:textId="77777777" w:rsidR="004830FB" w:rsidRPr="00B42176" w:rsidRDefault="004830FB" w:rsidP="004830FB">
      <w:pPr>
        <w:pStyle w:val="BodyText"/>
        <w:rPr>
          <w:i/>
        </w:rPr>
      </w:pPr>
      <w:r w:rsidRPr="00B42176">
        <w:rPr>
          <w:i/>
        </w:rPr>
        <w:t xml:space="preserve">Long-term cadmium exposure may cause various toxic effects. The kidney </w:t>
      </w:r>
      <w:proofErr w:type="gramStart"/>
      <w:r w:rsidRPr="00B42176">
        <w:rPr>
          <w:i/>
        </w:rPr>
        <w:t>has generally been considered</w:t>
      </w:r>
      <w:proofErr w:type="gramEnd"/>
      <w:r w:rsidRPr="00B42176">
        <w:rPr>
          <w:i/>
        </w:rPr>
        <w:t xml:space="preserve"> the critical target organ for cadmium toxicity. Circulating cadmium, after </w:t>
      </w:r>
      <w:proofErr w:type="gramStart"/>
      <w:r w:rsidRPr="00B42176">
        <w:rPr>
          <w:i/>
        </w:rPr>
        <w:t>being filtered</w:t>
      </w:r>
      <w:proofErr w:type="gramEnd"/>
      <w:r w:rsidRPr="00B42176">
        <w:rPr>
          <w:i/>
        </w:rPr>
        <w:t xml:space="preserve"> in the glomerular part of the kidney, is reabsorbed and retained in the proximal tubules causing high intracellular concentrations. A large number of studies, also in the Swedish general population, show significant association between cadmium in urine and/or blood and markers of impaired kidney function, mostly impaired tubular function. Critical review of recent studies, particularly those in Sweden, indicates that the risk of impaired function increases already below </w:t>
      </w:r>
      <w:proofErr w:type="gramStart"/>
      <w:r w:rsidRPr="00B42176">
        <w:rPr>
          <w:i/>
        </w:rPr>
        <w:t>1</w:t>
      </w:r>
      <w:proofErr w:type="gramEnd"/>
      <w:r w:rsidRPr="00B42176">
        <w:rPr>
          <w:i/>
        </w:rPr>
        <w:t xml:space="preserve"> </w:t>
      </w:r>
      <w:proofErr w:type="spellStart"/>
      <w:r w:rsidRPr="00B42176">
        <w:rPr>
          <w:i/>
        </w:rPr>
        <w:t>μg</w:t>
      </w:r>
      <w:proofErr w:type="spellEnd"/>
      <w:r w:rsidRPr="00B42176">
        <w:rPr>
          <w:i/>
        </w:rPr>
        <w:t xml:space="preserve">/g creatinine in urine. In addition, cadmium exposure has been associated with impaired glomerular filtration rate, the risk of which seems to start at 0.7 to 1.0 </w:t>
      </w:r>
      <w:proofErr w:type="spellStart"/>
      <w:r w:rsidRPr="00B42176">
        <w:rPr>
          <w:i/>
        </w:rPr>
        <w:t>μg</w:t>
      </w:r>
      <w:proofErr w:type="spellEnd"/>
      <w:r w:rsidRPr="00B42176">
        <w:rPr>
          <w:i/>
        </w:rPr>
        <w:t>/g creatinine.</w:t>
      </w:r>
    </w:p>
    <w:p w14:paraId="5AD66104" w14:textId="77777777" w:rsidR="004830FB" w:rsidRPr="00B42176" w:rsidRDefault="004830FB" w:rsidP="004830FB">
      <w:pPr>
        <w:pStyle w:val="BodyText"/>
        <w:rPr>
          <w:i/>
        </w:rPr>
      </w:pPr>
      <w:r w:rsidRPr="00B42176">
        <w:rPr>
          <w:i/>
        </w:rPr>
        <w:t>There is a debate concerning the causality and the health significance of the associations between urine-based biomarkers of cadmium exposure and kidney effects (mainly tubular effects) that occur at very low cadmium concentrations. Thus, it is difficult to ascertain the exact lowest effect dose for a clear adverse effect. However, several recent mechanistic studies support effects at low exposure.</w:t>
      </w:r>
    </w:p>
    <w:p w14:paraId="6735254F" w14:textId="77777777" w:rsidR="004830FB" w:rsidRPr="00B42176" w:rsidRDefault="004830FB" w:rsidP="004830FB">
      <w:pPr>
        <w:pStyle w:val="BodyText"/>
        <w:rPr>
          <w:i/>
        </w:rPr>
      </w:pPr>
      <w:r w:rsidRPr="00B42176">
        <w:rPr>
          <w:i/>
        </w:rPr>
        <w:t xml:space="preserve">Because of the uncertainties of lowest effect dose for cadmium in the proximal tubules, the present risk assessment focuses on bone effects of cadmium. It </w:t>
      </w:r>
      <w:proofErr w:type="gramStart"/>
      <w:r w:rsidRPr="00B42176">
        <w:rPr>
          <w:i/>
        </w:rPr>
        <w:t>is well established</w:t>
      </w:r>
      <w:proofErr w:type="gramEnd"/>
      <w:r w:rsidRPr="00B42176">
        <w:rPr>
          <w:i/>
        </w:rPr>
        <w:t xml:space="preserve"> since long that excessive exposure to cadmium affects the metabolism of calcium, in severe cases leading to </w:t>
      </w:r>
      <w:proofErr w:type="spellStart"/>
      <w:r w:rsidRPr="00B42176">
        <w:rPr>
          <w:i/>
        </w:rPr>
        <w:t>osteomalacia</w:t>
      </w:r>
      <w:proofErr w:type="spellEnd"/>
      <w:r w:rsidRPr="00B42176">
        <w:rPr>
          <w:i/>
        </w:rPr>
        <w:t xml:space="preserve"> and osteoporosis, in addition to kidney damage (</w:t>
      </w:r>
      <w:proofErr w:type="spellStart"/>
      <w:r w:rsidRPr="00B42176">
        <w:rPr>
          <w:i/>
        </w:rPr>
        <w:t>Itai-Itai</w:t>
      </w:r>
      <w:proofErr w:type="spellEnd"/>
      <w:r w:rsidRPr="00B42176">
        <w:rPr>
          <w:i/>
        </w:rPr>
        <w:t xml:space="preserve"> disease). Data supporting adverse effects of much lower cadmium exposure on the risk of osteoporosis has increased substantially during the last few years. The effect of cadmium on bone seems to be independent of kidney damage, possibly the effects occur even before the kidney damage. Whereas several epidemiological studies have observed an association between cadmium and bone mineral density, only three published studies have so far considered fracture incidence – the most adverse endpoint with respect to effects on bone. Other studies have included markers of bone </w:t>
      </w:r>
      <w:proofErr w:type="spellStart"/>
      <w:r w:rsidRPr="00B42176">
        <w:rPr>
          <w:i/>
        </w:rPr>
        <w:t>remodeling</w:t>
      </w:r>
      <w:proofErr w:type="spellEnd"/>
      <w:r w:rsidRPr="00B42176">
        <w:rPr>
          <w:i/>
        </w:rPr>
        <w:t xml:space="preserve"> to increase the understanding of causal relationships and possible mechanisms involved. It appears that cadmium preferentially affects bone resorption.</w:t>
      </w:r>
    </w:p>
    <w:p w14:paraId="01664D38" w14:textId="77777777" w:rsidR="004830FB" w:rsidRPr="00B42176" w:rsidRDefault="004830FB" w:rsidP="004830FB">
      <w:pPr>
        <w:pStyle w:val="BodyText"/>
        <w:rPr>
          <w:i/>
        </w:rPr>
      </w:pPr>
      <w:r w:rsidRPr="00B42176">
        <w:rPr>
          <w:i/>
        </w:rPr>
        <w:t xml:space="preserve">Irrespective of whether the studies employed a decrease in the bone mineral density, </w:t>
      </w:r>
      <w:r w:rsidRPr="00B42176">
        <w:rPr>
          <w:i/>
        </w:rPr>
        <w:lastRenderedPageBreak/>
        <w:t xml:space="preserve">increased risk of osteoporosis or increased risk of fractures, these changes seem to occur at very low urinary cadmium concentrations. Both a recent Swedish study (SMC) and an American study (NHANES) suggest that already a cadmium concentration in urine of around 0.5 </w:t>
      </w:r>
      <w:proofErr w:type="spellStart"/>
      <w:r w:rsidRPr="00B42176">
        <w:rPr>
          <w:i/>
        </w:rPr>
        <w:t>μg</w:t>
      </w:r>
      <w:proofErr w:type="spellEnd"/>
      <w:r w:rsidRPr="00B42176">
        <w:rPr>
          <w:i/>
        </w:rPr>
        <w:t xml:space="preserve">/g creatinine is associated with increased risk of osteoporosis and fractures. Importantly, the Swedish studies showed increased risk of osteoporosis and fractures among those who never smoked, suggesting that dietary cadmium alone contribute to the risk. Statistically, every other women and one out of four men in Sweden will suffer from an osteoporotic fracture during their lifetime. Considering the high prevalence of osteoporotic fractures in Sweden, compared to central and southern Europe, it </w:t>
      </w:r>
      <w:proofErr w:type="gramStart"/>
      <w:r w:rsidRPr="00B42176">
        <w:rPr>
          <w:i/>
        </w:rPr>
        <w:t>cannot be ruled out</w:t>
      </w:r>
      <w:proofErr w:type="gramEnd"/>
      <w:r w:rsidRPr="00B42176">
        <w:rPr>
          <w:i/>
        </w:rPr>
        <w:t xml:space="preserve"> that the Swedish population might be more sensitive to cadmium exposure. It should be noted that even a small increase in the average exposure </w:t>
      </w:r>
      <w:proofErr w:type="gramStart"/>
      <w:r w:rsidRPr="00B42176">
        <w:rPr>
          <w:i/>
        </w:rPr>
        <w:t>will</w:t>
      </w:r>
      <w:proofErr w:type="gramEnd"/>
      <w:r w:rsidRPr="00B42176">
        <w:rPr>
          <w:i/>
        </w:rPr>
        <w:t xml:space="preserve"> result in a proportionally larger increase in the fraction of the population at risk of fractures.</w:t>
      </w:r>
    </w:p>
    <w:p w14:paraId="2351BDA8" w14:textId="77777777" w:rsidR="004830FB" w:rsidRPr="00B42176" w:rsidRDefault="004830FB" w:rsidP="004830FB">
      <w:pPr>
        <w:pStyle w:val="BodyText"/>
        <w:rPr>
          <w:i/>
        </w:rPr>
      </w:pPr>
      <w:r w:rsidRPr="00B42176">
        <w:rPr>
          <w:i/>
        </w:rPr>
        <w:t xml:space="preserve">Cadmium </w:t>
      </w:r>
      <w:proofErr w:type="gramStart"/>
      <w:r w:rsidRPr="00B42176">
        <w:rPr>
          <w:i/>
        </w:rPr>
        <w:t>is classified</w:t>
      </w:r>
      <w:proofErr w:type="gramEnd"/>
      <w:r w:rsidRPr="00B42176">
        <w:rPr>
          <w:i/>
        </w:rPr>
        <w:t xml:space="preserve"> as human carcinogen, mainly based on lung cancer among occupationally exposed people. Mechanistic studies support that cadmium is a carcinogen. The relationship between cadmium exposure and cancer risk has recently also been studied outside the occupational exposure and several studies show increased risks. Experimental studies also suggest that cadmium may have </w:t>
      </w:r>
      <w:proofErr w:type="spellStart"/>
      <w:r w:rsidRPr="00B42176">
        <w:rPr>
          <w:i/>
        </w:rPr>
        <w:t>estrogen</w:t>
      </w:r>
      <w:proofErr w:type="spellEnd"/>
      <w:r w:rsidRPr="00B42176">
        <w:rPr>
          <w:i/>
        </w:rPr>
        <w:t xml:space="preserve">-like effects. Swedish epidemiological studies </w:t>
      </w:r>
      <w:proofErr w:type="gramStart"/>
      <w:r w:rsidRPr="00B42176">
        <w:rPr>
          <w:i/>
        </w:rPr>
        <w:t>have been initiated</w:t>
      </w:r>
      <w:proofErr w:type="gramEnd"/>
      <w:r w:rsidRPr="00B42176">
        <w:rPr>
          <w:i/>
        </w:rPr>
        <w:t xml:space="preserve"> and associations between estimated dietary exposure and increased risk of hormone-related cancer (endometrial cancer) have been shown. At </w:t>
      </w:r>
      <w:proofErr w:type="gramStart"/>
      <w:r w:rsidRPr="00B42176">
        <w:rPr>
          <w:i/>
        </w:rPr>
        <w:t>present</w:t>
      </w:r>
      <w:proofErr w:type="gramEnd"/>
      <w:r w:rsidRPr="00B42176">
        <w:rPr>
          <w:i/>
        </w:rPr>
        <w:t xml:space="preserve"> it is difficult to draw conclusions about the cancer risk linked to dietary exposure to cadmium, but the data are in support of the need for a precautionary approach. Knowledge on cadmium-related cardiovascular disease and diabetes do not provide sufficient information for risk assessment but also supports a precautionary approach. Two recent </w:t>
      </w:r>
      <w:proofErr w:type="gramStart"/>
      <w:r w:rsidRPr="00B42176">
        <w:rPr>
          <w:i/>
        </w:rPr>
        <w:t>well performed</w:t>
      </w:r>
      <w:proofErr w:type="gramEnd"/>
      <w:r w:rsidRPr="00B42176">
        <w:rPr>
          <w:i/>
        </w:rPr>
        <w:t xml:space="preserve"> prospective studies from Belgium and USA indicate associations between cadmium and increased mortality which is alarming. Still, it is difficult to judge whether the results </w:t>
      </w:r>
      <w:proofErr w:type="gramStart"/>
      <w:r w:rsidRPr="00B42176">
        <w:rPr>
          <w:i/>
        </w:rPr>
        <w:t>could be affected</w:t>
      </w:r>
      <w:proofErr w:type="gramEnd"/>
      <w:r w:rsidRPr="00B42176">
        <w:rPr>
          <w:i/>
        </w:rPr>
        <w:t xml:space="preserve"> by residual confounding. Nevertheless, these data clearly add to the concern that cadmium might exert severe effects on human health.</w:t>
      </w:r>
    </w:p>
    <w:p w14:paraId="3339F3F4" w14:textId="77777777" w:rsidR="004830FB" w:rsidRPr="00B42176" w:rsidRDefault="004830FB" w:rsidP="004830FB">
      <w:pPr>
        <w:pStyle w:val="BodyText"/>
        <w:rPr>
          <w:i/>
        </w:rPr>
      </w:pPr>
      <w:r w:rsidRPr="00B42176">
        <w:rPr>
          <w:i/>
        </w:rPr>
        <w:t xml:space="preserve">A number of </w:t>
      </w:r>
      <w:proofErr w:type="gramStart"/>
      <w:r w:rsidRPr="00B42176">
        <w:rPr>
          <w:i/>
        </w:rPr>
        <w:t>fairly small</w:t>
      </w:r>
      <w:proofErr w:type="gramEnd"/>
      <w:r w:rsidRPr="00B42176">
        <w:rPr>
          <w:i/>
        </w:rPr>
        <w:t xml:space="preserve"> cross-sectional studies indicate that cadmium exposure may have a negative effect of </w:t>
      </w:r>
      <w:proofErr w:type="spellStart"/>
      <w:r w:rsidRPr="00B42176">
        <w:rPr>
          <w:i/>
        </w:rPr>
        <w:t>fetal</w:t>
      </w:r>
      <w:proofErr w:type="spellEnd"/>
      <w:r w:rsidRPr="00B42176">
        <w:rPr>
          <w:i/>
        </w:rPr>
        <w:t xml:space="preserve"> growth and child development. Although available data does not allow quantitative health risk assessment, these effects should be born in mind.</w:t>
      </w:r>
    </w:p>
    <w:p w14:paraId="1D068C44" w14:textId="77777777" w:rsidR="004830FB" w:rsidRPr="00B42176" w:rsidRDefault="004830FB" w:rsidP="004830FB">
      <w:pPr>
        <w:pStyle w:val="BodyText"/>
        <w:rPr>
          <w:i/>
        </w:rPr>
      </w:pPr>
      <w:r w:rsidRPr="00B42176">
        <w:rPr>
          <w:i/>
        </w:rPr>
        <w:t xml:space="preserve">In conclusion, a number of studies, several of which in Sweden, have shown associations between long-term low-level cadmium exposure and adverse health effects mainly in the form of kidney dysfunction, osteoporosis and fractures. Causal relationships </w:t>
      </w:r>
      <w:proofErr w:type="gramStart"/>
      <w:r w:rsidRPr="00B42176">
        <w:rPr>
          <w:i/>
        </w:rPr>
        <w:t>are supported</w:t>
      </w:r>
      <w:proofErr w:type="gramEnd"/>
      <w:r w:rsidRPr="00B42176">
        <w:rPr>
          <w:i/>
        </w:rPr>
        <w:t xml:space="preserve"> by mechanistic experimental studies. Although associations with all those effects </w:t>
      </w:r>
      <w:proofErr w:type="gramStart"/>
      <w:r w:rsidRPr="00B42176">
        <w:rPr>
          <w:i/>
        </w:rPr>
        <w:t>are found</w:t>
      </w:r>
      <w:proofErr w:type="gramEnd"/>
      <w:r w:rsidRPr="00B42176">
        <w:rPr>
          <w:i/>
        </w:rPr>
        <w:t xml:space="preserve"> at very low exposure levels, the main emphasis in this risk assessment has been put on recent data on bone effects of cadmium. Unlike the studies on subclinical kidney effects, the bone effects include several different endpoints, which </w:t>
      </w:r>
      <w:proofErr w:type="gramStart"/>
      <w:r w:rsidRPr="00B42176">
        <w:rPr>
          <w:i/>
        </w:rPr>
        <w:t>are not based</w:t>
      </w:r>
      <w:proofErr w:type="gramEnd"/>
      <w:r w:rsidRPr="00B42176">
        <w:rPr>
          <w:i/>
        </w:rPr>
        <w:t xml:space="preserve"> on urine-based biomarkers. Rather, they include clinical findings, the most severe of which are bone fractures. Thus, the data on bone effects are more suitable for evaluation of health risks at low exposure levels, i.e. levels observed in Sweden today.</w:t>
      </w:r>
    </w:p>
    <w:p w14:paraId="6F8AEA8A" w14:textId="77777777" w:rsidR="004830FB" w:rsidRPr="00B42176" w:rsidRDefault="004830FB" w:rsidP="004830FB">
      <w:pPr>
        <w:pStyle w:val="BodyText"/>
        <w:rPr>
          <w:i/>
        </w:rPr>
      </w:pPr>
      <w:r w:rsidRPr="00B42176">
        <w:rPr>
          <w:i/>
        </w:rPr>
        <w:t xml:space="preserve">Taken together, the recent comprehensive epidemiological studies strongly indicate that the effects of cadmium on bone among Swedish women starts somewhere between 0.5 and 1 </w:t>
      </w:r>
      <w:proofErr w:type="spellStart"/>
      <w:r w:rsidRPr="00B42176">
        <w:rPr>
          <w:i/>
        </w:rPr>
        <w:t>μg</w:t>
      </w:r>
      <w:proofErr w:type="spellEnd"/>
      <w:r w:rsidRPr="00B42176">
        <w:rPr>
          <w:i/>
        </w:rPr>
        <w:t xml:space="preserve">/g creatinine in urine. </w:t>
      </w:r>
      <w:proofErr w:type="gramStart"/>
      <w:r w:rsidRPr="00B42176">
        <w:rPr>
          <w:i/>
        </w:rPr>
        <w:t>A considerable part of the Swedish women have</w:t>
      </w:r>
      <w:proofErr w:type="gramEnd"/>
      <w:r w:rsidRPr="00B42176">
        <w:rPr>
          <w:i/>
        </w:rPr>
        <w:t xml:space="preserve"> urinary cadmium concentrations in this range. Thus, it is clear that cadmium-related health effects occur at the present exposure levels in Sweden.</w:t>
      </w:r>
    </w:p>
    <w:p w14:paraId="2C88213D" w14:textId="77777777" w:rsidR="004830FB" w:rsidRPr="00B42176" w:rsidRDefault="004830FB" w:rsidP="004830FB">
      <w:pPr>
        <w:pStyle w:val="BodyText"/>
        <w:rPr>
          <w:i/>
        </w:rPr>
      </w:pPr>
      <w:r w:rsidRPr="00B42176">
        <w:rPr>
          <w:i/>
        </w:rPr>
        <w:t xml:space="preserve">It should be noted that these risk levels (0.5-1 </w:t>
      </w:r>
      <w:proofErr w:type="spellStart"/>
      <w:r w:rsidRPr="00B42176">
        <w:rPr>
          <w:i/>
        </w:rPr>
        <w:t>μg</w:t>
      </w:r>
      <w:proofErr w:type="spellEnd"/>
      <w:r w:rsidRPr="00B42176">
        <w:rPr>
          <w:i/>
        </w:rPr>
        <w:t xml:space="preserve">/g creatinine) are slightly lower than that (1 </w:t>
      </w:r>
      <w:proofErr w:type="spellStart"/>
      <w:r w:rsidRPr="00B42176">
        <w:rPr>
          <w:i/>
        </w:rPr>
        <w:t>μg</w:t>
      </w:r>
      <w:proofErr w:type="spellEnd"/>
      <w:r w:rsidRPr="00B42176">
        <w:rPr>
          <w:i/>
        </w:rPr>
        <w:t xml:space="preserve">/g creatinine) reported in the recent EFSA risk assessment of cadmium, which was mainly based on dose-response relationship between urinary cadmium and markers of impaired renal tubular function obtained in a meta-analysis of selected, mainly Asian studies. Because of the associations with multiple health effects observed already at the </w:t>
      </w:r>
      <w:r w:rsidRPr="00B42176">
        <w:rPr>
          <w:i/>
        </w:rPr>
        <w:lastRenderedPageBreak/>
        <w:t xml:space="preserve">present cadmium exposure in the general population, it is essential not to increase the exposure further. Compared to most other countries, the risk of fractures is very high in Sweden. In the light of this high prevalence of fractures, the population is likely to be extra sensitive to an exposure that further increases the risk. It should be noted that even a small increase in the average exposure </w:t>
      </w:r>
      <w:proofErr w:type="gramStart"/>
      <w:r w:rsidRPr="00B42176">
        <w:rPr>
          <w:i/>
        </w:rPr>
        <w:t>will</w:t>
      </w:r>
      <w:proofErr w:type="gramEnd"/>
      <w:r w:rsidRPr="00B42176">
        <w:rPr>
          <w:i/>
        </w:rPr>
        <w:t xml:space="preserve"> result in a proportionally large increase in the fraction of the population with increased risk of severe effects, such as fractures. Therefore, mitigation efforts </w:t>
      </w:r>
      <w:proofErr w:type="gramStart"/>
      <w:r w:rsidRPr="00B42176">
        <w:rPr>
          <w:i/>
        </w:rPr>
        <w:t>are needed</w:t>
      </w:r>
      <w:proofErr w:type="gramEnd"/>
      <w:r w:rsidRPr="00B42176">
        <w:rPr>
          <w:i/>
        </w:rPr>
        <w:t xml:space="preserve"> to decrease the exposure, the main part of which is through food.</w:t>
      </w:r>
    </w:p>
    <w:p w14:paraId="493140E0" w14:textId="57CD20A7" w:rsidR="004830FB" w:rsidRPr="00542751" w:rsidRDefault="00B42176" w:rsidP="00B42176">
      <w:pPr>
        <w:pStyle w:val="Heading3"/>
        <w:rPr>
          <w:lang w:val="sv-SE"/>
        </w:rPr>
      </w:pPr>
      <w:bookmarkStart w:id="417" w:name="_Toc491435661"/>
      <w:proofErr w:type="gramStart"/>
      <w:r w:rsidRPr="00542751">
        <w:rPr>
          <w:lang w:val="sv-SE"/>
        </w:rPr>
        <w:t>11.4.4</w:t>
      </w:r>
      <w:proofErr w:type="gramEnd"/>
      <w:r w:rsidRPr="00542751">
        <w:rPr>
          <w:lang w:val="sv-SE"/>
        </w:rPr>
        <w:t xml:space="preserve"> </w:t>
      </w:r>
      <w:r w:rsidR="004830FB" w:rsidRPr="00542751">
        <w:rPr>
          <w:lang w:val="sv-SE"/>
        </w:rPr>
        <w:t xml:space="preserve">Risk via </w:t>
      </w:r>
      <w:proofErr w:type="spellStart"/>
      <w:r w:rsidR="004830FB" w:rsidRPr="00542751">
        <w:rPr>
          <w:lang w:val="sv-SE"/>
        </w:rPr>
        <w:t>food</w:t>
      </w:r>
      <w:proofErr w:type="spellEnd"/>
      <w:r w:rsidR="004830FB" w:rsidRPr="00542751">
        <w:rPr>
          <w:lang w:val="sv-SE"/>
        </w:rPr>
        <w:t xml:space="preserve"> </w:t>
      </w:r>
      <w:proofErr w:type="spellStart"/>
      <w:r w:rsidR="004830FB" w:rsidRPr="00542751">
        <w:rPr>
          <w:lang w:val="sv-SE"/>
        </w:rPr>
        <w:t>intake</w:t>
      </w:r>
      <w:proofErr w:type="spellEnd"/>
      <w:r w:rsidR="004830FB" w:rsidRPr="00542751">
        <w:rPr>
          <w:lang w:val="sv-SE"/>
        </w:rPr>
        <w:t xml:space="preserve"> (EFSA 2009, 2012)</w:t>
      </w:r>
      <w:bookmarkEnd w:id="417"/>
    </w:p>
    <w:p w14:paraId="0192A12E" w14:textId="77777777" w:rsidR="004830FB" w:rsidRDefault="004830FB" w:rsidP="00F2493B">
      <w:pPr>
        <w:pStyle w:val="BodyText"/>
        <w:jc w:val="both"/>
      </w:pPr>
      <w:r>
        <w:t>The European Food Safety Authority (EFSA) has recently updated their exposure and risk evaluation of cadmium (EFSA 2009, 2012), see summary/abstract below.</w:t>
      </w:r>
    </w:p>
    <w:p w14:paraId="729228B5" w14:textId="77777777" w:rsidR="004830FB" w:rsidRPr="00B42176" w:rsidRDefault="004830FB" w:rsidP="004830FB">
      <w:pPr>
        <w:pStyle w:val="BodyText"/>
        <w:rPr>
          <w:b/>
          <w:i/>
        </w:rPr>
      </w:pPr>
      <w:r w:rsidRPr="00B42176">
        <w:rPr>
          <w:b/>
          <w:i/>
        </w:rPr>
        <w:t>SUMMARY (EFSA 2009)</w:t>
      </w:r>
    </w:p>
    <w:p w14:paraId="6C309C1D" w14:textId="77777777" w:rsidR="004830FB" w:rsidRPr="00B42176" w:rsidRDefault="004830FB" w:rsidP="004830FB">
      <w:pPr>
        <w:pStyle w:val="BodyText"/>
        <w:rPr>
          <w:i/>
        </w:rPr>
      </w:pPr>
      <w:r w:rsidRPr="00B42176">
        <w:rPr>
          <w:i/>
        </w:rPr>
        <w:t xml:space="preserve">Cadmium (Cd) is a heavy metal found as an environmental contaminant, both through natural occurrence and from industrial and agricultural sources. Foodstuffs are the main source of cadmium exposure for the non-smoking general population. Cadmium absorption after dietary exposure in humans is relatively low (3–5 %) but cadmium is efficiently retained in the kidney and liver in the human body, with a very long biological half-life ranging from 10 to 30 years. Cadmium is primarily toxic to the kidney, especially to the proximal tubular cells where it accumulates over time and may cause renal dysfunction. Cadmium can also cause bone demineralisation, either through direct bone damage or indirectly </w:t>
      </w:r>
      <w:proofErr w:type="gramStart"/>
      <w:r w:rsidRPr="00B42176">
        <w:rPr>
          <w:i/>
        </w:rPr>
        <w:t>as a result</w:t>
      </w:r>
      <w:proofErr w:type="gramEnd"/>
      <w:r w:rsidRPr="00B42176">
        <w:rPr>
          <w:i/>
        </w:rPr>
        <w:t xml:space="preserve"> of renal dysfunction. After prolonged and/or high </w:t>
      </w:r>
      <w:proofErr w:type="gramStart"/>
      <w:r w:rsidRPr="00B42176">
        <w:rPr>
          <w:i/>
        </w:rPr>
        <w:t>exposure</w:t>
      </w:r>
      <w:proofErr w:type="gramEnd"/>
      <w:r w:rsidRPr="00B42176">
        <w:rPr>
          <w:i/>
        </w:rPr>
        <w:t xml:space="preserve"> the tubular damage may progress to decreased glomerular filtration rate, and eventually to renal failure. The International Agency for Research on Cancer has classified cadmium as a human carcinogen (Group 1) </w:t>
      </w:r>
      <w:proofErr w:type="gramStart"/>
      <w:r w:rsidRPr="00B42176">
        <w:rPr>
          <w:i/>
        </w:rPr>
        <w:t>on the basis of</w:t>
      </w:r>
      <w:proofErr w:type="gramEnd"/>
      <w:r w:rsidRPr="00B42176">
        <w:rPr>
          <w:i/>
        </w:rPr>
        <w:t xml:space="preserve"> occupational studies. Newer data on human exposure to cadmium in the general population have been statistically associated with increased risk of cancer such as in the lung, endometrium, bladder, and breast. Cadmium bioavailability, retention and consequently toxicity </w:t>
      </w:r>
      <w:proofErr w:type="gramStart"/>
      <w:r w:rsidRPr="00B42176">
        <w:rPr>
          <w:i/>
        </w:rPr>
        <w:t>are affected</w:t>
      </w:r>
      <w:proofErr w:type="gramEnd"/>
      <w:r w:rsidRPr="00B42176">
        <w:rPr>
          <w:i/>
        </w:rPr>
        <w:t xml:space="preserve"> by several factors such as nutritional status (low body iron stores) and multiple pregnancies, </w:t>
      </w:r>
      <w:proofErr w:type="spellStart"/>
      <w:r w:rsidRPr="00B42176">
        <w:rPr>
          <w:i/>
        </w:rPr>
        <w:t>preexisting</w:t>
      </w:r>
      <w:proofErr w:type="spellEnd"/>
      <w:r w:rsidRPr="00B42176">
        <w:rPr>
          <w:i/>
        </w:rPr>
        <w:t xml:space="preserve"> health conditions or diseases.</w:t>
      </w:r>
    </w:p>
    <w:p w14:paraId="1FE20830" w14:textId="77777777" w:rsidR="004830FB" w:rsidRPr="00B42176" w:rsidRDefault="004830FB" w:rsidP="004830FB">
      <w:pPr>
        <w:pStyle w:val="BodyText"/>
        <w:rPr>
          <w:i/>
        </w:rPr>
      </w:pPr>
      <w:r w:rsidRPr="00B42176">
        <w:rPr>
          <w:i/>
        </w:rPr>
        <w:t xml:space="preserve">A health based guidance value for cadmium of </w:t>
      </w:r>
      <w:proofErr w:type="gramStart"/>
      <w:r w:rsidRPr="00B42176">
        <w:rPr>
          <w:i/>
        </w:rPr>
        <w:t>7</w:t>
      </w:r>
      <w:proofErr w:type="gramEnd"/>
      <w:r w:rsidRPr="00B42176">
        <w:rPr>
          <w:i/>
        </w:rPr>
        <w:t xml:space="preserve"> </w:t>
      </w:r>
      <w:proofErr w:type="spellStart"/>
      <w:r w:rsidRPr="00B42176">
        <w:rPr>
          <w:i/>
        </w:rPr>
        <w:t>μg</w:t>
      </w:r>
      <w:proofErr w:type="spellEnd"/>
      <w:r w:rsidRPr="00B42176">
        <w:rPr>
          <w:i/>
        </w:rPr>
        <w:t>/kg body weight (</w:t>
      </w:r>
      <w:proofErr w:type="spellStart"/>
      <w:r w:rsidRPr="00B42176">
        <w:rPr>
          <w:i/>
        </w:rPr>
        <w:t>b.w</w:t>
      </w:r>
      <w:proofErr w:type="spellEnd"/>
      <w:r w:rsidRPr="00B42176">
        <w:rPr>
          <w:i/>
        </w:rPr>
        <w:t xml:space="preserve">.) per week (Provisional Tolerable Weekly Intake (PTWI)) was established previously by the Joint FAO/WHO Expert Committee on Food Additives and endorsed by the Scientific Committee for Food. </w:t>
      </w:r>
      <w:proofErr w:type="gramStart"/>
      <w:r w:rsidRPr="00B42176">
        <w:rPr>
          <w:i/>
        </w:rPr>
        <w:t>Although available data indicated that most individuals had intake levels below this PTWI, several international bodies recognised that the margin between this PTWI and the actual weekly intake of cadmium by the general population was small and in some populations may be non-existent.</w:t>
      </w:r>
      <w:proofErr w:type="gramEnd"/>
      <w:r w:rsidRPr="00B42176">
        <w:rPr>
          <w:i/>
        </w:rPr>
        <w:t xml:space="preserve"> The Scientific Panel on Contaminants in the Food Chain (CONTAM) </w:t>
      </w:r>
      <w:proofErr w:type="gramStart"/>
      <w:r w:rsidRPr="00B42176">
        <w:rPr>
          <w:i/>
        </w:rPr>
        <w:t>was asked</w:t>
      </w:r>
      <w:proofErr w:type="gramEnd"/>
      <w:r w:rsidRPr="00B42176">
        <w:rPr>
          <w:i/>
        </w:rPr>
        <w:t xml:space="preserve"> by the European Commission to assess the risks to human health related to the presence of cadmium in foodstuffs. To provide an updated assessment of exposure from foodstuffs, about 140,000 data covering the period from 2003 to 2007 on cadmium occurrence in various food commodities </w:t>
      </w:r>
      <w:proofErr w:type="gramStart"/>
      <w:r w:rsidRPr="00B42176">
        <w:rPr>
          <w:i/>
        </w:rPr>
        <w:t>were received from 20 Member States and considered by the CONTAM Panel</w:t>
      </w:r>
      <w:proofErr w:type="gramEnd"/>
      <w:r w:rsidRPr="00B42176">
        <w:rPr>
          <w:i/>
        </w:rPr>
        <w:t xml:space="preserve">. The highest cadmium concentrations </w:t>
      </w:r>
      <w:proofErr w:type="gramStart"/>
      <w:r w:rsidRPr="00B42176">
        <w:rPr>
          <w:i/>
        </w:rPr>
        <w:t>were detected</w:t>
      </w:r>
      <w:proofErr w:type="gramEnd"/>
      <w:r w:rsidRPr="00B42176">
        <w:rPr>
          <w:i/>
        </w:rPr>
        <w:t xml:space="preserve"> in the following food commodities: seaweed, fish and seafood, chocolate, and foods for special dietary uses. For most foods only a small percentage of the analysed samples (&lt;5 %) exceeded the maximum level (ML), where specified. Up to 20 % of the samples were above the MLs for celeriac, </w:t>
      </w:r>
      <w:proofErr w:type="gramStart"/>
      <w:r w:rsidRPr="00B42176">
        <w:rPr>
          <w:i/>
        </w:rPr>
        <w:t>horse meat</w:t>
      </w:r>
      <w:proofErr w:type="gramEnd"/>
      <w:r w:rsidRPr="00B42176">
        <w:rPr>
          <w:i/>
        </w:rPr>
        <w:t>, fish, bivalve molluscs other than oysters and cephalopods. Highly contaminated areas may show higher cadmium concentrations in locally produced food and the use of cadmium-containing fertilisers in agriculture increases cadmium concentrations in the crops and derived products.</w:t>
      </w:r>
    </w:p>
    <w:p w14:paraId="3D60D275" w14:textId="77777777" w:rsidR="004830FB" w:rsidRPr="00B42176" w:rsidRDefault="004830FB" w:rsidP="004830FB">
      <w:pPr>
        <w:pStyle w:val="BodyText"/>
        <w:rPr>
          <w:i/>
        </w:rPr>
      </w:pPr>
      <w:r w:rsidRPr="00B42176">
        <w:rPr>
          <w:i/>
        </w:rPr>
        <w:t xml:space="preserve">To assess cadmium dietary exposure, the occurrence data and the consumption data as reported in the EFSA’s Concise European Food Consumption Database </w:t>
      </w:r>
      <w:proofErr w:type="gramStart"/>
      <w:r w:rsidRPr="00B42176">
        <w:rPr>
          <w:i/>
        </w:rPr>
        <w:t>were used</w:t>
      </w:r>
      <w:proofErr w:type="gramEnd"/>
      <w:r w:rsidRPr="00B42176">
        <w:rPr>
          <w:i/>
        </w:rPr>
        <w:t xml:space="preserve">. </w:t>
      </w:r>
      <w:r w:rsidRPr="00B42176">
        <w:rPr>
          <w:i/>
        </w:rPr>
        <w:lastRenderedPageBreak/>
        <w:t xml:space="preserve">National food consumption dietary surveys </w:t>
      </w:r>
      <w:proofErr w:type="gramStart"/>
      <w:r w:rsidRPr="00B42176">
        <w:rPr>
          <w:i/>
        </w:rPr>
        <w:t>were used</w:t>
      </w:r>
      <w:proofErr w:type="gramEnd"/>
      <w:r w:rsidRPr="00B42176">
        <w:rPr>
          <w:i/>
        </w:rPr>
        <w:t xml:space="preserve"> to estimate the consumption pattern of specific sub-groups such as vegetarians and children. The food groups that contributed to the major part of the dietary cadmium exposure, primarily because of the high consumption, were cereals and cereal products, vegetables, nuts and pulses, starchy roots or potatoes, and meat and meat products. The mean dietary exposure across European countries </w:t>
      </w:r>
      <w:proofErr w:type="gramStart"/>
      <w:r w:rsidRPr="00B42176">
        <w:rPr>
          <w:i/>
        </w:rPr>
        <w:t>was estimated</w:t>
      </w:r>
      <w:proofErr w:type="gramEnd"/>
      <w:r w:rsidRPr="00B42176">
        <w:rPr>
          <w:i/>
        </w:rPr>
        <w:t xml:space="preserve"> to be 2.3 </w:t>
      </w:r>
      <w:proofErr w:type="spellStart"/>
      <w:r w:rsidRPr="00B42176">
        <w:rPr>
          <w:i/>
        </w:rPr>
        <w:t>μg</w:t>
      </w:r>
      <w:proofErr w:type="spellEnd"/>
      <w:r w:rsidRPr="00B42176">
        <w:rPr>
          <w:i/>
        </w:rPr>
        <w:t xml:space="preserve">/kg </w:t>
      </w:r>
      <w:proofErr w:type="spellStart"/>
      <w:r w:rsidRPr="00B42176">
        <w:rPr>
          <w:i/>
        </w:rPr>
        <w:t>b.w</w:t>
      </w:r>
      <w:proofErr w:type="spellEnd"/>
      <w:r w:rsidRPr="00B42176">
        <w:rPr>
          <w:i/>
        </w:rPr>
        <w:t xml:space="preserve">. per week (range from 1.9 to 3.0 </w:t>
      </w:r>
      <w:proofErr w:type="spellStart"/>
      <w:r w:rsidRPr="00B42176">
        <w:rPr>
          <w:i/>
        </w:rPr>
        <w:t>μg</w:t>
      </w:r>
      <w:proofErr w:type="spellEnd"/>
      <w:r w:rsidRPr="00B42176">
        <w:rPr>
          <w:i/>
        </w:rPr>
        <w:t xml:space="preserve">/kg </w:t>
      </w:r>
      <w:proofErr w:type="spellStart"/>
      <w:r w:rsidRPr="00B42176">
        <w:rPr>
          <w:i/>
        </w:rPr>
        <w:t>b.w</w:t>
      </w:r>
      <w:proofErr w:type="spellEnd"/>
      <w:r w:rsidRPr="00B42176">
        <w:rPr>
          <w:i/>
        </w:rPr>
        <w:t xml:space="preserve">. per week) and the high exposure was estimated to be 3.0 </w:t>
      </w:r>
      <w:proofErr w:type="spellStart"/>
      <w:r w:rsidRPr="00B42176">
        <w:rPr>
          <w:i/>
        </w:rPr>
        <w:t>μg</w:t>
      </w:r>
      <w:proofErr w:type="spellEnd"/>
      <w:r w:rsidRPr="00B42176">
        <w:rPr>
          <w:i/>
        </w:rPr>
        <w:t xml:space="preserve">/kg </w:t>
      </w:r>
      <w:proofErr w:type="spellStart"/>
      <w:r w:rsidRPr="00B42176">
        <w:rPr>
          <w:i/>
        </w:rPr>
        <w:t>b.w</w:t>
      </w:r>
      <w:proofErr w:type="spellEnd"/>
      <w:r w:rsidRPr="00B42176">
        <w:rPr>
          <w:i/>
        </w:rPr>
        <w:t xml:space="preserve">. per week (range from 2.5 to 3.9 </w:t>
      </w:r>
      <w:proofErr w:type="spellStart"/>
      <w:r w:rsidRPr="00B42176">
        <w:rPr>
          <w:i/>
        </w:rPr>
        <w:t>μg</w:t>
      </w:r>
      <w:proofErr w:type="spellEnd"/>
      <w:r w:rsidRPr="00B42176">
        <w:rPr>
          <w:i/>
        </w:rPr>
        <w:t xml:space="preserve">/kg </w:t>
      </w:r>
      <w:proofErr w:type="spellStart"/>
      <w:r w:rsidRPr="00B42176">
        <w:rPr>
          <w:i/>
        </w:rPr>
        <w:t>b.w</w:t>
      </w:r>
      <w:proofErr w:type="spellEnd"/>
      <w:r w:rsidRPr="00B42176">
        <w:rPr>
          <w:i/>
        </w:rPr>
        <w:t xml:space="preserve">. per week). Due to their high consumption of cereals, nuts, oilseeds and pulses, vegetarians have a higher dietary exposure of up to 5.4 </w:t>
      </w:r>
      <w:proofErr w:type="spellStart"/>
      <w:r w:rsidRPr="00B42176">
        <w:rPr>
          <w:i/>
        </w:rPr>
        <w:t>μg</w:t>
      </w:r>
      <w:proofErr w:type="spellEnd"/>
      <w:r w:rsidRPr="00B42176">
        <w:rPr>
          <w:i/>
        </w:rPr>
        <w:t xml:space="preserve">/kg </w:t>
      </w:r>
      <w:proofErr w:type="spellStart"/>
      <w:r w:rsidRPr="00B42176">
        <w:rPr>
          <w:i/>
        </w:rPr>
        <w:t>b.w</w:t>
      </w:r>
      <w:proofErr w:type="spellEnd"/>
      <w:r w:rsidRPr="00B42176">
        <w:rPr>
          <w:i/>
        </w:rPr>
        <w:t xml:space="preserve">. per week. Regular consumers of bivalve molluscs and wild mushrooms </w:t>
      </w:r>
      <w:proofErr w:type="gramStart"/>
      <w:r w:rsidRPr="00B42176">
        <w:rPr>
          <w:i/>
        </w:rPr>
        <w:t>were also found</w:t>
      </w:r>
      <w:proofErr w:type="gramEnd"/>
      <w:r w:rsidRPr="00B42176">
        <w:rPr>
          <w:i/>
        </w:rPr>
        <w:t xml:space="preserve"> to have higher dietary exposures of 4.6 and 4.3 </w:t>
      </w:r>
      <w:proofErr w:type="spellStart"/>
      <w:r w:rsidRPr="00B42176">
        <w:rPr>
          <w:i/>
        </w:rPr>
        <w:t>μg</w:t>
      </w:r>
      <w:proofErr w:type="spellEnd"/>
      <w:r w:rsidRPr="00B42176">
        <w:rPr>
          <w:i/>
        </w:rPr>
        <w:t xml:space="preserve">/kg </w:t>
      </w:r>
      <w:proofErr w:type="spellStart"/>
      <w:r w:rsidRPr="00B42176">
        <w:rPr>
          <w:i/>
        </w:rPr>
        <w:t>b.w</w:t>
      </w:r>
      <w:proofErr w:type="spellEnd"/>
      <w:r w:rsidRPr="00B42176">
        <w:rPr>
          <w:i/>
        </w:rPr>
        <w:t>. per week, respectively. Tobacco smoking can contribute to a similar internal exposure as that from the diet. House dust can be an important source of exposure for children.</w:t>
      </w:r>
    </w:p>
    <w:p w14:paraId="4676B51C" w14:textId="6D207F91" w:rsidR="004830FB" w:rsidRPr="00B42176" w:rsidRDefault="004830FB" w:rsidP="004830FB">
      <w:pPr>
        <w:pStyle w:val="BodyText"/>
        <w:rPr>
          <w:i/>
        </w:rPr>
      </w:pPr>
      <w:r w:rsidRPr="00B42176">
        <w:rPr>
          <w:i/>
        </w:rPr>
        <w:t xml:space="preserve">Cadmium levels in urine are widely accepted as a measure of the body burden and the cumulative amount in the kidneys. The CONTAM Panel carried out a meta-analysis on a selected set of studies to evaluate the dose-response relationship between urinary cadmium and urinary beta-2-microglobulin (B2M). B2M, a low molecular weight protein, </w:t>
      </w:r>
      <w:proofErr w:type="gramStart"/>
      <w:r w:rsidRPr="00B42176">
        <w:rPr>
          <w:i/>
        </w:rPr>
        <w:t>is recogni</w:t>
      </w:r>
      <w:r w:rsidR="001972D8">
        <w:rPr>
          <w:i/>
        </w:rPr>
        <w:t>s</w:t>
      </w:r>
      <w:r w:rsidRPr="00B42176">
        <w:rPr>
          <w:i/>
        </w:rPr>
        <w:t>ed</w:t>
      </w:r>
      <w:proofErr w:type="gramEnd"/>
      <w:r w:rsidRPr="00B42176">
        <w:rPr>
          <w:i/>
        </w:rPr>
        <w:t xml:space="preserve"> as the most useful biomarker in relation to tubular effects. A Hill model </w:t>
      </w:r>
      <w:proofErr w:type="gramStart"/>
      <w:r w:rsidRPr="00B42176">
        <w:rPr>
          <w:i/>
        </w:rPr>
        <w:t>was fitted</w:t>
      </w:r>
      <w:proofErr w:type="gramEnd"/>
      <w:r w:rsidRPr="00B42176">
        <w:rPr>
          <w:i/>
        </w:rPr>
        <w:t xml:space="preserve"> to the dose-response relationship between urinary cadmium and B2M for subjects over 50 years of age and for the whole population. From the model, a benchmark dose lower confidence limit for a 5 percent increase of the prevalence of elevated B2M (BMDL5) of </w:t>
      </w:r>
      <w:proofErr w:type="gramStart"/>
      <w:r w:rsidRPr="00B42176">
        <w:rPr>
          <w:i/>
        </w:rPr>
        <w:t xml:space="preserve">4 </w:t>
      </w:r>
      <w:proofErr w:type="spellStart"/>
      <w:r w:rsidRPr="00B42176">
        <w:rPr>
          <w:i/>
        </w:rPr>
        <w:t>μg</w:t>
      </w:r>
      <w:proofErr w:type="spellEnd"/>
      <w:proofErr w:type="gramEnd"/>
      <w:r w:rsidRPr="00B42176">
        <w:rPr>
          <w:i/>
        </w:rPr>
        <w:t xml:space="preserve"> Cd/g creatinine was derived. A chemical-specific adjustment factor of 3.9, to account for inter-individual variation of urinary cadmium within the study populations, </w:t>
      </w:r>
      <w:proofErr w:type="gramStart"/>
      <w:r w:rsidRPr="00B42176">
        <w:rPr>
          <w:i/>
        </w:rPr>
        <w:t>was applied</w:t>
      </w:r>
      <w:proofErr w:type="gramEnd"/>
      <w:r w:rsidRPr="00B42176">
        <w:rPr>
          <w:i/>
        </w:rPr>
        <w:t xml:space="preserve">, leading to a value of 1.0 </w:t>
      </w:r>
      <w:proofErr w:type="spellStart"/>
      <w:r w:rsidRPr="00B42176">
        <w:rPr>
          <w:i/>
        </w:rPr>
        <w:t>μg</w:t>
      </w:r>
      <w:proofErr w:type="spellEnd"/>
      <w:r w:rsidRPr="00B42176">
        <w:rPr>
          <w:i/>
        </w:rPr>
        <w:t xml:space="preserve"> Cd/g creatinine. Such a value </w:t>
      </w:r>
      <w:proofErr w:type="gramStart"/>
      <w:r w:rsidRPr="00B42176">
        <w:rPr>
          <w:i/>
        </w:rPr>
        <w:t>was also supported</w:t>
      </w:r>
      <w:proofErr w:type="gramEnd"/>
      <w:r w:rsidRPr="00B42176">
        <w:rPr>
          <w:i/>
        </w:rPr>
        <w:t xml:space="preserve"> by data from occupationally exposed workers and by the results of several individual studies using a variety of biomarkers.</w:t>
      </w:r>
    </w:p>
    <w:p w14:paraId="530ECE82" w14:textId="77777777" w:rsidR="004830FB" w:rsidRPr="00B42176" w:rsidRDefault="004830FB" w:rsidP="004830FB">
      <w:pPr>
        <w:pStyle w:val="BodyText"/>
        <w:rPr>
          <w:i/>
        </w:rPr>
      </w:pPr>
      <w:r w:rsidRPr="00B42176">
        <w:rPr>
          <w:i/>
        </w:rPr>
        <w:t xml:space="preserve">A one-compartment model was fitted to a large data set based on non-smoking Swedish women (age range from 58 to 70 years), comprising both measurement of dietary cadmium exposure and urinary cadmium concentration to allow an estimation of the relationship between the two. The dietary cadmium exposure that corresponds to the critical urinary cadmium concentration of </w:t>
      </w:r>
      <w:proofErr w:type="gramStart"/>
      <w:r w:rsidRPr="00B42176">
        <w:rPr>
          <w:i/>
        </w:rPr>
        <w:t>1</w:t>
      </w:r>
      <w:proofErr w:type="gramEnd"/>
      <w:r w:rsidRPr="00B42176">
        <w:rPr>
          <w:i/>
        </w:rPr>
        <w:t xml:space="preserve"> </w:t>
      </w:r>
      <w:proofErr w:type="spellStart"/>
      <w:r w:rsidRPr="00B42176">
        <w:rPr>
          <w:i/>
        </w:rPr>
        <w:t>μg</w:t>
      </w:r>
      <w:proofErr w:type="spellEnd"/>
      <w:r w:rsidRPr="00B42176">
        <w:rPr>
          <w:i/>
        </w:rPr>
        <w:t xml:space="preserve">/g creatinine after 50 years of exposure was then estimated using the model. In order to remain below 1 </w:t>
      </w:r>
      <w:proofErr w:type="spellStart"/>
      <w:r w:rsidRPr="00B42176">
        <w:rPr>
          <w:i/>
        </w:rPr>
        <w:t>μg</w:t>
      </w:r>
      <w:proofErr w:type="spellEnd"/>
      <w:r w:rsidRPr="00B42176">
        <w:rPr>
          <w:i/>
        </w:rPr>
        <w:t xml:space="preserve"> Cd/g creatinine in urine in 95 % of the population by age 50, the average daily dietary cadmium intake should not exceed 0.36 </w:t>
      </w:r>
      <w:proofErr w:type="spellStart"/>
      <w:r w:rsidRPr="00B42176">
        <w:rPr>
          <w:i/>
        </w:rPr>
        <w:t>μg</w:t>
      </w:r>
      <w:proofErr w:type="spellEnd"/>
      <w:r w:rsidRPr="00B42176">
        <w:rPr>
          <w:i/>
        </w:rPr>
        <w:t xml:space="preserve"> Cd/kg </w:t>
      </w:r>
      <w:proofErr w:type="spellStart"/>
      <w:r w:rsidRPr="00B42176">
        <w:rPr>
          <w:i/>
        </w:rPr>
        <w:t>bw</w:t>
      </w:r>
      <w:proofErr w:type="spellEnd"/>
      <w:r w:rsidRPr="00B42176">
        <w:rPr>
          <w:i/>
        </w:rPr>
        <w:t xml:space="preserve">, corresponding to a weekly dietary intake of 2.52 </w:t>
      </w:r>
      <w:proofErr w:type="spellStart"/>
      <w:r w:rsidRPr="00B42176">
        <w:rPr>
          <w:i/>
        </w:rPr>
        <w:t>μg</w:t>
      </w:r>
      <w:proofErr w:type="spellEnd"/>
      <w:r w:rsidRPr="00B42176">
        <w:rPr>
          <w:i/>
        </w:rPr>
        <w:t xml:space="preserve"> Cd/kg </w:t>
      </w:r>
      <w:proofErr w:type="spellStart"/>
      <w:r w:rsidRPr="00B42176">
        <w:rPr>
          <w:i/>
        </w:rPr>
        <w:t>b.w</w:t>
      </w:r>
      <w:proofErr w:type="spellEnd"/>
      <w:r w:rsidRPr="00B42176">
        <w:rPr>
          <w:i/>
        </w:rPr>
        <w:t xml:space="preserve">. The model calculation took into consideration the human variability in absorption rates (1–10 %) so that high absorption rates common in women of reproductive age groups due to high prevalence of low and empty iron stores as well as variations in half-life were included. Because the data used in the dose-response and kinetic modelling relate to an early biological response and a sensitive population, respectively, no adjustment or uncertainty factor was required for individual variability in susceptibility. Therefore, the CONTAM Panel established a tolerable weekly intake (TWI) for cadmium of 2.5 </w:t>
      </w:r>
      <w:proofErr w:type="spellStart"/>
      <w:r w:rsidRPr="00B42176">
        <w:rPr>
          <w:i/>
        </w:rPr>
        <w:t>μg</w:t>
      </w:r>
      <w:proofErr w:type="spellEnd"/>
      <w:r w:rsidRPr="00B42176">
        <w:rPr>
          <w:i/>
        </w:rPr>
        <w:t xml:space="preserve">/kg </w:t>
      </w:r>
      <w:proofErr w:type="spellStart"/>
      <w:r w:rsidRPr="00B42176">
        <w:rPr>
          <w:i/>
        </w:rPr>
        <w:t>b.w</w:t>
      </w:r>
      <w:proofErr w:type="spellEnd"/>
      <w:r w:rsidRPr="00B42176">
        <w:rPr>
          <w:i/>
        </w:rPr>
        <w:t>.</w:t>
      </w:r>
    </w:p>
    <w:p w14:paraId="1B8C010C" w14:textId="6CE37B0E" w:rsidR="004830FB" w:rsidRPr="00B42176" w:rsidRDefault="004830FB" w:rsidP="004830FB">
      <w:pPr>
        <w:pStyle w:val="BodyText"/>
        <w:rPr>
          <w:i/>
        </w:rPr>
      </w:pPr>
      <w:r w:rsidRPr="00B42176">
        <w:rPr>
          <w:i/>
        </w:rPr>
        <w:t>The mean exposure for adults across Europe is close to, or slightly exceeding, the TWI of 2.5</w:t>
      </w:r>
      <w:r w:rsidR="00B42176">
        <w:rPr>
          <w:i/>
        </w:rPr>
        <w:t xml:space="preserve"> </w:t>
      </w:r>
      <w:proofErr w:type="spellStart"/>
      <w:r w:rsidRPr="00B42176">
        <w:rPr>
          <w:i/>
        </w:rPr>
        <w:t>μg</w:t>
      </w:r>
      <w:proofErr w:type="spellEnd"/>
      <w:r w:rsidRPr="00B42176">
        <w:rPr>
          <w:i/>
        </w:rPr>
        <w:t xml:space="preserve">/kg </w:t>
      </w:r>
      <w:proofErr w:type="spellStart"/>
      <w:r w:rsidRPr="00B42176">
        <w:rPr>
          <w:i/>
        </w:rPr>
        <w:t>b.w</w:t>
      </w:r>
      <w:proofErr w:type="spellEnd"/>
      <w:r w:rsidRPr="00B42176">
        <w:rPr>
          <w:i/>
        </w:rPr>
        <w:t xml:space="preserve">. Subgroups such as vegetarians, children, smokers and people living in highly contaminated areas may exceed the TWI by about 2-fold. Although the risk </w:t>
      </w:r>
      <w:proofErr w:type="gramStart"/>
      <w:r w:rsidRPr="00B42176">
        <w:rPr>
          <w:i/>
        </w:rPr>
        <w:t>for adverse effects on kidney function at an individual level at dietary exposures across Europe</w:t>
      </w:r>
      <w:proofErr w:type="gramEnd"/>
      <w:r w:rsidRPr="00B42176">
        <w:rPr>
          <w:i/>
        </w:rPr>
        <w:t xml:space="preserve"> is very low, the CONTAM Panel concluded that the current exposure to Cd at the population level should be reduced.</w:t>
      </w:r>
    </w:p>
    <w:p w14:paraId="51EB98CD" w14:textId="77777777" w:rsidR="004830FB" w:rsidRPr="00B42176" w:rsidRDefault="004830FB" w:rsidP="004830FB">
      <w:pPr>
        <w:pStyle w:val="BodyText"/>
        <w:rPr>
          <w:b/>
          <w:i/>
        </w:rPr>
      </w:pPr>
      <w:r w:rsidRPr="00B42176">
        <w:rPr>
          <w:b/>
          <w:i/>
        </w:rPr>
        <w:t>ABSTRACT (EFSA 2012)</w:t>
      </w:r>
    </w:p>
    <w:p w14:paraId="714F2DFC" w14:textId="5651D0D4" w:rsidR="004830FB" w:rsidRPr="00B42176" w:rsidRDefault="004830FB" w:rsidP="004830FB">
      <w:pPr>
        <w:pStyle w:val="BodyText"/>
        <w:rPr>
          <w:i/>
        </w:rPr>
      </w:pPr>
      <w:r w:rsidRPr="00B42176">
        <w:rPr>
          <w:i/>
        </w:rPr>
        <w:t xml:space="preserve">Cadmium can cause kidney failure and has been statistically associated with an increased risk of cancer. Food is the dominating source of human exposure in the non-smoking population. The Joint FAO/WHO Expert Committee on Food Additives </w:t>
      </w:r>
      <w:r w:rsidRPr="00B42176">
        <w:rPr>
          <w:i/>
        </w:rPr>
        <w:lastRenderedPageBreak/>
        <w:t xml:space="preserve">established a provisional tolerable monthly intake of 25 </w:t>
      </w:r>
      <w:proofErr w:type="spellStart"/>
      <w:r w:rsidRPr="00B42176">
        <w:rPr>
          <w:i/>
        </w:rPr>
        <w:t>μg</w:t>
      </w:r>
      <w:proofErr w:type="spellEnd"/>
      <w:r w:rsidRPr="00B42176">
        <w:rPr>
          <w:i/>
        </w:rPr>
        <w:t xml:space="preserve">/kg body weight, whereas the EFSA Panel on Contaminants in the Food Chain nominated a tolerable weekly intake of 2.5 </w:t>
      </w:r>
      <w:proofErr w:type="spellStart"/>
      <w:r w:rsidRPr="00B42176">
        <w:rPr>
          <w:i/>
        </w:rPr>
        <w:t>μg</w:t>
      </w:r>
      <w:proofErr w:type="spellEnd"/>
      <w:r w:rsidRPr="00B42176">
        <w:rPr>
          <w:i/>
        </w:rPr>
        <w:t xml:space="preserve">/kg body weight to ensure sufficient protection of all consumers. To better identify major dietary sources, cadmium levels in food on the European market </w:t>
      </w:r>
      <w:proofErr w:type="gramStart"/>
      <w:r w:rsidRPr="00B42176">
        <w:rPr>
          <w:i/>
        </w:rPr>
        <w:t>were reviewed</w:t>
      </w:r>
      <w:proofErr w:type="gramEnd"/>
      <w:r w:rsidRPr="00B42176">
        <w:rPr>
          <w:i/>
        </w:rPr>
        <w:t xml:space="preserve"> and exposure estimated using detailed individual food consumption data. High levels of cadmium </w:t>
      </w:r>
      <w:proofErr w:type="gramStart"/>
      <w:r w:rsidRPr="00B42176">
        <w:rPr>
          <w:i/>
        </w:rPr>
        <w:t>were found</w:t>
      </w:r>
      <w:proofErr w:type="gramEnd"/>
      <w:r w:rsidRPr="00B42176">
        <w:rPr>
          <w:i/>
        </w:rPr>
        <w:t xml:space="preserve"> in algal formulations, cocoa-based products, crustaceans, edible offal, fungi, oilseeds, seaweeds and water </w:t>
      </w:r>
      <w:proofErr w:type="spellStart"/>
      <w:r w:rsidRPr="00B42176">
        <w:rPr>
          <w:i/>
        </w:rPr>
        <w:t>mollusks</w:t>
      </w:r>
      <w:proofErr w:type="spellEnd"/>
      <w:r w:rsidRPr="00B42176">
        <w:rPr>
          <w:i/>
        </w:rPr>
        <w:t xml:space="preserve">. In an attempt to calculate lifetime cadmium dietary exposure, a middle bound overall weekly average </w:t>
      </w:r>
      <w:proofErr w:type="gramStart"/>
      <w:r w:rsidRPr="00B42176">
        <w:rPr>
          <w:i/>
        </w:rPr>
        <w:t>was estimated</w:t>
      </w:r>
      <w:proofErr w:type="gramEnd"/>
      <w:r w:rsidRPr="00B42176">
        <w:rPr>
          <w:i/>
        </w:rPr>
        <w:t xml:space="preserve"> at 2.04 </w:t>
      </w:r>
      <w:proofErr w:type="spellStart"/>
      <w:r w:rsidRPr="00B42176">
        <w:rPr>
          <w:i/>
        </w:rPr>
        <w:t>μg</w:t>
      </w:r>
      <w:proofErr w:type="spellEnd"/>
      <w:r w:rsidRPr="00B42176">
        <w:rPr>
          <w:i/>
        </w:rPr>
        <w:t xml:space="preserve">/kg body weight and a potential 95th percentile at 3.66 </w:t>
      </w:r>
      <w:proofErr w:type="spellStart"/>
      <w:r w:rsidRPr="00B42176">
        <w:rPr>
          <w:i/>
        </w:rPr>
        <w:t>μg</w:t>
      </w:r>
      <w:proofErr w:type="spellEnd"/>
      <w:r w:rsidRPr="00B42176">
        <w:rPr>
          <w:i/>
        </w:rPr>
        <w:t xml:space="preserve">/kg body weight. Individual dietary survey results varied between a weekly minimum lower bound average of 1.15 to a maximum upper bound average of 7.84 </w:t>
      </w:r>
      <w:proofErr w:type="spellStart"/>
      <w:r w:rsidRPr="00B42176">
        <w:rPr>
          <w:i/>
        </w:rPr>
        <w:t>μg</w:t>
      </w:r>
      <w:proofErr w:type="spellEnd"/>
      <w:r w:rsidRPr="00B42176">
        <w:rPr>
          <w:i/>
        </w:rPr>
        <w:t xml:space="preserve">/kg bodyweight and a minimum lower bound 95th percentile of 2.01 and a maximum upper bound 95th percentile of 12.1 </w:t>
      </w:r>
      <w:proofErr w:type="spellStart"/>
      <w:r w:rsidRPr="00B42176">
        <w:rPr>
          <w:i/>
        </w:rPr>
        <w:t>μg</w:t>
      </w:r>
      <w:proofErr w:type="spellEnd"/>
      <w:r w:rsidRPr="00B42176">
        <w:rPr>
          <w:i/>
        </w:rPr>
        <w:t xml:space="preserve">/kg body weight reflecting different dietary habits and survey methodologies. Food consumed in larger quantities had the greatest impact on dietary exposure to cadmium. This was true for the broad food categories of grains and grain products (26.9%), vegetables and vegetable products (16.0%) and starchy roots and tubers (13.2%). Looking at the food categories in more detail, potatoes (13.2%), bread and rolls (11.7%), fine bakery wares (5.1%), chocolate products (4.3%), leafy vegetables (3.9%) and water </w:t>
      </w:r>
      <w:proofErr w:type="spellStart"/>
      <w:r w:rsidRPr="00B42176">
        <w:rPr>
          <w:i/>
        </w:rPr>
        <w:t>mollusks</w:t>
      </w:r>
      <w:proofErr w:type="spellEnd"/>
      <w:r w:rsidRPr="00B42176">
        <w:rPr>
          <w:i/>
        </w:rPr>
        <w:t xml:space="preserve"> (3.2%) contributed the most to cadmium dietary exposure across age groups. The current review confirmed that children and adults at the 95th percentile exposure could exceed health-based guidance values.</w:t>
      </w:r>
    </w:p>
    <w:p w14:paraId="629BF6DA" w14:textId="77777777" w:rsidR="0041055E" w:rsidRDefault="0041055E" w:rsidP="0041055E"/>
    <w:p w14:paraId="1459EB48" w14:textId="77777777" w:rsidR="00B12C39" w:rsidRDefault="00B12C39" w:rsidP="00525EFA">
      <w:pPr>
        <w:pStyle w:val="Referencetitle"/>
        <w:jc w:val="both"/>
      </w:pPr>
      <w:r>
        <w:br w:type="page"/>
      </w:r>
      <w:bookmarkStart w:id="418" w:name="_Toc341888676"/>
      <w:bookmarkStart w:id="419" w:name="_Toc342400536"/>
      <w:r w:rsidRPr="00B93989">
        <w:lastRenderedPageBreak/>
        <w:t>References</w:t>
      </w:r>
      <w:bookmarkEnd w:id="418"/>
      <w:bookmarkEnd w:id="419"/>
    </w:p>
    <w:p w14:paraId="6C5C801E" w14:textId="2E27014C" w:rsidR="001F2FA5" w:rsidRDefault="00B12C39" w:rsidP="00386E13">
      <w:pPr>
        <w:pStyle w:val="Heading1"/>
        <w:numPr>
          <w:ilvl w:val="0"/>
          <w:numId w:val="0"/>
        </w:numPr>
        <w:rPr>
          <w:szCs w:val="20"/>
        </w:rPr>
      </w:pPr>
      <w:bookmarkStart w:id="420" w:name="_Toc341888677"/>
      <w:bookmarkStart w:id="421" w:name="_Toc342400537"/>
      <w:bookmarkStart w:id="422" w:name="_Toc354499698"/>
      <w:bookmarkStart w:id="423" w:name="_Toc357083776"/>
      <w:bookmarkStart w:id="424" w:name="_Toc357184321"/>
      <w:bookmarkStart w:id="425" w:name="_Toc357184557"/>
      <w:bookmarkStart w:id="426" w:name="_Toc357185359"/>
      <w:bookmarkStart w:id="427" w:name="_Toc357186207"/>
      <w:bookmarkStart w:id="428" w:name="_Toc357186356"/>
      <w:bookmarkStart w:id="429" w:name="_Toc357437645"/>
      <w:bookmarkStart w:id="430" w:name="_Toc357590915"/>
      <w:bookmarkStart w:id="431" w:name="_Toc357692947"/>
      <w:bookmarkStart w:id="432" w:name="_Toc365649775"/>
      <w:bookmarkStart w:id="433" w:name="_Toc365649924"/>
      <w:bookmarkStart w:id="434" w:name="_Toc366489971"/>
      <w:bookmarkStart w:id="435" w:name="_Toc418498646"/>
      <w:bookmarkStart w:id="436" w:name="_Toc418506101"/>
      <w:bookmarkStart w:id="437" w:name="_Toc491435662"/>
      <w:r>
        <w:t>References for Part I</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001F2FA5" w:rsidRPr="009E6BE7">
        <w:rPr>
          <w:szCs w:val="20"/>
        </w:rPr>
        <w:t xml:space="preserve"> </w:t>
      </w:r>
    </w:p>
    <w:p w14:paraId="596A74BD" w14:textId="77777777" w:rsidR="00D2720D" w:rsidRPr="00545769" w:rsidRDefault="00D2720D" w:rsidP="00D2720D">
      <w:pPr>
        <w:pStyle w:val="BodyText"/>
        <w:widowControl/>
        <w:spacing w:after="120"/>
        <w:rPr>
          <w:lang w:val="en-US"/>
        </w:rPr>
      </w:pPr>
      <w:proofErr w:type="spellStart"/>
      <w:r w:rsidRPr="00545769">
        <w:rPr>
          <w:lang w:val="en-US"/>
        </w:rPr>
        <w:t>Åkerström</w:t>
      </w:r>
      <w:proofErr w:type="spellEnd"/>
      <w:r w:rsidRPr="00545769">
        <w:rPr>
          <w:lang w:val="en-US"/>
        </w:rPr>
        <w:t xml:space="preserve"> M, </w:t>
      </w:r>
      <w:proofErr w:type="spellStart"/>
      <w:r w:rsidRPr="00545769">
        <w:rPr>
          <w:lang w:val="en-US"/>
        </w:rPr>
        <w:t>Barregård</w:t>
      </w:r>
      <w:proofErr w:type="spellEnd"/>
      <w:r w:rsidRPr="00545769">
        <w:rPr>
          <w:lang w:val="en-US"/>
        </w:rPr>
        <w:t xml:space="preserve"> L, </w:t>
      </w:r>
      <w:proofErr w:type="spellStart"/>
      <w:r w:rsidRPr="00545769">
        <w:rPr>
          <w:lang w:val="en-US"/>
        </w:rPr>
        <w:t>Lundh</w:t>
      </w:r>
      <w:proofErr w:type="spellEnd"/>
      <w:r w:rsidRPr="00545769">
        <w:rPr>
          <w:lang w:val="en-US"/>
        </w:rPr>
        <w:t xml:space="preserve"> T, </w:t>
      </w:r>
      <w:proofErr w:type="spellStart"/>
      <w:r w:rsidRPr="00545769">
        <w:rPr>
          <w:lang w:val="en-US"/>
        </w:rPr>
        <w:t>Sällsten</w:t>
      </w:r>
      <w:proofErr w:type="spellEnd"/>
      <w:r w:rsidRPr="00545769">
        <w:rPr>
          <w:lang w:val="en-US"/>
        </w:rPr>
        <w:t xml:space="preserve"> G. (2013a) </w:t>
      </w:r>
      <w:proofErr w:type="gramStart"/>
      <w:r w:rsidRPr="00545769">
        <w:rPr>
          <w:lang w:val="en-US"/>
        </w:rPr>
        <w:t>The</w:t>
      </w:r>
      <w:proofErr w:type="gramEnd"/>
      <w:r w:rsidRPr="00545769">
        <w:rPr>
          <w:lang w:val="en-US"/>
        </w:rPr>
        <w:t xml:space="preserve"> relationship between cadmium in kidney and cadmium in urine and blood in an environmentally exposed population. Toxicology and Applied Pharmacology, 268, 286-293.</w:t>
      </w:r>
    </w:p>
    <w:p w14:paraId="640D6A33" w14:textId="77777777" w:rsidR="00D2720D" w:rsidRPr="00545769" w:rsidRDefault="00D2720D" w:rsidP="00D2720D">
      <w:pPr>
        <w:pStyle w:val="BodyText"/>
        <w:widowControl/>
        <w:spacing w:after="120"/>
        <w:rPr>
          <w:lang w:val="en-US"/>
        </w:rPr>
      </w:pPr>
      <w:proofErr w:type="spellStart"/>
      <w:r w:rsidRPr="00545769">
        <w:rPr>
          <w:lang w:val="en-US"/>
        </w:rPr>
        <w:t>Åkerström</w:t>
      </w:r>
      <w:proofErr w:type="spellEnd"/>
      <w:r w:rsidRPr="00545769">
        <w:rPr>
          <w:lang w:val="en-US"/>
        </w:rPr>
        <w:t xml:space="preserve"> M, </w:t>
      </w:r>
      <w:proofErr w:type="spellStart"/>
      <w:r w:rsidRPr="00545769">
        <w:rPr>
          <w:lang w:val="en-US"/>
        </w:rPr>
        <w:t>Sällsten</w:t>
      </w:r>
      <w:proofErr w:type="spellEnd"/>
      <w:r w:rsidRPr="00545769">
        <w:rPr>
          <w:lang w:val="en-US"/>
        </w:rPr>
        <w:t xml:space="preserve"> G, </w:t>
      </w:r>
      <w:proofErr w:type="spellStart"/>
      <w:r w:rsidRPr="00545769">
        <w:rPr>
          <w:lang w:val="en-US"/>
        </w:rPr>
        <w:t>Lundh</w:t>
      </w:r>
      <w:proofErr w:type="spellEnd"/>
      <w:r w:rsidRPr="00545769">
        <w:rPr>
          <w:lang w:val="en-US"/>
        </w:rPr>
        <w:t xml:space="preserve"> T, </w:t>
      </w:r>
      <w:proofErr w:type="spellStart"/>
      <w:r w:rsidRPr="00545769">
        <w:rPr>
          <w:lang w:val="en-US"/>
        </w:rPr>
        <w:t>Barregård</w:t>
      </w:r>
      <w:proofErr w:type="spellEnd"/>
      <w:r w:rsidRPr="00545769">
        <w:rPr>
          <w:lang w:val="en-US"/>
        </w:rPr>
        <w:t xml:space="preserve"> L. (2013b) Associations between urinary excretion of cadmium and proteins in a nonsmoking population: Renal toxicity or normal physiology? Environmental Health Perspectives, 121(2), 187-191. </w:t>
      </w:r>
    </w:p>
    <w:p w14:paraId="71B003CF" w14:textId="77777777" w:rsidR="00D2720D" w:rsidRPr="00545769" w:rsidRDefault="00D2720D" w:rsidP="00D2720D">
      <w:pPr>
        <w:pStyle w:val="BodyText"/>
        <w:widowControl/>
        <w:spacing w:after="120"/>
        <w:rPr>
          <w:lang w:val="en-US"/>
        </w:rPr>
      </w:pPr>
      <w:proofErr w:type="spellStart"/>
      <w:r w:rsidRPr="002705E9">
        <w:rPr>
          <w:lang w:val="en-US"/>
        </w:rPr>
        <w:t>Alfvén</w:t>
      </w:r>
      <w:proofErr w:type="spellEnd"/>
      <w:r w:rsidRPr="002705E9">
        <w:rPr>
          <w:lang w:val="en-US"/>
        </w:rPr>
        <w:t xml:space="preserve"> T, </w:t>
      </w:r>
      <w:proofErr w:type="spellStart"/>
      <w:r w:rsidRPr="002705E9">
        <w:rPr>
          <w:lang w:val="en-US"/>
        </w:rPr>
        <w:t>Elin</w:t>
      </w:r>
      <w:r>
        <w:rPr>
          <w:lang w:val="en-US"/>
        </w:rPr>
        <w:t>der</w:t>
      </w:r>
      <w:proofErr w:type="spellEnd"/>
      <w:r>
        <w:rPr>
          <w:lang w:val="en-US"/>
        </w:rPr>
        <w:t xml:space="preserve"> CG, </w:t>
      </w:r>
      <w:proofErr w:type="spellStart"/>
      <w:r>
        <w:rPr>
          <w:lang w:val="en-US"/>
        </w:rPr>
        <w:t>Hellström</w:t>
      </w:r>
      <w:proofErr w:type="spellEnd"/>
      <w:r>
        <w:rPr>
          <w:lang w:val="en-US"/>
        </w:rPr>
        <w:t xml:space="preserve"> L, </w:t>
      </w:r>
      <w:proofErr w:type="spellStart"/>
      <w:r>
        <w:rPr>
          <w:lang w:val="en-US"/>
        </w:rPr>
        <w:t>Lagarde</w:t>
      </w:r>
      <w:proofErr w:type="spellEnd"/>
      <w:r>
        <w:rPr>
          <w:lang w:val="en-US"/>
        </w:rPr>
        <w:t xml:space="preserve"> F &amp; </w:t>
      </w:r>
      <w:proofErr w:type="spellStart"/>
      <w:r w:rsidRPr="002705E9">
        <w:rPr>
          <w:lang w:val="en-US"/>
        </w:rPr>
        <w:t>Järup</w:t>
      </w:r>
      <w:proofErr w:type="spellEnd"/>
      <w:r w:rsidRPr="002705E9">
        <w:rPr>
          <w:lang w:val="en-US"/>
        </w:rPr>
        <w:t xml:space="preserve"> L. (2004) Cadmium exposure and distal forearm fractures. J</w:t>
      </w:r>
      <w:r>
        <w:rPr>
          <w:lang w:val="en-US"/>
        </w:rPr>
        <w:t xml:space="preserve">ournal of </w:t>
      </w:r>
      <w:r w:rsidRPr="002705E9">
        <w:rPr>
          <w:lang w:val="en-US"/>
        </w:rPr>
        <w:t xml:space="preserve">Bone </w:t>
      </w:r>
      <w:r>
        <w:rPr>
          <w:lang w:val="en-US"/>
        </w:rPr>
        <w:t xml:space="preserve">and </w:t>
      </w:r>
      <w:r w:rsidRPr="002705E9">
        <w:rPr>
          <w:lang w:val="en-US"/>
        </w:rPr>
        <w:t>Miner</w:t>
      </w:r>
      <w:r>
        <w:rPr>
          <w:lang w:val="en-US"/>
        </w:rPr>
        <w:t>al</w:t>
      </w:r>
      <w:r w:rsidRPr="002705E9">
        <w:rPr>
          <w:lang w:val="en-US"/>
        </w:rPr>
        <w:t xml:space="preserve"> Res</w:t>
      </w:r>
      <w:r>
        <w:rPr>
          <w:lang w:val="en-US"/>
        </w:rPr>
        <w:t>earch,</w:t>
      </w:r>
      <w:r w:rsidRPr="00545769">
        <w:rPr>
          <w:lang w:val="en-US"/>
        </w:rPr>
        <w:t xml:space="preserve"> 19(6), 900-905.</w:t>
      </w:r>
    </w:p>
    <w:p w14:paraId="088F21E0" w14:textId="77777777" w:rsidR="00D2720D" w:rsidRDefault="00D2720D" w:rsidP="00D2720D">
      <w:pPr>
        <w:widowControl/>
        <w:autoSpaceDE w:val="0"/>
        <w:autoSpaceDN w:val="0"/>
        <w:adjustRightInd w:val="0"/>
        <w:spacing w:after="120"/>
      </w:pPr>
      <w:r w:rsidRPr="00B0084D">
        <w:t xml:space="preserve">Berglund M, Larsson K, </w:t>
      </w:r>
      <w:proofErr w:type="spellStart"/>
      <w:r w:rsidRPr="00B0084D">
        <w:t>Grandér</w:t>
      </w:r>
      <w:proofErr w:type="spellEnd"/>
      <w:r w:rsidRPr="00B0084D">
        <w:t xml:space="preserve"> M, </w:t>
      </w:r>
      <w:proofErr w:type="spellStart"/>
      <w:r w:rsidRPr="00B0084D">
        <w:t>Casteleyn</w:t>
      </w:r>
      <w:proofErr w:type="spellEnd"/>
      <w:r w:rsidRPr="00B0084D">
        <w:t xml:space="preserve"> L, </w:t>
      </w:r>
      <w:proofErr w:type="spellStart"/>
      <w:r w:rsidRPr="00B0084D">
        <w:t>Kolossa-Gehring</w:t>
      </w:r>
      <w:proofErr w:type="spellEnd"/>
      <w:r w:rsidRPr="00B0084D">
        <w:t xml:space="preserve"> M, Schwedler G, et al. </w:t>
      </w:r>
      <w:r>
        <w:t>(2015). Exposure determinants of cadmium in European mothers and their children. Environ. Res. 2015 Aug</w:t>
      </w:r>
      <w:proofErr w:type="gramStart"/>
      <w:r>
        <w:t>;141:69</w:t>
      </w:r>
      <w:proofErr w:type="gramEnd"/>
      <w:r>
        <w:t>-76.</w:t>
      </w:r>
    </w:p>
    <w:p w14:paraId="761343A5" w14:textId="77777777" w:rsidR="00D2720D" w:rsidRPr="000B6F96" w:rsidRDefault="00D2720D" w:rsidP="00D2720D">
      <w:pPr>
        <w:pStyle w:val="BodyText"/>
      </w:pPr>
      <w:proofErr w:type="spellStart"/>
      <w:r w:rsidRPr="00B0084D">
        <w:t>Byber</w:t>
      </w:r>
      <w:proofErr w:type="spellEnd"/>
      <w:r w:rsidRPr="00B0084D">
        <w:t xml:space="preserve"> K, </w:t>
      </w:r>
      <w:proofErr w:type="spellStart"/>
      <w:r w:rsidRPr="00B0084D">
        <w:t>Lison</w:t>
      </w:r>
      <w:proofErr w:type="spellEnd"/>
      <w:r w:rsidRPr="00B0084D">
        <w:t xml:space="preserve"> D, </w:t>
      </w:r>
      <w:proofErr w:type="spellStart"/>
      <w:r w:rsidRPr="00B0084D">
        <w:t>Verougstraete</w:t>
      </w:r>
      <w:proofErr w:type="spellEnd"/>
      <w:r w:rsidRPr="00B0084D">
        <w:t xml:space="preserve"> V, </w:t>
      </w:r>
      <w:proofErr w:type="spellStart"/>
      <w:r w:rsidRPr="00B0084D">
        <w:t>Dressel</w:t>
      </w:r>
      <w:proofErr w:type="spellEnd"/>
      <w:r w:rsidRPr="00B0084D">
        <w:t xml:space="preserve"> H, </w:t>
      </w:r>
      <w:proofErr w:type="spellStart"/>
      <w:r w:rsidRPr="00B0084D">
        <w:t>Hotz</w:t>
      </w:r>
      <w:proofErr w:type="spellEnd"/>
      <w:r w:rsidRPr="00B0084D">
        <w:t xml:space="preserve"> P (2016). </w:t>
      </w:r>
      <w:r w:rsidRPr="000B6F96">
        <w:t xml:space="preserve">Cadmium or cadmium compounds and chronic kidney disease in workers and the general population: a systematic review. </w:t>
      </w:r>
      <w:proofErr w:type="spellStart"/>
      <w:r w:rsidRPr="000B6F96">
        <w:t>Crit</w:t>
      </w:r>
      <w:proofErr w:type="spellEnd"/>
      <w:r w:rsidRPr="000B6F96">
        <w:t xml:space="preserve"> Rev </w:t>
      </w:r>
      <w:proofErr w:type="spellStart"/>
      <w:r w:rsidRPr="000B6F96">
        <w:t>Toxicol</w:t>
      </w:r>
      <w:proofErr w:type="spellEnd"/>
      <w:r w:rsidRPr="000B6F96">
        <w:t xml:space="preserve">. </w:t>
      </w:r>
      <w:proofErr w:type="gramStart"/>
      <w:r w:rsidRPr="000B6F96">
        <w:t>46</w:t>
      </w:r>
      <w:proofErr w:type="gramEnd"/>
      <w:r w:rsidRPr="000B6F96">
        <w:t xml:space="preserve">:191-240. </w:t>
      </w:r>
    </w:p>
    <w:p w14:paraId="5C1716C3" w14:textId="77777777" w:rsidR="00D2720D" w:rsidRPr="00545769" w:rsidRDefault="00D2720D" w:rsidP="00D2720D">
      <w:pPr>
        <w:pStyle w:val="BodyText"/>
        <w:widowControl/>
        <w:spacing w:after="120"/>
        <w:rPr>
          <w:lang w:val="en-US"/>
        </w:rPr>
      </w:pPr>
      <w:r w:rsidRPr="00545769">
        <w:t xml:space="preserve">Chaumont A, </w:t>
      </w:r>
      <w:proofErr w:type="spellStart"/>
      <w:r w:rsidRPr="00545769">
        <w:t>Nickmilder</w:t>
      </w:r>
      <w:proofErr w:type="spellEnd"/>
      <w:r w:rsidRPr="00545769">
        <w:t xml:space="preserve"> M, Dumont X, </w:t>
      </w:r>
      <w:proofErr w:type="spellStart"/>
      <w:r w:rsidRPr="00545769">
        <w:t>Lundh</w:t>
      </w:r>
      <w:proofErr w:type="spellEnd"/>
      <w:r w:rsidRPr="00545769">
        <w:t xml:space="preserve"> T &amp; </w:t>
      </w:r>
      <w:proofErr w:type="spellStart"/>
      <w:r w:rsidRPr="00545769">
        <w:t>Skerfving</w:t>
      </w:r>
      <w:proofErr w:type="spellEnd"/>
      <w:r w:rsidRPr="00545769">
        <w:t xml:space="preserve"> S. (2012) Associations between proteins and heavy metals in urine at low environmental exposures: Evidence of reverse causality. Toxicology Letters, 210, 345-352.</w:t>
      </w:r>
    </w:p>
    <w:p w14:paraId="7CD1208F" w14:textId="77777777" w:rsidR="00D2720D" w:rsidRPr="00545769" w:rsidRDefault="00D2720D" w:rsidP="00D2720D">
      <w:pPr>
        <w:pStyle w:val="BodyText"/>
        <w:widowControl/>
        <w:spacing w:after="120"/>
      </w:pPr>
      <w:r w:rsidRPr="00545769">
        <w:rPr>
          <w:lang w:val="en-US"/>
        </w:rPr>
        <w:t xml:space="preserve">Chaumont A, </w:t>
      </w:r>
      <w:proofErr w:type="spellStart"/>
      <w:r w:rsidRPr="00545769">
        <w:rPr>
          <w:lang w:val="en-US"/>
        </w:rPr>
        <w:t>Voisin</w:t>
      </w:r>
      <w:proofErr w:type="spellEnd"/>
      <w:r w:rsidRPr="00545769">
        <w:rPr>
          <w:lang w:val="en-US"/>
        </w:rPr>
        <w:t xml:space="preserve"> C, </w:t>
      </w:r>
      <w:proofErr w:type="spellStart"/>
      <w:r w:rsidRPr="00545769">
        <w:rPr>
          <w:lang w:val="en-US"/>
        </w:rPr>
        <w:t>Deumer</w:t>
      </w:r>
      <w:proofErr w:type="spellEnd"/>
      <w:r w:rsidRPr="00545769">
        <w:rPr>
          <w:lang w:val="en-US"/>
        </w:rPr>
        <w:t xml:space="preserve"> G, </w:t>
      </w:r>
      <w:proofErr w:type="spellStart"/>
      <w:r w:rsidRPr="00545769">
        <w:rPr>
          <w:lang w:val="en-US"/>
        </w:rPr>
        <w:t>Haufroid</w:t>
      </w:r>
      <w:proofErr w:type="spellEnd"/>
      <w:r w:rsidRPr="00545769">
        <w:rPr>
          <w:lang w:val="en-US"/>
        </w:rPr>
        <w:t xml:space="preserve"> V, </w:t>
      </w:r>
      <w:proofErr w:type="spellStart"/>
      <w:r w:rsidRPr="00545769">
        <w:rPr>
          <w:lang w:val="en-US"/>
        </w:rPr>
        <w:t>Annesi-Maesano</w:t>
      </w:r>
      <w:proofErr w:type="spellEnd"/>
      <w:r w:rsidRPr="00545769">
        <w:rPr>
          <w:lang w:val="en-US"/>
        </w:rPr>
        <w:t xml:space="preserve"> I, </w:t>
      </w:r>
      <w:proofErr w:type="spellStart"/>
      <w:r w:rsidRPr="00545769">
        <w:rPr>
          <w:lang w:val="en-US"/>
        </w:rPr>
        <w:t>Roels</w:t>
      </w:r>
      <w:proofErr w:type="spellEnd"/>
      <w:r w:rsidRPr="00545769">
        <w:rPr>
          <w:lang w:val="en-US"/>
        </w:rPr>
        <w:t xml:space="preserve"> H, Thijs L, </w:t>
      </w:r>
      <w:proofErr w:type="spellStart"/>
      <w:r w:rsidRPr="00545769">
        <w:rPr>
          <w:lang w:val="en-US"/>
        </w:rPr>
        <w:t>Staessen</w:t>
      </w:r>
      <w:proofErr w:type="spellEnd"/>
      <w:r w:rsidRPr="00545769">
        <w:rPr>
          <w:lang w:val="en-US"/>
        </w:rPr>
        <w:t xml:space="preserve"> J &amp; Bernard A. (2013) Associations of urinary cadmium with age and urinary proteins: Further evidence of physiological variations unrelated to metal accumulation </w:t>
      </w:r>
      <w:r w:rsidRPr="00545769">
        <w:t>and toxicity. Environmental Health Perspectives, 121(9), 1047-1053.</w:t>
      </w:r>
    </w:p>
    <w:p w14:paraId="7DDB1976" w14:textId="77777777" w:rsidR="00D2720D" w:rsidRDefault="00D2720D" w:rsidP="00D2720D">
      <w:pPr>
        <w:pStyle w:val="BodyText"/>
        <w:widowControl/>
        <w:spacing w:after="120"/>
      </w:pPr>
      <w:r w:rsidRPr="0064680C">
        <w:t xml:space="preserve">Chen X, Zhu G, </w:t>
      </w:r>
      <w:proofErr w:type="spellStart"/>
      <w:r w:rsidRPr="0064680C">
        <w:t>Jin</w:t>
      </w:r>
      <w:proofErr w:type="spellEnd"/>
      <w:r w:rsidRPr="0064680C">
        <w:t xml:space="preserve"> T, </w:t>
      </w:r>
      <w:proofErr w:type="spellStart"/>
      <w:r w:rsidRPr="0064680C">
        <w:t>Åkesso</w:t>
      </w:r>
      <w:r>
        <w:t>n</w:t>
      </w:r>
      <w:proofErr w:type="spellEnd"/>
      <w:r>
        <w:t xml:space="preserve"> A, </w:t>
      </w:r>
      <w:proofErr w:type="spellStart"/>
      <w:r>
        <w:t>Bergdahl</w:t>
      </w:r>
      <w:proofErr w:type="spellEnd"/>
      <w:r>
        <w:t xml:space="preserve"> IA, Lei L, </w:t>
      </w:r>
      <w:proofErr w:type="spellStart"/>
      <w:r>
        <w:t>Weng</w:t>
      </w:r>
      <w:proofErr w:type="spellEnd"/>
      <w:r>
        <w:t xml:space="preserve"> S &amp;</w:t>
      </w:r>
      <w:r w:rsidRPr="0064680C">
        <w:t xml:space="preserve"> Liang Y. (2009)</w:t>
      </w:r>
      <w:r>
        <w:t xml:space="preserve">. </w:t>
      </w:r>
      <w:r w:rsidRPr="0064680C">
        <w:t>Changes in bone mineral density 10 years after marked reduction of cadmium exposure in a Chinese population. Environ</w:t>
      </w:r>
      <w:r>
        <w:t>mental</w:t>
      </w:r>
      <w:r w:rsidRPr="0064680C">
        <w:t xml:space="preserve"> Res</w:t>
      </w:r>
      <w:r>
        <w:t>earch,</w:t>
      </w:r>
      <w:r w:rsidRPr="0064680C">
        <w:t xml:space="preserve"> </w:t>
      </w:r>
      <w:r w:rsidRPr="00545769">
        <w:t>109, 874-879.</w:t>
      </w:r>
    </w:p>
    <w:p w14:paraId="596CCC76" w14:textId="77777777" w:rsidR="00D2720D" w:rsidRPr="00C220F1" w:rsidRDefault="00D2720D" w:rsidP="00D2720D">
      <w:pPr>
        <w:pStyle w:val="BodyText"/>
      </w:pPr>
      <w:r w:rsidRPr="000B6F96">
        <w:t xml:space="preserve">Cheng X, </w:t>
      </w:r>
      <w:proofErr w:type="spellStart"/>
      <w:r w:rsidRPr="000B6F96">
        <w:t>Niu</w:t>
      </w:r>
      <w:proofErr w:type="spellEnd"/>
      <w:r w:rsidRPr="000B6F96">
        <w:t xml:space="preserve"> Y, Ding Q, Yin X, Huang G, Peng J, Song J (2016). Cadmium Exposure and Risk of Any Fracture: A PRISMA-Compliant Systematic Review and Meta-Analysis. </w:t>
      </w:r>
      <w:r w:rsidRPr="00C220F1">
        <w:t xml:space="preserve">Medicine (Baltimore). </w:t>
      </w:r>
      <w:proofErr w:type="gramStart"/>
      <w:r w:rsidRPr="00C220F1">
        <w:t>95</w:t>
      </w:r>
      <w:proofErr w:type="gramEnd"/>
      <w:r w:rsidRPr="00C220F1">
        <w:t xml:space="preserve">(10):e2932. </w:t>
      </w:r>
    </w:p>
    <w:p w14:paraId="3DECA9CD" w14:textId="77777777" w:rsidR="00D2720D" w:rsidRDefault="00D2720D" w:rsidP="00D2720D">
      <w:pPr>
        <w:pStyle w:val="BodyText"/>
        <w:widowControl/>
        <w:spacing w:after="120"/>
        <w:rPr>
          <w:rStyle w:val="Emphasis"/>
          <w:rFonts w:eastAsia="SimSun"/>
          <w:i w:val="0"/>
          <w:lang w:val="en"/>
        </w:rPr>
      </w:pPr>
      <w:r w:rsidRPr="009F554D">
        <w:t xml:space="preserve">Council Resolution </w:t>
      </w:r>
      <w:r>
        <w:t xml:space="preserve">(1988) </w:t>
      </w:r>
      <w:r w:rsidRPr="009F554D">
        <w:t>Council Resolution of 25 January 1988 on a Community action programme to combat environmental pollution by cadmium</w:t>
      </w:r>
      <w:r>
        <w:t xml:space="preserve">. </w:t>
      </w:r>
      <w:r w:rsidRPr="00864173">
        <w:rPr>
          <w:rStyle w:val="Emphasis"/>
          <w:rFonts w:eastAsia="SimSun"/>
          <w:i w:val="0"/>
          <w:lang w:val="en"/>
        </w:rPr>
        <w:t>Official Journal C 030, 04/02/1988 P. 0001 – 0001</w:t>
      </w:r>
    </w:p>
    <w:p w14:paraId="3B3AFCA2" w14:textId="77777777" w:rsidR="00D2720D" w:rsidRDefault="00D2720D" w:rsidP="00D2720D">
      <w:pPr>
        <w:pStyle w:val="BodyText"/>
      </w:pPr>
      <w:r w:rsidRPr="004C05DD">
        <w:t xml:space="preserve">ECB </w:t>
      </w:r>
      <w:r>
        <w:t>(</w:t>
      </w:r>
      <w:r w:rsidRPr="004C05DD">
        <w:t>2007</w:t>
      </w:r>
      <w:r>
        <w:t>).</w:t>
      </w:r>
      <w:r w:rsidRPr="004C05DD">
        <w:t xml:space="preserve"> European Union Risk Assessment Report, Cadmium oxide and cadmium </w:t>
      </w:r>
      <w:proofErr w:type="spellStart"/>
      <w:r w:rsidRPr="004C05DD">
        <w:t>metal</w:t>
      </w:r>
      <w:proofErr w:type="gramStart"/>
      <w:r w:rsidRPr="004C05DD">
        <w:t>,Volume</w:t>
      </w:r>
      <w:proofErr w:type="spellEnd"/>
      <w:proofErr w:type="gramEnd"/>
      <w:r w:rsidRPr="004C05DD">
        <w:t xml:space="preserve"> 72, European Commission, Joint Research Centre, Institute of Health and Consumer Protection (IHCP), Toxicology and Chemical Substances (TCS), EU 22919 EN. Editors: S.J. Munn, K. </w:t>
      </w:r>
      <w:proofErr w:type="spellStart"/>
      <w:r w:rsidRPr="004C05DD">
        <w:t>Aschberger</w:t>
      </w:r>
      <w:proofErr w:type="spellEnd"/>
      <w:r w:rsidRPr="004C05DD">
        <w:t xml:space="preserve">, O. Cosgrove, W. de Coen, S. </w:t>
      </w:r>
      <w:proofErr w:type="spellStart"/>
      <w:r w:rsidRPr="004C05DD">
        <w:t>Pakalin</w:t>
      </w:r>
      <w:proofErr w:type="spellEnd"/>
      <w:r w:rsidRPr="004C05DD">
        <w:t xml:space="preserve">, A. </w:t>
      </w:r>
      <w:proofErr w:type="spellStart"/>
      <w:r w:rsidRPr="004C05DD">
        <w:t>Paya</w:t>
      </w:r>
      <w:proofErr w:type="spellEnd"/>
      <w:r w:rsidRPr="004C05DD">
        <w:t xml:space="preserve">-Perez, B. Schwarz-Schulz, S. </w:t>
      </w:r>
      <w:proofErr w:type="spellStart"/>
      <w:r w:rsidRPr="004C05DD">
        <w:t>Vegro</w:t>
      </w:r>
      <w:proofErr w:type="spellEnd"/>
      <w:r w:rsidRPr="004C05DD">
        <w:t>. Luxembourg: Office for Official Publications of the European Communities.</w:t>
      </w:r>
    </w:p>
    <w:p w14:paraId="60FAA08D" w14:textId="77777777" w:rsidR="00D2720D" w:rsidRPr="00386E13" w:rsidRDefault="00D2720D" w:rsidP="00D2720D">
      <w:pPr>
        <w:widowControl/>
        <w:autoSpaceDE w:val="0"/>
        <w:autoSpaceDN w:val="0"/>
        <w:adjustRightInd w:val="0"/>
        <w:spacing w:after="120"/>
        <w:rPr>
          <w:rFonts w:cs="TimesNewRomanPSMT"/>
          <w:lang w:val="en-US" w:eastAsia="en-US"/>
        </w:rPr>
      </w:pPr>
      <w:r w:rsidRPr="00BF6A72">
        <w:t>EFSA (2009) European Food Safety Authority</w:t>
      </w:r>
      <w:r>
        <w:t xml:space="preserve">. </w:t>
      </w:r>
      <w:r w:rsidRPr="000D02DD">
        <w:rPr>
          <w:rFonts w:cs="TimesNewRomanPSMT"/>
          <w:lang w:val="en-US" w:eastAsia="en-US"/>
        </w:rPr>
        <w:t>Scientific Opinion of the Panel on Contaminants in the Food Chain</w:t>
      </w:r>
      <w:r>
        <w:rPr>
          <w:rFonts w:cs="TimesNewRomanPSMT"/>
          <w:lang w:val="en-US" w:eastAsia="en-US"/>
        </w:rPr>
        <w:t xml:space="preserve"> on a request from the European </w:t>
      </w:r>
      <w:r w:rsidRPr="000D02DD">
        <w:rPr>
          <w:rFonts w:cs="TimesNewRomanPSMT"/>
          <w:lang w:val="en-US" w:eastAsia="en-US"/>
        </w:rPr>
        <w:t>Commission on cadmium in food.</w:t>
      </w:r>
      <w:r w:rsidRPr="000D02DD">
        <w:t xml:space="preserve"> The EFSA Journal</w:t>
      </w:r>
      <w:r>
        <w:t>,</w:t>
      </w:r>
      <w:r w:rsidRPr="000D02DD">
        <w:t xml:space="preserve"> </w:t>
      </w:r>
      <w:r w:rsidRPr="000D02DD">
        <w:rPr>
          <w:b/>
        </w:rPr>
        <w:t>980</w:t>
      </w:r>
      <w:r w:rsidRPr="000D02DD">
        <w:t>, 1-139.</w:t>
      </w:r>
      <w:r>
        <w:t xml:space="preserve"> Available at: </w:t>
      </w:r>
      <w:hyperlink r:id="rId18" w:history="1">
        <w:r w:rsidRPr="00FB4456">
          <w:rPr>
            <w:rStyle w:val="Hyperlink"/>
          </w:rPr>
          <w:t>http://www.efsa.europa.eu/sites/default/files/scientific_output/files/main_documents/980.pdf</w:t>
        </w:r>
      </w:hyperlink>
      <w:r>
        <w:t xml:space="preserve"> (accessed on 21 June 2017)</w:t>
      </w:r>
    </w:p>
    <w:p w14:paraId="09EE28ED" w14:textId="77777777" w:rsidR="00D2720D" w:rsidRDefault="00D2720D" w:rsidP="00D2720D">
      <w:pPr>
        <w:widowControl/>
        <w:autoSpaceDE w:val="0"/>
        <w:autoSpaceDN w:val="0"/>
        <w:adjustRightInd w:val="0"/>
        <w:spacing w:after="120"/>
        <w:rPr>
          <w:rFonts w:cs="TimesNewRomanPSMT"/>
          <w:color w:val="000000"/>
          <w:lang w:val="en-US" w:eastAsia="en-US"/>
        </w:rPr>
      </w:pPr>
      <w:r w:rsidRPr="003F45B3">
        <w:t xml:space="preserve">EFSA (2012) European Food Safety Authority. Cadmium dietary exposure in the European population. </w:t>
      </w:r>
      <w:r>
        <w:rPr>
          <w:rFonts w:cs="TimesNewRomanPSMT"/>
          <w:color w:val="000000"/>
          <w:lang w:val="en-US" w:eastAsia="en-US"/>
        </w:rPr>
        <w:t>EFSA Journal, 2012</w:t>
      </w:r>
      <w:proofErr w:type="gramStart"/>
      <w:r>
        <w:rPr>
          <w:rFonts w:cs="TimesNewRomanPSMT"/>
          <w:color w:val="000000"/>
          <w:lang w:val="en-US" w:eastAsia="en-US"/>
        </w:rPr>
        <w:t>;10</w:t>
      </w:r>
      <w:proofErr w:type="gramEnd"/>
      <w:r>
        <w:rPr>
          <w:rFonts w:cs="TimesNewRomanPSMT"/>
          <w:color w:val="000000"/>
          <w:lang w:val="en-US" w:eastAsia="en-US"/>
        </w:rPr>
        <w:t xml:space="preserve">(1):2551 </w:t>
      </w:r>
      <w:r w:rsidRPr="003F45B3">
        <w:rPr>
          <w:rFonts w:cs="TimesNewRomanPSMT"/>
          <w:color w:val="000000"/>
          <w:lang w:val="en-US" w:eastAsia="en-US"/>
        </w:rPr>
        <w:t xml:space="preserve">[37 pp.]. Available online: </w:t>
      </w:r>
      <w:hyperlink r:id="rId19" w:history="1">
        <w:r w:rsidRPr="00FB4456">
          <w:rPr>
            <w:rStyle w:val="Hyperlink"/>
            <w:rFonts w:cs="TimesNewRomanPSMT"/>
            <w:lang w:val="en-US" w:eastAsia="en-US"/>
          </w:rPr>
          <w:t>www.efsa.europa.eu/efsajournal</w:t>
        </w:r>
      </w:hyperlink>
      <w:r>
        <w:rPr>
          <w:rFonts w:cs="TimesNewRomanPSMT"/>
          <w:color w:val="000000"/>
          <w:lang w:val="en-US" w:eastAsia="en-US"/>
        </w:rPr>
        <w:t xml:space="preserve"> </w:t>
      </w:r>
    </w:p>
    <w:p w14:paraId="10A4CE90" w14:textId="77777777" w:rsidR="00D2720D" w:rsidRPr="002705E9" w:rsidRDefault="00D2720D" w:rsidP="00D2720D">
      <w:pPr>
        <w:pStyle w:val="BodyText"/>
        <w:widowControl/>
        <w:spacing w:after="120"/>
        <w:rPr>
          <w:lang w:val="en-US"/>
        </w:rPr>
      </w:pPr>
      <w:proofErr w:type="spellStart"/>
      <w:r w:rsidRPr="009B25B6">
        <w:rPr>
          <w:lang w:val="en-US"/>
        </w:rPr>
        <w:lastRenderedPageBreak/>
        <w:t>Engström</w:t>
      </w:r>
      <w:proofErr w:type="spellEnd"/>
      <w:r w:rsidRPr="009B25B6">
        <w:rPr>
          <w:lang w:val="en-US"/>
        </w:rPr>
        <w:t xml:space="preserve"> A, </w:t>
      </w:r>
      <w:proofErr w:type="spellStart"/>
      <w:r w:rsidRPr="009B25B6">
        <w:rPr>
          <w:lang w:val="en-US"/>
        </w:rPr>
        <w:t>Michaëlsson</w:t>
      </w:r>
      <w:proofErr w:type="spellEnd"/>
      <w:r w:rsidRPr="009B25B6">
        <w:rPr>
          <w:lang w:val="en-US"/>
        </w:rPr>
        <w:t xml:space="preserve"> K, </w:t>
      </w:r>
      <w:proofErr w:type="spellStart"/>
      <w:r w:rsidRPr="009B25B6">
        <w:rPr>
          <w:lang w:val="en-US"/>
        </w:rPr>
        <w:t>Suwazono</w:t>
      </w:r>
      <w:proofErr w:type="spellEnd"/>
      <w:r w:rsidRPr="009B25B6">
        <w:rPr>
          <w:lang w:val="en-US"/>
        </w:rPr>
        <w:t xml:space="preserve"> Y, </w:t>
      </w:r>
      <w:proofErr w:type="spellStart"/>
      <w:r w:rsidRPr="009B25B6">
        <w:rPr>
          <w:lang w:val="en-US"/>
        </w:rPr>
        <w:t>Wolk</w:t>
      </w:r>
      <w:proofErr w:type="spellEnd"/>
      <w:r w:rsidRPr="009B25B6">
        <w:rPr>
          <w:lang w:val="en-US"/>
        </w:rPr>
        <w:t xml:space="preserve"> A </w:t>
      </w:r>
      <w:proofErr w:type="spellStart"/>
      <w:r>
        <w:rPr>
          <w:lang w:val="en-US"/>
        </w:rPr>
        <w:t>Vahter</w:t>
      </w:r>
      <w:proofErr w:type="spellEnd"/>
      <w:r>
        <w:rPr>
          <w:lang w:val="en-US"/>
        </w:rPr>
        <w:t xml:space="preserve"> M &amp;</w:t>
      </w:r>
      <w:r w:rsidRPr="009B25B6">
        <w:rPr>
          <w:lang w:val="en-US"/>
        </w:rPr>
        <w:t xml:space="preserve"> </w:t>
      </w:r>
      <w:proofErr w:type="spellStart"/>
      <w:r w:rsidRPr="009B25B6">
        <w:rPr>
          <w:lang w:val="en-US"/>
        </w:rPr>
        <w:t>Åkesson</w:t>
      </w:r>
      <w:proofErr w:type="spellEnd"/>
      <w:r w:rsidRPr="009B25B6">
        <w:rPr>
          <w:lang w:val="en-US"/>
        </w:rPr>
        <w:t xml:space="preserve"> A. </w:t>
      </w:r>
      <w:r>
        <w:rPr>
          <w:lang w:val="en-US"/>
        </w:rPr>
        <w:t xml:space="preserve">(2011) </w:t>
      </w:r>
      <w:r w:rsidRPr="009B25B6">
        <w:rPr>
          <w:lang w:val="en-US"/>
        </w:rPr>
        <w:t>Long-term</w:t>
      </w:r>
      <w:r w:rsidRPr="002705E9">
        <w:rPr>
          <w:lang w:val="en-US"/>
        </w:rPr>
        <w:t xml:space="preserve"> cadmium exposure and the association with bone mineral density and fractures in a population-based study among women. J</w:t>
      </w:r>
      <w:r>
        <w:rPr>
          <w:lang w:val="en-US"/>
        </w:rPr>
        <w:t xml:space="preserve">ournal of </w:t>
      </w:r>
      <w:r w:rsidRPr="002705E9">
        <w:rPr>
          <w:lang w:val="en-US"/>
        </w:rPr>
        <w:t xml:space="preserve">Bone </w:t>
      </w:r>
      <w:r>
        <w:rPr>
          <w:lang w:val="en-US"/>
        </w:rPr>
        <w:t xml:space="preserve">and </w:t>
      </w:r>
      <w:r w:rsidRPr="002705E9">
        <w:rPr>
          <w:lang w:val="en-US"/>
        </w:rPr>
        <w:t>Miner</w:t>
      </w:r>
      <w:r>
        <w:rPr>
          <w:lang w:val="en-US"/>
        </w:rPr>
        <w:t>al</w:t>
      </w:r>
      <w:r w:rsidRPr="002705E9">
        <w:rPr>
          <w:lang w:val="en-US"/>
        </w:rPr>
        <w:t xml:space="preserve"> Res</w:t>
      </w:r>
      <w:r>
        <w:rPr>
          <w:lang w:val="en-US"/>
        </w:rPr>
        <w:t xml:space="preserve">earch, </w:t>
      </w:r>
      <w:r w:rsidRPr="002705E9">
        <w:rPr>
          <w:b/>
          <w:lang w:val="en-US"/>
        </w:rPr>
        <w:t>26(3)</w:t>
      </w:r>
      <w:r w:rsidRPr="002705E9">
        <w:rPr>
          <w:lang w:val="en-US"/>
        </w:rPr>
        <w:t>, 486-495</w:t>
      </w:r>
      <w:r>
        <w:rPr>
          <w:lang w:val="en-US"/>
        </w:rPr>
        <w:t>.</w:t>
      </w:r>
    </w:p>
    <w:p w14:paraId="1D952236" w14:textId="77777777" w:rsidR="00D2720D" w:rsidRPr="009B25B6" w:rsidRDefault="00D2720D" w:rsidP="00D2720D">
      <w:pPr>
        <w:pStyle w:val="BodyText"/>
        <w:widowControl/>
        <w:spacing w:after="120"/>
        <w:rPr>
          <w:lang w:val="en-US"/>
        </w:rPr>
      </w:pPr>
      <w:proofErr w:type="spellStart"/>
      <w:r w:rsidRPr="009B25B6">
        <w:rPr>
          <w:lang w:val="en-US"/>
        </w:rPr>
        <w:t>Engström</w:t>
      </w:r>
      <w:proofErr w:type="spellEnd"/>
      <w:r w:rsidRPr="009B25B6">
        <w:rPr>
          <w:lang w:val="en-US"/>
        </w:rPr>
        <w:t xml:space="preserve"> A, </w:t>
      </w:r>
      <w:proofErr w:type="spellStart"/>
      <w:r w:rsidRPr="009B25B6">
        <w:rPr>
          <w:lang w:val="en-US"/>
        </w:rPr>
        <w:t>Michaëlsso</w:t>
      </w:r>
      <w:r>
        <w:rPr>
          <w:lang w:val="en-US"/>
        </w:rPr>
        <w:t>n</w:t>
      </w:r>
      <w:proofErr w:type="spellEnd"/>
      <w:r>
        <w:rPr>
          <w:lang w:val="en-US"/>
        </w:rPr>
        <w:t xml:space="preserve"> K, </w:t>
      </w:r>
      <w:proofErr w:type="spellStart"/>
      <w:r>
        <w:rPr>
          <w:lang w:val="en-US"/>
        </w:rPr>
        <w:t>Vahter</w:t>
      </w:r>
      <w:proofErr w:type="spellEnd"/>
      <w:r>
        <w:rPr>
          <w:lang w:val="en-US"/>
        </w:rPr>
        <w:t xml:space="preserve"> M, </w:t>
      </w:r>
      <w:proofErr w:type="spellStart"/>
      <w:r>
        <w:rPr>
          <w:lang w:val="en-US"/>
        </w:rPr>
        <w:t>Julin</w:t>
      </w:r>
      <w:proofErr w:type="spellEnd"/>
      <w:r>
        <w:rPr>
          <w:lang w:val="en-US"/>
        </w:rPr>
        <w:t xml:space="preserve"> B, </w:t>
      </w:r>
      <w:proofErr w:type="spellStart"/>
      <w:r>
        <w:rPr>
          <w:lang w:val="en-US"/>
        </w:rPr>
        <w:t>Wolk</w:t>
      </w:r>
      <w:proofErr w:type="spellEnd"/>
      <w:r>
        <w:rPr>
          <w:lang w:val="en-US"/>
        </w:rPr>
        <w:t xml:space="preserve"> A &amp; </w:t>
      </w:r>
      <w:proofErr w:type="spellStart"/>
      <w:r w:rsidRPr="009B25B6">
        <w:rPr>
          <w:lang w:val="en-US"/>
        </w:rPr>
        <w:t>Åkesson</w:t>
      </w:r>
      <w:proofErr w:type="spellEnd"/>
      <w:r w:rsidRPr="009B25B6">
        <w:rPr>
          <w:lang w:val="en-US"/>
        </w:rPr>
        <w:t xml:space="preserve"> A. (2012) Associations between dietary cadmium exposure and bone mineral density and risk of osteoporosis and fractures among women. Bone, </w:t>
      </w:r>
      <w:r w:rsidRPr="009B25B6">
        <w:rPr>
          <w:b/>
          <w:lang w:val="en-US"/>
        </w:rPr>
        <w:t>50(6)</w:t>
      </w:r>
      <w:r w:rsidRPr="009B25B6">
        <w:rPr>
          <w:lang w:val="en-US"/>
        </w:rPr>
        <w:t>:1372-8.</w:t>
      </w:r>
    </w:p>
    <w:p w14:paraId="7D4E386C" w14:textId="77777777" w:rsidR="00D2720D" w:rsidRDefault="00D2720D" w:rsidP="00D2720D">
      <w:pPr>
        <w:pStyle w:val="BodyText"/>
        <w:widowControl/>
        <w:spacing w:after="120"/>
        <w:rPr>
          <w:lang w:val="en-US"/>
        </w:rPr>
      </w:pPr>
      <w:r w:rsidRPr="009B25B6">
        <w:rPr>
          <w:lang w:val="en-US"/>
        </w:rPr>
        <w:t>Ferraro PM, Costan</w:t>
      </w:r>
      <w:r>
        <w:rPr>
          <w:lang w:val="en-US"/>
        </w:rPr>
        <w:t xml:space="preserve">zi S, </w:t>
      </w:r>
      <w:proofErr w:type="spellStart"/>
      <w:r>
        <w:rPr>
          <w:lang w:val="en-US"/>
        </w:rPr>
        <w:t>Naticchia</w:t>
      </w:r>
      <w:proofErr w:type="spellEnd"/>
      <w:r>
        <w:rPr>
          <w:lang w:val="en-US"/>
        </w:rPr>
        <w:t xml:space="preserve"> A, </w:t>
      </w:r>
      <w:proofErr w:type="spellStart"/>
      <w:r>
        <w:rPr>
          <w:lang w:val="en-US"/>
        </w:rPr>
        <w:t>Sturniolo</w:t>
      </w:r>
      <w:proofErr w:type="spellEnd"/>
      <w:r>
        <w:rPr>
          <w:lang w:val="en-US"/>
        </w:rPr>
        <w:t xml:space="preserve"> A &amp; </w:t>
      </w:r>
      <w:r w:rsidRPr="009B25B6">
        <w:rPr>
          <w:lang w:val="en-US"/>
        </w:rPr>
        <w:t>Gambaro G. (2010). Low level exposure to</w:t>
      </w:r>
      <w:r w:rsidRPr="00334E1A">
        <w:rPr>
          <w:lang w:val="en-US"/>
        </w:rPr>
        <w:t xml:space="preserve"> cadmium increases the risk of chronic kidney disease: analysis of the NHA</w:t>
      </w:r>
      <w:r>
        <w:rPr>
          <w:lang w:val="en-US"/>
        </w:rPr>
        <w:t xml:space="preserve">NES 1999-2006. BMC Public Health, </w:t>
      </w:r>
      <w:r w:rsidRPr="00334E1A">
        <w:rPr>
          <w:b/>
          <w:lang w:val="en-US"/>
        </w:rPr>
        <w:t>10</w:t>
      </w:r>
      <w:r w:rsidRPr="00334E1A">
        <w:rPr>
          <w:lang w:val="en-US"/>
        </w:rPr>
        <w:t>:304.</w:t>
      </w:r>
    </w:p>
    <w:p w14:paraId="3CD77A06" w14:textId="77777777" w:rsidR="00D2720D" w:rsidRPr="00323914" w:rsidRDefault="00D2720D" w:rsidP="00D2720D">
      <w:pPr>
        <w:pStyle w:val="CommentText"/>
        <w:spacing w:after="240"/>
      </w:pPr>
      <w:proofErr w:type="spellStart"/>
      <w:r>
        <w:t>Genant</w:t>
      </w:r>
      <w:proofErr w:type="spellEnd"/>
      <w:r>
        <w:t xml:space="preserve"> HK, Cooper C, Poor G, et al. (1999). Interim report and recommendations of the World Health Organization Task-Force for Osteoporosis. </w:t>
      </w:r>
      <w:proofErr w:type="spellStart"/>
      <w:r w:rsidRPr="00323914">
        <w:t>Osteoporos</w:t>
      </w:r>
      <w:proofErr w:type="spellEnd"/>
      <w:r w:rsidRPr="00323914">
        <w:t xml:space="preserve"> Int. 10:259-264.</w:t>
      </w:r>
    </w:p>
    <w:p w14:paraId="31711C83" w14:textId="77777777" w:rsidR="00D2720D" w:rsidRPr="00545769" w:rsidRDefault="00D2720D" w:rsidP="00D2720D">
      <w:pPr>
        <w:pStyle w:val="BodyText"/>
        <w:widowControl/>
        <w:spacing w:after="120"/>
        <w:rPr>
          <w:lang w:val="en-US"/>
        </w:rPr>
      </w:pPr>
      <w:proofErr w:type="spellStart"/>
      <w:r w:rsidRPr="0064680C">
        <w:rPr>
          <w:lang w:val="en-US"/>
        </w:rPr>
        <w:t>Hellström</w:t>
      </w:r>
      <w:proofErr w:type="spellEnd"/>
      <w:r w:rsidRPr="0064680C">
        <w:rPr>
          <w:lang w:val="en-US"/>
        </w:rPr>
        <w:t xml:space="preserve"> L, </w:t>
      </w:r>
      <w:proofErr w:type="spellStart"/>
      <w:r w:rsidRPr="0064680C">
        <w:rPr>
          <w:lang w:val="en-US"/>
        </w:rPr>
        <w:t>Elinder</w:t>
      </w:r>
      <w:proofErr w:type="spellEnd"/>
      <w:r w:rsidRPr="0064680C">
        <w:rPr>
          <w:lang w:val="en-US"/>
        </w:rPr>
        <w:t xml:space="preserve"> CG, Dahlberg B, </w:t>
      </w:r>
      <w:r>
        <w:rPr>
          <w:lang w:val="en-US"/>
        </w:rPr>
        <w:t xml:space="preserve">Lundberg M, </w:t>
      </w:r>
      <w:proofErr w:type="spellStart"/>
      <w:r>
        <w:rPr>
          <w:lang w:val="en-US"/>
        </w:rPr>
        <w:t>Järup</w:t>
      </w:r>
      <w:proofErr w:type="spellEnd"/>
      <w:r>
        <w:rPr>
          <w:lang w:val="en-US"/>
        </w:rPr>
        <w:t xml:space="preserve"> L, </w:t>
      </w:r>
      <w:proofErr w:type="spellStart"/>
      <w:r>
        <w:rPr>
          <w:lang w:val="en-US"/>
        </w:rPr>
        <w:t>Persson</w:t>
      </w:r>
      <w:proofErr w:type="spellEnd"/>
      <w:r>
        <w:rPr>
          <w:lang w:val="en-US"/>
        </w:rPr>
        <w:t xml:space="preserve"> B &amp; </w:t>
      </w:r>
      <w:proofErr w:type="spellStart"/>
      <w:r w:rsidRPr="0064680C">
        <w:rPr>
          <w:lang w:val="en-US"/>
        </w:rPr>
        <w:t>Axelson</w:t>
      </w:r>
      <w:proofErr w:type="spellEnd"/>
      <w:r w:rsidRPr="0064680C">
        <w:rPr>
          <w:lang w:val="en-US"/>
        </w:rPr>
        <w:t xml:space="preserve"> O.</w:t>
      </w:r>
      <w:r>
        <w:rPr>
          <w:lang w:val="en-US"/>
        </w:rPr>
        <w:t xml:space="preserve"> </w:t>
      </w:r>
      <w:r w:rsidRPr="0064680C">
        <w:rPr>
          <w:lang w:val="en-US"/>
        </w:rPr>
        <w:t>(2001)  Cadmium exposure and end-stage renal disease. Am</w:t>
      </w:r>
      <w:r>
        <w:rPr>
          <w:lang w:val="en-US"/>
        </w:rPr>
        <w:t>erican Journal of</w:t>
      </w:r>
      <w:r w:rsidRPr="0064680C">
        <w:rPr>
          <w:lang w:val="en-US"/>
        </w:rPr>
        <w:t xml:space="preserve"> Kidney Dis</w:t>
      </w:r>
      <w:r>
        <w:rPr>
          <w:lang w:val="en-US"/>
        </w:rPr>
        <w:t>ease,</w:t>
      </w:r>
      <w:r w:rsidRPr="0064680C">
        <w:rPr>
          <w:lang w:val="en-US"/>
        </w:rPr>
        <w:t xml:space="preserve"> </w:t>
      </w:r>
      <w:r w:rsidRPr="0064680C">
        <w:rPr>
          <w:b/>
          <w:lang w:val="en-US"/>
        </w:rPr>
        <w:t>38(5)</w:t>
      </w:r>
      <w:r w:rsidRPr="0064680C">
        <w:rPr>
          <w:lang w:val="en-US"/>
        </w:rPr>
        <w:t>, 1001-</w:t>
      </w:r>
      <w:r>
        <w:rPr>
          <w:lang w:val="en-US"/>
        </w:rPr>
        <w:t>1008.</w:t>
      </w:r>
    </w:p>
    <w:p w14:paraId="5B5F8962" w14:textId="77777777" w:rsidR="00D2720D" w:rsidRPr="00545769" w:rsidRDefault="00D2720D" w:rsidP="00D2720D">
      <w:pPr>
        <w:pStyle w:val="BodyText"/>
        <w:widowControl/>
        <w:spacing w:after="120"/>
        <w:rPr>
          <w:lang w:val="en-US"/>
        </w:rPr>
      </w:pPr>
      <w:r>
        <w:rPr>
          <w:lang w:val="en-US"/>
        </w:rPr>
        <w:t>IARC (2012)</w:t>
      </w:r>
      <w:r w:rsidRPr="00334E1A">
        <w:rPr>
          <w:lang w:val="en-US"/>
        </w:rPr>
        <w:t xml:space="preserve"> Cadmium and cadmium compounds. In Monographs, Vol 100C, A review of Human carcinogens, pp. 121-145. </w:t>
      </w:r>
      <w:hyperlink r:id="rId20" w:history="1">
        <w:r w:rsidRPr="007320F4">
          <w:rPr>
            <w:lang w:val="en-US"/>
          </w:rPr>
          <w:t>http://monographs.iarc.fr/ENG/Monographs/vol100C/mono100C-8.pdf</w:t>
        </w:r>
      </w:hyperlink>
      <w:r>
        <w:rPr>
          <w:lang w:val="en-US"/>
        </w:rPr>
        <w:t xml:space="preserve"> </w:t>
      </w:r>
      <w:r>
        <w:t>(accessed on 21 June 2017)</w:t>
      </w:r>
    </w:p>
    <w:p w14:paraId="7B264C7D" w14:textId="77777777" w:rsidR="00D2720D" w:rsidRPr="009E6BE7" w:rsidRDefault="00D2720D" w:rsidP="00D2720D">
      <w:pPr>
        <w:pStyle w:val="BodyText"/>
        <w:widowControl/>
        <w:spacing w:after="120"/>
      </w:pPr>
      <w:proofErr w:type="spellStart"/>
      <w:r w:rsidRPr="00D70EBA">
        <w:rPr>
          <w:lang w:val="en-US"/>
        </w:rPr>
        <w:t>ICdA</w:t>
      </w:r>
      <w:proofErr w:type="spellEnd"/>
      <w:r w:rsidRPr="00D70EBA">
        <w:rPr>
          <w:lang w:val="en-US"/>
        </w:rPr>
        <w:t xml:space="preserve">. </w:t>
      </w:r>
      <w:r>
        <w:rPr>
          <w:lang w:val="en-US"/>
        </w:rPr>
        <w:t xml:space="preserve">Cadmium emissions. Available at: </w:t>
      </w:r>
      <w:hyperlink r:id="rId21" w:history="1">
        <w:r w:rsidRPr="00FB4456">
          <w:rPr>
            <w:rStyle w:val="Hyperlink"/>
            <w:lang w:val="en-US"/>
          </w:rPr>
          <w:t>http://www.cadmium.org/environment/cadmium-emissions</w:t>
        </w:r>
      </w:hyperlink>
      <w:r>
        <w:rPr>
          <w:lang w:val="en-US"/>
        </w:rPr>
        <w:t xml:space="preserve"> (accessed on 21 June 2017). </w:t>
      </w:r>
    </w:p>
    <w:p w14:paraId="07515A17" w14:textId="77777777" w:rsidR="00D2720D" w:rsidRDefault="00D2720D" w:rsidP="00D2720D">
      <w:pPr>
        <w:pStyle w:val="BodyText"/>
        <w:widowControl/>
        <w:spacing w:after="120"/>
        <w:rPr>
          <w:lang w:val="en-US"/>
        </w:rPr>
      </w:pPr>
      <w:proofErr w:type="spellStart"/>
      <w:r w:rsidRPr="00EE5716">
        <w:rPr>
          <w:lang w:val="sv-SE"/>
        </w:rPr>
        <w:t>KemI</w:t>
      </w:r>
      <w:proofErr w:type="spellEnd"/>
      <w:r w:rsidRPr="00EE5716">
        <w:rPr>
          <w:lang w:val="sv-SE"/>
        </w:rPr>
        <w:t xml:space="preserve"> (2011) Kadmiumhalten måste minska–för folkhälsans skull. </w:t>
      </w:r>
      <w:r w:rsidRPr="00EE5716">
        <w:rPr>
          <w:lang w:val="en-US"/>
        </w:rPr>
        <w:t xml:space="preserve">Rapport </w:t>
      </w:r>
      <w:proofErr w:type="spellStart"/>
      <w:r w:rsidRPr="00EE5716">
        <w:rPr>
          <w:lang w:val="en-US"/>
        </w:rPr>
        <w:t>Nr</w:t>
      </w:r>
      <w:proofErr w:type="spellEnd"/>
      <w:r w:rsidRPr="00EE5716">
        <w:rPr>
          <w:lang w:val="en-US"/>
        </w:rPr>
        <w:t xml:space="preserve"> 1/11. </w:t>
      </w:r>
      <w:proofErr w:type="spellStart"/>
      <w:r w:rsidRPr="00EE5716">
        <w:rPr>
          <w:lang w:val="en-US"/>
        </w:rPr>
        <w:t>Bilaga</w:t>
      </w:r>
      <w:proofErr w:type="spellEnd"/>
      <w:r w:rsidRPr="00EE5716">
        <w:rPr>
          <w:lang w:val="en-US"/>
        </w:rPr>
        <w:t xml:space="preserve"> 3</w:t>
      </w:r>
      <w:r>
        <w:rPr>
          <w:lang w:val="en-US"/>
        </w:rPr>
        <w:t>:</w:t>
      </w:r>
      <w:r w:rsidRPr="00EE5716">
        <w:rPr>
          <w:lang w:val="en-US"/>
        </w:rPr>
        <w:t xml:space="preserve"> Health effects of cadmium in Sweden. </w:t>
      </w:r>
      <w:r>
        <w:rPr>
          <w:lang w:val="en-US"/>
        </w:rPr>
        <w:t xml:space="preserve">Available at: </w:t>
      </w:r>
      <w:hyperlink r:id="rId22" w:history="1">
        <w:r w:rsidRPr="00FB4456">
          <w:rPr>
            <w:rStyle w:val="Hyperlink"/>
            <w:lang w:val="en-US"/>
          </w:rPr>
          <w:t>https://www.kemi.se/global/rapporter/2011/rapport-1-11.pdf</w:t>
        </w:r>
      </w:hyperlink>
      <w:r>
        <w:rPr>
          <w:lang w:val="en-US"/>
        </w:rPr>
        <w:t xml:space="preserve"> (accessed on 21 June 2017).</w:t>
      </w:r>
    </w:p>
    <w:p w14:paraId="56F9CF70" w14:textId="77777777" w:rsidR="00D2720D" w:rsidRPr="00545769" w:rsidRDefault="00D2720D" w:rsidP="00D2720D">
      <w:pPr>
        <w:widowControl/>
        <w:autoSpaceDE w:val="0"/>
        <w:autoSpaceDN w:val="0"/>
        <w:adjustRightInd w:val="0"/>
        <w:spacing w:after="120"/>
        <w:rPr>
          <w:noProof/>
        </w:rPr>
      </w:pPr>
      <w:proofErr w:type="spellStart"/>
      <w:r>
        <w:t>KemI</w:t>
      </w:r>
      <w:proofErr w:type="spellEnd"/>
      <w:r>
        <w:t xml:space="preserve"> (2013</w:t>
      </w:r>
      <w:r w:rsidRPr="00BF6A72">
        <w:t xml:space="preserve">). </w:t>
      </w:r>
      <w:r w:rsidRPr="00BF6A72">
        <w:rPr>
          <w:bCs/>
        </w:rPr>
        <w:t xml:space="preserve">Economic costs of fractures caused by dietary cadmium exposure. </w:t>
      </w:r>
      <w:r w:rsidRPr="00BF6A72">
        <w:t xml:space="preserve">Swedish Chemicals Agency. Report No 4/13. </w:t>
      </w:r>
      <w:r>
        <w:t xml:space="preserve">Available at: </w:t>
      </w:r>
      <w:hyperlink r:id="rId23" w:history="1">
        <w:r w:rsidRPr="00FB4456">
          <w:rPr>
            <w:rStyle w:val="Hyperlink"/>
          </w:rPr>
          <w:t>https://www.kemi.se/global/rapporter/2013/rapport-4-13-cadmium.pdf</w:t>
        </w:r>
      </w:hyperlink>
      <w:r>
        <w:t xml:space="preserve"> </w:t>
      </w:r>
      <w:r>
        <w:rPr>
          <w:lang w:val="en-US"/>
        </w:rPr>
        <w:t>(accessed on 21 June 2017).</w:t>
      </w:r>
    </w:p>
    <w:p w14:paraId="4897E689" w14:textId="77777777" w:rsidR="00D2720D" w:rsidRPr="000B275C" w:rsidRDefault="00D2720D" w:rsidP="00D2720D">
      <w:pPr>
        <w:pStyle w:val="BodyText"/>
        <w:widowControl/>
        <w:spacing w:after="120"/>
        <w:rPr>
          <w:lang w:val="en-US"/>
        </w:rPr>
      </w:pPr>
      <w:r w:rsidRPr="009B25B6">
        <w:rPr>
          <w:lang w:val="en-US"/>
        </w:rPr>
        <w:t xml:space="preserve">Kido T, Honda R, </w:t>
      </w:r>
      <w:proofErr w:type="spellStart"/>
      <w:proofErr w:type="gramStart"/>
      <w:r w:rsidRPr="009B25B6">
        <w:rPr>
          <w:lang w:val="en-US"/>
        </w:rPr>
        <w:t>Tsuritani</w:t>
      </w:r>
      <w:proofErr w:type="spellEnd"/>
      <w:proofErr w:type="gramEnd"/>
      <w:r w:rsidRPr="009B25B6">
        <w:rPr>
          <w:lang w:val="en-US"/>
        </w:rPr>
        <w:t xml:space="preserve"> I, </w:t>
      </w:r>
      <w:proofErr w:type="spellStart"/>
      <w:r>
        <w:rPr>
          <w:lang w:val="en-US"/>
        </w:rPr>
        <w:t>Yamaya</w:t>
      </w:r>
      <w:proofErr w:type="spellEnd"/>
      <w:r>
        <w:rPr>
          <w:lang w:val="en-US"/>
        </w:rPr>
        <w:t xml:space="preserve"> H, </w:t>
      </w:r>
      <w:proofErr w:type="spellStart"/>
      <w:r>
        <w:rPr>
          <w:lang w:val="en-US"/>
        </w:rPr>
        <w:t>Ishizaki</w:t>
      </w:r>
      <w:proofErr w:type="spellEnd"/>
      <w:r>
        <w:rPr>
          <w:lang w:val="en-US"/>
        </w:rPr>
        <w:t xml:space="preserve"> M, Yamada Y &amp; </w:t>
      </w:r>
      <w:proofErr w:type="spellStart"/>
      <w:r w:rsidRPr="009B25B6">
        <w:rPr>
          <w:lang w:val="en-US"/>
        </w:rPr>
        <w:t>Nogawa</w:t>
      </w:r>
      <w:proofErr w:type="spellEnd"/>
      <w:r w:rsidRPr="009B25B6">
        <w:rPr>
          <w:lang w:val="en-US"/>
        </w:rPr>
        <w:t xml:space="preserve"> K. (1988) Progress of renal dysfunction in inhabitants environmentally exposed to cadmium. Arch</w:t>
      </w:r>
      <w:r>
        <w:rPr>
          <w:lang w:val="en-US"/>
        </w:rPr>
        <w:t>ives of</w:t>
      </w:r>
      <w:r w:rsidRPr="009B25B6">
        <w:rPr>
          <w:lang w:val="en-US"/>
        </w:rPr>
        <w:t xml:space="preserve"> Environ</w:t>
      </w:r>
      <w:r>
        <w:rPr>
          <w:lang w:val="en-US"/>
        </w:rPr>
        <w:t>mental</w:t>
      </w:r>
      <w:r w:rsidRPr="009B25B6">
        <w:rPr>
          <w:lang w:val="en-US"/>
        </w:rPr>
        <w:t xml:space="preserve"> Health </w:t>
      </w:r>
      <w:r w:rsidRPr="000B275C">
        <w:rPr>
          <w:lang w:val="en-US"/>
        </w:rPr>
        <w:t>43(3),</w:t>
      </w:r>
      <w:r w:rsidRPr="009B25B6">
        <w:rPr>
          <w:lang w:val="en-US"/>
        </w:rPr>
        <w:t xml:space="preserve"> 213-217.</w:t>
      </w:r>
    </w:p>
    <w:p w14:paraId="0673F05D" w14:textId="77777777" w:rsidR="00D2720D" w:rsidRDefault="00D2720D" w:rsidP="00D2720D">
      <w:pPr>
        <w:pStyle w:val="BodyText"/>
        <w:widowControl/>
        <w:spacing w:after="120"/>
        <w:rPr>
          <w:lang w:val="en-US"/>
        </w:rPr>
      </w:pPr>
      <w:proofErr w:type="spellStart"/>
      <w:r>
        <w:t>Lundh</w:t>
      </w:r>
      <w:proofErr w:type="spellEnd"/>
      <w:r>
        <w:t xml:space="preserve"> T, </w:t>
      </w:r>
      <w:proofErr w:type="spellStart"/>
      <w:r>
        <w:t>Axmon</w:t>
      </w:r>
      <w:proofErr w:type="spellEnd"/>
      <w:r>
        <w:t xml:space="preserve"> A, </w:t>
      </w:r>
      <w:proofErr w:type="spellStart"/>
      <w:r>
        <w:t>Skerfving</w:t>
      </w:r>
      <w:proofErr w:type="spellEnd"/>
      <w:r>
        <w:t xml:space="preserve"> S, </w:t>
      </w:r>
      <w:proofErr w:type="spellStart"/>
      <w:r>
        <w:t>Broberg</w:t>
      </w:r>
      <w:proofErr w:type="spellEnd"/>
      <w:r>
        <w:t xml:space="preserve"> K (2016). Cadmium and mercury exposure over time in children in southern Sweden (1986 – 2013). Report to the Swedish Environmental Protection Agency, </w:t>
      </w:r>
      <w:proofErr w:type="gramStart"/>
      <w:r>
        <w:t>August,</w:t>
      </w:r>
      <w:proofErr w:type="gramEnd"/>
      <w:r>
        <w:t xml:space="preserve"> 2016. Available at:</w:t>
      </w:r>
      <w:r w:rsidRPr="000B275C">
        <w:t xml:space="preserve"> </w:t>
      </w:r>
      <w:hyperlink r:id="rId24" w:history="1">
        <w:r w:rsidRPr="00FB4456">
          <w:rPr>
            <w:rStyle w:val="Hyperlink"/>
          </w:rPr>
          <w:t>http://www.diva-portal.org/smash/get/diva2:967690/FULLTEXT01.pdf</w:t>
        </w:r>
      </w:hyperlink>
      <w:r>
        <w:t xml:space="preserve"> </w:t>
      </w:r>
      <w:r>
        <w:rPr>
          <w:lang w:val="en-US"/>
        </w:rPr>
        <w:t>(accessed on 21 June 2017).</w:t>
      </w:r>
    </w:p>
    <w:p w14:paraId="28D8C40D" w14:textId="77777777" w:rsidR="00D2720D" w:rsidRPr="00323914" w:rsidRDefault="00D2720D" w:rsidP="00D2720D">
      <w:pPr>
        <w:pStyle w:val="CommentText"/>
        <w:spacing w:after="240"/>
      </w:pPr>
      <w:r>
        <w:t xml:space="preserve">NIH, Consensus Development Panel Osteoporosis prevention, diagnosis, and therapy. </w:t>
      </w:r>
      <w:r w:rsidRPr="00323914">
        <w:t>JAMA. Feb 14 2001</w:t>
      </w:r>
      <w:proofErr w:type="gramStart"/>
      <w:r w:rsidRPr="00323914">
        <w:t>;285</w:t>
      </w:r>
      <w:proofErr w:type="gramEnd"/>
      <w:r w:rsidRPr="00323914">
        <w:t>(6):785-795.</w:t>
      </w:r>
    </w:p>
    <w:p w14:paraId="1EE5FD44" w14:textId="77777777" w:rsidR="00D2720D" w:rsidRPr="000B275C" w:rsidRDefault="00D2720D" w:rsidP="00D2720D">
      <w:pPr>
        <w:pStyle w:val="BodyText"/>
        <w:widowControl/>
        <w:spacing w:after="120"/>
        <w:rPr>
          <w:lang w:val="en-US"/>
        </w:rPr>
      </w:pPr>
      <w:proofErr w:type="spellStart"/>
      <w:r w:rsidRPr="00E00DE2">
        <w:t>Panula</w:t>
      </w:r>
      <w:proofErr w:type="spellEnd"/>
      <w:r w:rsidRPr="00E00DE2">
        <w:t xml:space="preserve"> J, </w:t>
      </w:r>
      <w:proofErr w:type="spellStart"/>
      <w:r w:rsidRPr="00E00DE2">
        <w:t>Pihlajamäki</w:t>
      </w:r>
      <w:proofErr w:type="spellEnd"/>
      <w:r w:rsidRPr="00E00DE2">
        <w:t xml:space="preserve"> H, </w:t>
      </w:r>
      <w:proofErr w:type="spellStart"/>
      <w:r w:rsidRPr="00E00DE2">
        <w:t>Mattila</w:t>
      </w:r>
      <w:proofErr w:type="spellEnd"/>
      <w:r w:rsidRPr="00E00DE2">
        <w:t xml:space="preserve"> VM, </w:t>
      </w:r>
      <w:proofErr w:type="spellStart"/>
      <w:r w:rsidRPr="00E00DE2">
        <w:t>Jaatinen</w:t>
      </w:r>
      <w:proofErr w:type="spellEnd"/>
      <w:r w:rsidRPr="00E00DE2">
        <w:t xml:space="preserve"> P, </w:t>
      </w:r>
      <w:proofErr w:type="spellStart"/>
      <w:r w:rsidRPr="00E00DE2">
        <w:t>Vahlberg</w:t>
      </w:r>
      <w:proofErr w:type="spellEnd"/>
      <w:r w:rsidRPr="00E00DE2">
        <w:t xml:space="preserve"> T, </w:t>
      </w:r>
      <w:proofErr w:type="spellStart"/>
      <w:r w:rsidRPr="00E00DE2">
        <w:t>Aarnio</w:t>
      </w:r>
      <w:proofErr w:type="spellEnd"/>
      <w:r w:rsidRPr="00E00DE2">
        <w:t xml:space="preserve"> P &amp; </w:t>
      </w:r>
      <w:proofErr w:type="spellStart"/>
      <w:r w:rsidRPr="00E00DE2">
        <w:t>Kivilä</w:t>
      </w:r>
      <w:proofErr w:type="spellEnd"/>
      <w:r w:rsidRPr="00E00DE2">
        <w:t xml:space="preserve"> S-L. </w:t>
      </w:r>
      <w:r w:rsidRPr="009B25B6">
        <w:rPr>
          <w:lang w:val="en-US"/>
        </w:rPr>
        <w:t>(2011) Mortality and cause of death in hip fracture patients aged 65 or older – a population-based</w:t>
      </w:r>
      <w:r w:rsidRPr="00334E1A">
        <w:rPr>
          <w:lang w:val="en-US"/>
        </w:rPr>
        <w:t xml:space="preserve"> study. BMC Musculoskeletal Disorders </w:t>
      </w:r>
      <w:r w:rsidRPr="000B275C">
        <w:rPr>
          <w:lang w:val="en-US"/>
        </w:rPr>
        <w:t>12:105</w:t>
      </w:r>
      <w:r>
        <w:rPr>
          <w:lang w:val="en-US"/>
        </w:rPr>
        <w:t>.</w:t>
      </w:r>
    </w:p>
    <w:p w14:paraId="7831EBAC" w14:textId="77777777" w:rsidR="00D2720D" w:rsidRDefault="00D2720D" w:rsidP="00D2720D">
      <w:pPr>
        <w:pStyle w:val="BodyText"/>
        <w:widowControl/>
        <w:spacing w:after="120"/>
        <w:rPr>
          <w:lang w:val="en-US"/>
        </w:rPr>
      </w:pPr>
      <w:r w:rsidRPr="00334E1A">
        <w:t xml:space="preserve">PHIME (2011) </w:t>
      </w:r>
      <w:r w:rsidRPr="00334E1A">
        <w:rPr>
          <w:bCs/>
        </w:rPr>
        <w:t xml:space="preserve">Public health impact of long-term, low-level mixed element exposure in susceptible population </w:t>
      </w:r>
      <w:r w:rsidRPr="00D72D3B">
        <w:rPr>
          <w:bCs/>
        </w:rPr>
        <w:t>strata</w:t>
      </w:r>
      <w:r w:rsidRPr="00D72D3B">
        <w:rPr>
          <w:b/>
          <w:bCs/>
        </w:rPr>
        <w:t xml:space="preserve"> </w:t>
      </w:r>
      <w:r w:rsidRPr="00D72D3B">
        <w:rPr>
          <w:rFonts w:cs="TimesNewRomanPSMT"/>
        </w:rPr>
        <w:t xml:space="preserve">Project no. FOOD-CT-2006-016253. Final report, August 2011. </w:t>
      </w:r>
      <w:r>
        <w:rPr>
          <w:rFonts w:cs="TimesNewRomanPSMT"/>
        </w:rPr>
        <w:t xml:space="preserve">Available at: </w:t>
      </w:r>
      <w:hyperlink r:id="rId25" w:history="1">
        <w:r w:rsidRPr="001A1D96">
          <w:rPr>
            <w:lang w:val="en-US"/>
          </w:rPr>
          <w:t>http://www.med.lu.se/labmedlund/amm/forskning/haelsorisker_av_metaller/phime</w:t>
        </w:r>
      </w:hyperlink>
      <w:r>
        <w:rPr>
          <w:lang w:val="en-US"/>
        </w:rPr>
        <w:t xml:space="preserve"> (accessed on 21 June 2017). </w:t>
      </w:r>
    </w:p>
    <w:p w14:paraId="2E2B1AC0" w14:textId="77777777" w:rsidR="00D2720D" w:rsidRPr="00545769" w:rsidRDefault="00D2720D" w:rsidP="00D2720D">
      <w:pPr>
        <w:pStyle w:val="Default"/>
        <w:spacing w:after="120"/>
        <w:rPr>
          <w:rFonts w:ascii="Verdana" w:hAnsi="Verdana" w:cs="Arial"/>
          <w:sz w:val="20"/>
          <w:szCs w:val="20"/>
        </w:rPr>
      </w:pPr>
      <w:proofErr w:type="spellStart"/>
      <w:r w:rsidRPr="00B07814">
        <w:rPr>
          <w:rFonts w:ascii="Verdana" w:hAnsi="Verdana"/>
          <w:bCs/>
          <w:sz w:val="20"/>
          <w:szCs w:val="20"/>
        </w:rPr>
        <w:t>Püringer</w:t>
      </w:r>
      <w:proofErr w:type="spellEnd"/>
      <w:r w:rsidRPr="00B07814">
        <w:rPr>
          <w:rFonts w:ascii="Verdana" w:hAnsi="Verdana"/>
          <w:bCs/>
          <w:sz w:val="20"/>
          <w:szCs w:val="20"/>
        </w:rPr>
        <w:t xml:space="preserve"> J</w:t>
      </w:r>
      <w:r w:rsidRPr="00B07814">
        <w:rPr>
          <w:rFonts w:ascii="Verdana" w:hAnsi="Verdana"/>
          <w:sz w:val="20"/>
          <w:szCs w:val="20"/>
        </w:rPr>
        <w:t xml:space="preserve">. (2011) </w:t>
      </w:r>
      <w:r w:rsidRPr="00B07814">
        <w:rPr>
          <w:rFonts w:ascii="Verdana" w:hAnsi="Verdana"/>
          <w:bCs/>
          <w:sz w:val="20"/>
          <w:szCs w:val="20"/>
        </w:rPr>
        <w:t>Derived Minimal Effect Levels (DMELs): Shortcomings one year after the REACH registration deadline.</w:t>
      </w:r>
      <w:r w:rsidRPr="00B07814">
        <w:rPr>
          <w:rFonts w:ascii="Verdana" w:hAnsi="Verdana" w:cs="Arial"/>
          <w:sz w:val="20"/>
          <w:szCs w:val="20"/>
        </w:rPr>
        <w:t xml:space="preserve"> </w:t>
      </w:r>
      <w:proofErr w:type="spellStart"/>
      <w:r w:rsidRPr="00DE66CF">
        <w:rPr>
          <w:rFonts w:ascii="Verdana" w:hAnsi="Verdana" w:cs="Arial"/>
          <w:i/>
          <w:iCs/>
          <w:sz w:val="20"/>
          <w:szCs w:val="20"/>
          <w:lang w:val="de-DE"/>
        </w:rPr>
        <w:t>Slightly</w:t>
      </w:r>
      <w:proofErr w:type="spellEnd"/>
      <w:r w:rsidRPr="00DE66CF">
        <w:rPr>
          <w:rFonts w:ascii="Verdana" w:hAnsi="Verdana" w:cs="Arial"/>
          <w:i/>
          <w:iCs/>
          <w:sz w:val="20"/>
          <w:szCs w:val="20"/>
          <w:lang w:val="de-DE"/>
        </w:rPr>
        <w:t xml:space="preserve"> </w:t>
      </w:r>
      <w:proofErr w:type="spellStart"/>
      <w:r w:rsidRPr="00DE66CF">
        <w:rPr>
          <w:rFonts w:ascii="Verdana" w:hAnsi="Verdana" w:cs="Arial"/>
          <w:i/>
          <w:iCs/>
          <w:sz w:val="20"/>
          <w:szCs w:val="20"/>
          <w:lang w:val="de-DE"/>
        </w:rPr>
        <w:t>revised</w:t>
      </w:r>
      <w:proofErr w:type="spellEnd"/>
      <w:r w:rsidRPr="00DE66CF">
        <w:rPr>
          <w:rFonts w:ascii="Verdana" w:hAnsi="Verdana" w:cs="Arial"/>
          <w:i/>
          <w:iCs/>
          <w:sz w:val="20"/>
          <w:szCs w:val="20"/>
          <w:lang w:val="de-DE"/>
        </w:rPr>
        <w:t xml:space="preserve"> </w:t>
      </w:r>
      <w:proofErr w:type="spellStart"/>
      <w:r w:rsidRPr="00DE66CF">
        <w:rPr>
          <w:rFonts w:ascii="Verdana" w:hAnsi="Verdana" w:cs="Arial"/>
          <w:i/>
          <w:iCs/>
          <w:sz w:val="20"/>
          <w:szCs w:val="20"/>
          <w:lang w:val="de-DE"/>
        </w:rPr>
        <w:t>translation</w:t>
      </w:r>
      <w:proofErr w:type="spellEnd"/>
      <w:r w:rsidRPr="00DE66CF">
        <w:rPr>
          <w:rFonts w:ascii="Verdana" w:hAnsi="Verdana" w:cs="Arial"/>
          <w:i/>
          <w:iCs/>
          <w:sz w:val="20"/>
          <w:szCs w:val="20"/>
          <w:lang w:val="de-DE"/>
        </w:rPr>
        <w:t xml:space="preserve"> </w:t>
      </w:r>
      <w:proofErr w:type="spellStart"/>
      <w:r w:rsidRPr="00DE66CF">
        <w:rPr>
          <w:rFonts w:ascii="Verdana" w:hAnsi="Verdana" w:cs="Arial"/>
          <w:i/>
          <w:iCs/>
          <w:sz w:val="20"/>
          <w:szCs w:val="20"/>
          <w:lang w:val="de-DE"/>
        </w:rPr>
        <w:t>of</w:t>
      </w:r>
      <w:proofErr w:type="spellEnd"/>
      <w:r w:rsidRPr="00DE66CF">
        <w:rPr>
          <w:rFonts w:ascii="Verdana" w:hAnsi="Verdana" w:cs="Arial"/>
          <w:i/>
          <w:iCs/>
          <w:sz w:val="20"/>
          <w:szCs w:val="20"/>
          <w:lang w:val="de-DE"/>
        </w:rPr>
        <w:t xml:space="preserve"> </w:t>
      </w:r>
      <w:proofErr w:type="spellStart"/>
      <w:r w:rsidRPr="00DE66CF">
        <w:rPr>
          <w:rFonts w:ascii="Verdana" w:hAnsi="Verdana" w:cs="Arial"/>
          <w:i/>
          <w:iCs/>
          <w:sz w:val="20"/>
          <w:szCs w:val="20"/>
          <w:lang w:val="de-DE"/>
        </w:rPr>
        <w:t>the</w:t>
      </w:r>
      <w:proofErr w:type="spellEnd"/>
      <w:r w:rsidRPr="00DE66CF">
        <w:rPr>
          <w:rFonts w:ascii="Verdana" w:hAnsi="Verdana" w:cs="Arial"/>
          <w:i/>
          <w:iCs/>
          <w:sz w:val="20"/>
          <w:szCs w:val="20"/>
          <w:lang w:val="de-DE"/>
        </w:rPr>
        <w:t xml:space="preserve"> original </w:t>
      </w:r>
      <w:proofErr w:type="spellStart"/>
      <w:r w:rsidRPr="00DE66CF">
        <w:rPr>
          <w:rFonts w:ascii="Verdana" w:hAnsi="Verdana" w:cs="Arial"/>
          <w:i/>
          <w:iCs/>
          <w:sz w:val="20"/>
          <w:szCs w:val="20"/>
          <w:lang w:val="de-DE"/>
        </w:rPr>
        <w:t>paper</w:t>
      </w:r>
      <w:proofErr w:type="spellEnd"/>
      <w:r w:rsidRPr="00DE66CF">
        <w:rPr>
          <w:rFonts w:ascii="Verdana" w:hAnsi="Verdana" w:cs="Arial"/>
          <w:i/>
          <w:iCs/>
          <w:sz w:val="20"/>
          <w:szCs w:val="20"/>
          <w:lang w:val="de-DE"/>
        </w:rPr>
        <w:t xml:space="preserve"> </w:t>
      </w:r>
      <w:r w:rsidRPr="00DE66CF">
        <w:rPr>
          <w:rFonts w:ascii="Verdana" w:hAnsi="Verdana" w:cs="Arial"/>
          <w:sz w:val="20"/>
          <w:szCs w:val="20"/>
          <w:lang w:val="de-DE"/>
        </w:rPr>
        <w:t>»</w:t>
      </w:r>
      <w:proofErr w:type="spellStart"/>
      <w:r w:rsidRPr="00DE66CF">
        <w:rPr>
          <w:rFonts w:ascii="Verdana" w:hAnsi="Verdana" w:cs="Arial"/>
          <w:sz w:val="20"/>
          <w:szCs w:val="20"/>
          <w:lang w:val="de-DE"/>
        </w:rPr>
        <w:t>Püringer</w:t>
      </w:r>
      <w:proofErr w:type="spellEnd"/>
      <w:r w:rsidRPr="00DE66CF">
        <w:rPr>
          <w:rFonts w:ascii="Verdana" w:hAnsi="Verdana" w:cs="Arial"/>
          <w:sz w:val="20"/>
          <w:szCs w:val="20"/>
          <w:lang w:val="de-DE"/>
        </w:rPr>
        <w:t xml:space="preserve"> </w:t>
      </w:r>
      <w:proofErr w:type="gramStart"/>
      <w:r w:rsidRPr="00DE66CF">
        <w:rPr>
          <w:rFonts w:ascii="Verdana" w:hAnsi="Verdana" w:cs="Arial"/>
          <w:sz w:val="20"/>
          <w:szCs w:val="20"/>
          <w:lang w:val="de-DE"/>
        </w:rPr>
        <w:t>J.,</w:t>
      </w:r>
      <w:proofErr w:type="gramEnd"/>
      <w:r w:rsidRPr="00DE66CF">
        <w:rPr>
          <w:rFonts w:ascii="Verdana" w:hAnsi="Verdana" w:cs="Arial"/>
          <w:sz w:val="20"/>
          <w:szCs w:val="20"/>
          <w:lang w:val="de-DE"/>
        </w:rPr>
        <w:t xml:space="preserve"> “</w:t>
      </w:r>
      <w:proofErr w:type="spellStart"/>
      <w:r w:rsidRPr="00DE66CF">
        <w:rPr>
          <w:rFonts w:ascii="Verdana" w:hAnsi="Verdana" w:cs="Arial"/>
          <w:sz w:val="20"/>
          <w:szCs w:val="20"/>
          <w:lang w:val="de-DE"/>
        </w:rPr>
        <w:t>Derived</w:t>
      </w:r>
      <w:proofErr w:type="spellEnd"/>
      <w:r w:rsidRPr="00DE66CF">
        <w:rPr>
          <w:rFonts w:ascii="Verdana" w:hAnsi="Verdana" w:cs="Arial"/>
          <w:sz w:val="20"/>
          <w:szCs w:val="20"/>
          <w:lang w:val="de-DE"/>
        </w:rPr>
        <w:t xml:space="preserve"> Minimal </w:t>
      </w:r>
      <w:proofErr w:type="spellStart"/>
      <w:r w:rsidRPr="00DE66CF">
        <w:rPr>
          <w:rFonts w:ascii="Verdana" w:hAnsi="Verdana" w:cs="Arial"/>
          <w:sz w:val="20"/>
          <w:szCs w:val="20"/>
          <w:lang w:val="de-DE"/>
        </w:rPr>
        <w:t>Effect</w:t>
      </w:r>
      <w:proofErr w:type="spellEnd"/>
      <w:r w:rsidRPr="00DE66CF">
        <w:rPr>
          <w:rFonts w:ascii="Verdana" w:hAnsi="Verdana" w:cs="Arial"/>
          <w:sz w:val="20"/>
          <w:szCs w:val="20"/>
          <w:lang w:val="de-DE"/>
        </w:rPr>
        <w:t xml:space="preserve"> Levels” (DMEL): Defizite ein Jahr nach der REACH-</w:t>
      </w:r>
      <w:r w:rsidRPr="00DE66CF">
        <w:rPr>
          <w:rFonts w:ascii="Verdana" w:hAnsi="Verdana" w:cs="Arial"/>
          <w:sz w:val="20"/>
          <w:szCs w:val="20"/>
          <w:lang w:val="de-DE"/>
        </w:rPr>
        <w:lastRenderedPageBreak/>
        <w:t xml:space="preserve">Registrierungspflicht, Gefahrstoffe – Reinhaltung der Luft </w:t>
      </w:r>
      <w:r w:rsidRPr="00DE66CF">
        <w:rPr>
          <w:rFonts w:ascii="Verdana" w:hAnsi="Verdana" w:cs="Arial"/>
          <w:b/>
          <w:bCs/>
          <w:sz w:val="20"/>
          <w:szCs w:val="20"/>
          <w:lang w:val="de-DE"/>
        </w:rPr>
        <w:t xml:space="preserve">71 </w:t>
      </w:r>
      <w:r w:rsidRPr="00DE66CF">
        <w:rPr>
          <w:rFonts w:ascii="Verdana" w:hAnsi="Verdana" w:cs="Arial"/>
          <w:sz w:val="20"/>
          <w:szCs w:val="20"/>
          <w:lang w:val="de-DE"/>
        </w:rPr>
        <w:t>(Nov./</w:t>
      </w:r>
      <w:proofErr w:type="spellStart"/>
      <w:r w:rsidRPr="00DE66CF">
        <w:rPr>
          <w:rFonts w:ascii="Verdana" w:hAnsi="Verdana" w:cs="Arial"/>
          <w:sz w:val="20"/>
          <w:szCs w:val="20"/>
          <w:lang w:val="de-DE"/>
        </w:rPr>
        <w:t>Dec</w:t>
      </w:r>
      <w:proofErr w:type="spellEnd"/>
      <w:r w:rsidRPr="00DE66CF">
        <w:rPr>
          <w:rFonts w:ascii="Verdana" w:hAnsi="Verdana" w:cs="Arial"/>
          <w:sz w:val="20"/>
          <w:szCs w:val="20"/>
          <w:lang w:val="de-DE"/>
        </w:rPr>
        <w:t xml:space="preserve">. 2011), 471–479«. </w:t>
      </w:r>
      <w:r w:rsidRPr="00B07814">
        <w:rPr>
          <w:rFonts w:ascii="Verdana" w:hAnsi="Verdana"/>
          <w:sz w:val="20"/>
          <w:szCs w:val="20"/>
        </w:rPr>
        <w:t>Available at:</w:t>
      </w:r>
      <w:r>
        <w:t></w:t>
      </w:r>
      <w:r w:rsidRPr="00B07814">
        <w:rPr>
          <w:rFonts w:ascii="Verdana" w:hAnsi="Verdana" w:cs="Arial"/>
          <w:iCs/>
          <w:sz w:val="20"/>
          <w:szCs w:val="20"/>
        </w:rPr>
        <w:t>http://www.auva.at/portal27/portal/auvaportal/content/contentWindow?contentid=10008.544427&amp;action=b&amp;cacheability=PAGE</w:t>
      </w:r>
      <w:r>
        <w:rPr>
          <w:rFonts w:ascii="Verdana" w:hAnsi="Verdana" w:cs="Arial"/>
          <w:iCs/>
          <w:sz w:val="20"/>
          <w:szCs w:val="20"/>
        </w:rPr>
        <w:t xml:space="preserve"> (accessed on 21 June 2017)</w:t>
      </w:r>
    </w:p>
    <w:p w14:paraId="46ADF591" w14:textId="77777777" w:rsidR="00D2720D" w:rsidRDefault="00D2720D" w:rsidP="00D2720D">
      <w:pPr>
        <w:pStyle w:val="BodyText"/>
        <w:widowControl/>
        <w:spacing w:after="120"/>
        <w:rPr>
          <w:lang w:val="en-US"/>
        </w:rPr>
      </w:pPr>
      <w:r w:rsidRPr="009B25B6">
        <w:rPr>
          <w:lang w:val="en-US"/>
        </w:rPr>
        <w:t xml:space="preserve">SCOEL/SUM/136, February 2009, </w:t>
      </w:r>
      <w:proofErr w:type="gramStart"/>
      <w:r w:rsidRPr="009B25B6">
        <w:rPr>
          <w:lang w:val="en-US"/>
        </w:rPr>
        <w:t>For</w:t>
      </w:r>
      <w:proofErr w:type="gramEnd"/>
      <w:r w:rsidRPr="009B25B6">
        <w:rPr>
          <w:lang w:val="en-US"/>
        </w:rPr>
        <w:t xml:space="preserve"> public consultation. Recommendation from the Scientific Expert group on Occupational Exposure Limits fo</w:t>
      </w:r>
      <w:r>
        <w:rPr>
          <w:lang w:val="en-US"/>
        </w:rPr>
        <w:t>r Cd and its organic compounds.</w:t>
      </w:r>
    </w:p>
    <w:p w14:paraId="1AB28FE6" w14:textId="77777777" w:rsidR="00D2720D" w:rsidRPr="00B0084D" w:rsidRDefault="00D2720D" w:rsidP="00D2720D">
      <w:pPr>
        <w:pStyle w:val="BodyText"/>
        <w:widowControl/>
        <w:spacing w:after="120"/>
        <w:rPr>
          <w:lang w:val="sv-SE"/>
        </w:rPr>
      </w:pPr>
      <w:r w:rsidRPr="00E36A72">
        <w:rPr>
          <w:lang w:val="sv-SE"/>
        </w:rPr>
        <w:t xml:space="preserve">Sommar JN, Pettersson-Kymmer U, Lundh T, Svensson O, Hallmans G, Bergdahl IA. </w:t>
      </w:r>
      <w:r w:rsidRPr="007A0E00">
        <w:t>(2</w:t>
      </w:r>
      <w:r>
        <w:t>014</w:t>
      </w:r>
      <w:r w:rsidRPr="007A0E00">
        <w:t xml:space="preserve">) Hip fracture risk and cadmium in erythrocytes: A nested case-control study with prospectively collected samples. </w:t>
      </w:r>
      <w:proofErr w:type="spellStart"/>
      <w:r w:rsidRPr="00B0084D">
        <w:rPr>
          <w:lang w:val="sv-SE"/>
        </w:rPr>
        <w:t>Calcified</w:t>
      </w:r>
      <w:proofErr w:type="spellEnd"/>
      <w:r w:rsidRPr="00B0084D">
        <w:rPr>
          <w:lang w:val="sv-SE"/>
        </w:rPr>
        <w:t xml:space="preserve"> </w:t>
      </w:r>
      <w:proofErr w:type="spellStart"/>
      <w:r w:rsidRPr="00B0084D">
        <w:rPr>
          <w:lang w:val="sv-SE"/>
        </w:rPr>
        <w:t>Tissue</w:t>
      </w:r>
      <w:proofErr w:type="spellEnd"/>
      <w:r w:rsidRPr="00B0084D">
        <w:rPr>
          <w:lang w:val="sv-SE"/>
        </w:rPr>
        <w:t xml:space="preserve"> International, 94(2), 183-190. </w:t>
      </w:r>
    </w:p>
    <w:p w14:paraId="4F472453" w14:textId="77777777" w:rsidR="00D2720D" w:rsidRDefault="00D2720D" w:rsidP="00D2720D">
      <w:pPr>
        <w:pStyle w:val="CommentText"/>
        <w:spacing w:after="240"/>
        <w:rPr>
          <w:lang w:val="sv-SE"/>
        </w:rPr>
      </w:pPr>
      <w:r w:rsidRPr="00D65A1D">
        <w:rPr>
          <w:lang w:val="sv-SE"/>
        </w:rPr>
        <w:t xml:space="preserve">Sommar JN, Svensson MK, </w:t>
      </w:r>
      <w:proofErr w:type="spellStart"/>
      <w:r w:rsidRPr="00D65A1D">
        <w:rPr>
          <w:lang w:val="sv-SE"/>
        </w:rPr>
        <w:t>Björ</w:t>
      </w:r>
      <w:proofErr w:type="spellEnd"/>
      <w:r w:rsidRPr="00D65A1D">
        <w:rPr>
          <w:lang w:val="sv-SE"/>
        </w:rPr>
        <w:t xml:space="preserve"> BM, Elmståhl SI, Hallmans G, Lundh T, Schön SM, </w:t>
      </w:r>
      <w:proofErr w:type="spellStart"/>
      <w:r w:rsidRPr="00D65A1D">
        <w:rPr>
          <w:lang w:val="sv-SE"/>
        </w:rPr>
        <w:t>Skerfving</w:t>
      </w:r>
      <w:proofErr w:type="spellEnd"/>
      <w:r w:rsidRPr="00D65A1D">
        <w:rPr>
          <w:lang w:val="sv-SE"/>
        </w:rPr>
        <w:t xml:space="preserve"> S, Bergdahl IA (2013). </w:t>
      </w:r>
      <w:r w:rsidRPr="007A0E00">
        <w:t xml:space="preserve">End-stage renal disease and </w:t>
      </w:r>
      <w:proofErr w:type="gramStart"/>
      <w:r w:rsidRPr="007A0E00">
        <w:t>low level</w:t>
      </w:r>
      <w:proofErr w:type="gramEnd"/>
      <w:r w:rsidRPr="007A0E00">
        <w:t xml:space="preserve"> exposure to lead, cadmium and mercury; a population-based, prospective nested case-referent study in Sweden. </w:t>
      </w:r>
      <w:proofErr w:type="spellStart"/>
      <w:r w:rsidRPr="000B6F96">
        <w:rPr>
          <w:lang w:val="sv-SE"/>
        </w:rPr>
        <w:t>Environ</w:t>
      </w:r>
      <w:proofErr w:type="spellEnd"/>
      <w:r w:rsidRPr="000B6F96">
        <w:rPr>
          <w:lang w:val="sv-SE"/>
        </w:rPr>
        <w:t xml:space="preserve"> Health. 12:9.</w:t>
      </w:r>
    </w:p>
    <w:p w14:paraId="77495FB6" w14:textId="77777777" w:rsidR="00D2720D" w:rsidRDefault="00D2720D" w:rsidP="00D2720D">
      <w:pPr>
        <w:pStyle w:val="BodyText"/>
        <w:rPr>
          <w:rStyle w:val="Hyperlink"/>
        </w:rPr>
      </w:pPr>
      <w:r>
        <w:rPr>
          <w:lang w:val="sv-SE"/>
        </w:rPr>
        <w:t xml:space="preserve">Swedish Chemicals Agency </w:t>
      </w:r>
      <w:r w:rsidRPr="00EE5716">
        <w:rPr>
          <w:lang w:val="sv-SE"/>
        </w:rPr>
        <w:t>(2011)</w:t>
      </w:r>
      <w:r>
        <w:rPr>
          <w:lang w:val="sv-SE"/>
        </w:rPr>
        <w:t xml:space="preserve">. </w:t>
      </w:r>
      <w:r w:rsidRPr="00EE5716">
        <w:rPr>
          <w:lang w:val="sv-SE"/>
        </w:rPr>
        <w:t xml:space="preserve">Kadmiumhalten måste minska–för folkhälsans skull. </w:t>
      </w:r>
      <w:r w:rsidRPr="00EE5716">
        <w:rPr>
          <w:lang w:val="en-US"/>
        </w:rPr>
        <w:t>R</w:t>
      </w:r>
      <w:r>
        <w:rPr>
          <w:lang w:val="en-US"/>
        </w:rPr>
        <w:t xml:space="preserve">eport </w:t>
      </w:r>
      <w:r w:rsidRPr="00EE5716">
        <w:rPr>
          <w:lang w:val="en-US"/>
        </w:rPr>
        <w:t xml:space="preserve">1/11. </w:t>
      </w:r>
      <w:r>
        <w:rPr>
          <w:lang w:val="en-US"/>
        </w:rPr>
        <w:t>Appendix 3</w:t>
      </w:r>
      <w:r w:rsidRPr="00EE5716">
        <w:rPr>
          <w:lang w:val="en-US"/>
        </w:rPr>
        <w:t xml:space="preserve">. Health effects of cadmium in Sweden. </w:t>
      </w:r>
      <w:hyperlink r:id="rId26" w:history="1">
        <w:r w:rsidRPr="004B092A">
          <w:rPr>
            <w:rStyle w:val="Hyperlink"/>
          </w:rPr>
          <w:t>http://www.kemi.se/global/rapporter/2011/rapport-1-11.pdf</w:t>
        </w:r>
      </w:hyperlink>
    </w:p>
    <w:p w14:paraId="54E9C7F8" w14:textId="77777777" w:rsidR="00D2720D" w:rsidRPr="00E00DE2" w:rsidRDefault="00D2720D" w:rsidP="00D2720D">
      <w:pPr>
        <w:pStyle w:val="BodyText"/>
        <w:rPr>
          <w:lang w:val="de-DE"/>
        </w:rPr>
      </w:pPr>
      <w:r w:rsidRPr="000B6F96">
        <w:t xml:space="preserve">Thomas LD, </w:t>
      </w:r>
      <w:proofErr w:type="spellStart"/>
      <w:r w:rsidRPr="000B6F96">
        <w:t>Michaëlsson</w:t>
      </w:r>
      <w:proofErr w:type="spellEnd"/>
      <w:r w:rsidRPr="000B6F96">
        <w:t xml:space="preserve"> K, </w:t>
      </w:r>
      <w:proofErr w:type="spellStart"/>
      <w:r w:rsidRPr="000B6F96">
        <w:t>Julin</w:t>
      </w:r>
      <w:proofErr w:type="spellEnd"/>
      <w:r w:rsidRPr="000B6F96">
        <w:t xml:space="preserve"> B, </w:t>
      </w:r>
      <w:proofErr w:type="spellStart"/>
      <w:r w:rsidRPr="000B6F96">
        <w:t>Wolk</w:t>
      </w:r>
      <w:proofErr w:type="spellEnd"/>
      <w:r w:rsidRPr="000B6F96">
        <w:t xml:space="preserve"> A, </w:t>
      </w:r>
      <w:proofErr w:type="spellStart"/>
      <w:r w:rsidRPr="000B6F96">
        <w:t>Åkesson</w:t>
      </w:r>
      <w:proofErr w:type="spellEnd"/>
      <w:r w:rsidRPr="000B6F96">
        <w:t xml:space="preserve"> A (2011). Dietary cadmium exposure and fracture incidence among men: a population-based prospective cohort study. </w:t>
      </w:r>
      <w:r w:rsidRPr="00E00DE2">
        <w:rPr>
          <w:lang w:val="de-DE"/>
        </w:rPr>
        <w:t xml:space="preserve">J </w:t>
      </w:r>
      <w:proofErr w:type="spellStart"/>
      <w:r w:rsidRPr="00E00DE2">
        <w:rPr>
          <w:lang w:val="de-DE"/>
        </w:rPr>
        <w:t>Bone</w:t>
      </w:r>
      <w:proofErr w:type="spellEnd"/>
      <w:r w:rsidRPr="00E00DE2">
        <w:rPr>
          <w:lang w:val="de-DE"/>
        </w:rPr>
        <w:t xml:space="preserve"> </w:t>
      </w:r>
      <w:proofErr w:type="spellStart"/>
      <w:r w:rsidRPr="00E00DE2">
        <w:rPr>
          <w:lang w:val="de-DE"/>
        </w:rPr>
        <w:t>Miner</w:t>
      </w:r>
      <w:proofErr w:type="spellEnd"/>
      <w:r w:rsidRPr="00E00DE2">
        <w:rPr>
          <w:lang w:val="de-DE"/>
        </w:rPr>
        <w:t xml:space="preserve"> Res. 26:1601-8. </w:t>
      </w:r>
    </w:p>
    <w:p w14:paraId="2DEA4CB0" w14:textId="27A962DE" w:rsidR="00545769" w:rsidRDefault="00D2720D" w:rsidP="00D2720D">
      <w:pPr>
        <w:pStyle w:val="BodyText"/>
        <w:widowControl/>
        <w:spacing w:after="120"/>
        <w:rPr>
          <w:lang w:val="en-US"/>
        </w:rPr>
      </w:pPr>
      <w:proofErr w:type="spellStart"/>
      <w:r w:rsidRPr="00D65A1D">
        <w:rPr>
          <w:lang w:val="de-DE"/>
        </w:rPr>
        <w:t>Wallin</w:t>
      </w:r>
      <w:proofErr w:type="spellEnd"/>
      <w:r w:rsidRPr="00D65A1D">
        <w:rPr>
          <w:lang w:val="de-DE"/>
        </w:rPr>
        <w:t xml:space="preserve"> M, </w:t>
      </w:r>
      <w:proofErr w:type="spellStart"/>
      <w:r w:rsidRPr="00D65A1D">
        <w:rPr>
          <w:lang w:val="de-DE"/>
        </w:rPr>
        <w:t>Barregard</w:t>
      </w:r>
      <w:proofErr w:type="spellEnd"/>
      <w:r w:rsidRPr="00D65A1D">
        <w:rPr>
          <w:lang w:val="de-DE"/>
        </w:rPr>
        <w:t xml:space="preserve"> L, </w:t>
      </w:r>
      <w:proofErr w:type="spellStart"/>
      <w:r w:rsidRPr="00D65A1D">
        <w:rPr>
          <w:lang w:val="de-DE"/>
        </w:rPr>
        <w:t>Sallsten</w:t>
      </w:r>
      <w:proofErr w:type="spellEnd"/>
      <w:r w:rsidRPr="00D65A1D">
        <w:rPr>
          <w:lang w:val="de-DE"/>
        </w:rPr>
        <w:t xml:space="preserve"> G, </w:t>
      </w:r>
      <w:proofErr w:type="spellStart"/>
      <w:r w:rsidRPr="00D65A1D">
        <w:rPr>
          <w:lang w:val="de-DE"/>
        </w:rPr>
        <w:t>Lundh</w:t>
      </w:r>
      <w:proofErr w:type="spellEnd"/>
      <w:r w:rsidRPr="00D65A1D">
        <w:rPr>
          <w:lang w:val="de-DE"/>
        </w:rPr>
        <w:t xml:space="preserve"> T, Karlsson MK, </w:t>
      </w:r>
      <w:proofErr w:type="spellStart"/>
      <w:r w:rsidRPr="00D65A1D">
        <w:rPr>
          <w:lang w:val="de-DE"/>
        </w:rPr>
        <w:t>Lorentzon</w:t>
      </w:r>
      <w:proofErr w:type="spellEnd"/>
      <w:r w:rsidRPr="00D65A1D">
        <w:rPr>
          <w:lang w:val="de-DE"/>
        </w:rPr>
        <w:t xml:space="preserve"> M, </w:t>
      </w:r>
      <w:proofErr w:type="spellStart"/>
      <w:r w:rsidRPr="00D65A1D">
        <w:rPr>
          <w:lang w:val="de-DE"/>
        </w:rPr>
        <w:t>Ohlsson</w:t>
      </w:r>
      <w:proofErr w:type="spellEnd"/>
      <w:r w:rsidRPr="00D65A1D">
        <w:rPr>
          <w:lang w:val="de-DE"/>
        </w:rPr>
        <w:t xml:space="preserve"> C, </w:t>
      </w:r>
      <w:proofErr w:type="spellStart"/>
      <w:r w:rsidRPr="00D65A1D">
        <w:rPr>
          <w:lang w:val="de-DE"/>
        </w:rPr>
        <w:t>Mellstrom</w:t>
      </w:r>
      <w:proofErr w:type="spellEnd"/>
      <w:r w:rsidRPr="00D65A1D">
        <w:rPr>
          <w:lang w:val="de-DE"/>
        </w:rPr>
        <w:t xml:space="preserve"> D (2016). </w:t>
      </w:r>
      <w:r w:rsidRPr="000B6F96">
        <w:t xml:space="preserve">Low-Level Cadmium Exposure Is Associated With Decreased Bone Mineral Density and Increased Risk of Incident Fractures in Elderly Men: The </w:t>
      </w:r>
      <w:proofErr w:type="spellStart"/>
      <w:r w:rsidRPr="000B6F96">
        <w:t>MrOS</w:t>
      </w:r>
      <w:proofErr w:type="spellEnd"/>
      <w:r w:rsidRPr="000B6F96">
        <w:t xml:space="preserve"> Sweden Study. </w:t>
      </w:r>
      <w:r w:rsidRPr="00B0084D">
        <w:t>J Bone Miner Res, 31: 732–741.</w:t>
      </w:r>
    </w:p>
    <w:p w14:paraId="28BAD60E" w14:textId="77777777" w:rsidR="00545769" w:rsidRPr="00C81C2F" w:rsidRDefault="00545769" w:rsidP="00233DCE">
      <w:pPr>
        <w:pStyle w:val="BodyText"/>
        <w:widowControl/>
        <w:spacing w:after="120"/>
      </w:pPr>
    </w:p>
    <w:p w14:paraId="21B41572" w14:textId="6CEC44B1" w:rsidR="00B12C39" w:rsidRDefault="00B12C39" w:rsidP="005857D8">
      <w:pPr>
        <w:pStyle w:val="Heading1"/>
        <w:numPr>
          <w:ilvl w:val="0"/>
          <w:numId w:val="0"/>
        </w:numPr>
      </w:pPr>
      <w:bookmarkStart w:id="438" w:name="_Toc341888678"/>
      <w:bookmarkStart w:id="439" w:name="_Toc342400538"/>
      <w:bookmarkStart w:id="440" w:name="_Toc354499699"/>
      <w:bookmarkStart w:id="441" w:name="_Toc357083777"/>
      <w:bookmarkStart w:id="442" w:name="_Toc357184322"/>
      <w:bookmarkStart w:id="443" w:name="_Toc357184558"/>
      <w:bookmarkStart w:id="444" w:name="_Toc357185360"/>
      <w:bookmarkStart w:id="445" w:name="_Toc357186208"/>
      <w:bookmarkStart w:id="446" w:name="_Toc357186357"/>
      <w:bookmarkStart w:id="447" w:name="_Toc357437646"/>
      <w:bookmarkStart w:id="448" w:name="_Toc357590916"/>
      <w:bookmarkStart w:id="449" w:name="_Toc357692948"/>
      <w:bookmarkStart w:id="450" w:name="_Toc365649776"/>
      <w:bookmarkStart w:id="451" w:name="_Toc365649925"/>
      <w:bookmarkStart w:id="452" w:name="_Toc366489972"/>
      <w:bookmarkStart w:id="453" w:name="_Toc418498647"/>
      <w:bookmarkStart w:id="454" w:name="_Toc418506102"/>
      <w:bookmarkStart w:id="455" w:name="_Toc491435663"/>
      <w:r>
        <w:t>References for Part II</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2A0C71D6" w14:textId="2681537B" w:rsidR="00B711CC" w:rsidRDefault="003C2CF3" w:rsidP="003C2CF3">
      <w:pPr>
        <w:widowControl/>
        <w:autoSpaceDE w:val="0"/>
        <w:autoSpaceDN w:val="0"/>
        <w:adjustRightInd w:val="0"/>
        <w:spacing w:after="120"/>
      </w:pPr>
      <w:r>
        <w:t xml:space="preserve">C&amp;L Inventory database, </w:t>
      </w:r>
      <w:hyperlink r:id="rId27" w:history="1">
        <w:r w:rsidR="00B711CC" w:rsidRPr="00983B69">
          <w:rPr>
            <w:rStyle w:val="Hyperlink"/>
          </w:rPr>
          <w:t>http://echa.europa.eu/web/guest/information-on-chemicals/cl-inventory-database</w:t>
        </w:r>
      </w:hyperlink>
      <w:r w:rsidR="00B711CC">
        <w:t xml:space="preserve"> </w:t>
      </w:r>
      <w:r>
        <w:t>(accessed 8 May 2017)</w:t>
      </w:r>
    </w:p>
    <w:p w14:paraId="1B9AB77F" w14:textId="77777777" w:rsidR="00035D1B" w:rsidRPr="00BF7E41" w:rsidRDefault="00035D1B" w:rsidP="00035D1B">
      <w:pPr>
        <w:widowControl/>
        <w:spacing w:before="100" w:after="120"/>
      </w:pPr>
      <w:r w:rsidRPr="0064680C">
        <w:t xml:space="preserve">ECB (2007) European Union Risk Assessment Report: Cadmium oxide and cadmium metal. </w:t>
      </w:r>
      <w:r w:rsidRPr="00BF7E41">
        <w:t>Part I – Environment. 3</w:t>
      </w:r>
      <w:r w:rsidRPr="00BF7E41">
        <w:rPr>
          <w:vertAlign w:val="superscript"/>
        </w:rPr>
        <w:t>rd</w:t>
      </w:r>
      <w:r w:rsidRPr="00BF7E41">
        <w:t xml:space="preserve"> Priority List, Volume 72, EUR 22919 EN, European Chemicals Bureau. </w:t>
      </w:r>
      <w:r w:rsidRPr="0064680C">
        <w:t>European Union Risk Assessment Report: Cadmium metal. Part II – human health. 3</w:t>
      </w:r>
      <w:r w:rsidRPr="0064680C">
        <w:rPr>
          <w:vertAlign w:val="superscript"/>
        </w:rPr>
        <w:t>rd</w:t>
      </w:r>
      <w:r w:rsidRPr="0064680C">
        <w:t xml:space="preserve"> Priority List, Volume 74, EUR 22767 EN, European Chemicals Bureau.</w:t>
      </w:r>
    </w:p>
    <w:p w14:paraId="53A82FEF" w14:textId="30C8C78C" w:rsidR="00B711CC" w:rsidRDefault="003C2CF3" w:rsidP="00B711CC">
      <w:pPr>
        <w:pStyle w:val="BodyText"/>
      </w:pPr>
      <w:r>
        <w:t xml:space="preserve">ECHA dissemination site, </w:t>
      </w:r>
      <w:hyperlink r:id="rId28" w:history="1">
        <w:r w:rsidR="00B711CC" w:rsidRPr="00983B69">
          <w:rPr>
            <w:rStyle w:val="Hyperlink"/>
          </w:rPr>
          <w:t>https://echa.europa.eu/sv/registration-dossier/-/registered-dossier/2107</w:t>
        </w:r>
      </w:hyperlink>
      <w:r w:rsidR="00B711CC">
        <w:t xml:space="preserve"> (accessed 28 June 2017) </w:t>
      </w:r>
    </w:p>
    <w:p w14:paraId="2D06A0E3" w14:textId="6CC81A5C" w:rsidR="003C2CF3" w:rsidRPr="00386E13" w:rsidRDefault="003C2CF3" w:rsidP="003C2CF3">
      <w:pPr>
        <w:widowControl/>
        <w:autoSpaceDE w:val="0"/>
        <w:autoSpaceDN w:val="0"/>
        <w:adjustRightInd w:val="0"/>
        <w:spacing w:after="120"/>
        <w:rPr>
          <w:rFonts w:cs="TimesNewRomanPSMT"/>
          <w:lang w:val="en-US" w:eastAsia="en-US"/>
        </w:rPr>
      </w:pPr>
      <w:r w:rsidRPr="00BF6A72">
        <w:t>EFSA (2009) European Food Safety Authority</w:t>
      </w:r>
      <w:r>
        <w:t xml:space="preserve">. </w:t>
      </w:r>
      <w:r w:rsidRPr="000D02DD">
        <w:rPr>
          <w:rFonts w:cs="TimesNewRomanPSMT"/>
          <w:lang w:val="en-US" w:eastAsia="en-US"/>
        </w:rPr>
        <w:t>Scientific Opinion of the Panel on Contaminants in the Food Chain</w:t>
      </w:r>
      <w:r>
        <w:rPr>
          <w:rFonts w:cs="TimesNewRomanPSMT"/>
          <w:lang w:val="en-US" w:eastAsia="en-US"/>
        </w:rPr>
        <w:t xml:space="preserve"> on a request from the European </w:t>
      </w:r>
      <w:r w:rsidRPr="000D02DD">
        <w:rPr>
          <w:rFonts w:cs="TimesNewRomanPSMT"/>
          <w:lang w:val="en-US" w:eastAsia="en-US"/>
        </w:rPr>
        <w:t>Commission on cadmium in food.</w:t>
      </w:r>
      <w:r w:rsidRPr="000D02DD">
        <w:t xml:space="preserve"> The EFSA Journal</w:t>
      </w:r>
      <w:r>
        <w:t>,</w:t>
      </w:r>
      <w:r w:rsidRPr="000D02DD">
        <w:t xml:space="preserve"> </w:t>
      </w:r>
      <w:r w:rsidRPr="000D02DD">
        <w:rPr>
          <w:b/>
        </w:rPr>
        <w:t>980</w:t>
      </w:r>
      <w:r w:rsidRPr="000D02DD">
        <w:t>, 1-139.</w:t>
      </w:r>
      <w:r>
        <w:t xml:space="preserve"> Available at: </w:t>
      </w:r>
      <w:hyperlink r:id="rId29" w:history="1">
        <w:r w:rsidRPr="00FB4456">
          <w:rPr>
            <w:rStyle w:val="Hyperlink"/>
          </w:rPr>
          <w:t>http://www.efsa.europa.eu/sites/default/files/scientific_output/files/main_documents/980.pdf</w:t>
        </w:r>
      </w:hyperlink>
      <w:r>
        <w:t xml:space="preserve"> (accessed on 21 June 2017)</w:t>
      </w:r>
    </w:p>
    <w:p w14:paraId="7256FA1B" w14:textId="77777777" w:rsidR="003C2CF3" w:rsidRPr="00D6277D" w:rsidRDefault="003C2CF3" w:rsidP="003C2CF3">
      <w:pPr>
        <w:widowControl/>
        <w:autoSpaceDE w:val="0"/>
        <w:autoSpaceDN w:val="0"/>
        <w:adjustRightInd w:val="0"/>
        <w:spacing w:after="120"/>
        <w:rPr>
          <w:rFonts w:cs="TimesNewRomanPSMT"/>
          <w:color w:val="000000"/>
          <w:lang w:val="sv-SE" w:eastAsia="en-US"/>
        </w:rPr>
      </w:pPr>
      <w:r w:rsidRPr="003F45B3">
        <w:t xml:space="preserve">EFSA (2012) European Food Safety Authority. Cadmium dietary exposure in the European population. </w:t>
      </w:r>
      <w:r w:rsidRPr="00D6277D">
        <w:rPr>
          <w:rFonts w:cs="TimesNewRomanPSMT"/>
          <w:color w:val="000000"/>
          <w:lang w:val="sv-SE" w:eastAsia="en-US"/>
        </w:rPr>
        <w:t xml:space="preserve">EFSA Journal, 2012;10(1):2551 [37 </w:t>
      </w:r>
      <w:proofErr w:type="spellStart"/>
      <w:r w:rsidRPr="00D6277D">
        <w:rPr>
          <w:rFonts w:cs="TimesNewRomanPSMT"/>
          <w:color w:val="000000"/>
          <w:lang w:val="sv-SE" w:eastAsia="en-US"/>
        </w:rPr>
        <w:t>pp</w:t>
      </w:r>
      <w:proofErr w:type="spellEnd"/>
      <w:r w:rsidRPr="00D6277D">
        <w:rPr>
          <w:rFonts w:cs="TimesNewRomanPSMT"/>
          <w:color w:val="000000"/>
          <w:lang w:val="sv-SE" w:eastAsia="en-US"/>
        </w:rPr>
        <w:t xml:space="preserve">.]. </w:t>
      </w:r>
      <w:proofErr w:type="spellStart"/>
      <w:r w:rsidRPr="00D6277D">
        <w:rPr>
          <w:rFonts w:cs="TimesNewRomanPSMT"/>
          <w:color w:val="000000"/>
          <w:lang w:val="sv-SE" w:eastAsia="en-US"/>
        </w:rPr>
        <w:t>Available</w:t>
      </w:r>
      <w:proofErr w:type="spellEnd"/>
      <w:r w:rsidRPr="00D6277D">
        <w:rPr>
          <w:rFonts w:cs="TimesNewRomanPSMT"/>
          <w:color w:val="000000"/>
          <w:lang w:val="sv-SE" w:eastAsia="en-US"/>
        </w:rPr>
        <w:t xml:space="preserve"> online: </w:t>
      </w:r>
      <w:hyperlink r:id="rId30" w:history="1">
        <w:r w:rsidRPr="00D6277D">
          <w:rPr>
            <w:rStyle w:val="Hyperlink"/>
            <w:rFonts w:cs="TimesNewRomanPSMT"/>
            <w:lang w:val="sv-SE" w:eastAsia="en-US"/>
          </w:rPr>
          <w:t>www.efsa.europa.eu/efsajournal</w:t>
        </w:r>
      </w:hyperlink>
      <w:r w:rsidRPr="00D6277D">
        <w:rPr>
          <w:rFonts w:cs="TimesNewRomanPSMT"/>
          <w:color w:val="000000"/>
          <w:lang w:val="sv-SE" w:eastAsia="en-US"/>
        </w:rPr>
        <w:t xml:space="preserve"> </w:t>
      </w:r>
    </w:p>
    <w:p w14:paraId="0DC5CF41" w14:textId="77777777" w:rsidR="003C2CF3" w:rsidRDefault="003C2CF3" w:rsidP="003C2CF3">
      <w:pPr>
        <w:pStyle w:val="BodyText"/>
        <w:widowControl/>
        <w:spacing w:after="120"/>
        <w:rPr>
          <w:lang w:val="en-US"/>
        </w:rPr>
      </w:pPr>
      <w:proofErr w:type="spellStart"/>
      <w:r w:rsidRPr="00EE5716">
        <w:rPr>
          <w:lang w:val="sv-SE"/>
        </w:rPr>
        <w:t>KemI</w:t>
      </w:r>
      <w:proofErr w:type="spellEnd"/>
      <w:r w:rsidRPr="00EE5716">
        <w:rPr>
          <w:lang w:val="sv-SE"/>
        </w:rPr>
        <w:t xml:space="preserve"> (2011) Kadmiumhalten måste minska–för folkhälsans skull. </w:t>
      </w:r>
      <w:r w:rsidRPr="00EE5716">
        <w:rPr>
          <w:lang w:val="en-US"/>
        </w:rPr>
        <w:t xml:space="preserve">Rapport </w:t>
      </w:r>
      <w:proofErr w:type="spellStart"/>
      <w:r w:rsidRPr="00EE5716">
        <w:rPr>
          <w:lang w:val="en-US"/>
        </w:rPr>
        <w:t>Nr</w:t>
      </w:r>
      <w:proofErr w:type="spellEnd"/>
      <w:r w:rsidRPr="00EE5716">
        <w:rPr>
          <w:lang w:val="en-US"/>
        </w:rPr>
        <w:t xml:space="preserve"> 1/11. </w:t>
      </w:r>
      <w:proofErr w:type="spellStart"/>
      <w:r w:rsidRPr="00EE5716">
        <w:rPr>
          <w:lang w:val="en-US"/>
        </w:rPr>
        <w:t>Bilaga</w:t>
      </w:r>
      <w:proofErr w:type="spellEnd"/>
      <w:r w:rsidRPr="00EE5716">
        <w:rPr>
          <w:lang w:val="en-US"/>
        </w:rPr>
        <w:t xml:space="preserve"> 3</w:t>
      </w:r>
      <w:r>
        <w:rPr>
          <w:lang w:val="en-US"/>
        </w:rPr>
        <w:t>:</w:t>
      </w:r>
      <w:r w:rsidRPr="00EE5716">
        <w:rPr>
          <w:lang w:val="en-US"/>
        </w:rPr>
        <w:t xml:space="preserve"> Health effects of cadmium in Sweden. </w:t>
      </w:r>
      <w:r>
        <w:rPr>
          <w:lang w:val="en-US"/>
        </w:rPr>
        <w:t xml:space="preserve">Available at: </w:t>
      </w:r>
      <w:hyperlink r:id="rId31" w:history="1">
        <w:r w:rsidRPr="00FB4456">
          <w:rPr>
            <w:rStyle w:val="Hyperlink"/>
            <w:lang w:val="en-US"/>
          </w:rPr>
          <w:t>https://www.kemi.se/global/rapporter/2011/rapport-1-11.pdf</w:t>
        </w:r>
      </w:hyperlink>
      <w:r>
        <w:rPr>
          <w:lang w:val="en-US"/>
        </w:rPr>
        <w:t xml:space="preserve"> (accessed on 21 June 2017).</w:t>
      </w:r>
    </w:p>
    <w:p w14:paraId="27589FB5" w14:textId="61BA98E4" w:rsidR="003C2CF3" w:rsidRPr="00B711CC" w:rsidRDefault="003C2CF3" w:rsidP="00B711CC">
      <w:pPr>
        <w:pStyle w:val="BodyText"/>
        <w:widowControl/>
        <w:spacing w:after="120"/>
        <w:rPr>
          <w:lang w:val="en-US"/>
        </w:rPr>
      </w:pPr>
      <w:r w:rsidRPr="009B25B6">
        <w:rPr>
          <w:lang w:val="en-US"/>
        </w:rPr>
        <w:lastRenderedPageBreak/>
        <w:t xml:space="preserve">SCOEL/SUM/136, February 2009, </w:t>
      </w:r>
      <w:proofErr w:type="gramStart"/>
      <w:r w:rsidRPr="009B25B6">
        <w:rPr>
          <w:lang w:val="en-US"/>
        </w:rPr>
        <w:t>For</w:t>
      </w:r>
      <w:proofErr w:type="gramEnd"/>
      <w:r w:rsidRPr="009B25B6">
        <w:rPr>
          <w:lang w:val="en-US"/>
        </w:rPr>
        <w:t xml:space="preserve"> public consultation. Recommendation from the Scientific Expert group on Occupational Exposure Limits fo</w:t>
      </w:r>
      <w:r w:rsidR="00B711CC">
        <w:rPr>
          <w:lang w:val="en-US"/>
        </w:rPr>
        <w:t>r Cd and its organic compounds.</w:t>
      </w:r>
    </w:p>
    <w:p w14:paraId="5584C119" w14:textId="6CDAA503" w:rsidR="00B12C39" w:rsidRDefault="00B12C39" w:rsidP="00716967">
      <w:pPr>
        <w:pStyle w:val="Heading1"/>
        <w:numPr>
          <w:ilvl w:val="0"/>
          <w:numId w:val="0"/>
        </w:numPr>
        <w:jc w:val="center"/>
      </w:pPr>
      <w:r>
        <w:br w:type="page"/>
      </w:r>
      <w:bookmarkStart w:id="456" w:name="_Toc316637450"/>
      <w:bookmarkStart w:id="457" w:name="_Toc342400539"/>
      <w:bookmarkStart w:id="458" w:name="_Toc357186358"/>
      <w:bookmarkStart w:id="459" w:name="_Toc357437647"/>
      <w:bookmarkStart w:id="460" w:name="_Toc357590917"/>
      <w:bookmarkStart w:id="461" w:name="_Toc357692949"/>
      <w:bookmarkStart w:id="462" w:name="_Toc365649777"/>
      <w:bookmarkStart w:id="463" w:name="_Toc365649926"/>
      <w:bookmarkStart w:id="464" w:name="_Toc366489973"/>
      <w:bookmarkStart w:id="465" w:name="_Toc418498648"/>
      <w:bookmarkStart w:id="466" w:name="_Toc418506103"/>
      <w:bookmarkStart w:id="467" w:name="_Toc491435664"/>
      <w:bookmarkStart w:id="468" w:name="_Ref298492269"/>
      <w:r w:rsidR="004B4E9E">
        <w:lastRenderedPageBreak/>
        <w:t xml:space="preserve">Annex I </w:t>
      </w:r>
      <w:r w:rsidR="00043E96">
        <w:t xml:space="preserve">- </w:t>
      </w:r>
      <w:r w:rsidRPr="00AF46B4">
        <w:t xml:space="preserve">Additional information on </w:t>
      </w:r>
      <w:r w:rsidR="00C81C2F">
        <w:t>read across approach</w:t>
      </w:r>
      <w:bookmarkEnd w:id="456"/>
      <w:bookmarkEnd w:id="457"/>
      <w:bookmarkEnd w:id="458"/>
      <w:bookmarkEnd w:id="459"/>
      <w:bookmarkEnd w:id="460"/>
      <w:bookmarkEnd w:id="461"/>
      <w:bookmarkEnd w:id="462"/>
      <w:bookmarkEnd w:id="463"/>
      <w:bookmarkEnd w:id="464"/>
      <w:bookmarkEnd w:id="465"/>
      <w:bookmarkEnd w:id="466"/>
      <w:bookmarkEnd w:id="467"/>
    </w:p>
    <w:p w14:paraId="495701F7" w14:textId="4841657D" w:rsidR="00611211" w:rsidRDefault="00C468C9" w:rsidP="00C468C9">
      <w:pPr>
        <w:pStyle w:val="BodyText"/>
        <w:spacing w:after="0"/>
      </w:pPr>
      <w:r>
        <w:t>All inorganic cadmium salts listed in the table below are considered as carcinogenic and toxic to bone and kidney due to the inherent properties of the cadmium ion (Ca</w:t>
      </w:r>
      <w:r>
        <w:rPr>
          <w:vertAlign w:val="superscript"/>
        </w:rPr>
        <w:t>2+</w:t>
      </w:r>
      <w:r>
        <w:t>)</w:t>
      </w:r>
      <w:r w:rsidRPr="00FB7E65">
        <w:rPr>
          <w:rStyle w:val="FootnoteReference"/>
          <w:rFonts w:ascii="Verdana" w:hAnsi="Verdana"/>
          <w:sz w:val="20"/>
        </w:rPr>
        <w:footnoteReference w:id="9"/>
      </w:r>
      <w:r>
        <w:t xml:space="preserve">. Hence, from a toxicological point of view they </w:t>
      </w:r>
      <w:proofErr w:type="gramStart"/>
      <w:r>
        <w:t>can be considered</w:t>
      </w:r>
      <w:proofErr w:type="gramEnd"/>
      <w:r>
        <w:t xml:space="preserve"> as a group </w:t>
      </w:r>
      <w:r w:rsidR="00611211">
        <w:t>based on the presence of the cadmium ion</w:t>
      </w:r>
      <w:r>
        <w:t xml:space="preserve">. </w:t>
      </w:r>
      <w:r w:rsidRPr="00E76D49">
        <w:t xml:space="preserve">It </w:t>
      </w:r>
      <w:proofErr w:type="gramStart"/>
      <w:r w:rsidRPr="00E76D49">
        <w:t>is generally considered</w:t>
      </w:r>
      <w:proofErr w:type="gramEnd"/>
      <w:r w:rsidRPr="00E76D49">
        <w:t xml:space="preserve"> that </w:t>
      </w:r>
      <w:r>
        <w:t xml:space="preserve">the </w:t>
      </w:r>
      <w:r w:rsidRPr="00E76D49">
        <w:t xml:space="preserve">systemic toxicity of </w:t>
      </w:r>
      <w:r>
        <w:t xml:space="preserve">all inorganic cadmium salts </w:t>
      </w:r>
      <w:r w:rsidRPr="00E76D49">
        <w:t>is attributed to the cadmium ion</w:t>
      </w:r>
      <w:r w:rsidRPr="00FB7E65">
        <w:rPr>
          <w:rStyle w:val="FootnoteReference"/>
          <w:rFonts w:ascii="Verdana" w:hAnsi="Verdana"/>
          <w:sz w:val="20"/>
        </w:rPr>
        <w:footnoteReference w:id="10"/>
      </w:r>
      <w:r>
        <w:t>.</w:t>
      </w:r>
    </w:p>
    <w:p w14:paraId="0FDF4A26" w14:textId="77777777" w:rsidR="009C4B95" w:rsidRDefault="009C4B95" w:rsidP="00C468C9">
      <w:pPr>
        <w:pStyle w:val="BodyText"/>
        <w:spacing w:after="0"/>
      </w:pPr>
    </w:p>
    <w:tbl>
      <w:tblPr>
        <w:tblW w:w="53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543"/>
        <w:gridCol w:w="2772"/>
        <w:gridCol w:w="921"/>
        <w:gridCol w:w="925"/>
        <w:gridCol w:w="813"/>
        <w:gridCol w:w="1126"/>
      </w:tblGrid>
      <w:tr w:rsidR="00611211" w:rsidRPr="00FD6087" w14:paraId="4C7EF445" w14:textId="77777777" w:rsidTr="009C4B95">
        <w:trPr>
          <w:trHeight w:val="794"/>
        </w:trPr>
        <w:tc>
          <w:tcPr>
            <w:tcW w:w="797" w:type="pct"/>
            <w:vMerge w:val="restart"/>
            <w:shd w:val="clear" w:color="auto" w:fill="auto"/>
            <w:vAlign w:val="center"/>
          </w:tcPr>
          <w:p w14:paraId="496E8D62" w14:textId="77777777" w:rsidR="00611211" w:rsidRPr="00B92C27" w:rsidRDefault="00611211" w:rsidP="009C4B95">
            <w:pPr>
              <w:autoSpaceDE w:val="0"/>
              <w:autoSpaceDN w:val="0"/>
              <w:adjustRightInd w:val="0"/>
              <w:jc w:val="center"/>
              <w:rPr>
                <w:rFonts w:cs="Times"/>
                <w:b/>
                <w:bCs/>
                <w:sz w:val="16"/>
                <w:szCs w:val="16"/>
                <w:lang w:val="de-DE" w:eastAsia="de-DE"/>
              </w:rPr>
            </w:pPr>
            <w:r w:rsidRPr="00B92C27">
              <w:rPr>
                <w:rFonts w:cs="Times"/>
                <w:b/>
                <w:bCs/>
                <w:sz w:val="16"/>
                <w:szCs w:val="16"/>
                <w:lang w:val="de-DE" w:eastAsia="de-DE"/>
              </w:rPr>
              <w:t xml:space="preserve">Cadmium </w:t>
            </w:r>
            <w:proofErr w:type="spellStart"/>
            <w:r w:rsidRPr="00B92C27">
              <w:rPr>
                <w:rFonts w:cs="Times"/>
                <w:b/>
                <w:bCs/>
                <w:sz w:val="16"/>
                <w:szCs w:val="16"/>
                <w:lang w:val="de-DE" w:eastAsia="de-DE"/>
              </w:rPr>
              <w:t>compound</w:t>
            </w:r>
            <w:proofErr w:type="spellEnd"/>
          </w:p>
        </w:tc>
        <w:tc>
          <w:tcPr>
            <w:tcW w:w="800" w:type="pct"/>
            <w:vMerge w:val="restart"/>
            <w:vAlign w:val="center"/>
          </w:tcPr>
          <w:p w14:paraId="3132BF72" w14:textId="77777777" w:rsidR="00611211" w:rsidRPr="00FD6087" w:rsidRDefault="00611211" w:rsidP="009C4B95">
            <w:pPr>
              <w:autoSpaceDE w:val="0"/>
              <w:autoSpaceDN w:val="0"/>
              <w:adjustRightInd w:val="0"/>
              <w:jc w:val="center"/>
              <w:rPr>
                <w:rFonts w:cs="Times"/>
                <w:b/>
                <w:bCs/>
                <w:sz w:val="16"/>
                <w:szCs w:val="16"/>
                <w:lang w:val="de-DE" w:eastAsia="de-DE"/>
              </w:rPr>
            </w:pPr>
            <w:r>
              <w:rPr>
                <w:rFonts w:cs="Times"/>
                <w:b/>
                <w:bCs/>
                <w:sz w:val="16"/>
                <w:szCs w:val="16"/>
                <w:lang w:val="de-DE" w:eastAsia="de-DE"/>
              </w:rPr>
              <w:t xml:space="preserve">EC </w:t>
            </w:r>
            <w:proofErr w:type="spellStart"/>
            <w:r>
              <w:rPr>
                <w:rFonts w:cs="Times"/>
                <w:b/>
                <w:bCs/>
                <w:sz w:val="16"/>
                <w:szCs w:val="16"/>
                <w:lang w:val="de-DE" w:eastAsia="de-DE"/>
              </w:rPr>
              <w:t>number</w:t>
            </w:r>
            <w:proofErr w:type="spellEnd"/>
          </w:p>
        </w:tc>
        <w:tc>
          <w:tcPr>
            <w:tcW w:w="1438" w:type="pct"/>
            <w:vMerge w:val="restart"/>
            <w:shd w:val="clear" w:color="auto" w:fill="auto"/>
            <w:vAlign w:val="center"/>
          </w:tcPr>
          <w:p w14:paraId="02E73FE6" w14:textId="77777777" w:rsidR="00611211" w:rsidRPr="00FD6087" w:rsidRDefault="00611211" w:rsidP="009C4B95">
            <w:pPr>
              <w:autoSpaceDE w:val="0"/>
              <w:autoSpaceDN w:val="0"/>
              <w:adjustRightInd w:val="0"/>
              <w:jc w:val="center"/>
              <w:rPr>
                <w:rFonts w:cs="Times"/>
                <w:b/>
                <w:bCs/>
                <w:sz w:val="16"/>
                <w:szCs w:val="16"/>
                <w:lang w:val="de-DE" w:eastAsia="de-DE"/>
              </w:rPr>
            </w:pPr>
            <w:proofErr w:type="spellStart"/>
            <w:r w:rsidRPr="00FD6087">
              <w:rPr>
                <w:rFonts w:cs="Times"/>
                <w:b/>
                <w:bCs/>
                <w:sz w:val="16"/>
                <w:szCs w:val="16"/>
                <w:lang w:val="de-DE" w:eastAsia="de-DE"/>
              </w:rPr>
              <w:t>Structural</w:t>
            </w:r>
            <w:proofErr w:type="spellEnd"/>
          </w:p>
          <w:p w14:paraId="7C8B18F7" w14:textId="77777777" w:rsidR="00611211" w:rsidRPr="00FD6087" w:rsidRDefault="00611211" w:rsidP="009C4B95">
            <w:pPr>
              <w:autoSpaceDE w:val="0"/>
              <w:autoSpaceDN w:val="0"/>
              <w:adjustRightInd w:val="0"/>
              <w:jc w:val="center"/>
              <w:rPr>
                <w:rFonts w:cs="Times"/>
                <w:b/>
                <w:bCs/>
                <w:sz w:val="16"/>
                <w:szCs w:val="16"/>
                <w:lang w:val="de-DE" w:eastAsia="de-DE"/>
              </w:rPr>
            </w:pPr>
            <w:proofErr w:type="spellStart"/>
            <w:r w:rsidRPr="00FD6087">
              <w:rPr>
                <w:rFonts w:cs="Times"/>
                <w:b/>
                <w:bCs/>
                <w:sz w:val="16"/>
                <w:szCs w:val="16"/>
                <w:lang w:val="de-DE" w:eastAsia="de-DE"/>
              </w:rPr>
              <w:t>formula</w:t>
            </w:r>
            <w:proofErr w:type="spellEnd"/>
          </w:p>
        </w:tc>
        <w:tc>
          <w:tcPr>
            <w:tcW w:w="1964" w:type="pct"/>
            <w:gridSpan w:val="4"/>
            <w:shd w:val="clear" w:color="auto" w:fill="auto"/>
            <w:vAlign w:val="center"/>
          </w:tcPr>
          <w:p w14:paraId="7F49C7B2" w14:textId="6C5218C1" w:rsidR="00611211" w:rsidRPr="00B92C27" w:rsidRDefault="00611211" w:rsidP="001972D8">
            <w:pPr>
              <w:autoSpaceDE w:val="0"/>
              <w:autoSpaceDN w:val="0"/>
              <w:adjustRightInd w:val="0"/>
              <w:jc w:val="center"/>
              <w:rPr>
                <w:rFonts w:cs="Times"/>
                <w:b/>
                <w:bCs/>
                <w:sz w:val="16"/>
                <w:szCs w:val="16"/>
                <w:lang w:val="de-DE" w:eastAsia="de-DE"/>
              </w:rPr>
            </w:pPr>
            <w:r w:rsidRPr="00FD6087">
              <w:rPr>
                <w:rFonts w:cs="Times"/>
                <w:b/>
                <w:bCs/>
                <w:sz w:val="16"/>
                <w:szCs w:val="16"/>
                <w:lang w:val="de-DE" w:eastAsia="de-DE"/>
              </w:rPr>
              <w:t xml:space="preserve">CLP </w:t>
            </w:r>
            <w:proofErr w:type="spellStart"/>
            <w:r w:rsidRPr="00B92C27">
              <w:rPr>
                <w:rFonts w:cs="Times"/>
                <w:b/>
                <w:bCs/>
                <w:sz w:val="16"/>
                <w:szCs w:val="16"/>
                <w:lang w:val="de-DE" w:eastAsia="de-DE"/>
              </w:rPr>
              <w:t>Harmoni</w:t>
            </w:r>
            <w:r w:rsidR="001972D8">
              <w:rPr>
                <w:rFonts w:cs="Times"/>
                <w:b/>
                <w:bCs/>
                <w:sz w:val="16"/>
                <w:szCs w:val="16"/>
                <w:lang w:val="de-DE" w:eastAsia="de-DE"/>
              </w:rPr>
              <w:t>s</w:t>
            </w:r>
            <w:r w:rsidRPr="00B92C27">
              <w:rPr>
                <w:rFonts w:cs="Times"/>
                <w:b/>
                <w:bCs/>
                <w:sz w:val="16"/>
                <w:szCs w:val="16"/>
                <w:lang w:val="de-DE" w:eastAsia="de-DE"/>
              </w:rPr>
              <w:t>ed</w:t>
            </w:r>
            <w:proofErr w:type="spellEnd"/>
            <w:r w:rsidRPr="00B92C27">
              <w:rPr>
                <w:rFonts w:cs="Times"/>
                <w:b/>
                <w:bCs/>
                <w:sz w:val="16"/>
                <w:szCs w:val="16"/>
                <w:lang w:val="de-DE" w:eastAsia="de-DE"/>
              </w:rPr>
              <w:t xml:space="preserve"> </w:t>
            </w:r>
            <w:proofErr w:type="spellStart"/>
            <w:r w:rsidRPr="00B92C27">
              <w:rPr>
                <w:rFonts w:cs="Times"/>
                <w:b/>
                <w:bCs/>
                <w:sz w:val="16"/>
                <w:szCs w:val="16"/>
                <w:lang w:val="de-DE" w:eastAsia="de-DE"/>
              </w:rPr>
              <w:t>classification</w:t>
            </w:r>
            <w:proofErr w:type="spellEnd"/>
          </w:p>
        </w:tc>
      </w:tr>
      <w:tr w:rsidR="00611211" w:rsidRPr="00FD6087" w14:paraId="72DA8DAB" w14:textId="77777777" w:rsidTr="009C4B95">
        <w:trPr>
          <w:trHeight w:val="313"/>
        </w:trPr>
        <w:tc>
          <w:tcPr>
            <w:tcW w:w="797" w:type="pct"/>
            <w:vMerge/>
            <w:shd w:val="clear" w:color="auto" w:fill="auto"/>
          </w:tcPr>
          <w:p w14:paraId="3D6DD79A" w14:textId="77777777" w:rsidR="00611211" w:rsidRPr="00B92C27" w:rsidRDefault="00611211" w:rsidP="009C4B95">
            <w:pPr>
              <w:autoSpaceDE w:val="0"/>
              <w:autoSpaceDN w:val="0"/>
              <w:adjustRightInd w:val="0"/>
              <w:jc w:val="both"/>
              <w:rPr>
                <w:rFonts w:cs="Times"/>
                <w:b/>
                <w:bCs/>
                <w:sz w:val="16"/>
                <w:szCs w:val="16"/>
                <w:lang w:val="de-DE" w:eastAsia="de-DE"/>
              </w:rPr>
            </w:pPr>
          </w:p>
        </w:tc>
        <w:tc>
          <w:tcPr>
            <w:tcW w:w="800" w:type="pct"/>
            <w:vMerge/>
            <w:vAlign w:val="center"/>
          </w:tcPr>
          <w:p w14:paraId="39F5154C" w14:textId="77777777" w:rsidR="00611211" w:rsidRPr="00FD6087" w:rsidRDefault="00611211" w:rsidP="009C4B95">
            <w:pPr>
              <w:autoSpaceDE w:val="0"/>
              <w:autoSpaceDN w:val="0"/>
              <w:adjustRightInd w:val="0"/>
              <w:jc w:val="center"/>
              <w:rPr>
                <w:rFonts w:cs="Times"/>
                <w:b/>
                <w:bCs/>
                <w:sz w:val="16"/>
                <w:szCs w:val="16"/>
                <w:lang w:val="de-DE" w:eastAsia="de-DE"/>
              </w:rPr>
            </w:pPr>
          </w:p>
        </w:tc>
        <w:tc>
          <w:tcPr>
            <w:tcW w:w="1438" w:type="pct"/>
            <w:vMerge/>
            <w:shd w:val="clear" w:color="auto" w:fill="auto"/>
          </w:tcPr>
          <w:p w14:paraId="0A3EE319" w14:textId="77777777" w:rsidR="00611211" w:rsidRPr="00FD6087" w:rsidRDefault="00611211" w:rsidP="009C4B95">
            <w:pPr>
              <w:autoSpaceDE w:val="0"/>
              <w:autoSpaceDN w:val="0"/>
              <w:adjustRightInd w:val="0"/>
              <w:jc w:val="center"/>
              <w:rPr>
                <w:rFonts w:cs="Times"/>
                <w:b/>
                <w:bCs/>
                <w:sz w:val="16"/>
                <w:szCs w:val="16"/>
                <w:lang w:val="de-DE" w:eastAsia="de-DE"/>
              </w:rPr>
            </w:pPr>
          </w:p>
        </w:tc>
        <w:tc>
          <w:tcPr>
            <w:tcW w:w="478" w:type="pct"/>
            <w:shd w:val="clear" w:color="auto" w:fill="auto"/>
            <w:vAlign w:val="center"/>
          </w:tcPr>
          <w:p w14:paraId="299AEB6F" w14:textId="77777777" w:rsidR="00611211" w:rsidRPr="00B92C27" w:rsidRDefault="00611211" w:rsidP="009C4B95">
            <w:pPr>
              <w:autoSpaceDE w:val="0"/>
              <w:autoSpaceDN w:val="0"/>
              <w:adjustRightInd w:val="0"/>
              <w:jc w:val="center"/>
              <w:rPr>
                <w:rFonts w:cs="Times"/>
                <w:b/>
                <w:bCs/>
                <w:sz w:val="16"/>
                <w:szCs w:val="16"/>
                <w:lang w:val="de-DE" w:eastAsia="de-DE"/>
              </w:rPr>
            </w:pPr>
            <w:proofErr w:type="spellStart"/>
            <w:r>
              <w:rPr>
                <w:rFonts w:cs="Times"/>
                <w:b/>
                <w:bCs/>
                <w:sz w:val="16"/>
                <w:szCs w:val="16"/>
                <w:lang w:val="de-DE" w:eastAsia="de-DE"/>
              </w:rPr>
              <w:t>Carc</w:t>
            </w:r>
            <w:proofErr w:type="spellEnd"/>
          </w:p>
        </w:tc>
        <w:tc>
          <w:tcPr>
            <w:tcW w:w="480" w:type="pct"/>
            <w:shd w:val="clear" w:color="auto" w:fill="auto"/>
            <w:vAlign w:val="center"/>
          </w:tcPr>
          <w:p w14:paraId="3746C164" w14:textId="77777777" w:rsidR="00611211" w:rsidRPr="00B92C27" w:rsidRDefault="00611211" w:rsidP="009C4B95">
            <w:pPr>
              <w:autoSpaceDE w:val="0"/>
              <w:autoSpaceDN w:val="0"/>
              <w:adjustRightInd w:val="0"/>
              <w:jc w:val="center"/>
              <w:rPr>
                <w:rFonts w:cs="Times"/>
                <w:b/>
                <w:bCs/>
                <w:sz w:val="16"/>
                <w:szCs w:val="16"/>
                <w:lang w:val="de-DE" w:eastAsia="de-DE"/>
              </w:rPr>
            </w:pPr>
            <w:proofErr w:type="spellStart"/>
            <w:r>
              <w:rPr>
                <w:rFonts w:cs="Times"/>
                <w:b/>
                <w:bCs/>
                <w:sz w:val="16"/>
                <w:szCs w:val="16"/>
                <w:lang w:val="de-DE" w:eastAsia="de-DE"/>
              </w:rPr>
              <w:t>Muta</w:t>
            </w:r>
            <w:proofErr w:type="spellEnd"/>
          </w:p>
        </w:tc>
        <w:tc>
          <w:tcPr>
            <w:tcW w:w="422" w:type="pct"/>
            <w:shd w:val="clear" w:color="auto" w:fill="auto"/>
            <w:vAlign w:val="center"/>
          </w:tcPr>
          <w:p w14:paraId="3075D86B" w14:textId="77777777" w:rsidR="00611211" w:rsidRPr="00B92C27" w:rsidRDefault="00611211" w:rsidP="009C4B95">
            <w:pPr>
              <w:autoSpaceDE w:val="0"/>
              <w:autoSpaceDN w:val="0"/>
              <w:adjustRightInd w:val="0"/>
              <w:jc w:val="center"/>
              <w:rPr>
                <w:rFonts w:cs="Times"/>
                <w:b/>
                <w:bCs/>
                <w:sz w:val="16"/>
                <w:szCs w:val="16"/>
                <w:lang w:val="de-DE" w:eastAsia="de-DE"/>
              </w:rPr>
            </w:pPr>
            <w:r>
              <w:rPr>
                <w:rFonts w:cs="Times"/>
                <w:b/>
                <w:bCs/>
                <w:sz w:val="16"/>
                <w:szCs w:val="16"/>
                <w:lang w:val="de-DE" w:eastAsia="de-DE"/>
              </w:rPr>
              <w:t>Repro</w:t>
            </w:r>
          </w:p>
        </w:tc>
        <w:tc>
          <w:tcPr>
            <w:tcW w:w="584" w:type="pct"/>
            <w:shd w:val="clear" w:color="auto" w:fill="auto"/>
            <w:vAlign w:val="center"/>
          </w:tcPr>
          <w:p w14:paraId="33FC5877" w14:textId="77777777" w:rsidR="00611211" w:rsidRPr="00B92C27" w:rsidRDefault="00611211" w:rsidP="009C4B95">
            <w:pPr>
              <w:autoSpaceDE w:val="0"/>
              <w:autoSpaceDN w:val="0"/>
              <w:adjustRightInd w:val="0"/>
              <w:jc w:val="center"/>
              <w:rPr>
                <w:rFonts w:cs="Times"/>
                <w:b/>
                <w:bCs/>
                <w:sz w:val="16"/>
                <w:szCs w:val="16"/>
                <w:lang w:val="de-DE" w:eastAsia="de-DE"/>
              </w:rPr>
            </w:pPr>
            <w:r w:rsidRPr="00B92C27">
              <w:rPr>
                <w:rFonts w:cs="Times"/>
                <w:b/>
                <w:bCs/>
                <w:sz w:val="16"/>
                <w:szCs w:val="16"/>
                <w:lang w:val="de-DE" w:eastAsia="de-DE"/>
              </w:rPr>
              <w:t>STOT RE</w:t>
            </w:r>
          </w:p>
        </w:tc>
      </w:tr>
      <w:tr w:rsidR="00611211" w:rsidRPr="00FD6087" w14:paraId="21D77970" w14:textId="77777777" w:rsidTr="009C4B95">
        <w:trPr>
          <w:trHeight w:val="794"/>
        </w:trPr>
        <w:tc>
          <w:tcPr>
            <w:tcW w:w="797" w:type="pct"/>
            <w:shd w:val="clear" w:color="auto" w:fill="auto"/>
            <w:vAlign w:val="center"/>
          </w:tcPr>
          <w:p w14:paraId="4579BB0D" w14:textId="0931BAAF" w:rsidR="00611211" w:rsidRPr="00B92C27" w:rsidRDefault="001C73E1" w:rsidP="00FB7E65">
            <w:pPr>
              <w:autoSpaceDE w:val="0"/>
              <w:autoSpaceDN w:val="0"/>
              <w:adjustRightInd w:val="0"/>
              <w:rPr>
                <w:rFonts w:cs="Times"/>
                <w:bCs/>
                <w:sz w:val="16"/>
                <w:szCs w:val="16"/>
                <w:lang w:val="de-DE" w:eastAsia="de-DE"/>
              </w:rPr>
            </w:pPr>
            <w:r>
              <w:rPr>
                <w:rFonts w:cs="Times"/>
                <w:bCs/>
                <w:sz w:val="16"/>
                <w:szCs w:val="16"/>
                <w:lang w:val="de-DE" w:eastAsia="de-DE"/>
              </w:rPr>
              <w:t xml:space="preserve">Cadmium </w:t>
            </w:r>
            <w:proofErr w:type="spellStart"/>
            <w:r w:rsidR="00FB7E65">
              <w:rPr>
                <w:rFonts w:cs="Times"/>
                <w:bCs/>
                <w:sz w:val="16"/>
                <w:szCs w:val="16"/>
                <w:lang w:val="de-DE" w:eastAsia="de-DE"/>
              </w:rPr>
              <w:t>carbonate</w:t>
            </w:r>
            <w:proofErr w:type="spellEnd"/>
          </w:p>
        </w:tc>
        <w:tc>
          <w:tcPr>
            <w:tcW w:w="800" w:type="pct"/>
            <w:vAlign w:val="center"/>
          </w:tcPr>
          <w:p w14:paraId="6A09CB25" w14:textId="77777777" w:rsidR="00611211" w:rsidRPr="00FD6087" w:rsidRDefault="00611211" w:rsidP="009C4B95">
            <w:pPr>
              <w:autoSpaceDE w:val="0"/>
              <w:autoSpaceDN w:val="0"/>
              <w:adjustRightInd w:val="0"/>
              <w:jc w:val="center"/>
              <w:rPr>
                <w:rFonts w:cs="Times"/>
                <w:bCs/>
                <w:noProof/>
                <w:sz w:val="16"/>
                <w:szCs w:val="16"/>
                <w:lang w:val="sv-SE" w:eastAsia="sv-SE"/>
              </w:rPr>
            </w:pPr>
            <w:r w:rsidRPr="00B44803">
              <w:rPr>
                <w:rFonts w:cs="Times"/>
                <w:bCs/>
                <w:noProof/>
                <w:sz w:val="16"/>
                <w:szCs w:val="16"/>
                <w:lang w:val="sv-SE" w:eastAsia="sv-SE"/>
              </w:rPr>
              <w:t>208-168-9</w:t>
            </w:r>
          </w:p>
        </w:tc>
        <w:tc>
          <w:tcPr>
            <w:tcW w:w="1438" w:type="pct"/>
            <w:shd w:val="clear" w:color="auto" w:fill="auto"/>
            <w:vAlign w:val="center"/>
          </w:tcPr>
          <w:p w14:paraId="14C33A16" w14:textId="77777777" w:rsidR="00611211" w:rsidRPr="00FD6087" w:rsidRDefault="00611211" w:rsidP="009C4B95">
            <w:pPr>
              <w:autoSpaceDE w:val="0"/>
              <w:autoSpaceDN w:val="0"/>
              <w:adjustRightInd w:val="0"/>
              <w:jc w:val="center"/>
              <w:rPr>
                <w:rFonts w:cs="Times"/>
                <w:bCs/>
                <w:sz w:val="16"/>
                <w:szCs w:val="16"/>
                <w:lang w:val="de-DE" w:eastAsia="de-DE"/>
              </w:rPr>
            </w:pPr>
            <w:r w:rsidRPr="00FD6087">
              <w:rPr>
                <w:rFonts w:cs="Times"/>
                <w:bCs/>
                <w:noProof/>
                <w:sz w:val="16"/>
                <w:szCs w:val="16"/>
                <w:lang w:eastAsia="en-GB"/>
              </w:rPr>
              <w:drawing>
                <wp:inline distT="0" distB="0" distL="0" distR="0" wp14:anchorId="687C5CBF" wp14:editId="05FEF5F0">
                  <wp:extent cx="440707" cy="468000"/>
                  <wp:effectExtent l="0" t="0" r="0" b="8255"/>
                  <wp:docPr id="8" name="Bildobjekt 8" descr="\\kemidom.se\root\Skrivbord\helena\Desktop\101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midom.se\root\Skrivbord\helena\Desktop\10122[1].pn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20462" t="15958" r="23408" b="24436"/>
                          <a:stretch/>
                        </pic:blipFill>
                        <pic:spPr bwMode="auto">
                          <a:xfrm>
                            <a:off x="0" y="0"/>
                            <a:ext cx="440707"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8" w:type="pct"/>
            <w:shd w:val="clear" w:color="auto" w:fill="auto"/>
            <w:vAlign w:val="center"/>
          </w:tcPr>
          <w:p w14:paraId="20982A32" w14:textId="77777777" w:rsidR="00611211" w:rsidRPr="00B92C27" w:rsidRDefault="00611211" w:rsidP="009C4B95">
            <w:pPr>
              <w:autoSpaceDE w:val="0"/>
              <w:autoSpaceDN w:val="0"/>
              <w:adjustRightInd w:val="0"/>
              <w:jc w:val="center"/>
              <w:rPr>
                <w:rFonts w:cs="Times"/>
                <w:bCs/>
                <w:sz w:val="16"/>
                <w:szCs w:val="16"/>
                <w:lang w:val="de-DE" w:eastAsia="de-DE"/>
              </w:rPr>
            </w:pPr>
            <w:r>
              <w:rPr>
                <w:rFonts w:cs="Times"/>
                <w:bCs/>
                <w:sz w:val="16"/>
                <w:szCs w:val="16"/>
                <w:lang w:val="de-DE" w:eastAsia="de-DE"/>
              </w:rPr>
              <w:t>1B</w:t>
            </w:r>
          </w:p>
        </w:tc>
        <w:tc>
          <w:tcPr>
            <w:tcW w:w="480" w:type="pct"/>
            <w:shd w:val="clear" w:color="auto" w:fill="auto"/>
            <w:vAlign w:val="center"/>
          </w:tcPr>
          <w:p w14:paraId="08978F97" w14:textId="77777777" w:rsidR="00611211" w:rsidRPr="00B92C27" w:rsidRDefault="00611211" w:rsidP="009C4B95">
            <w:pPr>
              <w:autoSpaceDE w:val="0"/>
              <w:autoSpaceDN w:val="0"/>
              <w:adjustRightInd w:val="0"/>
              <w:jc w:val="center"/>
              <w:rPr>
                <w:rFonts w:cs="Times"/>
                <w:bCs/>
                <w:sz w:val="16"/>
                <w:szCs w:val="16"/>
                <w:lang w:val="de-DE" w:eastAsia="de-DE"/>
              </w:rPr>
            </w:pPr>
            <w:r>
              <w:rPr>
                <w:rFonts w:cs="Times"/>
                <w:bCs/>
                <w:sz w:val="16"/>
                <w:szCs w:val="16"/>
                <w:lang w:val="de-DE" w:eastAsia="de-DE"/>
              </w:rPr>
              <w:t>1B</w:t>
            </w:r>
          </w:p>
        </w:tc>
        <w:tc>
          <w:tcPr>
            <w:tcW w:w="422" w:type="pct"/>
            <w:shd w:val="clear" w:color="auto" w:fill="auto"/>
            <w:vAlign w:val="center"/>
          </w:tcPr>
          <w:p w14:paraId="396C5C03" w14:textId="77777777" w:rsidR="00611211" w:rsidRPr="00B92C27" w:rsidRDefault="00611211" w:rsidP="009C4B95">
            <w:pPr>
              <w:autoSpaceDE w:val="0"/>
              <w:autoSpaceDN w:val="0"/>
              <w:adjustRightInd w:val="0"/>
              <w:jc w:val="center"/>
              <w:rPr>
                <w:rFonts w:cs="Times"/>
                <w:bCs/>
                <w:sz w:val="16"/>
                <w:szCs w:val="16"/>
                <w:lang w:val="de-DE" w:eastAsia="de-DE"/>
              </w:rPr>
            </w:pPr>
          </w:p>
        </w:tc>
        <w:tc>
          <w:tcPr>
            <w:tcW w:w="584" w:type="pct"/>
            <w:shd w:val="clear" w:color="auto" w:fill="auto"/>
            <w:vAlign w:val="center"/>
          </w:tcPr>
          <w:p w14:paraId="0D12B5DC" w14:textId="77777777" w:rsidR="00611211" w:rsidRPr="00B92C27" w:rsidRDefault="00611211" w:rsidP="009C4B95">
            <w:pPr>
              <w:autoSpaceDE w:val="0"/>
              <w:autoSpaceDN w:val="0"/>
              <w:adjustRightInd w:val="0"/>
              <w:jc w:val="center"/>
              <w:rPr>
                <w:rFonts w:cs="Times"/>
                <w:bCs/>
                <w:sz w:val="16"/>
                <w:szCs w:val="16"/>
                <w:lang w:val="de-DE" w:eastAsia="de-DE"/>
              </w:rPr>
            </w:pPr>
            <w:r>
              <w:rPr>
                <w:rFonts w:cs="Times"/>
                <w:bCs/>
                <w:sz w:val="16"/>
                <w:szCs w:val="16"/>
                <w:lang w:val="de-DE" w:eastAsia="de-DE"/>
              </w:rPr>
              <w:t>1</w:t>
            </w:r>
          </w:p>
        </w:tc>
      </w:tr>
      <w:tr w:rsidR="00611211" w:rsidRPr="00FD6087" w14:paraId="12963166" w14:textId="77777777" w:rsidTr="009C4B95">
        <w:trPr>
          <w:trHeight w:val="794"/>
        </w:trPr>
        <w:tc>
          <w:tcPr>
            <w:tcW w:w="797" w:type="pct"/>
            <w:shd w:val="clear" w:color="auto" w:fill="auto"/>
            <w:vAlign w:val="center"/>
          </w:tcPr>
          <w:p w14:paraId="625A8039" w14:textId="77777777" w:rsidR="00611211" w:rsidRPr="00B92C27" w:rsidRDefault="00611211" w:rsidP="009C4B95">
            <w:pPr>
              <w:autoSpaceDE w:val="0"/>
              <w:autoSpaceDN w:val="0"/>
              <w:adjustRightInd w:val="0"/>
              <w:rPr>
                <w:rFonts w:cs="Times"/>
                <w:bCs/>
                <w:sz w:val="16"/>
                <w:szCs w:val="16"/>
                <w:lang w:val="de-DE" w:eastAsia="de-DE"/>
              </w:rPr>
            </w:pPr>
            <w:r w:rsidRPr="00FD6087">
              <w:rPr>
                <w:rFonts w:cs="Times"/>
                <w:bCs/>
                <w:sz w:val="16"/>
                <w:szCs w:val="16"/>
                <w:lang w:val="de-DE" w:eastAsia="de-DE"/>
              </w:rPr>
              <w:t xml:space="preserve">Cadmium </w:t>
            </w:r>
            <w:proofErr w:type="spellStart"/>
            <w:r w:rsidRPr="00FD6087">
              <w:rPr>
                <w:rFonts w:cs="Times"/>
                <w:bCs/>
                <w:sz w:val="16"/>
                <w:szCs w:val="16"/>
                <w:lang w:val="de-DE" w:eastAsia="de-DE"/>
              </w:rPr>
              <w:t>nitrate</w:t>
            </w:r>
            <w:proofErr w:type="spellEnd"/>
          </w:p>
        </w:tc>
        <w:tc>
          <w:tcPr>
            <w:tcW w:w="800" w:type="pct"/>
            <w:vAlign w:val="center"/>
          </w:tcPr>
          <w:p w14:paraId="44F5EFEF" w14:textId="77777777" w:rsidR="00611211" w:rsidRPr="00FD6087" w:rsidRDefault="00611211" w:rsidP="009C4B95">
            <w:pPr>
              <w:autoSpaceDE w:val="0"/>
              <w:autoSpaceDN w:val="0"/>
              <w:adjustRightInd w:val="0"/>
              <w:jc w:val="center"/>
              <w:rPr>
                <w:rFonts w:cs="Times"/>
                <w:bCs/>
                <w:noProof/>
                <w:sz w:val="16"/>
                <w:szCs w:val="16"/>
                <w:lang w:val="sv-SE" w:eastAsia="sv-SE"/>
              </w:rPr>
            </w:pPr>
            <w:r w:rsidRPr="00B44803">
              <w:rPr>
                <w:rFonts w:cs="Times"/>
                <w:bCs/>
                <w:noProof/>
                <w:sz w:val="16"/>
                <w:szCs w:val="16"/>
                <w:lang w:val="sv-SE" w:eastAsia="sv-SE"/>
              </w:rPr>
              <w:t>233-710-6</w:t>
            </w:r>
          </w:p>
        </w:tc>
        <w:tc>
          <w:tcPr>
            <w:tcW w:w="1438" w:type="pct"/>
            <w:shd w:val="clear" w:color="auto" w:fill="auto"/>
            <w:vAlign w:val="center"/>
          </w:tcPr>
          <w:p w14:paraId="2A028CE0" w14:textId="77777777" w:rsidR="00611211" w:rsidRPr="00FD6087" w:rsidRDefault="00611211" w:rsidP="009C4B95">
            <w:pPr>
              <w:autoSpaceDE w:val="0"/>
              <w:autoSpaceDN w:val="0"/>
              <w:adjustRightInd w:val="0"/>
              <w:jc w:val="center"/>
              <w:rPr>
                <w:rFonts w:cs="Times"/>
                <w:bCs/>
                <w:sz w:val="16"/>
                <w:szCs w:val="16"/>
                <w:lang w:val="de-DE" w:eastAsia="de-DE"/>
              </w:rPr>
            </w:pPr>
            <w:r w:rsidRPr="00FD6087">
              <w:rPr>
                <w:rFonts w:cs="Times"/>
                <w:bCs/>
                <w:noProof/>
                <w:sz w:val="16"/>
                <w:szCs w:val="16"/>
                <w:lang w:eastAsia="en-GB"/>
              </w:rPr>
              <w:drawing>
                <wp:inline distT="0" distB="0" distL="0" distR="0" wp14:anchorId="212DB6E8" wp14:editId="71CE9707">
                  <wp:extent cx="1016758" cy="429903"/>
                  <wp:effectExtent l="0" t="0" r="0" b="8255"/>
                  <wp:docPr id="4" name="Bildobjekt 4" descr="\\kemidom.se\root\Skrivbord\helena\Desktop\234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midom.se\root\Skrivbord\helena\Desktop\23498[1].pn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7982" t="32665" r="5915" b="30929"/>
                          <a:stretch/>
                        </pic:blipFill>
                        <pic:spPr bwMode="auto">
                          <a:xfrm>
                            <a:off x="0" y="0"/>
                            <a:ext cx="1060446" cy="44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8" w:type="pct"/>
            <w:shd w:val="clear" w:color="auto" w:fill="auto"/>
            <w:vAlign w:val="center"/>
          </w:tcPr>
          <w:p w14:paraId="3EE33A2D" w14:textId="77777777" w:rsidR="00611211" w:rsidRPr="00B92C27" w:rsidRDefault="00611211" w:rsidP="009C4B95">
            <w:pPr>
              <w:autoSpaceDE w:val="0"/>
              <w:autoSpaceDN w:val="0"/>
              <w:adjustRightInd w:val="0"/>
              <w:jc w:val="center"/>
              <w:rPr>
                <w:rFonts w:cs="Times"/>
                <w:bCs/>
                <w:sz w:val="16"/>
                <w:szCs w:val="16"/>
                <w:lang w:val="de-DE" w:eastAsia="de-DE"/>
              </w:rPr>
            </w:pPr>
            <w:r>
              <w:rPr>
                <w:rFonts w:cs="Times"/>
                <w:bCs/>
                <w:sz w:val="16"/>
                <w:szCs w:val="16"/>
                <w:lang w:val="de-DE" w:eastAsia="de-DE"/>
              </w:rPr>
              <w:t>1B</w:t>
            </w:r>
          </w:p>
        </w:tc>
        <w:tc>
          <w:tcPr>
            <w:tcW w:w="480" w:type="pct"/>
            <w:shd w:val="clear" w:color="auto" w:fill="auto"/>
            <w:vAlign w:val="center"/>
          </w:tcPr>
          <w:p w14:paraId="2E3BB128" w14:textId="77777777" w:rsidR="00611211" w:rsidRPr="00B92C27" w:rsidRDefault="00611211" w:rsidP="009C4B95">
            <w:pPr>
              <w:autoSpaceDE w:val="0"/>
              <w:autoSpaceDN w:val="0"/>
              <w:adjustRightInd w:val="0"/>
              <w:jc w:val="center"/>
              <w:rPr>
                <w:rFonts w:cs="Times"/>
                <w:bCs/>
                <w:sz w:val="16"/>
                <w:szCs w:val="16"/>
                <w:lang w:val="de-DE" w:eastAsia="de-DE"/>
              </w:rPr>
            </w:pPr>
            <w:r>
              <w:rPr>
                <w:rFonts w:cs="Times"/>
                <w:bCs/>
                <w:sz w:val="16"/>
                <w:szCs w:val="16"/>
                <w:lang w:val="de-DE" w:eastAsia="de-DE"/>
              </w:rPr>
              <w:t>1B</w:t>
            </w:r>
          </w:p>
        </w:tc>
        <w:tc>
          <w:tcPr>
            <w:tcW w:w="422" w:type="pct"/>
            <w:shd w:val="clear" w:color="auto" w:fill="auto"/>
            <w:vAlign w:val="center"/>
          </w:tcPr>
          <w:p w14:paraId="43081915" w14:textId="77777777" w:rsidR="00611211" w:rsidRPr="00B92C27" w:rsidRDefault="00611211" w:rsidP="009C4B95">
            <w:pPr>
              <w:autoSpaceDE w:val="0"/>
              <w:autoSpaceDN w:val="0"/>
              <w:adjustRightInd w:val="0"/>
              <w:jc w:val="center"/>
              <w:rPr>
                <w:rFonts w:cs="Times"/>
                <w:bCs/>
                <w:sz w:val="16"/>
                <w:szCs w:val="16"/>
                <w:lang w:val="de-DE" w:eastAsia="de-DE"/>
              </w:rPr>
            </w:pPr>
          </w:p>
        </w:tc>
        <w:tc>
          <w:tcPr>
            <w:tcW w:w="584" w:type="pct"/>
            <w:shd w:val="clear" w:color="auto" w:fill="auto"/>
            <w:vAlign w:val="center"/>
          </w:tcPr>
          <w:p w14:paraId="28B71465" w14:textId="77777777" w:rsidR="00611211" w:rsidRPr="00B92C27" w:rsidRDefault="00611211" w:rsidP="009C4B95">
            <w:pPr>
              <w:autoSpaceDE w:val="0"/>
              <w:autoSpaceDN w:val="0"/>
              <w:adjustRightInd w:val="0"/>
              <w:jc w:val="center"/>
              <w:rPr>
                <w:rFonts w:cs="Times"/>
                <w:bCs/>
                <w:sz w:val="16"/>
                <w:szCs w:val="16"/>
                <w:lang w:val="de-DE" w:eastAsia="de-DE"/>
              </w:rPr>
            </w:pPr>
            <w:r>
              <w:rPr>
                <w:rFonts w:cs="Times"/>
                <w:bCs/>
                <w:sz w:val="16"/>
                <w:szCs w:val="16"/>
                <w:lang w:val="de-DE" w:eastAsia="de-DE"/>
              </w:rPr>
              <w:t>1</w:t>
            </w:r>
          </w:p>
        </w:tc>
      </w:tr>
      <w:tr w:rsidR="00611211" w:rsidRPr="00FD6087" w14:paraId="12F6C6CC" w14:textId="77777777" w:rsidTr="009C4B95">
        <w:trPr>
          <w:trHeight w:val="625"/>
        </w:trPr>
        <w:tc>
          <w:tcPr>
            <w:tcW w:w="797" w:type="pct"/>
            <w:shd w:val="clear" w:color="auto" w:fill="auto"/>
            <w:vAlign w:val="center"/>
          </w:tcPr>
          <w:p w14:paraId="26F1CD34" w14:textId="77777777" w:rsidR="00611211" w:rsidRPr="00B92C27" w:rsidRDefault="00611211" w:rsidP="009C4B95">
            <w:pPr>
              <w:autoSpaceDE w:val="0"/>
              <w:autoSpaceDN w:val="0"/>
              <w:adjustRightInd w:val="0"/>
              <w:rPr>
                <w:rFonts w:cs="Times"/>
                <w:bCs/>
                <w:sz w:val="16"/>
                <w:szCs w:val="16"/>
                <w:lang w:val="de-DE" w:eastAsia="de-DE"/>
              </w:rPr>
            </w:pPr>
            <w:r w:rsidRPr="00B92C27">
              <w:rPr>
                <w:rFonts w:cs="Times"/>
                <w:bCs/>
                <w:sz w:val="16"/>
                <w:szCs w:val="16"/>
                <w:lang w:val="de-DE" w:eastAsia="de-DE"/>
              </w:rPr>
              <w:t xml:space="preserve">Cadmium </w:t>
            </w:r>
            <w:proofErr w:type="spellStart"/>
            <w:r w:rsidRPr="00B92C27">
              <w:rPr>
                <w:rFonts w:cs="Times"/>
                <w:bCs/>
                <w:sz w:val="16"/>
                <w:szCs w:val="16"/>
                <w:lang w:val="de-DE" w:eastAsia="de-DE"/>
              </w:rPr>
              <w:t>chloride</w:t>
            </w:r>
            <w:proofErr w:type="spellEnd"/>
          </w:p>
        </w:tc>
        <w:tc>
          <w:tcPr>
            <w:tcW w:w="800" w:type="pct"/>
            <w:vAlign w:val="center"/>
          </w:tcPr>
          <w:p w14:paraId="255A11BE" w14:textId="77777777" w:rsidR="00611211" w:rsidRPr="00FD6087" w:rsidRDefault="00611211" w:rsidP="009C4B95">
            <w:pPr>
              <w:autoSpaceDE w:val="0"/>
              <w:autoSpaceDN w:val="0"/>
              <w:adjustRightInd w:val="0"/>
              <w:jc w:val="center"/>
              <w:rPr>
                <w:rFonts w:cs="Times"/>
                <w:bCs/>
                <w:noProof/>
                <w:sz w:val="16"/>
                <w:szCs w:val="16"/>
                <w:lang w:val="sv-SE" w:eastAsia="sv-SE"/>
              </w:rPr>
            </w:pPr>
            <w:r w:rsidRPr="00526475">
              <w:rPr>
                <w:rFonts w:cs="Times"/>
                <w:bCs/>
                <w:noProof/>
                <w:sz w:val="16"/>
                <w:szCs w:val="16"/>
                <w:lang w:val="sv-SE" w:eastAsia="sv-SE"/>
              </w:rPr>
              <w:t>233-296-7</w:t>
            </w:r>
          </w:p>
        </w:tc>
        <w:tc>
          <w:tcPr>
            <w:tcW w:w="1438" w:type="pct"/>
            <w:shd w:val="clear" w:color="auto" w:fill="auto"/>
            <w:vAlign w:val="center"/>
          </w:tcPr>
          <w:p w14:paraId="0B67754D" w14:textId="77777777" w:rsidR="00611211" w:rsidRPr="00FD6087" w:rsidRDefault="00611211" w:rsidP="009C4B95">
            <w:pPr>
              <w:autoSpaceDE w:val="0"/>
              <w:autoSpaceDN w:val="0"/>
              <w:adjustRightInd w:val="0"/>
              <w:jc w:val="center"/>
              <w:rPr>
                <w:rFonts w:cs="Times"/>
                <w:bCs/>
                <w:sz w:val="16"/>
                <w:szCs w:val="16"/>
                <w:lang w:val="de-DE" w:eastAsia="de-DE"/>
              </w:rPr>
            </w:pPr>
            <w:r w:rsidRPr="00FD6087">
              <w:rPr>
                <w:rFonts w:cs="Times"/>
                <w:bCs/>
                <w:noProof/>
                <w:sz w:val="16"/>
                <w:szCs w:val="16"/>
                <w:lang w:eastAsia="en-GB"/>
              </w:rPr>
              <w:drawing>
                <wp:inline distT="0" distB="0" distL="0" distR="0" wp14:anchorId="1D84E2F4" wp14:editId="0E03646A">
                  <wp:extent cx="1080713" cy="432000"/>
                  <wp:effectExtent l="0" t="0" r="5715" b="6350"/>
                  <wp:docPr id="5" name="Bildobjekt 5" descr="\\kemidom.se\root\Skrivbord\helena\Desktop\230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midom.se\root\Skrivbord\helena\Desktop\23035[1].png"/>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9481" t="31169" r="5678" b="34917"/>
                          <a:stretch/>
                        </pic:blipFill>
                        <pic:spPr bwMode="auto">
                          <a:xfrm>
                            <a:off x="0" y="0"/>
                            <a:ext cx="1080713"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8" w:type="pct"/>
            <w:shd w:val="clear" w:color="auto" w:fill="auto"/>
            <w:vAlign w:val="center"/>
          </w:tcPr>
          <w:p w14:paraId="1B0BC532" w14:textId="77777777" w:rsidR="00611211" w:rsidRPr="00B92C27" w:rsidRDefault="00611211" w:rsidP="009C4B95">
            <w:pPr>
              <w:autoSpaceDE w:val="0"/>
              <w:autoSpaceDN w:val="0"/>
              <w:adjustRightInd w:val="0"/>
              <w:jc w:val="center"/>
              <w:rPr>
                <w:rFonts w:cs="Times"/>
                <w:bCs/>
                <w:sz w:val="16"/>
                <w:szCs w:val="16"/>
                <w:lang w:val="de-DE" w:eastAsia="de-DE"/>
              </w:rPr>
            </w:pPr>
            <w:r>
              <w:rPr>
                <w:sz w:val="16"/>
                <w:szCs w:val="16"/>
                <w:lang w:eastAsia="sv-SE"/>
              </w:rPr>
              <w:t>1B</w:t>
            </w:r>
          </w:p>
        </w:tc>
        <w:tc>
          <w:tcPr>
            <w:tcW w:w="480" w:type="pct"/>
            <w:shd w:val="clear" w:color="auto" w:fill="auto"/>
            <w:vAlign w:val="center"/>
          </w:tcPr>
          <w:p w14:paraId="2D98C7D0" w14:textId="77777777" w:rsidR="00611211" w:rsidRPr="00B92C27" w:rsidRDefault="00611211" w:rsidP="009C4B95">
            <w:pPr>
              <w:autoSpaceDE w:val="0"/>
              <w:autoSpaceDN w:val="0"/>
              <w:adjustRightInd w:val="0"/>
              <w:jc w:val="center"/>
              <w:rPr>
                <w:sz w:val="16"/>
                <w:szCs w:val="16"/>
                <w:lang w:eastAsia="sv-SE"/>
              </w:rPr>
            </w:pPr>
            <w:r w:rsidRPr="00B92C27">
              <w:rPr>
                <w:sz w:val="16"/>
                <w:szCs w:val="16"/>
                <w:lang w:eastAsia="sv-SE"/>
              </w:rPr>
              <w:t>1B</w:t>
            </w:r>
          </w:p>
        </w:tc>
        <w:tc>
          <w:tcPr>
            <w:tcW w:w="422" w:type="pct"/>
            <w:shd w:val="clear" w:color="auto" w:fill="auto"/>
            <w:vAlign w:val="center"/>
          </w:tcPr>
          <w:p w14:paraId="59363653" w14:textId="77777777" w:rsidR="00611211" w:rsidRPr="00B92C27" w:rsidRDefault="00611211" w:rsidP="009C4B95">
            <w:pPr>
              <w:autoSpaceDE w:val="0"/>
              <w:autoSpaceDN w:val="0"/>
              <w:adjustRightInd w:val="0"/>
              <w:jc w:val="center"/>
              <w:rPr>
                <w:rFonts w:cs="Times"/>
                <w:bCs/>
                <w:sz w:val="16"/>
                <w:szCs w:val="16"/>
                <w:lang w:val="de-DE" w:eastAsia="de-DE"/>
              </w:rPr>
            </w:pPr>
            <w:r w:rsidRPr="00B92C27">
              <w:rPr>
                <w:sz w:val="16"/>
                <w:szCs w:val="16"/>
                <w:lang w:eastAsia="sv-SE"/>
              </w:rPr>
              <w:t>1B</w:t>
            </w:r>
          </w:p>
        </w:tc>
        <w:tc>
          <w:tcPr>
            <w:tcW w:w="584" w:type="pct"/>
            <w:shd w:val="clear" w:color="auto" w:fill="auto"/>
            <w:vAlign w:val="center"/>
          </w:tcPr>
          <w:p w14:paraId="0FCEFE19" w14:textId="77777777" w:rsidR="00611211" w:rsidRPr="00B92C27" w:rsidRDefault="00611211" w:rsidP="009C4B95">
            <w:pPr>
              <w:autoSpaceDE w:val="0"/>
              <w:autoSpaceDN w:val="0"/>
              <w:adjustRightInd w:val="0"/>
              <w:jc w:val="center"/>
              <w:rPr>
                <w:rFonts w:cs="Times"/>
                <w:bCs/>
                <w:sz w:val="16"/>
                <w:szCs w:val="16"/>
                <w:lang w:val="de-DE" w:eastAsia="de-DE"/>
              </w:rPr>
            </w:pPr>
            <w:r>
              <w:rPr>
                <w:sz w:val="16"/>
                <w:szCs w:val="16"/>
                <w:lang w:eastAsia="sv-SE"/>
              </w:rPr>
              <w:t>1</w:t>
            </w:r>
          </w:p>
        </w:tc>
      </w:tr>
      <w:tr w:rsidR="00611211" w:rsidRPr="00FD6087" w14:paraId="16970BF3" w14:textId="77777777" w:rsidTr="009C4B95">
        <w:trPr>
          <w:trHeight w:val="678"/>
        </w:trPr>
        <w:tc>
          <w:tcPr>
            <w:tcW w:w="797" w:type="pct"/>
            <w:shd w:val="clear" w:color="auto" w:fill="auto"/>
            <w:vAlign w:val="center"/>
          </w:tcPr>
          <w:p w14:paraId="20353F0D" w14:textId="77777777" w:rsidR="00611211" w:rsidRPr="00B92C27" w:rsidRDefault="00611211" w:rsidP="009C4B95">
            <w:pPr>
              <w:autoSpaceDE w:val="0"/>
              <w:autoSpaceDN w:val="0"/>
              <w:adjustRightInd w:val="0"/>
              <w:rPr>
                <w:rFonts w:cs="Times"/>
                <w:bCs/>
                <w:sz w:val="16"/>
                <w:szCs w:val="16"/>
                <w:lang w:val="de-DE" w:eastAsia="de-DE"/>
              </w:rPr>
            </w:pPr>
            <w:r w:rsidRPr="00B92C27">
              <w:rPr>
                <w:rFonts w:cs="Times"/>
                <w:bCs/>
                <w:sz w:val="16"/>
                <w:szCs w:val="16"/>
                <w:lang w:val="de-DE" w:eastAsia="de-DE"/>
              </w:rPr>
              <w:t xml:space="preserve">Cadmium </w:t>
            </w:r>
            <w:proofErr w:type="spellStart"/>
            <w:r w:rsidRPr="00B92C27">
              <w:rPr>
                <w:rFonts w:cs="Times"/>
                <w:bCs/>
                <w:sz w:val="16"/>
                <w:szCs w:val="16"/>
                <w:lang w:val="de-DE" w:eastAsia="de-DE"/>
              </w:rPr>
              <w:t>fluoride</w:t>
            </w:r>
            <w:proofErr w:type="spellEnd"/>
          </w:p>
        </w:tc>
        <w:tc>
          <w:tcPr>
            <w:tcW w:w="800" w:type="pct"/>
            <w:vAlign w:val="center"/>
          </w:tcPr>
          <w:p w14:paraId="35C09F61" w14:textId="77777777" w:rsidR="00611211" w:rsidRPr="00FD6087" w:rsidRDefault="00611211" w:rsidP="009C4B95">
            <w:pPr>
              <w:autoSpaceDE w:val="0"/>
              <w:autoSpaceDN w:val="0"/>
              <w:adjustRightInd w:val="0"/>
              <w:jc w:val="center"/>
              <w:rPr>
                <w:rFonts w:cs="Times"/>
                <w:bCs/>
                <w:noProof/>
                <w:sz w:val="16"/>
                <w:szCs w:val="16"/>
                <w:lang w:val="sv-SE" w:eastAsia="sv-SE"/>
              </w:rPr>
            </w:pPr>
            <w:r w:rsidRPr="00526475">
              <w:rPr>
                <w:rFonts w:cs="Times"/>
                <w:bCs/>
                <w:noProof/>
                <w:sz w:val="16"/>
                <w:szCs w:val="16"/>
                <w:lang w:val="sv-SE" w:eastAsia="sv-SE"/>
              </w:rPr>
              <w:t>232-222-0</w:t>
            </w:r>
          </w:p>
        </w:tc>
        <w:tc>
          <w:tcPr>
            <w:tcW w:w="1438" w:type="pct"/>
            <w:shd w:val="clear" w:color="auto" w:fill="auto"/>
            <w:vAlign w:val="center"/>
          </w:tcPr>
          <w:p w14:paraId="39AF14EB" w14:textId="77777777" w:rsidR="00611211" w:rsidRPr="00FD6087" w:rsidRDefault="00611211" w:rsidP="009C4B95">
            <w:pPr>
              <w:autoSpaceDE w:val="0"/>
              <w:autoSpaceDN w:val="0"/>
              <w:adjustRightInd w:val="0"/>
              <w:jc w:val="center"/>
              <w:rPr>
                <w:rFonts w:cs="Times"/>
                <w:bCs/>
                <w:sz w:val="16"/>
                <w:szCs w:val="16"/>
                <w:lang w:val="de-DE" w:eastAsia="de-DE"/>
              </w:rPr>
            </w:pPr>
            <w:r w:rsidRPr="00FD6087">
              <w:rPr>
                <w:rFonts w:cs="Times"/>
                <w:bCs/>
                <w:noProof/>
                <w:sz w:val="16"/>
                <w:szCs w:val="16"/>
                <w:lang w:eastAsia="en-GB"/>
              </w:rPr>
              <w:drawing>
                <wp:inline distT="0" distB="0" distL="0" distR="0" wp14:anchorId="332FEBB5" wp14:editId="5072573E">
                  <wp:extent cx="458588" cy="288000"/>
                  <wp:effectExtent l="0" t="0" r="0" b="0"/>
                  <wp:docPr id="6" name="Bildobjekt 6" descr="\\kemidom.se\root\Skrivbord\helena\Desktop\230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midom.se\root\Skrivbord\helena\Desktop\23036[1].png"/>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24702" t="34909" r="21675" b="31414"/>
                          <a:stretch/>
                        </pic:blipFill>
                        <pic:spPr bwMode="auto">
                          <a:xfrm>
                            <a:off x="0" y="0"/>
                            <a:ext cx="458588" cy="28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8" w:type="pct"/>
            <w:shd w:val="clear" w:color="auto" w:fill="auto"/>
            <w:vAlign w:val="center"/>
          </w:tcPr>
          <w:p w14:paraId="0CC25C8E" w14:textId="77777777" w:rsidR="00611211" w:rsidRPr="00B92C27" w:rsidRDefault="00611211" w:rsidP="009C4B95">
            <w:pPr>
              <w:autoSpaceDE w:val="0"/>
              <w:autoSpaceDN w:val="0"/>
              <w:adjustRightInd w:val="0"/>
              <w:jc w:val="center"/>
              <w:rPr>
                <w:rFonts w:cs="Times"/>
                <w:bCs/>
                <w:sz w:val="16"/>
                <w:szCs w:val="16"/>
                <w:lang w:val="de-DE" w:eastAsia="de-DE"/>
              </w:rPr>
            </w:pPr>
            <w:r>
              <w:rPr>
                <w:sz w:val="16"/>
                <w:szCs w:val="16"/>
                <w:lang w:eastAsia="sv-SE"/>
              </w:rPr>
              <w:t>1B</w:t>
            </w:r>
          </w:p>
        </w:tc>
        <w:tc>
          <w:tcPr>
            <w:tcW w:w="480" w:type="pct"/>
            <w:shd w:val="clear" w:color="auto" w:fill="auto"/>
            <w:vAlign w:val="center"/>
          </w:tcPr>
          <w:p w14:paraId="17657D9E" w14:textId="77777777" w:rsidR="00611211" w:rsidRPr="00B92C27" w:rsidRDefault="00611211" w:rsidP="009C4B95">
            <w:pPr>
              <w:autoSpaceDE w:val="0"/>
              <w:autoSpaceDN w:val="0"/>
              <w:adjustRightInd w:val="0"/>
              <w:jc w:val="center"/>
              <w:rPr>
                <w:sz w:val="16"/>
                <w:szCs w:val="16"/>
                <w:lang w:eastAsia="sv-SE"/>
              </w:rPr>
            </w:pPr>
            <w:r w:rsidRPr="00B92C27">
              <w:rPr>
                <w:sz w:val="16"/>
                <w:szCs w:val="16"/>
                <w:lang w:eastAsia="sv-SE"/>
              </w:rPr>
              <w:t>1B</w:t>
            </w:r>
          </w:p>
        </w:tc>
        <w:tc>
          <w:tcPr>
            <w:tcW w:w="422" w:type="pct"/>
            <w:shd w:val="clear" w:color="auto" w:fill="auto"/>
            <w:vAlign w:val="center"/>
          </w:tcPr>
          <w:p w14:paraId="2B90DB8F" w14:textId="77777777" w:rsidR="00611211" w:rsidRPr="00B92C27" w:rsidRDefault="00611211" w:rsidP="009C4B95">
            <w:pPr>
              <w:autoSpaceDE w:val="0"/>
              <w:autoSpaceDN w:val="0"/>
              <w:adjustRightInd w:val="0"/>
              <w:jc w:val="center"/>
              <w:rPr>
                <w:rFonts w:cs="Times"/>
                <w:bCs/>
                <w:sz w:val="16"/>
                <w:szCs w:val="16"/>
                <w:lang w:val="de-DE" w:eastAsia="de-DE"/>
              </w:rPr>
            </w:pPr>
            <w:r w:rsidRPr="00B92C27">
              <w:rPr>
                <w:sz w:val="16"/>
                <w:szCs w:val="16"/>
                <w:lang w:eastAsia="sv-SE"/>
              </w:rPr>
              <w:t>1B</w:t>
            </w:r>
          </w:p>
        </w:tc>
        <w:tc>
          <w:tcPr>
            <w:tcW w:w="584" w:type="pct"/>
            <w:shd w:val="clear" w:color="auto" w:fill="auto"/>
            <w:vAlign w:val="center"/>
          </w:tcPr>
          <w:p w14:paraId="6F43C986" w14:textId="77777777" w:rsidR="00611211" w:rsidRPr="00B92C27" w:rsidRDefault="00611211" w:rsidP="009C4B95">
            <w:pPr>
              <w:autoSpaceDE w:val="0"/>
              <w:autoSpaceDN w:val="0"/>
              <w:adjustRightInd w:val="0"/>
              <w:jc w:val="center"/>
              <w:rPr>
                <w:rFonts w:cs="Times"/>
                <w:bCs/>
                <w:sz w:val="16"/>
                <w:szCs w:val="16"/>
                <w:lang w:val="de-DE" w:eastAsia="de-DE"/>
              </w:rPr>
            </w:pPr>
            <w:r>
              <w:rPr>
                <w:sz w:val="16"/>
                <w:szCs w:val="16"/>
                <w:lang w:eastAsia="sv-SE"/>
              </w:rPr>
              <w:t>1</w:t>
            </w:r>
          </w:p>
        </w:tc>
      </w:tr>
      <w:tr w:rsidR="00611211" w:rsidRPr="00FD6087" w14:paraId="0451DBFB" w14:textId="77777777" w:rsidTr="009C4B95">
        <w:trPr>
          <w:trHeight w:val="794"/>
        </w:trPr>
        <w:tc>
          <w:tcPr>
            <w:tcW w:w="797" w:type="pct"/>
            <w:shd w:val="clear" w:color="auto" w:fill="auto"/>
            <w:vAlign w:val="center"/>
          </w:tcPr>
          <w:p w14:paraId="3BB21CE7" w14:textId="77777777" w:rsidR="00611211" w:rsidRPr="00CB201D" w:rsidRDefault="00611211" w:rsidP="009C4B95">
            <w:pPr>
              <w:autoSpaceDE w:val="0"/>
              <w:autoSpaceDN w:val="0"/>
              <w:adjustRightInd w:val="0"/>
              <w:rPr>
                <w:rFonts w:cs="Times"/>
                <w:bCs/>
                <w:sz w:val="16"/>
                <w:szCs w:val="16"/>
                <w:vertAlign w:val="superscript"/>
                <w:lang w:val="de-DE" w:eastAsia="de-DE"/>
              </w:rPr>
            </w:pPr>
            <w:r w:rsidRPr="00B92C27">
              <w:rPr>
                <w:rFonts w:cs="Times"/>
                <w:bCs/>
                <w:sz w:val="16"/>
                <w:szCs w:val="16"/>
                <w:lang w:val="de-DE" w:eastAsia="de-DE"/>
              </w:rPr>
              <w:t xml:space="preserve">Cadmium </w:t>
            </w:r>
            <w:proofErr w:type="spellStart"/>
            <w:r w:rsidRPr="00B92C27">
              <w:rPr>
                <w:rFonts w:cs="Times"/>
                <w:bCs/>
                <w:sz w:val="16"/>
                <w:szCs w:val="16"/>
                <w:lang w:val="de-DE" w:eastAsia="de-DE"/>
              </w:rPr>
              <w:t>hydroxide</w:t>
            </w:r>
            <w:proofErr w:type="spellEnd"/>
          </w:p>
        </w:tc>
        <w:tc>
          <w:tcPr>
            <w:tcW w:w="800" w:type="pct"/>
            <w:vAlign w:val="center"/>
          </w:tcPr>
          <w:p w14:paraId="3B0BA987" w14:textId="77777777" w:rsidR="00611211" w:rsidRPr="00FD6087" w:rsidRDefault="00611211" w:rsidP="009C4B95">
            <w:pPr>
              <w:autoSpaceDE w:val="0"/>
              <w:autoSpaceDN w:val="0"/>
              <w:adjustRightInd w:val="0"/>
              <w:jc w:val="center"/>
              <w:rPr>
                <w:rFonts w:cs="Times"/>
                <w:bCs/>
                <w:noProof/>
                <w:sz w:val="16"/>
                <w:szCs w:val="16"/>
                <w:lang w:val="sv-SE" w:eastAsia="sv-SE"/>
              </w:rPr>
            </w:pPr>
            <w:r w:rsidRPr="00B44803">
              <w:rPr>
                <w:rFonts w:cs="Times"/>
                <w:bCs/>
                <w:noProof/>
                <w:sz w:val="16"/>
                <w:szCs w:val="16"/>
                <w:lang w:val="sv-SE" w:eastAsia="sv-SE"/>
              </w:rPr>
              <w:t>244-168-5</w:t>
            </w:r>
          </w:p>
        </w:tc>
        <w:tc>
          <w:tcPr>
            <w:tcW w:w="1438" w:type="pct"/>
            <w:shd w:val="clear" w:color="auto" w:fill="auto"/>
            <w:vAlign w:val="center"/>
          </w:tcPr>
          <w:p w14:paraId="49737131" w14:textId="77777777" w:rsidR="00611211" w:rsidRPr="00FD6087" w:rsidRDefault="00611211" w:rsidP="009C4B95">
            <w:pPr>
              <w:autoSpaceDE w:val="0"/>
              <w:autoSpaceDN w:val="0"/>
              <w:adjustRightInd w:val="0"/>
              <w:rPr>
                <w:rFonts w:cs="Times"/>
                <w:bCs/>
                <w:sz w:val="16"/>
                <w:szCs w:val="16"/>
                <w:lang w:val="de-DE" w:eastAsia="de-DE"/>
              </w:rPr>
            </w:pPr>
            <w:r w:rsidRPr="00FD6087">
              <w:rPr>
                <w:rFonts w:cs="Times"/>
                <w:bCs/>
                <w:noProof/>
                <w:sz w:val="16"/>
                <w:szCs w:val="16"/>
                <w:lang w:eastAsia="en-GB"/>
              </w:rPr>
              <w:drawing>
                <wp:inline distT="0" distB="0" distL="0" distR="0" wp14:anchorId="4D89D338" wp14:editId="3B78E230">
                  <wp:extent cx="1244315" cy="468000"/>
                  <wp:effectExtent l="0" t="0" r="0" b="8255"/>
                  <wp:docPr id="7" name="Bildobjekt 7" descr="\\kemidom.se\root\Skrivbord\helena\Desktop\84886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midom.se\root\Skrivbord\helena\Desktop\8488675[1].png"/>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4744" t="31418" r="6390" b="35159"/>
                          <a:stretch/>
                        </pic:blipFill>
                        <pic:spPr bwMode="auto">
                          <a:xfrm>
                            <a:off x="0" y="0"/>
                            <a:ext cx="1244315"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8" w:type="pct"/>
            <w:shd w:val="clear" w:color="auto" w:fill="auto"/>
            <w:vAlign w:val="center"/>
          </w:tcPr>
          <w:p w14:paraId="6CCA33C6" w14:textId="77777777" w:rsidR="00611211" w:rsidRPr="00B92C27" w:rsidRDefault="00611211" w:rsidP="009C4B95">
            <w:pPr>
              <w:autoSpaceDE w:val="0"/>
              <w:autoSpaceDN w:val="0"/>
              <w:adjustRightInd w:val="0"/>
              <w:spacing w:before="120" w:after="120"/>
              <w:jc w:val="center"/>
              <w:rPr>
                <w:sz w:val="16"/>
                <w:szCs w:val="16"/>
                <w:lang w:eastAsia="sv-SE"/>
              </w:rPr>
            </w:pPr>
            <w:r>
              <w:rPr>
                <w:sz w:val="16"/>
                <w:szCs w:val="16"/>
                <w:lang w:eastAsia="sv-SE"/>
              </w:rPr>
              <w:t>1B</w:t>
            </w:r>
          </w:p>
        </w:tc>
        <w:tc>
          <w:tcPr>
            <w:tcW w:w="480" w:type="pct"/>
            <w:shd w:val="clear" w:color="auto" w:fill="auto"/>
            <w:vAlign w:val="center"/>
          </w:tcPr>
          <w:p w14:paraId="24311E01" w14:textId="77777777" w:rsidR="00611211" w:rsidRPr="00B92C27" w:rsidRDefault="00611211" w:rsidP="009C4B95">
            <w:pPr>
              <w:autoSpaceDE w:val="0"/>
              <w:autoSpaceDN w:val="0"/>
              <w:adjustRightInd w:val="0"/>
              <w:jc w:val="center"/>
              <w:rPr>
                <w:rFonts w:cs="Times"/>
                <w:bCs/>
                <w:sz w:val="16"/>
                <w:szCs w:val="16"/>
                <w:lang w:val="de-DE" w:eastAsia="de-DE"/>
              </w:rPr>
            </w:pPr>
            <w:r>
              <w:rPr>
                <w:rFonts w:cs="Times"/>
                <w:bCs/>
                <w:sz w:val="16"/>
                <w:szCs w:val="16"/>
                <w:lang w:val="de-DE" w:eastAsia="de-DE"/>
              </w:rPr>
              <w:t>1B</w:t>
            </w:r>
          </w:p>
        </w:tc>
        <w:tc>
          <w:tcPr>
            <w:tcW w:w="422" w:type="pct"/>
            <w:shd w:val="clear" w:color="auto" w:fill="auto"/>
            <w:vAlign w:val="center"/>
          </w:tcPr>
          <w:p w14:paraId="0B58D592" w14:textId="77777777" w:rsidR="00611211" w:rsidRPr="00B92C27" w:rsidRDefault="00611211" w:rsidP="009C4B95">
            <w:pPr>
              <w:autoSpaceDE w:val="0"/>
              <w:autoSpaceDN w:val="0"/>
              <w:adjustRightInd w:val="0"/>
              <w:jc w:val="center"/>
              <w:rPr>
                <w:rFonts w:cs="Times"/>
                <w:bCs/>
                <w:sz w:val="16"/>
                <w:szCs w:val="16"/>
                <w:lang w:val="de-DE" w:eastAsia="de-DE"/>
              </w:rPr>
            </w:pPr>
          </w:p>
        </w:tc>
        <w:tc>
          <w:tcPr>
            <w:tcW w:w="584" w:type="pct"/>
            <w:shd w:val="clear" w:color="auto" w:fill="auto"/>
            <w:vAlign w:val="center"/>
          </w:tcPr>
          <w:p w14:paraId="6A060745" w14:textId="77777777" w:rsidR="00611211" w:rsidRPr="00B92C27" w:rsidRDefault="00611211" w:rsidP="009C4B95">
            <w:pPr>
              <w:autoSpaceDE w:val="0"/>
              <w:autoSpaceDN w:val="0"/>
              <w:adjustRightInd w:val="0"/>
              <w:jc w:val="center"/>
              <w:rPr>
                <w:rFonts w:cs="Times"/>
                <w:bCs/>
                <w:sz w:val="16"/>
                <w:szCs w:val="16"/>
                <w:lang w:val="de-DE" w:eastAsia="de-DE"/>
              </w:rPr>
            </w:pPr>
            <w:r>
              <w:rPr>
                <w:rFonts w:cs="Times"/>
                <w:bCs/>
                <w:sz w:val="16"/>
                <w:szCs w:val="16"/>
                <w:lang w:val="de-DE" w:eastAsia="de-DE"/>
              </w:rPr>
              <w:t>1</w:t>
            </w:r>
          </w:p>
        </w:tc>
      </w:tr>
      <w:tr w:rsidR="00611211" w:rsidRPr="00FD6087" w14:paraId="42F5E2CD" w14:textId="77777777" w:rsidTr="009C4B95">
        <w:trPr>
          <w:trHeight w:val="794"/>
        </w:trPr>
        <w:tc>
          <w:tcPr>
            <w:tcW w:w="797" w:type="pct"/>
            <w:shd w:val="clear" w:color="auto" w:fill="auto"/>
            <w:vAlign w:val="center"/>
          </w:tcPr>
          <w:p w14:paraId="5370CD9A" w14:textId="77777777" w:rsidR="00611211" w:rsidRPr="00CB201D" w:rsidRDefault="00611211" w:rsidP="009C4B95">
            <w:pPr>
              <w:autoSpaceDE w:val="0"/>
              <w:autoSpaceDN w:val="0"/>
              <w:adjustRightInd w:val="0"/>
              <w:rPr>
                <w:rFonts w:cs="Times"/>
                <w:bCs/>
                <w:sz w:val="16"/>
                <w:szCs w:val="16"/>
                <w:vertAlign w:val="superscript"/>
                <w:lang w:val="de-DE" w:eastAsia="de-DE"/>
              </w:rPr>
            </w:pPr>
            <w:r w:rsidRPr="00B92C27">
              <w:rPr>
                <w:rFonts w:cs="Times"/>
                <w:bCs/>
                <w:sz w:val="16"/>
                <w:szCs w:val="16"/>
                <w:lang w:val="de-DE" w:eastAsia="de-DE"/>
              </w:rPr>
              <w:t xml:space="preserve">Cadmium </w:t>
            </w:r>
            <w:proofErr w:type="spellStart"/>
            <w:r w:rsidRPr="00B92C27">
              <w:rPr>
                <w:rFonts w:cs="Times"/>
                <w:bCs/>
                <w:sz w:val="16"/>
                <w:szCs w:val="16"/>
                <w:lang w:val="de-DE" w:eastAsia="de-DE"/>
              </w:rPr>
              <w:t>sulphate</w:t>
            </w:r>
            <w:proofErr w:type="spellEnd"/>
          </w:p>
        </w:tc>
        <w:tc>
          <w:tcPr>
            <w:tcW w:w="800" w:type="pct"/>
            <w:vAlign w:val="center"/>
          </w:tcPr>
          <w:p w14:paraId="298C673C" w14:textId="77777777" w:rsidR="00611211" w:rsidRPr="00FD6087" w:rsidRDefault="00611211" w:rsidP="009C4B95">
            <w:pPr>
              <w:autoSpaceDE w:val="0"/>
              <w:autoSpaceDN w:val="0"/>
              <w:adjustRightInd w:val="0"/>
              <w:jc w:val="center"/>
              <w:rPr>
                <w:rFonts w:cs="Times"/>
                <w:bCs/>
                <w:noProof/>
                <w:sz w:val="16"/>
                <w:szCs w:val="16"/>
                <w:lang w:val="sv-SE" w:eastAsia="sv-SE"/>
              </w:rPr>
            </w:pPr>
            <w:r w:rsidRPr="00526475">
              <w:rPr>
                <w:rFonts w:cs="Times"/>
                <w:bCs/>
                <w:noProof/>
                <w:sz w:val="16"/>
                <w:szCs w:val="16"/>
                <w:lang w:val="sv-SE" w:eastAsia="sv-SE"/>
              </w:rPr>
              <w:t>233-331-6</w:t>
            </w:r>
          </w:p>
        </w:tc>
        <w:tc>
          <w:tcPr>
            <w:tcW w:w="1438" w:type="pct"/>
            <w:shd w:val="clear" w:color="auto" w:fill="auto"/>
          </w:tcPr>
          <w:p w14:paraId="0A613DEB" w14:textId="77777777" w:rsidR="00611211" w:rsidRPr="00FD6087" w:rsidRDefault="00611211" w:rsidP="009C4B95">
            <w:pPr>
              <w:autoSpaceDE w:val="0"/>
              <w:autoSpaceDN w:val="0"/>
              <w:adjustRightInd w:val="0"/>
              <w:rPr>
                <w:rFonts w:cs="Times"/>
                <w:bCs/>
                <w:sz w:val="16"/>
                <w:szCs w:val="16"/>
                <w:lang w:val="de-DE" w:eastAsia="de-DE"/>
              </w:rPr>
            </w:pPr>
            <w:r w:rsidRPr="00FD6087">
              <w:rPr>
                <w:rFonts w:cs="Times"/>
                <w:bCs/>
                <w:noProof/>
                <w:sz w:val="16"/>
                <w:szCs w:val="16"/>
                <w:lang w:eastAsia="en-GB"/>
              </w:rPr>
              <w:drawing>
                <wp:inline distT="0" distB="0" distL="0" distR="0" wp14:anchorId="278A12EC" wp14:editId="7704A626">
                  <wp:extent cx="765410" cy="504279"/>
                  <wp:effectExtent l="0" t="0" r="0" b="0"/>
                  <wp:docPr id="3" name="Bildobjekt 3" descr="\\kemidom.se\root\Skrivbord\helena\Desktop\CdS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midom.se\root\Skrivbord\helena\Desktop\CdSO4.png"/>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8483" t="22442" r="8973" b="23175"/>
                          <a:stretch/>
                        </pic:blipFill>
                        <pic:spPr bwMode="auto">
                          <a:xfrm>
                            <a:off x="0" y="0"/>
                            <a:ext cx="780767" cy="51439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8" w:type="pct"/>
            <w:shd w:val="clear" w:color="auto" w:fill="auto"/>
            <w:vAlign w:val="center"/>
          </w:tcPr>
          <w:p w14:paraId="4F912109" w14:textId="77777777" w:rsidR="00611211" w:rsidRPr="00B92C27" w:rsidRDefault="00611211" w:rsidP="009C4B95">
            <w:pPr>
              <w:autoSpaceDE w:val="0"/>
              <w:autoSpaceDN w:val="0"/>
              <w:adjustRightInd w:val="0"/>
              <w:spacing w:before="120" w:after="120"/>
              <w:jc w:val="center"/>
              <w:rPr>
                <w:rFonts w:cs="Times"/>
                <w:bCs/>
                <w:sz w:val="16"/>
                <w:szCs w:val="16"/>
                <w:lang w:val="de-DE" w:eastAsia="de-DE"/>
              </w:rPr>
            </w:pPr>
            <w:r w:rsidRPr="00B92C27">
              <w:rPr>
                <w:sz w:val="16"/>
                <w:szCs w:val="16"/>
                <w:lang w:eastAsia="sv-SE"/>
              </w:rPr>
              <w:t>1</w:t>
            </w:r>
            <w:r>
              <w:rPr>
                <w:sz w:val="16"/>
                <w:szCs w:val="16"/>
                <w:lang w:eastAsia="sv-SE"/>
              </w:rPr>
              <w:t>B</w:t>
            </w:r>
          </w:p>
        </w:tc>
        <w:tc>
          <w:tcPr>
            <w:tcW w:w="480" w:type="pct"/>
            <w:shd w:val="clear" w:color="auto" w:fill="auto"/>
            <w:vAlign w:val="center"/>
          </w:tcPr>
          <w:p w14:paraId="0DAD26BF" w14:textId="77777777" w:rsidR="00611211" w:rsidRPr="00B92C27" w:rsidRDefault="00611211" w:rsidP="009C4B95">
            <w:pPr>
              <w:autoSpaceDE w:val="0"/>
              <w:autoSpaceDN w:val="0"/>
              <w:adjustRightInd w:val="0"/>
              <w:jc w:val="center"/>
              <w:rPr>
                <w:rFonts w:cs="Times"/>
                <w:bCs/>
                <w:sz w:val="16"/>
                <w:szCs w:val="16"/>
                <w:lang w:val="de-DE" w:eastAsia="de-DE"/>
              </w:rPr>
            </w:pPr>
            <w:r>
              <w:rPr>
                <w:sz w:val="16"/>
                <w:szCs w:val="16"/>
                <w:lang w:eastAsia="sv-SE"/>
              </w:rPr>
              <w:t>1B</w:t>
            </w:r>
          </w:p>
        </w:tc>
        <w:tc>
          <w:tcPr>
            <w:tcW w:w="422" w:type="pct"/>
            <w:shd w:val="clear" w:color="auto" w:fill="auto"/>
            <w:vAlign w:val="center"/>
          </w:tcPr>
          <w:p w14:paraId="46B42402" w14:textId="77777777" w:rsidR="00611211" w:rsidRPr="00B92C27" w:rsidRDefault="00611211" w:rsidP="009C4B95">
            <w:pPr>
              <w:autoSpaceDE w:val="0"/>
              <w:autoSpaceDN w:val="0"/>
              <w:adjustRightInd w:val="0"/>
              <w:jc w:val="center"/>
              <w:rPr>
                <w:sz w:val="16"/>
                <w:szCs w:val="16"/>
                <w:lang w:eastAsia="sv-SE"/>
              </w:rPr>
            </w:pPr>
            <w:r w:rsidRPr="00B92C27">
              <w:rPr>
                <w:sz w:val="16"/>
                <w:szCs w:val="16"/>
                <w:lang w:eastAsia="sv-SE"/>
              </w:rPr>
              <w:t>1B</w:t>
            </w:r>
          </w:p>
        </w:tc>
        <w:tc>
          <w:tcPr>
            <w:tcW w:w="584" w:type="pct"/>
            <w:shd w:val="clear" w:color="auto" w:fill="auto"/>
            <w:vAlign w:val="center"/>
          </w:tcPr>
          <w:p w14:paraId="07D64A87" w14:textId="77777777" w:rsidR="00611211" w:rsidRPr="00B92C27" w:rsidRDefault="00611211" w:rsidP="009C4B95">
            <w:pPr>
              <w:autoSpaceDE w:val="0"/>
              <w:autoSpaceDN w:val="0"/>
              <w:adjustRightInd w:val="0"/>
              <w:jc w:val="center"/>
              <w:rPr>
                <w:rFonts w:cs="Times"/>
                <w:bCs/>
                <w:sz w:val="16"/>
                <w:szCs w:val="16"/>
                <w:lang w:val="de-DE" w:eastAsia="de-DE"/>
              </w:rPr>
            </w:pPr>
            <w:r>
              <w:rPr>
                <w:sz w:val="16"/>
                <w:szCs w:val="16"/>
                <w:lang w:eastAsia="sv-SE"/>
              </w:rPr>
              <w:t>1</w:t>
            </w:r>
          </w:p>
        </w:tc>
      </w:tr>
      <w:tr w:rsidR="00611211" w:rsidRPr="00FD6087" w14:paraId="0CC169A6" w14:textId="77777777" w:rsidTr="009C4B95">
        <w:trPr>
          <w:trHeight w:val="611"/>
        </w:trPr>
        <w:tc>
          <w:tcPr>
            <w:tcW w:w="797" w:type="pct"/>
            <w:shd w:val="clear" w:color="auto" w:fill="auto"/>
            <w:vAlign w:val="center"/>
          </w:tcPr>
          <w:p w14:paraId="6E0AB06E" w14:textId="77777777" w:rsidR="00611211" w:rsidRPr="00B92C27" w:rsidRDefault="00611211" w:rsidP="009C4B95">
            <w:pPr>
              <w:autoSpaceDE w:val="0"/>
              <w:autoSpaceDN w:val="0"/>
              <w:adjustRightInd w:val="0"/>
              <w:rPr>
                <w:rFonts w:cs="Times"/>
                <w:bCs/>
                <w:sz w:val="16"/>
                <w:szCs w:val="16"/>
                <w:lang w:val="de-DE" w:eastAsia="de-DE"/>
              </w:rPr>
            </w:pPr>
            <w:r w:rsidRPr="00B92C27">
              <w:rPr>
                <w:rFonts w:cs="Times"/>
                <w:bCs/>
                <w:sz w:val="16"/>
                <w:szCs w:val="16"/>
                <w:lang w:val="de-DE" w:eastAsia="de-DE"/>
              </w:rPr>
              <w:t xml:space="preserve">Cadmium </w:t>
            </w:r>
            <w:proofErr w:type="spellStart"/>
            <w:r w:rsidRPr="00B92C27">
              <w:rPr>
                <w:rFonts w:cs="Times"/>
                <w:bCs/>
                <w:sz w:val="16"/>
                <w:szCs w:val="16"/>
                <w:lang w:val="de-DE" w:eastAsia="de-DE"/>
              </w:rPr>
              <w:t>metal</w:t>
            </w:r>
            <w:proofErr w:type="spellEnd"/>
          </w:p>
        </w:tc>
        <w:tc>
          <w:tcPr>
            <w:tcW w:w="800" w:type="pct"/>
            <w:vAlign w:val="center"/>
          </w:tcPr>
          <w:p w14:paraId="2B1F639F" w14:textId="77777777" w:rsidR="00611211" w:rsidRPr="00FD6087" w:rsidRDefault="00611211" w:rsidP="009C4B95">
            <w:pPr>
              <w:autoSpaceDE w:val="0"/>
              <w:autoSpaceDN w:val="0"/>
              <w:adjustRightInd w:val="0"/>
              <w:jc w:val="center"/>
              <w:rPr>
                <w:rFonts w:cs="Times"/>
                <w:bCs/>
                <w:sz w:val="16"/>
                <w:szCs w:val="16"/>
                <w:lang w:val="de-DE" w:eastAsia="de-DE"/>
              </w:rPr>
            </w:pPr>
            <w:r w:rsidRPr="00B44803">
              <w:rPr>
                <w:rFonts w:cs="Times"/>
                <w:bCs/>
                <w:sz w:val="16"/>
                <w:szCs w:val="16"/>
                <w:lang w:val="de-DE" w:eastAsia="de-DE"/>
              </w:rPr>
              <w:t>231-152-8</w:t>
            </w:r>
          </w:p>
        </w:tc>
        <w:tc>
          <w:tcPr>
            <w:tcW w:w="1438" w:type="pct"/>
            <w:shd w:val="clear" w:color="auto" w:fill="auto"/>
            <w:vAlign w:val="center"/>
          </w:tcPr>
          <w:p w14:paraId="6E3DA7BF" w14:textId="77777777" w:rsidR="00611211" w:rsidRPr="00FD6087" w:rsidRDefault="00611211" w:rsidP="009C4B95">
            <w:pPr>
              <w:autoSpaceDE w:val="0"/>
              <w:autoSpaceDN w:val="0"/>
              <w:adjustRightInd w:val="0"/>
              <w:jc w:val="center"/>
              <w:rPr>
                <w:rFonts w:cs="Times"/>
                <w:bCs/>
                <w:sz w:val="16"/>
                <w:szCs w:val="16"/>
                <w:lang w:val="de-DE" w:eastAsia="de-DE"/>
              </w:rPr>
            </w:pPr>
            <w:r>
              <w:rPr>
                <w:rFonts w:cs="Times"/>
                <w:bCs/>
                <w:noProof/>
                <w:sz w:val="16"/>
                <w:szCs w:val="16"/>
                <w:lang w:eastAsia="en-GB"/>
              </w:rPr>
              <w:drawing>
                <wp:inline distT="0" distB="0" distL="0" distR="0" wp14:anchorId="0866E569" wp14:editId="6E7BAC4E">
                  <wp:extent cx="213231" cy="180000"/>
                  <wp:effectExtent l="0" t="0" r="0" b="0"/>
                  <wp:docPr id="11" name="Bildobjekt 11" descr="\\kemidom.se\root\Skrivbord\helena\Desktop\224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midom.se\root\Skrivbord\helena\Desktop\22410[1].png"/>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38973" t="40979" r="38956" b="40390"/>
                          <a:stretch/>
                        </pic:blipFill>
                        <pic:spPr bwMode="auto">
                          <a:xfrm>
                            <a:off x="0" y="0"/>
                            <a:ext cx="213231"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8" w:type="pct"/>
            <w:shd w:val="clear" w:color="auto" w:fill="auto"/>
            <w:vAlign w:val="center"/>
          </w:tcPr>
          <w:p w14:paraId="4E59342F" w14:textId="77777777" w:rsidR="00611211" w:rsidRPr="00B92C27" w:rsidRDefault="00611211" w:rsidP="009C4B95">
            <w:pPr>
              <w:autoSpaceDE w:val="0"/>
              <w:autoSpaceDN w:val="0"/>
              <w:adjustRightInd w:val="0"/>
              <w:spacing w:before="120" w:after="120"/>
              <w:jc w:val="center"/>
              <w:rPr>
                <w:sz w:val="16"/>
                <w:szCs w:val="16"/>
                <w:lang w:eastAsia="sv-SE"/>
              </w:rPr>
            </w:pPr>
            <w:r w:rsidRPr="00B92C27">
              <w:rPr>
                <w:sz w:val="16"/>
                <w:szCs w:val="16"/>
                <w:lang w:eastAsia="sv-SE"/>
              </w:rPr>
              <w:t>1</w:t>
            </w:r>
            <w:r>
              <w:rPr>
                <w:sz w:val="16"/>
                <w:szCs w:val="16"/>
                <w:lang w:eastAsia="sv-SE"/>
              </w:rPr>
              <w:t>B</w:t>
            </w:r>
          </w:p>
        </w:tc>
        <w:tc>
          <w:tcPr>
            <w:tcW w:w="480" w:type="pct"/>
            <w:shd w:val="clear" w:color="auto" w:fill="auto"/>
            <w:vAlign w:val="center"/>
          </w:tcPr>
          <w:p w14:paraId="4F33DB32" w14:textId="77777777" w:rsidR="00611211" w:rsidRPr="00B92C27" w:rsidRDefault="00611211" w:rsidP="009C4B95">
            <w:pPr>
              <w:autoSpaceDE w:val="0"/>
              <w:autoSpaceDN w:val="0"/>
              <w:adjustRightInd w:val="0"/>
              <w:jc w:val="center"/>
              <w:rPr>
                <w:rFonts w:cs="Times"/>
                <w:bCs/>
                <w:sz w:val="16"/>
                <w:szCs w:val="16"/>
                <w:lang w:val="de-DE" w:eastAsia="de-DE"/>
              </w:rPr>
            </w:pPr>
            <w:r w:rsidRPr="00B92C27">
              <w:rPr>
                <w:sz w:val="16"/>
                <w:szCs w:val="16"/>
                <w:lang w:eastAsia="sv-SE"/>
              </w:rPr>
              <w:t xml:space="preserve"> 2</w:t>
            </w:r>
          </w:p>
        </w:tc>
        <w:tc>
          <w:tcPr>
            <w:tcW w:w="422" w:type="pct"/>
            <w:shd w:val="clear" w:color="auto" w:fill="auto"/>
            <w:vAlign w:val="center"/>
          </w:tcPr>
          <w:p w14:paraId="136CEB21" w14:textId="77777777" w:rsidR="00611211" w:rsidRPr="00B92C27" w:rsidRDefault="00611211" w:rsidP="009C4B95">
            <w:pPr>
              <w:autoSpaceDE w:val="0"/>
              <w:autoSpaceDN w:val="0"/>
              <w:adjustRightInd w:val="0"/>
              <w:jc w:val="center"/>
              <w:rPr>
                <w:rFonts w:cs="Times"/>
                <w:bCs/>
                <w:sz w:val="16"/>
                <w:szCs w:val="16"/>
                <w:lang w:val="de-DE" w:eastAsia="de-DE"/>
              </w:rPr>
            </w:pPr>
            <w:r>
              <w:rPr>
                <w:sz w:val="16"/>
                <w:szCs w:val="16"/>
                <w:lang w:eastAsia="sv-SE"/>
              </w:rPr>
              <w:t xml:space="preserve"> 2</w:t>
            </w:r>
          </w:p>
        </w:tc>
        <w:tc>
          <w:tcPr>
            <w:tcW w:w="584" w:type="pct"/>
            <w:shd w:val="clear" w:color="auto" w:fill="auto"/>
            <w:vAlign w:val="center"/>
          </w:tcPr>
          <w:p w14:paraId="5484FBEC" w14:textId="77777777" w:rsidR="00611211" w:rsidRPr="00B92C27" w:rsidRDefault="00611211" w:rsidP="009C4B95">
            <w:pPr>
              <w:autoSpaceDE w:val="0"/>
              <w:autoSpaceDN w:val="0"/>
              <w:adjustRightInd w:val="0"/>
              <w:jc w:val="center"/>
              <w:rPr>
                <w:rFonts w:cs="Times"/>
                <w:bCs/>
                <w:sz w:val="16"/>
                <w:szCs w:val="16"/>
                <w:lang w:val="de-DE" w:eastAsia="de-DE"/>
              </w:rPr>
            </w:pPr>
            <w:r>
              <w:rPr>
                <w:sz w:val="16"/>
                <w:szCs w:val="16"/>
                <w:lang w:eastAsia="sv-SE"/>
              </w:rPr>
              <w:t>1</w:t>
            </w:r>
          </w:p>
        </w:tc>
      </w:tr>
      <w:tr w:rsidR="00611211" w:rsidRPr="00FD6087" w14:paraId="1000A267" w14:textId="77777777" w:rsidTr="009C4B95">
        <w:trPr>
          <w:trHeight w:val="548"/>
        </w:trPr>
        <w:tc>
          <w:tcPr>
            <w:tcW w:w="797" w:type="pct"/>
            <w:shd w:val="clear" w:color="auto" w:fill="auto"/>
            <w:vAlign w:val="center"/>
          </w:tcPr>
          <w:p w14:paraId="72FEC1C5" w14:textId="77777777" w:rsidR="00611211" w:rsidRPr="00B92C27" w:rsidRDefault="00611211" w:rsidP="009C4B95">
            <w:pPr>
              <w:autoSpaceDE w:val="0"/>
              <w:autoSpaceDN w:val="0"/>
              <w:adjustRightInd w:val="0"/>
              <w:rPr>
                <w:rFonts w:cs="Times"/>
                <w:bCs/>
                <w:sz w:val="16"/>
                <w:szCs w:val="16"/>
                <w:lang w:val="de-DE" w:eastAsia="de-DE"/>
              </w:rPr>
            </w:pPr>
            <w:r w:rsidRPr="00B92C27">
              <w:rPr>
                <w:rFonts w:cs="Times"/>
                <w:bCs/>
                <w:sz w:val="16"/>
                <w:szCs w:val="16"/>
                <w:lang w:val="de-DE" w:eastAsia="de-DE"/>
              </w:rPr>
              <w:t xml:space="preserve">Cadmium </w:t>
            </w:r>
            <w:proofErr w:type="spellStart"/>
            <w:r w:rsidRPr="00B92C27">
              <w:rPr>
                <w:rFonts w:cs="Times"/>
                <w:bCs/>
                <w:sz w:val="16"/>
                <w:szCs w:val="16"/>
                <w:lang w:val="de-DE" w:eastAsia="de-DE"/>
              </w:rPr>
              <w:t>oxide</w:t>
            </w:r>
            <w:proofErr w:type="spellEnd"/>
          </w:p>
        </w:tc>
        <w:tc>
          <w:tcPr>
            <w:tcW w:w="800" w:type="pct"/>
            <w:vAlign w:val="center"/>
          </w:tcPr>
          <w:p w14:paraId="325C92CF" w14:textId="77777777" w:rsidR="00611211" w:rsidRPr="00FD6087" w:rsidRDefault="00611211" w:rsidP="009C4B95">
            <w:pPr>
              <w:autoSpaceDE w:val="0"/>
              <w:autoSpaceDN w:val="0"/>
              <w:adjustRightInd w:val="0"/>
              <w:jc w:val="center"/>
              <w:rPr>
                <w:rFonts w:cs="Times"/>
                <w:bCs/>
                <w:noProof/>
                <w:sz w:val="16"/>
                <w:szCs w:val="16"/>
                <w:lang w:val="sv-SE" w:eastAsia="sv-SE"/>
              </w:rPr>
            </w:pPr>
            <w:r w:rsidRPr="00526475">
              <w:rPr>
                <w:rFonts w:cs="Times"/>
                <w:bCs/>
                <w:noProof/>
                <w:sz w:val="16"/>
                <w:szCs w:val="16"/>
                <w:lang w:val="sv-SE" w:eastAsia="sv-SE"/>
              </w:rPr>
              <w:t>215-146-2</w:t>
            </w:r>
          </w:p>
        </w:tc>
        <w:tc>
          <w:tcPr>
            <w:tcW w:w="1438" w:type="pct"/>
            <w:shd w:val="clear" w:color="auto" w:fill="auto"/>
            <w:vAlign w:val="center"/>
          </w:tcPr>
          <w:p w14:paraId="2478ECF0" w14:textId="77777777" w:rsidR="00611211" w:rsidRPr="00FD6087" w:rsidRDefault="00611211" w:rsidP="009C4B95">
            <w:pPr>
              <w:autoSpaceDE w:val="0"/>
              <w:autoSpaceDN w:val="0"/>
              <w:adjustRightInd w:val="0"/>
              <w:jc w:val="center"/>
              <w:rPr>
                <w:rFonts w:cs="Times"/>
                <w:bCs/>
                <w:sz w:val="16"/>
                <w:szCs w:val="16"/>
                <w:lang w:val="de-DE" w:eastAsia="de-DE"/>
              </w:rPr>
            </w:pPr>
            <w:r w:rsidRPr="00FD6087">
              <w:rPr>
                <w:rFonts w:cs="Times"/>
                <w:bCs/>
                <w:noProof/>
                <w:sz w:val="16"/>
                <w:szCs w:val="16"/>
                <w:lang w:eastAsia="en-GB"/>
              </w:rPr>
              <w:drawing>
                <wp:inline distT="0" distB="0" distL="0" distR="0" wp14:anchorId="198E3143" wp14:editId="7F0493CE">
                  <wp:extent cx="1237142" cy="254688"/>
                  <wp:effectExtent l="0" t="0" r="1270" b="0"/>
                  <wp:docPr id="9" name="Bildobjekt 9" descr="\\kemidom.se\root\Skrivbord\helena\Desktop\83731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midom.se\root\Skrivbord\helena\Desktop\8373197[1].png"/>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6734" t="37652" b="43148"/>
                          <a:stretch/>
                        </pic:blipFill>
                        <pic:spPr bwMode="auto">
                          <a:xfrm>
                            <a:off x="0" y="0"/>
                            <a:ext cx="1271768" cy="2618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8" w:type="pct"/>
            <w:shd w:val="clear" w:color="auto" w:fill="auto"/>
            <w:vAlign w:val="center"/>
          </w:tcPr>
          <w:p w14:paraId="4E266F94" w14:textId="77777777" w:rsidR="00611211" w:rsidRPr="00B92C27" w:rsidRDefault="00611211" w:rsidP="009C4B95">
            <w:pPr>
              <w:autoSpaceDE w:val="0"/>
              <w:autoSpaceDN w:val="0"/>
              <w:adjustRightInd w:val="0"/>
              <w:spacing w:before="120" w:after="120"/>
              <w:jc w:val="center"/>
              <w:rPr>
                <w:rFonts w:cs="Times"/>
                <w:bCs/>
                <w:sz w:val="16"/>
                <w:szCs w:val="16"/>
                <w:lang w:val="de-DE" w:eastAsia="de-DE"/>
              </w:rPr>
            </w:pPr>
            <w:r>
              <w:rPr>
                <w:sz w:val="16"/>
                <w:szCs w:val="16"/>
                <w:lang w:eastAsia="sv-SE"/>
              </w:rPr>
              <w:t>1B</w:t>
            </w:r>
          </w:p>
        </w:tc>
        <w:tc>
          <w:tcPr>
            <w:tcW w:w="480" w:type="pct"/>
            <w:shd w:val="clear" w:color="auto" w:fill="auto"/>
            <w:vAlign w:val="center"/>
          </w:tcPr>
          <w:p w14:paraId="33936A0A" w14:textId="77777777" w:rsidR="00611211" w:rsidRPr="00B92C27" w:rsidRDefault="00611211" w:rsidP="009C4B95">
            <w:pPr>
              <w:autoSpaceDE w:val="0"/>
              <w:autoSpaceDN w:val="0"/>
              <w:adjustRightInd w:val="0"/>
              <w:jc w:val="center"/>
              <w:rPr>
                <w:rFonts w:cs="Times"/>
                <w:bCs/>
                <w:sz w:val="16"/>
                <w:szCs w:val="16"/>
                <w:lang w:val="de-DE" w:eastAsia="de-DE"/>
              </w:rPr>
            </w:pPr>
            <w:r w:rsidRPr="00B92C27">
              <w:rPr>
                <w:sz w:val="16"/>
                <w:szCs w:val="16"/>
                <w:lang w:eastAsia="sv-SE"/>
              </w:rPr>
              <w:t xml:space="preserve"> 2</w:t>
            </w:r>
          </w:p>
        </w:tc>
        <w:tc>
          <w:tcPr>
            <w:tcW w:w="422" w:type="pct"/>
            <w:shd w:val="clear" w:color="auto" w:fill="auto"/>
            <w:vAlign w:val="center"/>
          </w:tcPr>
          <w:p w14:paraId="3957E357" w14:textId="77777777" w:rsidR="00611211" w:rsidRPr="00B92C27" w:rsidRDefault="00611211" w:rsidP="009C4B95">
            <w:pPr>
              <w:autoSpaceDE w:val="0"/>
              <w:autoSpaceDN w:val="0"/>
              <w:adjustRightInd w:val="0"/>
              <w:jc w:val="center"/>
              <w:rPr>
                <w:sz w:val="16"/>
                <w:szCs w:val="16"/>
                <w:lang w:eastAsia="sv-SE"/>
              </w:rPr>
            </w:pPr>
            <w:r>
              <w:rPr>
                <w:sz w:val="16"/>
                <w:szCs w:val="16"/>
                <w:lang w:eastAsia="sv-SE"/>
              </w:rPr>
              <w:t xml:space="preserve"> 2</w:t>
            </w:r>
          </w:p>
        </w:tc>
        <w:tc>
          <w:tcPr>
            <w:tcW w:w="584" w:type="pct"/>
            <w:shd w:val="clear" w:color="auto" w:fill="auto"/>
            <w:vAlign w:val="center"/>
          </w:tcPr>
          <w:p w14:paraId="7BB9550C" w14:textId="77777777" w:rsidR="00611211" w:rsidRPr="00B92C27" w:rsidRDefault="00611211" w:rsidP="009C4B95">
            <w:pPr>
              <w:autoSpaceDE w:val="0"/>
              <w:autoSpaceDN w:val="0"/>
              <w:adjustRightInd w:val="0"/>
              <w:jc w:val="center"/>
              <w:rPr>
                <w:rFonts w:cs="Times"/>
                <w:bCs/>
                <w:sz w:val="16"/>
                <w:szCs w:val="16"/>
                <w:lang w:val="de-DE" w:eastAsia="de-DE"/>
              </w:rPr>
            </w:pPr>
            <w:r>
              <w:rPr>
                <w:sz w:val="16"/>
                <w:szCs w:val="16"/>
                <w:lang w:eastAsia="sv-SE"/>
              </w:rPr>
              <w:t>1</w:t>
            </w:r>
          </w:p>
        </w:tc>
      </w:tr>
      <w:tr w:rsidR="00611211" w:rsidRPr="00FD6087" w14:paraId="400705F5" w14:textId="77777777" w:rsidTr="009C4B95">
        <w:trPr>
          <w:trHeight w:val="556"/>
        </w:trPr>
        <w:tc>
          <w:tcPr>
            <w:tcW w:w="797" w:type="pct"/>
            <w:shd w:val="clear" w:color="auto" w:fill="auto"/>
            <w:vAlign w:val="center"/>
          </w:tcPr>
          <w:p w14:paraId="0362F268" w14:textId="77777777" w:rsidR="00611211" w:rsidRPr="00B92C27" w:rsidRDefault="00611211" w:rsidP="009C4B95">
            <w:pPr>
              <w:autoSpaceDE w:val="0"/>
              <w:autoSpaceDN w:val="0"/>
              <w:adjustRightInd w:val="0"/>
              <w:rPr>
                <w:rFonts w:cs="Times"/>
                <w:bCs/>
                <w:sz w:val="16"/>
                <w:szCs w:val="16"/>
                <w:lang w:val="de-DE" w:eastAsia="de-DE"/>
              </w:rPr>
            </w:pPr>
            <w:r w:rsidRPr="00B92C27">
              <w:rPr>
                <w:rFonts w:cs="Times"/>
                <w:bCs/>
                <w:sz w:val="16"/>
                <w:szCs w:val="16"/>
                <w:lang w:val="de-DE" w:eastAsia="de-DE"/>
              </w:rPr>
              <w:t xml:space="preserve">Cadmium </w:t>
            </w:r>
            <w:proofErr w:type="spellStart"/>
            <w:r w:rsidRPr="00B92C27">
              <w:rPr>
                <w:rFonts w:cs="Times"/>
                <w:bCs/>
                <w:sz w:val="16"/>
                <w:szCs w:val="16"/>
                <w:lang w:val="de-DE" w:eastAsia="de-DE"/>
              </w:rPr>
              <w:t>sulphide</w:t>
            </w:r>
            <w:proofErr w:type="spellEnd"/>
          </w:p>
        </w:tc>
        <w:tc>
          <w:tcPr>
            <w:tcW w:w="800" w:type="pct"/>
            <w:vAlign w:val="center"/>
          </w:tcPr>
          <w:p w14:paraId="05FA40F9" w14:textId="77777777" w:rsidR="00611211" w:rsidRPr="00FD6087" w:rsidRDefault="00611211" w:rsidP="009C4B95">
            <w:pPr>
              <w:autoSpaceDE w:val="0"/>
              <w:autoSpaceDN w:val="0"/>
              <w:adjustRightInd w:val="0"/>
              <w:jc w:val="center"/>
              <w:rPr>
                <w:rFonts w:cs="Times"/>
                <w:bCs/>
                <w:noProof/>
                <w:sz w:val="16"/>
                <w:szCs w:val="16"/>
                <w:lang w:val="sv-SE" w:eastAsia="sv-SE"/>
              </w:rPr>
            </w:pPr>
            <w:r w:rsidRPr="00526475">
              <w:rPr>
                <w:rFonts w:cs="Times"/>
                <w:bCs/>
                <w:noProof/>
                <w:sz w:val="16"/>
                <w:szCs w:val="16"/>
                <w:lang w:val="sv-SE" w:eastAsia="sv-SE"/>
              </w:rPr>
              <w:t>215-147-8</w:t>
            </w:r>
          </w:p>
        </w:tc>
        <w:tc>
          <w:tcPr>
            <w:tcW w:w="1438" w:type="pct"/>
            <w:shd w:val="clear" w:color="auto" w:fill="auto"/>
            <w:vAlign w:val="center"/>
          </w:tcPr>
          <w:p w14:paraId="6C9B44FB" w14:textId="77777777" w:rsidR="00611211" w:rsidRPr="00FD6087" w:rsidRDefault="00611211" w:rsidP="009C4B95">
            <w:pPr>
              <w:autoSpaceDE w:val="0"/>
              <w:autoSpaceDN w:val="0"/>
              <w:adjustRightInd w:val="0"/>
              <w:jc w:val="center"/>
              <w:rPr>
                <w:rFonts w:cs="Times"/>
                <w:bCs/>
                <w:sz w:val="16"/>
                <w:szCs w:val="16"/>
                <w:lang w:val="de-DE" w:eastAsia="de-DE"/>
              </w:rPr>
            </w:pPr>
            <w:r w:rsidRPr="00FD6087">
              <w:rPr>
                <w:rFonts w:cs="Times"/>
                <w:bCs/>
                <w:noProof/>
                <w:sz w:val="16"/>
                <w:szCs w:val="16"/>
                <w:lang w:eastAsia="en-GB"/>
              </w:rPr>
              <w:drawing>
                <wp:inline distT="0" distB="0" distL="0" distR="0" wp14:anchorId="6DA73613" wp14:editId="42D27B00">
                  <wp:extent cx="1443533" cy="288000"/>
                  <wp:effectExtent l="0" t="0" r="4445" b="0"/>
                  <wp:docPr id="10" name="Bildobjekt 10" descr="\\kemidom.se\root\Skrivbord\helena\Desktop\7969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emidom.se\root\Skrivbord\helena\Desktop\7969586[1].png"/>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t="38151" b="41898"/>
                          <a:stretch/>
                        </pic:blipFill>
                        <pic:spPr bwMode="auto">
                          <a:xfrm>
                            <a:off x="0" y="0"/>
                            <a:ext cx="1443533" cy="28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8" w:type="pct"/>
            <w:shd w:val="clear" w:color="auto" w:fill="auto"/>
            <w:vAlign w:val="center"/>
          </w:tcPr>
          <w:p w14:paraId="1BB237B0" w14:textId="77777777" w:rsidR="00611211" w:rsidRPr="00B92C27" w:rsidRDefault="00611211" w:rsidP="009C4B95">
            <w:pPr>
              <w:autoSpaceDE w:val="0"/>
              <w:autoSpaceDN w:val="0"/>
              <w:adjustRightInd w:val="0"/>
              <w:spacing w:before="120" w:after="120"/>
              <w:jc w:val="center"/>
              <w:rPr>
                <w:sz w:val="16"/>
                <w:szCs w:val="16"/>
                <w:lang w:eastAsia="sv-SE"/>
              </w:rPr>
            </w:pPr>
            <w:r>
              <w:rPr>
                <w:sz w:val="16"/>
                <w:szCs w:val="16"/>
                <w:lang w:eastAsia="sv-SE"/>
              </w:rPr>
              <w:t>1B</w:t>
            </w:r>
          </w:p>
        </w:tc>
        <w:tc>
          <w:tcPr>
            <w:tcW w:w="480" w:type="pct"/>
            <w:shd w:val="clear" w:color="auto" w:fill="auto"/>
            <w:vAlign w:val="center"/>
          </w:tcPr>
          <w:p w14:paraId="1F0F20FF" w14:textId="77777777" w:rsidR="00611211" w:rsidRPr="00B92C27" w:rsidRDefault="00611211" w:rsidP="009C4B95">
            <w:pPr>
              <w:autoSpaceDE w:val="0"/>
              <w:autoSpaceDN w:val="0"/>
              <w:adjustRightInd w:val="0"/>
              <w:jc w:val="center"/>
              <w:rPr>
                <w:rFonts w:cs="Times"/>
                <w:bCs/>
                <w:sz w:val="16"/>
                <w:szCs w:val="16"/>
                <w:lang w:val="de-DE" w:eastAsia="de-DE"/>
              </w:rPr>
            </w:pPr>
            <w:r w:rsidRPr="00B92C27">
              <w:rPr>
                <w:sz w:val="16"/>
                <w:szCs w:val="16"/>
                <w:lang w:eastAsia="sv-SE"/>
              </w:rPr>
              <w:t xml:space="preserve"> </w:t>
            </w:r>
            <w:r>
              <w:rPr>
                <w:sz w:val="16"/>
                <w:szCs w:val="16"/>
                <w:lang w:eastAsia="sv-SE"/>
              </w:rPr>
              <w:t>2</w:t>
            </w:r>
          </w:p>
        </w:tc>
        <w:tc>
          <w:tcPr>
            <w:tcW w:w="422" w:type="pct"/>
            <w:shd w:val="clear" w:color="auto" w:fill="auto"/>
            <w:vAlign w:val="center"/>
          </w:tcPr>
          <w:p w14:paraId="2271AA1C" w14:textId="77777777" w:rsidR="00611211" w:rsidRPr="00B92C27" w:rsidRDefault="00611211" w:rsidP="009C4B95">
            <w:pPr>
              <w:autoSpaceDE w:val="0"/>
              <w:autoSpaceDN w:val="0"/>
              <w:adjustRightInd w:val="0"/>
              <w:jc w:val="center"/>
              <w:rPr>
                <w:rFonts w:cs="Times"/>
                <w:bCs/>
                <w:sz w:val="16"/>
                <w:szCs w:val="16"/>
                <w:lang w:val="de-DE" w:eastAsia="de-DE"/>
              </w:rPr>
            </w:pPr>
            <w:r>
              <w:rPr>
                <w:sz w:val="16"/>
                <w:szCs w:val="16"/>
                <w:lang w:eastAsia="sv-SE"/>
              </w:rPr>
              <w:t xml:space="preserve"> 2</w:t>
            </w:r>
          </w:p>
        </w:tc>
        <w:tc>
          <w:tcPr>
            <w:tcW w:w="584" w:type="pct"/>
            <w:shd w:val="clear" w:color="auto" w:fill="auto"/>
            <w:vAlign w:val="center"/>
          </w:tcPr>
          <w:p w14:paraId="7D97B4FB" w14:textId="77777777" w:rsidR="00611211" w:rsidRPr="00B92C27" w:rsidRDefault="00611211" w:rsidP="009C4B95">
            <w:pPr>
              <w:autoSpaceDE w:val="0"/>
              <w:autoSpaceDN w:val="0"/>
              <w:adjustRightInd w:val="0"/>
              <w:jc w:val="center"/>
              <w:rPr>
                <w:rFonts w:cs="Times"/>
                <w:bCs/>
                <w:sz w:val="16"/>
                <w:szCs w:val="16"/>
                <w:lang w:val="de-DE" w:eastAsia="de-DE"/>
              </w:rPr>
            </w:pPr>
            <w:r>
              <w:rPr>
                <w:sz w:val="16"/>
                <w:szCs w:val="16"/>
                <w:lang w:eastAsia="sv-SE"/>
              </w:rPr>
              <w:t>1</w:t>
            </w:r>
          </w:p>
        </w:tc>
      </w:tr>
    </w:tbl>
    <w:p w14:paraId="239B6C21" w14:textId="3BB27C4A" w:rsidR="00C468C9" w:rsidRDefault="00C468C9" w:rsidP="00C468C9">
      <w:pPr>
        <w:pStyle w:val="BodyText"/>
        <w:spacing w:after="0"/>
      </w:pPr>
      <w:r>
        <w:t xml:space="preserve"> </w:t>
      </w:r>
    </w:p>
    <w:p w14:paraId="1C8FF1F3" w14:textId="77777777" w:rsidR="00C468C9" w:rsidRDefault="00C468C9" w:rsidP="00C468C9">
      <w:pPr>
        <w:pStyle w:val="BodyText"/>
        <w:spacing w:after="0"/>
        <w:ind w:left="-567"/>
        <w:rPr>
          <w:sz w:val="22"/>
          <w:szCs w:val="22"/>
        </w:rPr>
      </w:pPr>
    </w:p>
    <w:p w14:paraId="01588C14" w14:textId="77777777" w:rsidR="00B12C39" w:rsidRPr="00A4696A" w:rsidRDefault="00B12C39" w:rsidP="00B12C39">
      <w:pPr>
        <w:rPr>
          <w:lang w:eastAsia="ar-SA"/>
        </w:rPr>
      </w:pPr>
    </w:p>
    <w:p w14:paraId="2350A4CA" w14:textId="15DAB810" w:rsidR="0041055E" w:rsidRDefault="00DA46FB" w:rsidP="00DA46FB">
      <w:pPr>
        <w:pStyle w:val="Heading1"/>
        <w:numPr>
          <w:ilvl w:val="0"/>
          <w:numId w:val="0"/>
        </w:numPr>
        <w:rPr>
          <w:lang w:eastAsia="en-US"/>
        </w:rPr>
      </w:pPr>
      <w:r>
        <w:rPr>
          <w:lang w:eastAsia="en-US"/>
        </w:rPr>
        <w:t xml:space="preserve"> </w:t>
      </w:r>
    </w:p>
    <w:p w14:paraId="67CEA788" w14:textId="77777777" w:rsidR="0041055E" w:rsidRDefault="0041055E" w:rsidP="0041055E">
      <w:pPr>
        <w:rPr>
          <w:lang w:eastAsia="en-US"/>
        </w:rPr>
      </w:pPr>
    </w:p>
    <w:bookmarkEnd w:id="468"/>
    <w:p w14:paraId="06B328AC" w14:textId="464F9CA7" w:rsidR="005C33E5" w:rsidRPr="005C33E5" w:rsidRDefault="005C33E5" w:rsidP="00B31ECC">
      <w:pPr>
        <w:pStyle w:val="BodyText"/>
      </w:pPr>
    </w:p>
    <w:sectPr w:rsidR="005C33E5" w:rsidRPr="005C33E5" w:rsidSect="00E170AC">
      <w:headerReference w:type="default" r:id="rId41"/>
      <w:footerReference w:type="first" r:id="rId42"/>
      <w:pgSz w:w="11907" w:h="16840" w:code="9"/>
      <w:pgMar w:top="1440" w:right="1440" w:bottom="1440" w:left="1440" w:header="854"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F5BA6" w14:textId="77777777" w:rsidR="00810E24" w:rsidRDefault="00810E24">
      <w:r>
        <w:separator/>
      </w:r>
    </w:p>
  </w:endnote>
  <w:endnote w:type="continuationSeparator" w:id="0">
    <w:p w14:paraId="238B0E33" w14:textId="77777777" w:rsidR="00810E24" w:rsidRDefault="0081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EUAlbertina">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Bold">
    <w:altName w:val="MS Minch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F21C1" w14:textId="77777777" w:rsidR="00810E24" w:rsidRPr="00DA3B32" w:rsidRDefault="00810E24" w:rsidP="00B12C39">
    <w:pPr>
      <w:pStyle w:val="Footer"/>
    </w:pPr>
    <w:r w:rsidRPr="00DA3B32">
      <w:rPr>
        <w:lang w:val="fi-FI"/>
      </w:rPr>
      <w:br/>
    </w:r>
    <w:r w:rsidRPr="00DA3B32">
      <w:rPr>
        <w:lang w:val="fi-FI"/>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86AFB" w14:textId="77777777" w:rsidR="00810E24" w:rsidRDefault="00810E24">
      <w:r>
        <w:separator/>
      </w:r>
    </w:p>
  </w:footnote>
  <w:footnote w:type="continuationSeparator" w:id="0">
    <w:p w14:paraId="38E0034D" w14:textId="77777777" w:rsidR="00810E24" w:rsidRDefault="00810E24">
      <w:r>
        <w:continuationSeparator/>
      </w:r>
    </w:p>
  </w:footnote>
  <w:footnote w:id="1">
    <w:p w14:paraId="6C64BA4D" w14:textId="6DDACC93" w:rsidR="00810E24" w:rsidRPr="00542751" w:rsidRDefault="00810E24">
      <w:pPr>
        <w:pStyle w:val="FootnoteText"/>
      </w:pPr>
      <w:r w:rsidRPr="008557B0">
        <w:rPr>
          <w:rStyle w:val="FootnoteReference"/>
          <w:rFonts w:ascii="Verdana" w:hAnsi="Verdana"/>
          <w:sz w:val="20"/>
        </w:rPr>
        <w:footnoteRef/>
      </w:r>
      <w:r>
        <w:t xml:space="preserve"> </w:t>
      </w:r>
      <w:r>
        <w:rPr>
          <w:sz w:val="16"/>
          <w:szCs w:val="16"/>
        </w:rPr>
        <w:t>Classification in accordance with section 3.6 of Annex I to Regulation (EC) No 1272/2008.</w:t>
      </w:r>
    </w:p>
  </w:footnote>
  <w:footnote w:id="2">
    <w:p w14:paraId="435F9A7B" w14:textId="2076749F" w:rsidR="00810E24" w:rsidRPr="00542751" w:rsidRDefault="00810E24">
      <w:pPr>
        <w:pStyle w:val="FootnoteText"/>
      </w:pPr>
      <w:r w:rsidRPr="008557B0">
        <w:rPr>
          <w:rStyle w:val="FootnoteReference"/>
          <w:rFonts w:ascii="Verdana" w:hAnsi="Verdana"/>
          <w:sz w:val="20"/>
        </w:rPr>
        <w:footnoteRef/>
      </w:r>
      <w:r>
        <w:t xml:space="preserve"> </w:t>
      </w:r>
      <w:r w:rsidRPr="001F6800">
        <w:rPr>
          <w:sz w:val="16"/>
          <w:szCs w:val="16"/>
        </w:rPr>
        <w:t>Classification in accordance with section 3.5 of Annex I to Regulation (EC) No 1272/2008</w:t>
      </w:r>
      <w:r w:rsidRPr="001F6800">
        <w:rPr>
          <w:sz w:val="16"/>
          <w:szCs w:val="16"/>
          <w:lang w:val="en-US"/>
        </w:rPr>
        <w:t>.</w:t>
      </w:r>
    </w:p>
  </w:footnote>
  <w:footnote w:id="3">
    <w:p w14:paraId="10E7B971" w14:textId="27E6947C" w:rsidR="00810E24" w:rsidRPr="00F17BF9" w:rsidRDefault="00810E24" w:rsidP="00912A08">
      <w:pPr>
        <w:pStyle w:val="FootnoteText"/>
        <w:rPr>
          <w:lang w:val="en-US"/>
        </w:rPr>
      </w:pPr>
      <w:r w:rsidRPr="00912A08">
        <w:rPr>
          <w:rStyle w:val="FootnoteReference"/>
          <w:rFonts w:ascii="Verdana" w:hAnsi="Verdana"/>
          <w:sz w:val="20"/>
        </w:rPr>
        <w:footnoteRef/>
      </w:r>
      <w:r>
        <w:rPr>
          <w:sz w:val="16"/>
          <w:szCs w:val="16"/>
        </w:rPr>
        <w:t xml:space="preserve"> </w:t>
      </w:r>
      <w:r w:rsidRPr="001F6800">
        <w:rPr>
          <w:sz w:val="16"/>
          <w:szCs w:val="16"/>
        </w:rPr>
        <w:t>Classification in accordance with section 3.9 of Annex I to Regulation (EC) No 1272/2008</w:t>
      </w:r>
      <w:r w:rsidRPr="001F6800">
        <w:rPr>
          <w:sz w:val="16"/>
          <w:szCs w:val="16"/>
          <w:lang w:val="en-US"/>
        </w:rPr>
        <w:t>.</w:t>
      </w:r>
    </w:p>
  </w:footnote>
  <w:footnote w:id="4">
    <w:p w14:paraId="1FCFAEAD" w14:textId="11AC2AEA" w:rsidR="00810E24" w:rsidRPr="0089087B" w:rsidRDefault="00810E24">
      <w:pPr>
        <w:pStyle w:val="FootnoteText"/>
      </w:pPr>
      <w:r w:rsidRPr="00CC3523">
        <w:rPr>
          <w:rStyle w:val="FootnoteReference"/>
          <w:rFonts w:ascii="Verdana" w:hAnsi="Verdana"/>
          <w:sz w:val="18"/>
        </w:rPr>
        <w:footnoteRef/>
      </w:r>
      <w:r w:rsidRPr="0089087B">
        <w:t xml:space="preserve"> </w:t>
      </w:r>
      <w:hyperlink r:id="rId1" w:history="1">
        <w:r w:rsidRPr="00983B69">
          <w:rPr>
            <w:rStyle w:val="Hyperlink"/>
            <w:sz w:val="16"/>
          </w:rPr>
          <w:t>https://echa.europa.eu/sv/registration-dossier/-/registered-dossier/2107</w:t>
        </w:r>
      </w:hyperlink>
      <w:r>
        <w:rPr>
          <w:sz w:val="16"/>
        </w:rPr>
        <w:t xml:space="preserve"> </w:t>
      </w:r>
      <w:r w:rsidRPr="00904836">
        <w:rPr>
          <w:sz w:val="16"/>
          <w:szCs w:val="16"/>
        </w:rPr>
        <w:t xml:space="preserve">(accessed </w:t>
      </w:r>
      <w:r>
        <w:rPr>
          <w:sz w:val="16"/>
          <w:szCs w:val="16"/>
        </w:rPr>
        <w:t>28</w:t>
      </w:r>
      <w:r w:rsidRPr="006F55A8">
        <w:rPr>
          <w:sz w:val="16"/>
          <w:szCs w:val="16"/>
        </w:rPr>
        <w:t xml:space="preserve"> </w:t>
      </w:r>
      <w:r>
        <w:rPr>
          <w:sz w:val="16"/>
          <w:szCs w:val="16"/>
        </w:rPr>
        <w:t xml:space="preserve">June </w:t>
      </w:r>
      <w:r w:rsidRPr="006F55A8">
        <w:rPr>
          <w:sz w:val="16"/>
          <w:szCs w:val="16"/>
        </w:rPr>
        <w:t>2017</w:t>
      </w:r>
      <w:r>
        <w:rPr>
          <w:sz w:val="16"/>
          <w:szCs w:val="16"/>
        </w:rPr>
        <w:t xml:space="preserve">) </w:t>
      </w:r>
    </w:p>
  </w:footnote>
  <w:footnote w:id="5">
    <w:p w14:paraId="7D6CED2C" w14:textId="4E333F14" w:rsidR="00810E24" w:rsidRDefault="00810E24" w:rsidP="001340DF">
      <w:pPr>
        <w:pStyle w:val="FootnoteText"/>
      </w:pPr>
      <w:r w:rsidRPr="00CC3523">
        <w:rPr>
          <w:rStyle w:val="FootnoteReference"/>
          <w:rFonts w:ascii="Verdana" w:hAnsi="Verdana"/>
          <w:sz w:val="18"/>
        </w:rPr>
        <w:footnoteRef/>
      </w:r>
      <w:r w:rsidRPr="001340DF">
        <w:t xml:space="preserve"> </w:t>
      </w:r>
      <w:r>
        <w:rPr>
          <w:sz w:val="16"/>
          <w:szCs w:val="16"/>
        </w:rPr>
        <w:t xml:space="preserve">C&amp;L Inventory database, </w:t>
      </w:r>
      <w:hyperlink r:id="rId2" w:history="1">
        <w:r w:rsidRPr="00904836">
          <w:rPr>
            <w:rStyle w:val="Hyperlink"/>
            <w:sz w:val="16"/>
            <w:szCs w:val="16"/>
          </w:rPr>
          <w:t>http://echa.europa.eu/web/guest/information-on-chemicals/cl-inventory-database</w:t>
        </w:r>
      </w:hyperlink>
      <w:r w:rsidRPr="00904836">
        <w:rPr>
          <w:sz w:val="16"/>
          <w:szCs w:val="16"/>
        </w:rPr>
        <w:t xml:space="preserve"> (accessed </w:t>
      </w:r>
      <w:r w:rsidRPr="006F55A8">
        <w:rPr>
          <w:sz w:val="16"/>
          <w:szCs w:val="16"/>
        </w:rPr>
        <w:t>8 May 2017</w:t>
      </w:r>
      <w:r>
        <w:rPr>
          <w:sz w:val="16"/>
          <w:szCs w:val="16"/>
        </w:rPr>
        <w:t>)</w:t>
      </w:r>
    </w:p>
  </w:footnote>
  <w:footnote w:id="6">
    <w:p w14:paraId="56D3B861" w14:textId="1556894D" w:rsidR="00810E24" w:rsidRPr="0089087B" w:rsidRDefault="00810E24" w:rsidP="00050D7D">
      <w:pPr>
        <w:pStyle w:val="FootnoteText"/>
      </w:pPr>
      <w:r w:rsidRPr="00CC3523">
        <w:rPr>
          <w:rStyle w:val="FootnoteReference"/>
          <w:rFonts w:ascii="Verdana" w:hAnsi="Verdana"/>
          <w:sz w:val="18"/>
        </w:rPr>
        <w:footnoteRef/>
      </w:r>
      <w:r w:rsidRPr="0089087B">
        <w:t xml:space="preserve"> </w:t>
      </w:r>
      <w:hyperlink r:id="rId3" w:history="1">
        <w:r w:rsidRPr="00983B69">
          <w:rPr>
            <w:rStyle w:val="Hyperlink"/>
            <w:sz w:val="16"/>
          </w:rPr>
          <w:t>https://echa.europa.eu/sv/registration-dossier/-/registered-dossier/2107</w:t>
        </w:r>
      </w:hyperlink>
      <w:r>
        <w:rPr>
          <w:sz w:val="16"/>
        </w:rPr>
        <w:t xml:space="preserve"> </w:t>
      </w:r>
      <w:r w:rsidRPr="00904836">
        <w:rPr>
          <w:sz w:val="16"/>
          <w:szCs w:val="16"/>
        </w:rPr>
        <w:t xml:space="preserve">(accessed </w:t>
      </w:r>
      <w:r>
        <w:rPr>
          <w:sz w:val="16"/>
          <w:szCs w:val="16"/>
        </w:rPr>
        <w:t>28</w:t>
      </w:r>
      <w:r w:rsidRPr="006F55A8">
        <w:rPr>
          <w:sz w:val="16"/>
          <w:szCs w:val="16"/>
        </w:rPr>
        <w:t xml:space="preserve"> </w:t>
      </w:r>
      <w:r>
        <w:rPr>
          <w:sz w:val="16"/>
          <w:szCs w:val="16"/>
        </w:rPr>
        <w:t xml:space="preserve">June </w:t>
      </w:r>
      <w:r w:rsidRPr="006F55A8">
        <w:rPr>
          <w:sz w:val="16"/>
          <w:szCs w:val="16"/>
        </w:rPr>
        <w:t>2017</w:t>
      </w:r>
      <w:r>
        <w:rPr>
          <w:sz w:val="16"/>
          <w:szCs w:val="16"/>
        </w:rPr>
        <w:t>)</w:t>
      </w:r>
    </w:p>
  </w:footnote>
  <w:footnote w:id="7">
    <w:p w14:paraId="5B8CBDF2" w14:textId="6764A1D3" w:rsidR="00810E24" w:rsidRPr="00542751" w:rsidRDefault="00810E24">
      <w:pPr>
        <w:pStyle w:val="FootnoteText"/>
      </w:pPr>
      <w:r w:rsidRPr="00CC3523">
        <w:rPr>
          <w:rStyle w:val="FootnoteReference"/>
          <w:rFonts w:ascii="Verdana" w:hAnsi="Verdana"/>
          <w:sz w:val="18"/>
        </w:rPr>
        <w:footnoteRef/>
      </w:r>
      <w:r>
        <w:t xml:space="preserve"> </w:t>
      </w:r>
      <w:r w:rsidRPr="00542751">
        <w:rPr>
          <w:sz w:val="16"/>
        </w:rPr>
        <w:t xml:space="preserve">From ECHA dissemination site: </w:t>
      </w:r>
      <w:hyperlink r:id="rId4" w:history="1">
        <w:r w:rsidRPr="00542751">
          <w:rPr>
            <w:rStyle w:val="Hyperlink"/>
            <w:sz w:val="16"/>
          </w:rPr>
          <w:t>https://echa.europa.eu/sv/brief-profile/-/briefprofile/100.040.137</w:t>
        </w:r>
      </w:hyperlink>
      <w:r w:rsidRPr="00542751">
        <w:rPr>
          <w:sz w:val="16"/>
        </w:rPr>
        <w:t xml:space="preserve"> </w:t>
      </w:r>
    </w:p>
  </w:footnote>
  <w:footnote w:id="8">
    <w:p w14:paraId="5ACFE49D" w14:textId="77777777" w:rsidR="00810E24" w:rsidRPr="00150221" w:rsidRDefault="00810E24" w:rsidP="003F28A5">
      <w:pPr>
        <w:pStyle w:val="FootnoteText"/>
      </w:pPr>
      <w:r w:rsidRPr="004F1B96">
        <w:rPr>
          <w:rStyle w:val="FootnoteReference"/>
          <w:rFonts w:ascii="Verdana" w:hAnsi="Verdana"/>
          <w:szCs w:val="16"/>
        </w:rPr>
        <w:footnoteRef/>
      </w:r>
      <w:r w:rsidRPr="004F1B96">
        <w:rPr>
          <w:sz w:val="16"/>
          <w:szCs w:val="16"/>
        </w:rPr>
        <w:t xml:space="preserve"> </w:t>
      </w:r>
      <w:r w:rsidRPr="002269CF">
        <w:rPr>
          <w:sz w:val="16"/>
          <w:szCs w:val="16"/>
        </w:rPr>
        <w:t xml:space="preserve">ECHA guide to the manual screening of substances for </w:t>
      </w:r>
      <w:proofErr w:type="spellStart"/>
      <w:r w:rsidRPr="002269CF">
        <w:rPr>
          <w:sz w:val="16"/>
          <w:szCs w:val="16"/>
        </w:rPr>
        <w:t>CoRAP</w:t>
      </w:r>
      <w:proofErr w:type="spellEnd"/>
      <w:r w:rsidRPr="002269CF">
        <w:rPr>
          <w:sz w:val="16"/>
          <w:szCs w:val="16"/>
        </w:rPr>
        <w:t xml:space="preserve"> and for the SVHC Roadmap to 2020, page 15, 27 Jan 2017.</w:t>
      </w:r>
      <w:r>
        <w:t xml:space="preserve"> </w:t>
      </w:r>
    </w:p>
  </w:footnote>
  <w:footnote w:id="9">
    <w:p w14:paraId="5941C773" w14:textId="7C8AD56E" w:rsidR="00810E24" w:rsidRPr="007E3F0E" w:rsidRDefault="00810E24" w:rsidP="00C468C9">
      <w:pPr>
        <w:pStyle w:val="FootnoteText"/>
      </w:pPr>
      <w:r w:rsidRPr="00F91056">
        <w:rPr>
          <w:rStyle w:val="FootnoteReference"/>
          <w:rFonts w:ascii="Verdana" w:hAnsi="Verdana"/>
          <w:sz w:val="18"/>
        </w:rPr>
        <w:footnoteRef/>
      </w:r>
      <w:r w:rsidRPr="007E3F0E">
        <w:rPr>
          <w:sz w:val="16"/>
        </w:rPr>
        <w:t xml:space="preserve"> See dossiers for harmoni</w:t>
      </w:r>
      <w:r>
        <w:rPr>
          <w:sz w:val="16"/>
        </w:rPr>
        <w:t>s</w:t>
      </w:r>
      <w:r w:rsidRPr="007E3F0E">
        <w:rPr>
          <w:sz w:val="16"/>
        </w:rPr>
        <w:t>ed classification and labelling for th</w:t>
      </w:r>
      <w:r>
        <w:rPr>
          <w:sz w:val="16"/>
        </w:rPr>
        <w:t>e</w:t>
      </w:r>
      <w:r w:rsidRPr="007E3F0E">
        <w:rPr>
          <w:sz w:val="16"/>
        </w:rPr>
        <w:t xml:space="preserve"> substances</w:t>
      </w:r>
      <w:r>
        <w:rPr>
          <w:sz w:val="16"/>
        </w:rPr>
        <w:t xml:space="preserve"> in the </w:t>
      </w:r>
      <w:hyperlink r:id="rId5" w:history="1">
        <w:r w:rsidRPr="007E3F0E">
          <w:rPr>
            <w:rStyle w:val="Hyperlink"/>
            <w:sz w:val="16"/>
          </w:rPr>
          <w:t>C&amp;L inventory</w:t>
        </w:r>
      </w:hyperlink>
    </w:p>
  </w:footnote>
  <w:footnote w:id="10">
    <w:p w14:paraId="4B8D6E41" w14:textId="77777777" w:rsidR="00810E24" w:rsidRPr="00A360D4" w:rsidRDefault="00810E24" w:rsidP="00C468C9">
      <w:pPr>
        <w:pStyle w:val="FootnoteText"/>
      </w:pPr>
      <w:r w:rsidRPr="00F91056">
        <w:rPr>
          <w:rStyle w:val="FootnoteReference"/>
          <w:rFonts w:ascii="Verdana" w:hAnsi="Verdana"/>
          <w:sz w:val="18"/>
        </w:rPr>
        <w:footnoteRef/>
      </w:r>
      <w:r>
        <w:t xml:space="preserve"> </w:t>
      </w:r>
      <w:r w:rsidRPr="00A360D4">
        <w:rPr>
          <w:sz w:val="16"/>
          <w:szCs w:val="16"/>
        </w:rPr>
        <w:t>European Commission, 2007, European Union Risk Assessment Report (EU RAR) – Volume 74 cadmium metal, Part II Human Health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A9283" w14:textId="11D864AD" w:rsidR="00810E24" w:rsidRDefault="00810E24" w:rsidP="00E00DE2">
    <w:pPr>
      <w:pStyle w:val="Header"/>
      <w:pBdr>
        <w:bottom w:val="single" w:sz="4" w:space="1" w:color="auto"/>
      </w:pBdr>
    </w:pPr>
    <w:r>
      <w:t xml:space="preserve">ANNEX XV – IDENTIFICATION OF </w:t>
    </w:r>
    <w:r>
      <w:rPr>
        <w:rStyle w:val="Strong"/>
        <w:b w:val="0"/>
        <w:caps/>
      </w:rPr>
      <w:t>cadmium HYDROXIDE</w:t>
    </w:r>
    <w:r>
      <w:rPr>
        <w:b/>
        <w:caps/>
      </w:rPr>
      <w:t xml:space="preserve"> </w:t>
    </w:r>
    <w:r>
      <w:t>AS SVHC</w:t>
    </w:r>
  </w:p>
  <w:p w14:paraId="1E821952" w14:textId="77777777" w:rsidR="00810E24" w:rsidRDefault="00810E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6F65324"/>
    <w:lvl w:ilvl="0">
      <w:start w:val="1"/>
      <w:numFmt w:val="decimal"/>
      <w:pStyle w:val="ListNumber"/>
      <w:lvlText w:val="%1."/>
      <w:lvlJc w:val="left"/>
      <w:pPr>
        <w:tabs>
          <w:tab w:val="num" w:pos="360"/>
        </w:tabs>
        <w:ind w:left="360" w:hanging="360"/>
      </w:pPr>
    </w:lvl>
  </w:abstractNum>
  <w:abstractNum w:abstractNumId="1" w15:restartNumberingAfterBreak="0">
    <w:nsid w:val="048A5E64"/>
    <w:multiLevelType w:val="hybridMultilevel"/>
    <w:tmpl w:val="D80E5368"/>
    <w:lvl w:ilvl="0" w:tplc="FFFFFFFF">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C77666A"/>
    <w:multiLevelType w:val="hybridMultilevel"/>
    <w:tmpl w:val="66A4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D7ED3"/>
    <w:multiLevelType w:val="hybridMultilevel"/>
    <w:tmpl w:val="5E36D17A"/>
    <w:lvl w:ilvl="0" w:tplc="C84E037E">
      <w:start w:val="1"/>
      <w:numFmt w:val="bullet"/>
      <w:pStyle w:val="ListBullet"/>
      <w:lvlText w:val=""/>
      <w:lvlJc w:val="left"/>
      <w:pPr>
        <w:tabs>
          <w:tab w:val="num" w:pos="425"/>
        </w:tabs>
        <w:ind w:left="425" w:hanging="425"/>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A6578"/>
    <w:multiLevelType w:val="hybridMultilevel"/>
    <w:tmpl w:val="F33E11B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47F9C"/>
    <w:multiLevelType w:val="multilevel"/>
    <w:tmpl w:val="A79CB0AC"/>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281B4C00"/>
    <w:multiLevelType w:val="hybridMultilevel"/>
    <w:tmpl w:val="E56866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BC364B"/>
    <w:multiLevelType w:val="hybridMultilevel"/>
    <w:tmpl w:val="2A12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E272B"/>
    <w:multiLevelType w:val="hybridMultilevel"/>
    <w:tmpl w:val="6A4E8BC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03364C"/>
    <w:multiLevelType w:val="hybridMultilevel"/>
    <w:tmpl w:val="F98AA6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D6241"/>
    <w:multiLevelType w:val="multilevel"/>
    <w:tmpl w:val="3BAA4868"/>
    <w:lvl w:ilvl="0">
      <w:start w:val="4"/>
      <w:numFmt w:val="decimal"/>
      <w:lvlText w:val="%1"/>
      <w:lvlJc w:val="left"/>
      <w:pPr>
        <w:ind w:left="588" w:hanging="588"/>
      </w:pPr>
      <w:rPr>
        <w:rFonts w:hint="default"/>
        <w:i w:val="0"/>
      </w:rPr>
    </w:lvl>
    <w:lvl w:ilvl="1">
      <w:start w:val="10"/>
      <w:numFmt w:val="decimal"/>
      <w:lvlText w:val="%1.%2"/>
      <w:lvlJc w:val="left"/>
      <w:pPr>
        <w:ind w:left="720" w:hanging="720"/>
      </w:pPr>
      <w:rPr>
        <w:rFonts w:hint="default"/>
        <w:i w:val="0"/>
      </w:rPr>
    </w:lvl>
    <w:lvl w:ilvl="2">
      <w:start w:val="1"/>
      <w:numFmt w:val="decimal"/>
      <w:lvlText w:val="%1.%2.%3"/>
      <w:lvlJc w:val="left"/>
      <w:pPr>
        <w:ind w:left="1080" w:hanging="108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800" w:hanging="1800"/>
      </w:pPr>
      <w:rPr>
        <w:rFonts w:hint="default"/>
        <w:i w:val="0"/>
      </w:rPr>
    </w:lvl>
    <w:lvl w:ilvl="6">
      <w:start w:val="1"/>
      <w:numFmt w:val="decimal"/>
      <w:lvlText w:val="%1.%2.%3.%4.%5.%6.%7"/>
      <w:lvlJc w:val="left"/>
      <w:pPr>
        <w:ind w:left="2160" w:hanging="216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520" w:hanging="2520"/>
      </w:pPr>
      <w:rPr>
        <w:rFonts w:hint="default"/>
        <w:i w:val="0"/>
      </w:rPr>
    </w:lvl>
  </w:abstractNum>
  <w:abstractNum w:abstractNumId="11" w15:restartNumberingAfterBreak="0">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896E4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911A0E"/>
    <w:multiLevelType w:val="hybridMultilevel"/>
    <w:tmpl w:val="788E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3B0CBE"/>
    <w:multiLevelType w:val="hybridMultilevel"/>
    <w:tmpl w:val="B56CA8E8"/>
    <w:lvl w:ilvl="0" w:tplc="46BCF86A">
      <w:start w:val="1"/>
      <w:numFmt w:val="lowerLetter"/>
      <w:lvlText w:val="(%1)"/>
      <w:lvlJc w:val="left"/>
      <w:pPr>
        <w:ind w:left="1664" w:hanging="360"/>
      </w:pPr>
      <w:rPr>
        <w:rFonts w:cs="Times New Roman" w:hint="default"/>
      </w:rPr>
    </w:lvl>
    <w:lvl w:ilvl="1" w:tplc="08090019" w:tentative="1">
      <w:start w:val="1"/>
      <w:numFmt w:val="lowerLetter"/>
      <w:lvlText w:val="%2."/>
      <w:lvlJc w:val="left"/>
      <w:pPr>
        <w:ind w:left="2384" w:hanging="360"/>
      </w:pPr>
      <w:rPr>
        <w:rFonts w:cs="Times New Roman"/>
      </w:rPr>
    </w:lvl>
    <w:lvl w:ilvl="2" w:tplc="0809001B" w:tentative="1">
      <w:start w:val="1"/>
      <w:numFmt w:val="lowerRoman"/>
      <w:lvlText w:val="%3."/>
      <w:lvlJc w:val="right"/>
      <w:pPr>
        <w:ind w:left="3104" w:hanging="180"/>
      </w:pPr>
      <w:rPr>
        <w:rFonts w:cs="Times New Roman"/>
      </w:rPr>
    </w:lvl>
    <w:lvl w:ilvl="3" w:tplc="0809000F" w:tentative="1">
      <w:start w:val="1"/>
      <w:numFmt w:val="decimal"/>
      <w:lvlText w:val="%4."/>
      <w:lvlJc w:val="left"/>
      <w:pPr>
        <w:ind w:left="3824" w:hanging="360"/>
      </w:pPr>
      <w:rPr>
        <w:rFonts w:cs="Times New Roman"/>
      </w:rPr>
    </w:lvl>
    <w:lvl w:ilvl="4" w:tplc="08090019" w:tentative="1">
      <w:start w:val="1"/>
      <w:numFmt w:val="lowerLetter"/>
      <w:lvlText w:val="%5."/>
      <w:lvlJc w:val="left"/>
      <w:pPr>
        <w:ind w:left="4544" w:hanging="360"/>
      </w:pPr>
      <w:rPr>
        <w:rFonts w:cs="Times New Roman"/>
      </w:rPr>
    </w:lvl>
    <w:lvl w:ilvl="5" w:tplc="0809001B" w:tentative="1">
      <w:start w:val="1"/>
      <w:numFmt w:val="lowerRoman"/>
      <w:lvlText w:val="%6."/>
      <w:lvlJc w:val="right"/>
      <w:pPr>
        <w:ind w:left="5264" w:hanging="180"/>
      </w:pPr>
      <w:rPr>
        <w:rFonts w:cs="Times New Roman"/>
      </w:rPr>
    </w:lvl>
    <w:lvl w:ilvl="6" w:tplc="0809000F" w:tentative="1">
      <w:start w:val="1"/>
      <w:numFmt w:val="decimal"/>
      <w:lvlText w:val="%7."/>
      <w:lvlJc w:val="left"/>
      <w:pPr>
        <w:ind w:left="5984" w:hanging="360"/>
      </w:pPr>
      <w:rPr>
        <w:rFonts w:cs="Times New Roman"/>
      </w:rPr>
    </w:lvl>
    <w:lvl w:ilvl="7" w:tplc="08090019" w:tentative="1">
      <w:start w:val="1"/>
      <w:numFmt w:val="lowerLetter"/>
      <w:lvlText w:val="%8."/>
      <w:lvlJc w:val="left"/>
      <w:pPr>
        <w:ind w:left="6704" w:hanging="360"/>
      </w:pPr>
      <w:rPr>
        <w:rFonts w:cs="Times New Roman"/>
      </w:rPr>
    </w:lvl>
    <w:lvl w:ilvl="8" w:tplc="0809001B" w:tentative="1">
      <w:start w:val="1"/>
      <w:numFmt w:val="lowerRoman"/>
      <w:lvlText w:val="%9."/>
      <w:lvlJc w:val="right"/>
      <w:pPr>
        <w:ind w:left="7424" w:hanging="180"/>
      </w:pPr>
      <w:rPr>
        <w:rFonts w:cs="Times New Roman"/>
      </w:rPr>
    </w:lvl>
  </w:abstractNum>
  <w:abstractNum w:abstractNumId="15" w15:restartNumberingAfterBreak="0">
    <w:nsid w:val="46F4470C"/>
    <w:multiLevelType w:val="hybridMultilevel"/>
    <w:tmpl w:val="A372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15FEB"/>
    <w:multiLevelType w:val="hybridMultilevel"/>
    <w:tmpl w:val="B03C5B12"/>
    <w:lvl w:ilvl="0" w:tplc="9EC2FF12">
      <w:numFmt w:val="bullet"/>
      <w:lvlText w:val=""/>
      <w:lvlJc w:val="left"/>
      <w:pPr>
        <w:tabs>
          <w:tab w:val="num" w:pos="720"/>
        </w:tabs>
        <w:ind w:left="720"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cs="Times New Roman"/>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09F28B9"/>
    <w:multiLevelType w:val="hybridMultilevel"/>
    <w:tmpl w:val="DC704D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157233"/>
    <w:multiLevelType w:val="hybridMultilevel"/>
    <w:tmpl w:val="5C6873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BD5819"/>
    <w:multiLevelType w:val="hybridMultilevel"/>
    <w:tmpl w:val="ABB85468"/>
    <w:lvl w:ilvl="0" w:tplc="3C62EC34">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3C62EC34">
      <w:numFmt w:val="bullet"/>
      <w:lvlText w:val="-"/>
      <w:lvlJc w:val="left"/>
      <w:pPr>
        <w:tabs>
          <w:tab w:val="num" w:pos="2160"/>
        </w:tabs>
        <w:ind w:left="2160" w:hanging="360"/>
      </w:pPr>
      <w:rPr>
        <w:rFonts w:ascii="Arial" w:eastAsia="Times New Roman" w:hAnsi="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6D25B0"/>
    <w:multiLevelType w:val="hybridMultilevel"/>
    <w:tmpl w:val="37AAEAEE"/>
    <w:lvl w:ilvl="0" w:tplc="F544DDA4">
      <w:start w:val="1"/>
      <w:numFmt w:val="bullet"/>
      <w:lvlText w:val="-"/>
      <w:lvlJc w:val="left"/>
      <w:pPr>
        <w:ind w:left="360" w:hanging="360"/>
      </w:pPr>
      <w:rPr>
        <w:rFonts w:ascii="Times New Roman" w:eastAsia="Times New Roma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644A3F52"/>
    <w:multiLevelType w:val="hybridMultilevel"/>
    <w:tmpl w:val="01601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835543"/>
    <w:multiLevelType w:val="hybridMultilevel"/>
    <w:tmpl w:val="6C5446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F416B90"/>
    <w:multiLevelType w:val="multilevel"/>
    <w:tmpl w:val="CC1CFA68"/>
    <w:lvl w:ilvl="0">
      <w:start w:val="1"/>
      <w:numFmt w:val="upperRoman"/>
      <w:pStyle w:val="Heading"/>
      <w:lvlText w:val="Annex %1"/>
      <w:lvlJc w:val="left"/>
      <w:pPr>
        <w:tabs>
          <w:tab w:val="num" w:pos="1077"/>
        </w:tabs>
        <w:ind w:left="1077" w:hanging="1077"/>
      </w:pPr>
      <w:rPr>
        <w:rFonts w:ascii="Verdana" w:hAnsi="Verdana" w:cs="Times New Roman" w:hint="default"/>
        <w:b/>
        <w:i w:val="0"/>
        <w:sz w:val="28"/>
      </w:rPr>
    </w:lvl>
    <w:lvl w:ilvl="1">
      <w:start w:val="1"/>
      <w:numFmt w:val="decimal"/>
      <w:lvlText w:val="%1.%2"/>
      <w:lvlJc w:val="left"/>
      <w:pPr>
        <w:tabs>
          <w:tab w:val="num" w:pos="1077"/>
        </w:tabs>
        <w:ind w:left="1077" w:hanging="1077"/>
      </w:pPr>
      <w:rPr>
        <w:rFonts w:ascii="Times New Roman" w:hAnsi="Times New Roman" w:cs="Times New Roman" w:hint="default"/>
        <w:b/>
        <w:i w:val="0"/>
        <w:sz w:val="24"/>
      </w:rPr>
    </w:lvl>
    <w:lvl w:ilvl="2">
      <w:start w:val="1"/>
      <w:numFmt w:val="decimal"/>
      <w:lvlText w:val="%1.%2.%3"/>
      <w:lvlJc w:val="left"/>
      <w:pPr>
        <w:tabs>
          <w:tab w:val="num" w:pos="1077"/>
        </w:tabs>
        <w:ind w:left="1077" w:hanging="1077"/>
      </w:pPr>
      <w:rPr>
        <w:rFonts w:ascii="Times New Roman" w:hAnsi="Times New Roman" w:cs="Times New Roman" w:hint="default"/>
        <w:b/>
        <w:i w:val="0"/>
        <w:sz w:val="24"/>
      </w:rPr>
    </w:lvl>
    <w:lvl w:ilvl="3">
      <w:start w:val="1"/>
      <w:numFmt w:val="decimal"/>
      <w:lvlText w:val="%1.%2.%3.%4"/>
      <w:lvlJc w:val="left"/>
      <w:pPr>
        <w:tabs>
          <w:tab w:val="num" w:pos="1077"/>
        </w:tabs>
        <w:ind w:left="1304" w:hanging="1020"/>
      </w:pPr>
      <w:rPr>
        <w:rFonts w:ascii="Times New Roman" w:hAnsi="Times New Roman" w:cs="Times New Roman" w:hint="default"/>
        <w:b/>
        <w:i w:val="0"/>
        <w:sz w:val="24"/>
      </w:rPr>
    </w:lvl>
    <w:lvl w:ilvl="4">
      <w:start w:val="1"/>
      <w:numFmt w:val="decimal"/>
      <w:lvlText w:val="%1.%2.%3.%4.%5"/>
      <w:lvlJc w:val="left"/>
      <w:pPr>
        <w:tabs>
          <w:tab w:val="num" w:pos="1843"/>
        </w:tabs>
        <w:ind w:left="1843" w:hanging="1843"/>
      </w:pPr>
      <w:rPr>
        <w:rFonts w:ascii="Times New Roman" w:hAnsi="Times New Roman" w:cs="Times New Roman" w:hint="default"/>
        <w:b/>
        <w:i w:val="0"/>
        <w:sz w:val="24"/>
      </w:rPr>
    </w:lvl>
    <w:lvl w:ilvl="5">
      <w:start w:val="1"/>
      <w:numFmt w:val="none"/>
      <w:lvlText w:val="%1.%2.%3.%4.%5.%61."/>
      <w:lvlJc w:val="left"/>
      <w:pPr>
        <w:tabs>
          <w:tab w:val="num" w:pos="1843"/>
        </w:tabs>
        <w:ind w:left="1843" w:hanging="1843"/>
      </w:pPr>
      <w:rPr>
        <w:rFonts w:cs="Times New Roman" w:hint="default"/>
        <w:b/>
        <w:i w:val="0"/>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74A47A34"/>
    <w:multiLevelType w:val="hybridMultilevel"/>
    <w:tmpl w:val="00C86BBE"/>
    <w:lvl w:ilvl="0" w:tplc="FFFFFFFF">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7BF412DD"/>
    <w:multiLevelType w:val="hybridMultilevel"/>
    <w:tmpl w:val="B48E562A"/>
    <w:lvl w:ilvl="0" w:tplc="3C62EC34">
      <w:numFmt w:val="bullet"/>
      <w:lvlText w:val="-"/>
      <w:lvlJc w:val="left"/>
      <w:pPr>
        <w:tabs>
          <w:tab w:val="num" w:pos="720"/>
        </w:tabs>
        <w:ind w:left="720" w:hanging="360"/>
      </w:pPr>
      <w:rPr>
        <w:rFonts w:ascii="Arial" w:eastAsia="Times New Roman" w:hAnsi="Arial" w:hint="default"/>
      </w:rPr>
    </w:lvl>
    <w:lvl w:ilvl="1" w:tplc="08090001">
      <w:start w:val="1"/>
      <w:numFmt w:val="bullet"/>
      <w:lvlText w:val=""/>
      <w:lvlJc w:val="left"/>
      <w:pPr>
        <w:tabs>
          <w:tab w:val="num" w:pos="1440"/>
        </w:tabs>
        <w:ind w:left="1440" w:hanging="360"/>
      </w:pPr>
      <w:rPr>
        <w:rFonts w:ascii="Symbol" w:hAnsi="Symbol" w:hint="default"/>
      </w:rPr>
    </w:lvl>
    <w:lvl w:ilvl="2" w:tplc="3C62EC34">
      <w:numFmt w:val="bullet"/>
      <w:lvlText w:val="-"/>
      <w:lvlJc w:val="left"/>
      <w:pPr>
        <w:tabs>
          <w:tab w:val="num" w:pos="2160"/>
        </w:tabs>
        <w:ind w:left="2160" w:hanging="360"/>
      </w:pPr>
      <w:rPr>
        <w:rFonts w:ascii="Arial" w:eastAsia="Times New Roman" w:hAnsi="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FA6B4D"/>
    <w:multiLevelType w:val="multilevel"/>
    <w:tmpl w:val="99E6AFE0"/>
    <w:lvl w:ilvl="0">
      <w:start w:val="1"/>
      <w:numFmt w:val="decimal"/>
      <w:pStyle w:val="Heading1"/>
      <w:suff w:val="space"/>
      <w:lvlText w:val="%1."/>
      <w:lvlJc w:val="left"/>
      <w:pPr>
        <w:ind w:left="0" w:firstLine="0"/>
      </w:pPr>
      <w:rPr>
        <w:rFonts w:ascii="Verdana" w:hAnsi="Verdana" w:cs="Times New Roman" w:hint="default"/>
        <w:b/>
        <w:i w:val="0"/>
        <w:color w:val="0046AD"/>
        <w:sz w:val="28"/>
      </w:rPr>
    </w:lvl>
    <w:lvl w:ilvl="1">
      <w:start w:val="1"/>
      <w:numFmt w:val="decimal"/>
      <w:lvlText w:val="%2.1"/>
      <w:lvlJc w:val="left"/>
      <w:pPr>
        <w:tabs>
          <w:tab w:val="num" w:pos="360"/>
        </w:tabs>
        <w:ind w:left="0" w:firstLine="0"/>
      </w:pPr>
      <w:rPr>
        <w:rFonts w:cs="Times New Roman" w:hint="default"/>
      </w:rPr>
    </w:lvl>
    <w:lvl w:ilvl="2">
      <w:numFmt w:val="none"/>
      <w:pStyle w:val="Heading3"/>
      <w:lvlText w:val=""/>
      <w:lvlJc w:val="left"/>
      <w:pPr>
        <w:tabs>
          <w:tab w:val="num" w:pos="360"/>
        </w:tabs>
        <w:ind w:left="0" w:firstLine="0"/>
      </w:pPr>
      <w:rPr>
        <w:rFonts w:cs="Times New Roman" w:hint="default"/>
      </w:rPr>
    </w:lvl>
    <w:lvl w:ilvl="3">
      <w:numFmt w:val="decimal"/>
      <w:pStyle w:val="Heading4"/>
      <w:lvlText w:val=""/>
      <w:lvlJc w:val="left"/>
      <w:pPr>
        <w:ind w:left="0" w:firstLine="0"/>
      </w:pPr>
      <w:rPr>
        <w:rFonts w:cs="Times New Roman" w:hint="default"/>
      </w:rPr>
    </w:lvl>
    <w:lvl w:ilvl="4">
      <w:numFmt w:val="decimal"/>
      <w:pStyle w:val="Heading5"/>
      <w:lvlText w:val=""/>
      <w:lvlJc w:val="left"/>
      <w:pPr>
        <w:ind w:left="0" w:firstLine="0"/>
      </w:pPr>
      <w:rPr>
        <w:rFonts w:cs="Times New Roman" w:hint="default"/>
      </w:rPr>
    </w:lvl>
    <w:lvl w:ilvl="5">
      <w:numFmt w:val="decimal"/>
      <w:pStyle w:val="Heading6"/>
      <w:lvlText w:val=""/>
      <w:lvlJc w:val="left"/>
      <w:pPr>
        <w:ind w:left="0" w:firstLine="0"/>
      </w:pPr>
      <w:rPr>
        <w:rFonts w:cs="Times New Roman" w:hint="default"/>
      </w:rPr>
    </w:lvl>
    <w:lvl w:ilvl="6">
      <w:numFmt w:val="decimal"/>
      <w:pStyle w:val="Heading7"/>
      <w:lvlText w:val=""/>
      <w:lvlJc w:val="left"/>
      <w:pPr>
        <w:ind w:left="0" w:firstLine="0"/>
      </w:pPr>
      <w:rPr>
        <w:rFonts w:cs="Times New Roman" w:hint="default"/>
      </w:rPr>
    </w:lvl>
    <w:lvl w:ilvl="7">
      <w:numFmt w:val="decimal"/>
      <w:pStyle w:val="Heading8"/>
      <w:lvlText w:val=""/>
      <w:lvlJc w:val="left"/>
      <w:pPr>
        <w:ind w:left="0" w:firstLine="0"/>
      </w:pPr>
      <w:rPr>
        <w:rFonts w:cs="Times New Roman" w:hint="default"/>
      </w:rPr>
    </w:lvl>
    <w:lvl w:ilvl="8">
      <w:numFmt w:val="decimal"/>
      <w:pStyle w:val="Heading9"/>
      <w:lvlText w:val=""/>
      <w:lvlJc w:val="left"/>
      <w:pPr>
        <w:ind w:left="0" w:firstLine="0"/>
      </w:pPr>
      <w:rPr>
        <w:rFonts w:cs="Times New Roman" w:hint="default"/>
      </w:rPr>
    </w:lvl>
  </w:abstractNum>
  <w:abstractNum w:abstractNumId="28" w15:restartNumberingAfterBreak="0">
    <w:nsid w:val="7C871AFA"/>
    <w:multiLevelType w:val="multilevel"/>
    <w:tmpl w:val="250224A4"/>
    <w:lvl w:ilvl="0">
      <w:numFmt w:val="decimal"/>
      <w:pStyle w:val="BulletedList1-usermanu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7E6B1092"/>
    <w:multiLevelType w:val="hybridMultilevel"/>
    <w:tmpl w:val="DAD22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17"/>
  </w:num>
  <w:num w:numId="4">
    <w:abstractNumId w:val="28"/>
  </w:num>
  <w:num w:numId="5">
    <w:abstractNumId w:val="20"/>
  </w:num>
  <w:num w:numId="6">
    <w:abstractNumId w:val="16"/>
  </w:num>
  <w:num w:numId="7">
    <w:abstractNumId w:val="24"/>
  </w:num>
  <w:num w:numId="8">
    <w:abstractNumId w:val="19"/>
  </w:num>
  <w:num w:numId="9">
    <w:abstractNumId w:val="8"/>
  </w:num>
  <w:num w:numId="10">
    <w:abstractNumId w:val="9"/>
  </w:num>
  <w:num w:numId="11">
    <w:abstractNumId w:val="13"/>
  </w:num>
  <w:num w:numId="12">
    <w:abstractNumId w:val="26"/>
  </w:num>
  <w:num w:numId="13">
    <w:abstractNumId w:val="14"/>
  </w:num>
  <w:num w:numId="14">
    <w:abstractNumId w:val="22"/>
  </w:num>
  <w:num w:numId="15">
    <w:abstractNumId w:val="15"/>
  </w:num>
  <w:num w:numId="16">
    <w:abstractNumId w:val="27"/>
    <w:lvlOverride w:ilvl="0">
      <w:startOverride w:val="7"/>
    </w:lvlOverride>
    <w:lvlOverride w:ilvl="1">
      <w:startOverride w:val="7"/>
    </w:lvlOverride>
    <w:lvlOverride w:ilvl="2"/>
    <w:lvlOverride w:ilvl="3"/>
    <w:lvlOverride w:ilvl="4"/>
    <w:lvlOverride w:ilvl="5"/>
    <w:lvlOverride w:ilvl="6"/>
    <w:lvlOverride w:ilvl="7"/>
    <w:lvlOverride w:ilvl="8"/>
  </w:num>
  <w:num w:numId="17">
    <w:abstractNumId w:val="10"/>
  </w:num>
  <w:num w:numId="18">
    <w:abstractNumId w:val="3"/>
  </w:num>
  <w:num w:numId="19">
    <w:abstractNumId w:val="0"/>
  </w:num>
  <w:num w:numId="20">
    <w:abstractNumId w:val="6"/>
  </w:num>
  <w:num w:numId="21">
    <w:abstractNumId w:val="18"/>
  </w:num>
  <w:num w:numId="22">
    <w:abstractNumId w:val="23"/>
  </w:num>
  <w:num w:numId="23">
    <w:abstractNumId w:val="7"/>
  </w:num>
  <w:num w:numId="24">
    <w:abstractNumId w:val="2"/>
  </w:num>
  <w:num w:numId="25">
    <w:abstractNumId w:val="12"/>
  </w:num>
  <w:num w:numId="26">
    <w:abstractNumId w:val="21"/>
  </w:num>
  <w:num w:numId="27">
    <w:abstractNumId w:val="29"/>
  </w:num>
  <w:num w:numId="28">
    <w:abstractNumId w:val="1"/>
  </w:num>
  <w:num w:numId="29">
    <w:abstractNumId w:val="25"/>
  </w:num>
  <w:num w:numId="30">
    <w:abstractNumId w:val="4"/>
  </w:num>
  <w:num w:numId="31">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removeDateAndTime/>
  <w:displayBackgroundShape/>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de-DE" w:vendorID="64" w:dllVersion="131078" w:nlCheck="1" w:checkStyle="0"/>
  <w:activeWritingStyle w:appName="MSWord" w:lang="fr-FR" w:vendorID="64" w:dllVersion="131078" w:nlCheck="1" w:checkStyle="1"/>
  <w:activeWritingStyle w:appName="MSWord" w:lang="fi-FI"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1304"/>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DOC" w:val="1"/>
  </w:docVars>
  <w:rsids>
    <w:rsidRoot w:val="00DA3B32"/>
    <w:rsid w:val="000011FB"/>
    <w:rsid w:val="0000234D"/>
    <w:rsid w:val="00004D57"/>
    <w:rsid w:val="0000628B"/>
    <w:rsid w:val="00007294"/>
    <w:rsid w:val="00007F2B"/>
    <w:rsid w:val="00010C9D"/>
    <w:rsid w:val="00011FED"/>
    <w:rsid w:val="00013440"/>
    <w:rsid w:val="000134CC"/>
    <w:rsid w:val="00014B0D"/>
    <w:rsid w:val="000173ED"/>
    <w:rsid w:val="00020A21"/>
    <w:rsid w:val="0002406A"/>
    <w:rsid w:val="0002427A"/>
    <w:rsid w:val="00024E93"/>
    <w:rsid w:val="00025C99"/>
    <w:rsid w:val="00026CFF"/>
    <w:rsid w:val="0002715F"/>
    <w:rsid w:val="000322E6"/>
    <w:rsid w:val="0003279A"/>
    <w:rsid w:val="0003344B"/>
    <w:rsid w:val="00035D1B"/>
    <w:rsid w:val="000366C4"/>
    <w:rsid w:val="000374E6"/>
    <w:rsid w:val="0004212E"/>
    <w:rsid w:val="000423CE"/>
    <w:rsid w:val="0004256D"/>
    <w:rsid w:val="00043751"/>
    <w:rsid w:val="00043E96"/>
    <w:rsid w:val="00044012"/>
    <w:rsid w:val="000444B4"/>
    <w:rsid w:val="00044A20"/>
    <w:rsid w:val="00045D28"/>
    <w:rsid w:val="000464D9"/>
    <w:rsid w:val="00047531"/>
    <w:rsid w:val="00050D7D"/>
    <w:rsid w:val="000516C0"/>
    <w:rsid w:val="000518E7"/>
    <w:rsid w:val="00051E87"/>
    <w:rsid w:val="000533B1"/>
    <w:rsid w:val="000550DB"/>
    <w:rsid w:val="00055983"/>
    <w:rsid w:val="000575CF"/>
    <w:rsid w:val="000610AB"/>
    <w:rsid w:val="00061796"/>
    <w:rsid w:val="00062A33"/>
    <w:rsid w:val="000634C2"/>
    <w:rsid w:val="00064C58"/>
    <w:rsid w:val="00065EBE"/>
    <w:rsid w:val="00071167"/>
    <w:rsid w:val="000721AD"/>
    <w:rsid w:val="0007332F"/>
    <w:rsid w:val="00075E83"/>
    <w:rsid w:val="000763F7"/>
    <w:rsid w:val="00076478"/>
    <w:rsid w:val="00076778"/>
    <w:rsid w:val="00076B0A"/>
    <w:rsid w:val="00077780"/>
    <w:rsid w:val="000803D3"/>
    <w:rsid w:val="00080EB6"/>
    <w:rsid w:val="000840E2"/>
    <w:rsid w:val="000843FE"/>
    <w:rsid w:val="00086315"/>
    <w:rsid w:val="00091484"/>
    <w:rsid w:val="00093F94"/>
    <w:rsid w:val="00093FE6"/>
    <w:rsid w:val="00094D1A"/>
    <w:rsid w:val="00096110"/>
    <w:rsid w:val="00096A17"/>
    <w:rsid w:val="00096A9A"/>
    <w:rsid w:val="000970A2"/>
    <w:rsid w:val="000A05CE"/>
    <w:rsid w:val="000A07B3"/>
    <w:rsid w:val="000A124E"/>
    <w:rsid w:val="000A162A"/>
    <w:rsid w:val="000A192F"/>
    <w:rsid w:val="000A1F9D"/>
    <w:rsid w:val="000A3009"/>
    <w:rsid w:val="000A392D"/>
    <w:rsid w:val="000A3DEB"/>
    <w:rsid w:val="000A4278"/>
    <w:rsid w:val="000A601C"/>
    <w:rsid w:val="000A6ECB"/>
    <w:rsid w:val="000A775C"/>
    <w:rsid w:val="000B1F71"/>
    <w:rsid w:val="000B275C"/>
    <w:rsid w:val="000B2E04"/>
    <w:rsid w:val="000B342A"/>
    <w:rsid w:val="000B3A1D"/>
    <w:rsid w:val="000B5BD9"/>
    <w:rsid w:val="000B6BC6"/>
    <w:rsid w:val="000B6F96"/>
    <w:rsid w:val="000B75D0"/>
    <w:rsid w:val="000B75DA"/>
    <w:rsid w:val="000B7BBE"/>
    <w:rsid w:val="000B7D2E"/>
    <w:rsid w:val="000C1E7C"/>
    <w:rsid w:val="000C389E"/>
    <w:rsid w:val="000C3A46"/>
    <w:rsid w:val="000C3CB8"/>
    <w:rsid w:val="000C6530"/>
    <w:rsid w:val="000C7D2E"/>
    <w:rsid w:val="000D0078"/>
    <w:rsid w:val="000D10EF"/>
    <w:rsid w:val="000D26BA"/>
    <w:rsid w:val="000E3105"/>
    <w:rsid w:val="000E35B3"/>
    <w:rsid w:val="000E5312"/>
    <w:rsid w:val="000F20D8"/>
    <w:rsid w:val="000F28D2"/>
    <w:rsid w:val="000F2DF2"/>
    <w:rsid w:val="000F3847"/>
    <w:rsid w:val="000F3DA5"/>
    <w:rsid w:val="000F41A0"/>
    <w:rsid w:val="000F619F"/>
    <w:rsid w:val="000F7C56"/>
    <w:rsid w:val="00100AB6"/>
    <w:rsid w:val="00101887"/>
    <w:rsid w:val="001030AC"/>
    <w:rsid w:val="00103CE8"/>
    <w:rsid w:val="0010600C"/>
    <w:rsid w:val="00106C35"/>
    <w:rsid w:val="001100D9"/>
    <w:rsid w:val="00112108"/>
    <w:rsid w:val="00112253"/>
    <w:rsid w:val="001128DA"/>
    <w:rsid w:val="00113FCA"/>
    <w:rsid w:val="00114399"/>
    <w:rsid w:val="00114628"/>
    <w:rsid w:val="00115C1E"/>
    <w:rsid w:val="00116A91"/>
    <w:rsid w:val="0011783E"/>
    <w:rsid w:val="001206E6"/>
    <w:rsid w:val="001215C2"/>
    <w:rsid w:val="00121CD9"/>
    <w:rsid w:val="001223AF"/>
    <w:rsid w:val="00123653"/>
    <w:rsid w:val="00124BA8"/>
    <w:rsid w:val="001279E0"/>
    <w:rsid w:val="00127DF0"/>
    <w:rsid w:val="001303DB"/>
    <w:rsid w:val="001340DF"/>
    <w:rsid w:val="00136859"/>
    <w:rsid w:val="001369E0"/>
    <w:rsid w:val="001379F0"/>
    <w:rsid w:val="001411DD"/>
    <w:rsid w:val="001419E0"/>
    <w:rsid w:val="00141B05"/>
    <w:rsid w:val="0014609D"/>
    <w:rsid w:val="00146510"/>
    <w:rsid w:val="001476BC"/>
    <w:rsid w:val="00151FC4"/>
    <w:rsid w:val="001541EF"/>
    <w:rsid w:val="00156D5E"/>
    <w:rsid w:val="00157ADA"/>
    <w:rsid w:val="00157B3D"/>
    <w:rsid w:val="00160086"/>
    <w:rsid w:val="0016056A"/>
    <w:rsid w:val="0016072C"/>
    <w:rsid w:val="00160C38"/>
    <w:rsid w:val="00160E01"/>
    <w:rsid w:val="00161248"/>
    <w:rsid w:val="00161DF2"/>
    <w:rsid w:val="00162E15"/>
    <w:rsid w:val="00163684"/>
    <w:rsid w:val="00164CB5"/>
    <w:rsid w:val="00167A6D"/>
    <w:rsid w:val="00167CC0"/>
    <w:rsid w:val="001723D9"/>
    <w:rsid w:val="001724CA"/>
    <w:rsid w:val="00172ABA"/>
    <w:rsid w:val="00173012"/>
    <w:rsid w:val="00173976"/>
    <w:rsid w:val="00173D06"/>
    <w:rsid w:val="00175708"/>
    <w:rsid w:val="00176845"/>
    <w:rsid w:val="00182E5E"/>
    <w:rsid w:val="0018615C"/>
    <w:rsid w:val="00187999"/>
    <w:rsid w:val="001908AC"/>
    <w:rsid w:val="00191E47"/>
    <w:rsid w:val="00193388"/>
    <w:rsid w:val="001935E8"/>
    <w:rsid w:val="001955DC"/>
    <w:rsid w:val="001962EA"/>
    <w:rsid w:val="001972D8"/>
    <w:rsid w:val="00197D96"/>
    <w:rsid w:val="001A06B7"/>
    <w:rsid w:val="001A3B94"/>
    <w:rsid w:val="001A4430"/>
    <w:rsid w:val="001A60CE"/>
    <w:rsid w:val="001A7031"/>
    <w:rsid w:val="001B06FB"/>
    <w:rsid w:val="001B222B"/>
    <w:rsid w:val="001B3789"/>
    <w:rsid w:val="001B439F"/>
    <w:rsid w:val="001C23E8"/>
    <w:rsid w:val="001C24B3"/>
    <w:rsid w:val="001C2B0A"/>
    <w:rsid w:val="001C30D9"/>
    <w:rsid w:val="001C3DCB"/>
    <w:rsid w:val="001C7341"/>
    <w:rsid w:val="001C73E1"/>
    <w:rsid w:val="001C7618"/>
    <w:rsid w:val="001D2D78"/>
    <w:rsid w:val="001D3478"/>
    <w:rsid w:val="001D39B1"/>
    <w:rsid w:val="001D3C6F"/>
    <w:rsid w:val="001D3D5A"/>
    <w:rsid w:val="001D556F"/>
    <w:rsid w:val="001D5C42"/>
    <w:rsid w:val="001D604D"/>
    <w:rsid w:val="001D61B0"/>
    <w:rsid w:val="001D6360"/>
    <w:rsid w:val="001D6B58"/>
    <w:rsid w:val="001D736D"/>
    <w:rsid w:val="001D7BB0"/>
    <w:rsid w:val="001E1808"/>
    <w:rsid w:val="001E19C3"/>
    <w:rsid w:val="001E1AAE"/>
    <w:rsid w:val="001E2D7F"/>
    <w:rsid w:val="001E584C"/>
    <w:rsid w:val="001E639A"/>
    <w:rsid w:val="001F12B5"/>
    <w:rsid w:val="001F1363"/>
    <w:rsid w:val="001F13EB"/>
    <w:rsid w:val="001F1F11"/>
    <w:rsid w:val="001F2944"/>
    <w:rsid w:val="001F2FA5"/>
    <w:rsid w:val="001F43ED"/>
    <w:rsid w:val="001F53EB"/>
    <w:rsid w:val="001F5783"/>
    <w:rsid w:val="001F76BF"/>
    <w:rsid w:val="00200975"/>
    <w:rsid w:val="00200EA7"/>
    <w:rsid w:val="00204425"/>
    <w:rsid w:val="00205E7E"/>
    <w:rsid w:val="00212038"/>
    <w:rsid w:val="00212524"/>
    <w:rsid w:val="00212A4E"/>
    <w:rsid w:val="0021592A"/>
    <w:rsid w:val="00215ECB"/>
    <w:rsid w:val="002164EE"/>
    <w:rsid w:val="00216893"/>
    <w:rsid w:val="00216D78"/>
    <w:rsid w:val="0022309B"/>
    <w:rsid w:val="00223DBE"/>
    <w:rsid w:val="0022402E"/>
    <w:rsid w:val="002243E0"/>
    <w:rsid w:val="00224B99"/>
    <w:rsid w:val="00226EED"/>
    <w:rsid w:val="002270D2"/>
    <w:rsid w:val="00227E24"/>
    <w:rsid w:val="00230703"/>
    <w:rsid w:val="00232BB4"/>
    <w:rsid w:val="00232D4A"/>
    <w:rsid w:val="00232DA6"/>
    <w:rsid w:val="00233DCE"/>
    <w:rsid w:val="00235D87"/>
    <w:rsid w:val="00235F14"/>
    <w:rsid w:val="002375B7"/>
    <w:rsid w:val="0023797E"/>
    <w:rsid w:val="002429A4"/>
    <w:rsid w:val="00246403"/>
    <w:rsid w:val="0024747B"/>
    <w:rsid w:val="002504D8"/>
    <w:rsid w:val="00251960"/>
    <w:rsid w:val="00254E63"/>
    <w:rsid w:val="0025511B"/>
    <w:rsid w:val="002551BD"/>
    <w:rsid w:val="00255B24"/>
    <w:rsid w:val="00256AC2"/>
    <w:rsid w:val="0025714C"/>
    <w:rsid w:val="002622F2"/>
    <w:rsid w:val="00262493"/>
    <w:rsid w:val="00262AF9"/>
    <w:rsid w:val="00262E79"/>
    <w:rsid w:val="00264345"/>
    <w:rsid w:val="00264B1E"/>
    <w:rsid w:val="002659F1"/>
    <w:rsid w:val="0026744B"/>
    <w:rsid w:val="00270DA9"/>
    <w:rsid w:val="00273349"/>
    <w:rsid w:val="00274FAB"/>
    <w:rsid w:val="0027585A"/>
    <w:rsid w:val="00275EAE"/>
    <w:rsid w:val="002770C2"/>
    <w:rsid w:val="002774C8"/>
    <w:rsid w:val="00277BCF"/>
    <w:rsid w:val="00277F71"/>
    <w:rsid w:val="00280AA9"/>
    <w:rsid w:val="0028291E"/>
    <w:rsid w:val="002833BB"/>
    <w:rsid w:val="0028471E"/>
    <w:rsid w:val="0028559C"/>
    <w:rsid w:val="00285968"/>
    <w:rsid w:val="002863B3"/>
    <w:rsid w:val="00290430"/>
    <w:rsid w:val="00290E50"/>
    <w:rsid w:val="00293438"/>
    <w:rsid w:val="00294045"/>
    <w:rsid w:val="00294D99"/>
    <w:rsid w:val="00295E9B"/>
    <w:rsid w:val="002975AC"/>
    <w:rsid w:val="002A08D7"/>
    <w:rsid w:val="002A2076"/>
    <w:rsid w:val="002A3AEE"/>
    <w:rsid w:val="002A5595"/>
    <w:rsid w:val="002A61B5"/>
    <w:rsid w:val="002A658A"/>
    <w:rsid w:val="002A77D1"/>
    <w:rsid w:val="002B0800"/>
    <w:rsid w:val="002B10DC"/>
    <w:rsid w:val="002B15FD"/>
    <w:rsid w:val="002B3BDB"/>
    <w:rsid w:val="002B58B6"/>
    <w:rsid w:val="002B6230"/>
    <w:rsid w:val="002B6D89"/>
    <w:rsid w:val="002B7411"/>
    <w:rsid w:val="002C0BBF"/>
    <w:rsid w:val="002C475F"/>
    <w:rsid w:val="002C5D9B"/>
    <w:rsid w:val="002C6A7C"/>
    <w:rsid w:val="002C700E"/>
    <w:rsid w:val="002D08B8"/>
    <w:rsid w:val="002D23F2"/>
    <w:rsid w:val="002D3951"/>
    <w:rsid w:val="002D3F8E"/>
    <w:rsid w:val="002D4A61"/>
    <w:rsid w:val="002D5819"/>
    <w:rsid w:val="002D669D"/>
    <w:rsid w:val="002E2095"/>
    <w:rsid w:val="002E36FF"/>
    <w:rsid w:val="002E3BB8"/>
    <w:rsid w:val="002E43DD"/>
    <w:rsid w:val="002E6725"/>
    <w:rsid w:val="002E765F"/>
    <w:rsid w:val="002E785A"/>
    <w:rsid w:val="002F18A1"/>
    <w:rsid w:val="002F255D"/>
    <w:rsid w:val="002F25D9"/>
    <w:rsid w:val="002F2C81"/>
    <w:rsid w:val="002F309C"/>
    <w:rsid w:val="002F3A92"/>
    <w:rsid w:val="002F50D5"/>
    <w:rsid w:val="002F523C"/>
    <w:rsid w:val="002F560E"/>
    <w:rsid w:val="002F572F"/>
    <w:rsid w:val="00300300"/>
    <w:rsid w:val="003005FF"/>
    <w:rsid w:val="003006F9"/>
    <w:rsid w:val="00302930"/>
    <w:rsid w:val="003044C5"/>
    <w:rsid w:val="003050A1"/>
    <w:rsid w:val="00305644"/>
    <w:rsid w:val="003058AA"/>
    <w:rsid w:val="003059D0"/>
    <w:rsid w:val="00306E7A"/>
    <w:rsid w:val="003122B0"/>
    <w:rsid w:val="00312D0D"/>
    <w:rsid w:val="00313376"/>
    <w:rsid w:val="0031577D"/>
    <w:rsid w:val="00315FEA"/>
    <w:rsid w:val="003160F9"/>
    <w:rsid w:val="00317BA7"/>
    <w:rsid w:val="00317E34"/>
    <w:rsid w:val="00320847"/>
    <w:rsid w:val="00320D25"/>
    <w:rsid w:val="0032120F"/>
    <w:rsid w:val="003215DB"/>
    <w:rsid w:val="0032266C"/>
    <w:rsid w:val="0032353B"/>
    <w:rsid w:val="003240EE"/>
    <w:rsid w:val="00324AFC"/>
    <w:rsid w:val="00324C4F"/>
    <w:rsid w:val="00325F67"/>
    <w:rsid w:val="00326BC8"/>
    <w:rsid w:val="003273CC"/>
    <w:rsid w:val="00330875"/>
    <w:rsid w:val="0033254C"/>
    <w:rsid w:val="0033693E"/>
    <w:rsid w:val="00336A1B"/>
    <w:rsid w:val="00336C84"/>
    <w:rsid w:val="003379F8"/>
    <w:rsid w:val="003423BD"/>
    <w:rsid w:val="00342651"/>
    <w:rsid w:val="00342B0F"/>
    <w:rsid w:val="00345B98"/>
    <w:rsid w:val="0034612B"/>
    <w:rsid w:val="00347163"/>
    <w:rsid w:val="00352992"/>
    <w:rsid w:val="00352F80"/>
    <w:rsid w:val="003537C9"/>
    <w:rsid w:val="003549FC"/>
    <w:rsid w:val="00355484"/>
    <w:rsid w:val="00356576"/>
    <w:rsid w:val="00356A58"/>
    <w:rsid w:val="003579E3"/>
    <w:rsid w:val="0036263D"/>
    <w:rsid w:val="00362EF1"/>
    <w:rsid w:val="00363105"/>
    <w:rsid w:val="00363F2A"/>
    <w:rsid w:val="00364099"/>
    <w:rsid w:val="00365013"/>
    <w:rsid w:val="00365C7B"/>
    <w:rsid w:val="00366EE8"/>
    <w:rsid w:val="00372B89"/>
    <w:rsid w:val="00372CB0"/>
    <w:rsid w:val="00373673"/>
    <w:rsid w:val="00373846"/>
    <w:rsid w:val="003740C1"/>
    <w:rsid w:val="00374A01"/>
    <w:rsid w:val="00380975"/>
    <w:rsid w:val="00380E39"/>
    <w:rsid w:val="003817A3"/>
    <w:rsid w:val="003819B8"/>
    <w:rsid w:val="0038266E"/>
    <w:rsid w:val="0038440E"/>
    <w:rsid w:val="00384EB0"/>
    <w:rsid w:val="00385D96"/>
    <w:rsid w:val="00386E13"/>
    <w:rsid w:val="003901FF"/>
    <w:rsid w:val="003909BD"/>
    <w:rsid w:val="00390A44"/>
    <w:rsid w:val="00390D11"/>
    <w:rsid w:val="00390ED5"/>
    <w:rsid w:val="003925E9"/>
    <w:rsid w:val="00394D29"/>
    <w:rsid w:val="00395238"/>
    <w:rsid w:val="00395CC2"/>
    <w:rsid w:val="00395D7D"/>
    <w:rsid w:val="00397DE4"/>
    <w:rsid w:val="003A00D9"/>
    <w:rsid w:val="003A10BF"/>
    <w:rsid w:val="003A22A4"/>
    <w:rsid w:val="003A2F50"/>
    <w:rsid w:val="003A3554"/>
    <w:rsid w:val="003A5B5D"/>
    <w:rsid w:val="003A66F2"/>
    <w:rsid w:val="003A7FB0"/>
    <w:rsid w:val="003B1B52"/>
    <w:rsid w:val="003B20A9"/>
    <w:rsid w:val="003B276D"/>
    <w:rsid w:val="003B305E"/>
    <w:rsid w:val="003B4361"/>
    <w:rsid w:val="003B5A41"/>
    <w:rsid w:val="003B6C91"/>
    <w:rsid w:val="003B6FD6"/>
    <w:rsid w:val="003B7422"/>
    <w:rsid w:val="003B7B69"/>
    <w:rsid w:val="003C0010"/>
    <w:rsid w:val="003C1CA9"/>
    <w:rsid w:val="003C25B7"/>
    <w:rsid w:val="003C2775"/>
    <w:rsid w:val="003C2C56"/>
    <w:rsid w:val="003C2CF3"/>
    <w:rsid w:val="003C35BF"/>
    <w:rsid w:val="003C419D"/>
    <w:rsid w:val="003C4717"/>
    <w:rsid w:val="003C5298"/>
    <w:rsid w:val="003C52AB"/>
    <w:rsid w:val="003C5310"/>
    <w:rsid w:val="003C6DC6"/>
    <w:rsid w:val="003C70C9"/>
    <w:rsid w:val="003D0A5F"/>
    <w:rsid w:val="003D2CEA"/>
    <w:rsid w:val="003D36EB"/>
    <w:rsid w:val="003D4961"/>
    <w:rsid w:val="003D50EA"/>
    <w:rsid w:val="003D5772"/>
    <w:rsid w:val="003D7802"/>
    <w:rsid w:val="003D7950"/>
    <w:rsid w:val="003E00E5"/>
    <w:rsid w:val="003E7C02"/>
    <w:rsid w:val="003F0F8F"/>
    <w:rsid w:val="003F16A5"/>
    <w:rsid w:val="003F28A5"/>
    <w:rsid w:val="003F2F19"/>
    <w:rsid w:val="003F3D8A"/>
    <w:rsid w:val="003F4EA3"/>
    <w:rsid w:val="003F583B"/>
    <w:rsid w:val="0040013B"/>
    <w:rsid w:val="00401A2B"/>
    <w:rsid w:val="0040241E"/>
    <w:rsid w:val="00403ED6"/>
    <w:rsid w:val="00405360"/>
    <w:rsid w:val="00407EC7"/>
    <w:rsid w:val="0041055E"/>
    <w:rsid w:val="0041075B"/>
    <w:rsid w:val="00410EA2"/>
    <w:rsid w:val="004112D9"/>
    <w:rsid w:val="0041141D"/>
    <w:rsid w:val="00411636"/>
    <w:rsid w:val="00420ACA"/>
    <w:rsid w:val="00421DF4"/>
    <w:rsid w:val="00421EA9"/>
    <w:rsid w:val="00422057"/>
    <w:rsid w:val="004222C6"/>
    <w:rsid w:val="004230D4"/>
    <w:rsid w:val="00423B44"/>
    <w:rsid w:val="004255E8"/>
    <w:rsid w:val="00426447"/>
    <w:rsid w:val="00431F42"/>
    <w:rsid w:val="004320BB"/>
    <w:rsid w:val="00432307"/>
    <w:rsid w:val="00432D9A"/>
    <w:rsid w:val="00433182"/>
    <w:rsid w:val="004346EA"/>
    <w:rsid w:val="00440171"/>
    <w:rsid w:val="004413AA"/>
    <w:rsid w:val="00443198"/>
    <w:rsid w:val="00443DC9"/>
    <w:rsid w:val="00444889"/>
    <w:rsid w:val="00444B2B"/>
    <w:rsid w:val="00446174"/>
    <w:rsid w:val="004500A2"/>
    <w:rsid w:val="00451129"/>
    <w:rsid w:val="004516B1"/>
    <w:rsid w:val="00453835"/>
    <w:rsid w:val="00453F5D"/>
    <w:rsid w:val="00454075"/>
    <w:rsid w:val="004569E8"/>
    <w:rsid w:val="00456AEB"/>
    <w:rsid w:val="00456B7E"/>
    <w:rsid w:val="00457899"/>
    <w:rsid w:val="00457FAB"/>
    <w:rsid w:val="004607CB"/>
    <w:rsid w:val="00460D31"/>
    <w:rsid w:val="00461EB8"/>
    <w:rsid w:val="004624BD"/>
    <w:rsid w:val="00462718"/>
    <w:rsid w:val="004640D5"/>
    <w:rsid w:val="0046529D"/>
    <w:rsid w:val="004660E9"/>
    <w:rsid w:val="00467E83"/>
    <w:rsid w:val="004703C8"/>
    <w:rsid w:val="00471B4F"/>
    <w:rsid w:val="00473363"/>
    <w:rsid w:val="00473F8A"/>
    <w:rsid w:val="00474002"/>
    <w:rsid w:val="00475193"/>
    <w:rsid w:val="00481010"/>
    <w:rsid w:val="00481DCE"/>
    <w:rsid w:val="00482ED6"/>
    <w:rsid w:val="004830FB"/>
    <w:rsid w:val="0048562D"/>
    <w:rsid w:val="00485E4B"/>
    <w:rsid w:val="0048631D"/>
    <w:rsid w:val="0048725B"/>
    <w:rsid w:val="00487686"/>
    <w:rsid w:val="004904C2"/>
    <w:rsid w:val="004921F5"/>
    <w:rsid w:val="0049356D"/>
    <w:rsid w:val="00494BD9"/>
    <w:rsid w:val="004954E7"/>
    <w:rsid w:val="00496488"/>
    <w:rsid w:val="00496513"/>
    <w:rsid w:val="004968F1"/>
    <w:rsid w:val="004971AC"/>
    <w:rsid w:val="00497825"/>
    <w:rsid w:val="004A3DA0"/>
    <w:rsid w:val="004A71BC"/>
    <w:rsid w:val="004A7767"/>
    <w:rsid w:val="004A7A37"/>
    <w:rsid w:val="004B1742"/>
    <w:rsid w:val="004B494D"/>
    <w:rsid w:val="004B4E9E"/>
    <w:rsid w:val="004B501A"/>
    <w:rsid w:val="004B6CF1"/>
    <w:rsid w:val="004B77FA"/>
    <w:rsid w:val="004C05DD"/>
    <w:rsid w:val="004C095C"/>
    <w:rsid w:val="004C1658"/>
    <w:rsid w:val="004C1BDE"/>
    <w:rsid w:val="004C3C40"/>
    <w:rsid w:val="004C3DE6"/>
    <w:rsid w:val="004C41C9"/>
    <w:rsid w:val="004C4D5B"/>
    <w:rsid w:val="004C6B32"/>
    <w:rsid w:val="004C7600"/>
    <w:rsid w:val="004C7639"/>
    <w:rsid w:val="004D2FB9"/>
    <w:rsid w:val="004D4758"/>
    <w:rsid w:val="004D4A3C"/>
    <w:rsid w:val="004D51BA"/>
    <w:rsid w:val="004D5610"/>
    <w:rsid w:val="004D5CC4"/>
    <w:rsid w:val="004E0725"/>
    <w:rsid w:val="004E18BA"/>
    <w:rsid w:val="004E23DB"/>
    <w:rsid w:val="004E7566"/>
    <w:rsid w:val="004E7D1A"/>
    <w:rsid w:val="004F0C0F"/>
    <w:rsid w:val="004F0EE2"/>
    <w:rsid w:val="004F174D"/>
    <w:rsid w:val="004F1B96"/>
    <w:rsid w:val="004F4641"/>
    <w:rsid w:val="004F47AE"/>
    <w:rsid w:val="004F56EB"/>
    <w:rsid w:val="004F679E"/>
    <w:rsid w:val="004F68C4"/>
    <w:rsid w:val="004F7A95"/>
    <w:rsid w:val="004F7F75"/>
    <w:rsid w:val="0050087C"/>
    <w:rsid w:val="00502B69"/>
    <w:rsid w:val="00502FBC"/>
    <w:rsid w:val="00504024"/>
    <w:rsid w:val="00504304"/>
    <w:rsid w:val="00504931"/>
    <w:rsid w:val="005050AF"/>
    <w:rsid w:val="0050559B"/>
    <w:rsid w:val="00506345"/>
    <w:rsid w:val="0050686B"/>
    <w:rsid w:val="0050718F"/>
    <w:rsid w:val="00507748"/>
    <w:rsid w:val="005111F5"/>
    <w:rsid w:val="005119CB"/>
    <w:rsid w:val="00512044"/>
    <w:rsid w:val="00513404"/>
    <w:rsid w:val="00514D12"/>
    <w:rsid w:val="005151C1"/>
    <w:rsid w:val="00516EA6"/>
    <w:rsid w:val="00517999"/>
    <w:rsid w:val="005210D0"/>
    <w:rsid w:val="005212CE"/>
    <w:rsid w:val="0052131E"/>
    <w:rsid w:val="005216AB"/>
    <w:rsid w:val="00521B2E"/>
    <w:rsid w:val="00521DB6"/>
    <w:rsid w:val="005239C4"/>
    <w:rsid w:val="00525EFA"/>
    <w:rsid w:val="00527BD9"/>
    <w:rsid w:val="00527CF7"/>
    <w:rsid w:val="00527E99"/>
    <w:rsid w:val="0053184F"/>
    <w:rsid w:val="00532EEA"/>
    <w:rsid w:val="0054006B"/>
    <w:rsid w:val="00540EB1"/>
    <w:rsid w:val="00541022"/>
    <w:rsid w:val="005414F6"/>
    <w:rsid w:val="00542577"/>
    <w:rsid w:val="00542751"/>
    <w:rsid w:val="00542BD6"/>
    <w:rsid w:val="005433F3"/>
    <w:rsid w:val="005442DE"/>
    <w:rsid w:val="0054522D"/>
    <w:rsid w:val="00545769"/>
    <w:rsid w:val="0054665E"/>
    <w:rsid w:val="005503AF"/>
    <w:rsid w:val="005506F8"/>
    <w:rsid w:val="00550964"/>
    <w:rsid w:val="00550A4C"/>
    <w:rsid w:val="00551D67"/>
    <w:rsid w:val="00554DC9"/>
    <w:rsid w:val="00555E72"/>
    <w:rsid w:val="00556C14"/>
    <w:rsid w:val="005576D9"/>
    <w:rsid w:val="00561F7A"/>
    <w:rsid w:val="0056246C"/>
    <w:rsid w:val="00563ABB"/>
    <w:rsid w:val="00563F8E"/>
    <w:rsid w:val="00564B60"/>
    <w:rsid w:val="005654BE"/>
    <w:rsid w:val="0056731F"/>
    <w:rsid w:val="00571547"/>
    <w:rsid w:val="0057188A"/>
    <w:rsid w:val="00574AD1"/>
    <w:rsid w:val="00574F32"/>
    <w:rsid w:val="00576DC2"/>
    <w:rsid w:val="00577AFB"/>
    <w:rsid w:val="005806A6"/>
    <w:rsid w:val="00581032"/>
    <w:rsid w:val="00581FAB"/>
    <w:rsid w:val="00582021"/>
    <w:rsid w:val="00582121"/>
    <w:rsid w:val="00583AE3"/>
    <w:rsid w:val="005847AA"/>
    <w:rsid w:val="005857D8"/>
    <w:rsid w:val="0058714A"/>
    <w:rsid w:val="00587775"/>
    <w:rsid w:val="00587EB0"/>
    <w:rsid w:val="00591BCF"/>
    <w:rsid w:val="00594EE1"/>
    <w:rsid w:val="00595534"/>
    <w:rsid w:val="0059573C"/>
    <w:rsid w:val="00595AAA"/>
    <w:rsid w:val="005967EE"/>
    <w:rsid w:val="00597567"/>
    <w:rsid w:val="00597BC0"/>
    <w:rsid w:val="005A01FD"/>
    <w:rsid w:val="005A1732"/>
    <w:rsid w:val="005A3EE6"/>
    <w:rsid w:val="005A50C3"/>
    <w:rsid w:val="005A6164"/>
    <w:rsid w:val="005A67C1"/>
    <w:rsid w:val="005A762F"/>
    <w:rsid w:val="005A7ACA"/>
    <w:rsid w:val="005B0315"/>
    <w:rsid w:val="005B1101"/>
    <w:rsid w:val="005B212C"/>
    <w:rsid w:val="005B33FE"/>
    <w:rsid w:val="005B35AD"/>
    <w:rsid w:val="005B3AD1"/>
    <w:rsid w:val="005B7042"/>
    <w:rsid w:val="005C2303"/>
    <w:rsid w:val="005C2552"/>
    <w:rsid w:val="005C33E5"/>
    <w:rsid w:val="005C4988"/>
    <w:rsid w:val="005C4AA4"/>
    <w:rsid w:val="005C5627"/>
    <w:rsid w:val="005C6D9A"/>
    <w:rsid w:val="005C7059"/>
    <w:rsid w:val="005D046B"/>
    <w:rsid w:val="005D06C4"/>
    <w:rsid w:val="005D0D99"/>
    <w:rsid w:val="005D1BC4"/>
    <w:rsid w:val="005D1D94"/>
    <w:rsid w:val="005D1E25"/>
    <w:rsid w:val="005D54A9"/>
    <w:rsid w:val="005D74C6"/>
    <w:rsid w:val="005D7FFE"/>
    <w:rsid w:val="005E0C5F"/>
    <w:rsid w:val="005E1F7E"/>
    <w:rsid w:val="005E230A"/>
    <w:rsid w:val="005E2D65"/>
    <w:rsid w:val="005E37A1"/>
    <w:rsid w:val="005E3E4F"/>
    <w:rsid w:val="005E43D3"/>
    <w:rsid w:val="005E6402"/>
    <w:rsid w:val="005E725D"/>
    <w:rsid w:val="005E7632"/>
    <w:rsid w:val="005F37A2"/>
    <w:rsid w:val="005F5662"/>
    <w:rsid w:val="005F5F86"/>
    <w:rsid w:val="005F6353"/>
    <w:rsid w:val="00600F6A"/>
    <w:rsid w:val="006016ED"/>
    <w:rsid w:val="006019A6"/>
    <w:rsid w:val="00601FFA"/>
    <w:rsid w:val="00602707"/>
    <w:rsid w:val="006033B8"/>
    <w:rsid w:val="00603A4D"/>
    <w:rsid w:val="0061035F"/>
    <w:rsid w:val="00611211"/>
    <w:rsid w:val="00616445"/>
    <w:rsid w:val="00616A78"/>
    <w:rsid w:val="00616A99"/>
    <w:rsid w:val="00617A78"/>
    <w:rsid w:val="00617D84"/>
    <w:rsid w:val="00620C22"/>
    <w:rsid w:val="00621076"/>
    <w:rsid w:val="00621242"/>
    <w:rsid w:val="006215F2"/>
    <w:rsid w:val="00621A45"/>
    <w:rsid w:val="00622D6A"/>
    <w:rsid w:val="00626669"/>
    <w:rsid w:val="00633F93"/>
    <w:rsid w:val="006358C1"/>
    <w:rsid w:val="00636F07"/>
    <w:rsid w:val="00637A05"/>
    <w:rsid w:val="00640F56"/>
    <w:rsid w:val="006411E6"/>
    <w:rsid w:val="006479F7"/>
    <w:rsid w:val="00647A13"/>
    <w:rsid w:val="00650002"/>
    <w:rsid w:val="0065139C"/>
    <w:rsid w:val="00651B0A"/>
    <w:rsid w:val="006538DF"/>
    <w:rsid w:val="00653EBA"/>
    <w:rsid w:val="006605D9"/>
    <w:rsid w:val="00660D10"/>
    <w:rsid w:val="00661804"/>
    <w:rsid w:val="0066195B"/>
    <w:rsid w:val="00661BDF"/>
    <w:rsid w:val="00662BA4"/>
    <w:rsid w:val="006631F9"/>
    <w:rsid w:val="0066587E"/>
    <w:rsid w:val="00665935"/>
    <w:rsid w:val="00665BD9"/>
    <w:rsid w:val="00666D4E"/>
    <w:rsid w:val="00667291"/>
    <w:rsid w:val="0067016F"/>
    <w:rsid w:val="00672AA9"/>
    <w:rsid w:val="00673080"/>
    <w:rsid w:val="00673373"/>
    <w:rsid w:val="00673519"/>
    <w:rsid w:val="00673EB3"/>
    <w:rsid w:val="00674099"/>
    <w:rsid w:val="00674754"/>
    <w:rsid w:val="00675339"/>
    <w:rsid w:val="0067541C"/>
    <w:rsid w:val="00675BB2"/>
    <w:rsid w:val="00675F8E"/>
    <w:rsid w:val="00676A0F"/>
    <w:rsid w:val="00677023"/>
    <w:rsid w:val="00677455"/>
    <w:rsid w:val="00680FA5"/>
    <w:rsid w:val="00683C15"/>
    <w:rsid w:val="00683CE9"/>
    <w:rsid w:val="00683E2D"/>
    <w:rsid w:val="00684388"/>
    <w:rsid w:val="00687C66"/>
    <w:rsid w:val="00690039"/>
    <w:rsid w:val="00692366"/>
    <w:rsid w:val="006924EA"/>
    <w:rsid w:val="0069329D"/>
    <w:rsid w:val="00693A60"/>
    <w:rsid w:val="00694799"/>
    <w:rsid w:val="00696FD0"/>
    <w:rsid w:val="006A1705"/>
    <w:rsid w:val="006A18DF"/>
    <w:rsid w:val="006A1B9A"/>
    <w:rsid w:val="006A272E"/>
    <w:rsid w:val="006A2807"/>
    <w:rsid w:val="006A6D40"/>
    <w:rsid w:val="006B12AE"/>
    <w:rsid w:val="006B29B7"/>
    <w:rsid w:val="006B3BD3"/>
    <w:rsid w:val="006B4E3C"/>
    <w:rsid w:val="006B55A1"/>
    <w:rsid w:val="006B5A7C"/>
    <w:rsid w:val="006B695A"/>
    <w:rsid w:val="006B7925"/>
    <w:rsid w:val="006C1C3F"/>
    <w:rsid w:val="006C3505"/>
    <w:rsid w:val="006C3689"/>
    <w:rsid w:val="006C3A8A"/>
    <w:rsid w:val="006C49B8"/>
    <w:rsid w:val="006C6083"/>
    <w:rsid w:val="006C7052"/>
    <w:rsid w:val="006C716B"/>
    <w:rsid w:val="006C7304"/>
    <w:rsid w:val="006C7AB8"/>
    <w:rsid w:val="006D2A34"/>
    <w:rsid w:val="006D4162"/>
    <w:rsid w:val="006D5031"/>
    <w:rsid w:val="006D5426"/>
    <w:rsid w:val="006D6192"/>
    <w:rsid w:val="006D6700"/>
    <w:rsid w:val="006D6A68"/>
    <w:rsid w:val="006D6B4F"/>
    <w:rsid w:val="006D7EDF"/>
    <w:rsid w:val="006E0787"/>
    <w:rsid w:val="006E124B"/>
    <w:rsid w:val="006E2209"/>
    <w:rsid w:val="006E2F85"/>
    <w:rsid w:val="006E3166"/>
    <w:rsid w:val="006E5206"/>
    <w:rsid w:val="006E529C"/>
    <w:rsid w:val="006E5E60"/>
    <w:rsid w:val="006E735A"/>
    <w:rsid w:val="006E7ADA"/>
    <w:rsid w:val="006F082C"/>
    <w:rsid w:val="006F4B04"/>
    <w:rsid w:val="006F55A8"/>
    <w:rsid w:val="006F76CC"/>
    <w:rsid w:val="007002EE"/>
    <w:rsid w:val="00701920"/>
    <w:rsid w:val="00701B88"/>
    <w:rsid w:val="007030F7"/>
    <w:rsid w:val="00703CC7"/>
    <w:rsid w:val="00703D97"/>
    <w:rsid w:val="007046E8"/>
    <w:rsid w:val="00704861"/>
    <w:rsid w:val="00704E05"/>
    <w:rsid w:val="007064AA"/>
    <w:rsid w:val="007068E9"/>
    <w:rsid w:val="007074B9"/>
    <w:rsid w:val="00711C59"/>
    <w:rsid w:val="00711DE8"/>
    <w:rsid w:val="00711E84"/>
    <w:rsid w:val="00712492"/>
    <w:rsid w:val="00713C4F"/>
    <w:rsid w:val="00714842"/>
    <w:rsid w:val="0071507F"/>
    <w:rsid w:val="0071655C"/>
    <w:rsid w:val="00716967"/>
    <w:rsid w:val="007177B2"/>
    <w:rsid w:val="007201B5"/>
    <w:rsid w:val="007208CE"/>
    <w:rsid w:val="0072468F"/>
    <w:rsid w:val="007269D5"/>
    <w:rsid w:val="00726B71"/>
    <w:rsid w:val="00726C82"/>
    <w:rsid w:val="007300ED"/>
    <w:rsid w:val="007302E2"/>
    <w:rsid w:val="00731667"/>
    <w:rsid w:val="007318D3"/>
    <w:rsid w:val="00732495"/>
    <w:rsid w:val="00732868"/>
    <w:rsid w:val="00734124"/>
    <w:rsid w:val="0073413C"/>
    <w:rsid w:val="007367AF"/>
    <w:rsid w:val="007368DF"/>
    <w:rsid w:val="007377C6"/>
    <w:rsid w:val="00737B85"/>
    <w:rsid w:val="00737FE1"/>
    <w:rsid w:val="00740C7F"/>
    <w:rsid w:val="00740F2D"/>
    <w:rsid w:val="00742FB6"/>
    <w:rsid w:val="00743430"/>
    <w:rsid w:val="00744591"/>
    <w:rsid w:val="007464DB"/>
    <w:rsid w:val="0074772C"/>
    <w:rsid w:val="0074799F"/>
    <w:rsid w:val="007504F4"/>
    <w:rsid w:val="00750B5D"/>
    <w:rsid w:val="00752947"/>
    <w:rsid w:val="00752B70"/>
    <w:rsid w:val="00760800"/>
    <w:rsid w:val="00760F49"/>
    <w:rsid w:val="00762019"/>
    <w:rsid w:val="00763471"/>
    <w:rsid w:val="00764D1E"/>
    <w:rsid w:val="0076555F"/>
    <w:rsid w:val="0076557B"/>
    <w:rsid w:val="00765B6F"/>
    <w:rsid w:val="00765EDD"/>
    <w:rsid w:val="007668BC"/>
    <w:rsid w:val="00770DA9"/>
    <w:rsid w:val="00772EB4"/>
    <w:rsid w:val="00773948"/>
    <w:rsid w:val="00773E1D"/>
    <w:rsid w:val="00775002"/>
    <w:rsid w:val="00775EFA"/>
    <w:rsid w:val="00776A3F"/>
    <w:rsid w:val="00780FA6"/>
    <w:rsid w:val="00781976"/>
    <w:rsid w:val="00782B33"/>
    <w:rsid w:val="00782B5E"/>
    <w:rsid w:val="0078439C"/>
    <w:rsid w:val="00784B34"/>
    <w:rsid w:val="00784D95"/>
    <w:rsid w:val="00786085"/>
    <w:rsid w:val="00786A9A"/>
    <w:rsid w:val="007874D7"/>
    <w:rsid w:val="00791219"/>
    <w:rsid w:val="00792A82"/>
    <w:rsid w:val="00794E68"/>
    <w:rsid w:val="00794E80"/>
    <w:rsid w:val="00797395"/>
    <w:rsid w:val="007973EA"/>
    <w:rsid w:val="007A06FF"/>
    <w:rsid w:val="007A0CD7"/>
    <w:rsid w:val="007A0CFD"/>
    <w:rsid w:val="007A0F80"/>
    <w:rsid w:val="007A25BC"/>
    <w:rsid w:val="007A3303"/>
    <w:rsid w:val="007A3D36"/>
    <w:rsid w:val="007A4CB9"/>
    <w:rsid w:val="007A64CE"/>
    <w:rsid w:val="007A772C"/>
    <w:rsid w:val="007B04E3"/>
    <w:rsid w:val="007B2537"/>
    <w:rsid w:val="007B2E3D"/>
    <w:rsid w:val="007B3F15"/>
    <w:rsid w:val="007B525F"/>
    <w:rsid w:val="007B5979"/>
    <w:rsid w:val="007B7032"/>
    <w:rsid w:val="007C0131"/>
    <w:rsid w:val="007C0A10"/>
    <w:rsid w:val="007C1505"/>
    <w:rsid w:val="007C1673"/>
    <w:rsid w:val="007C1B48"/>
    <w:rsid w:val="007C263B"/>
    <w:rsid w:val="007C3CAD"/>
    <w:rsid w:val="007C63B9"/>
    <w:rsid w:val="007C6AC3"/>
    <w:rsid w:val="007C79EF"/>
    <w:rsid w:val="007D00DA"/>
    <w:rsid w:val="007D1D0B"/>
    <w:rsid w:val="007D1D9C"/>
    <w:rsid w:val="007D1F60"/>
    <w:rsid w:val="007D2165"/>
    <w:rsid w:val="007D2758"/>
    <w:rsid w:val="007D40C4"/>
    <w:rsid w:val="007D6EBA"/>
    <w:rsid w:val="007D726B"/>
    <w:rsid w:val="007D76A1"/>
    <w:rsid w:val="007E0896"/>
    <w:rsid w:val="007E2392"/>
    <w:rsid w:val="007E4663"/>
    <w:rsid w:val="007E5861"/>
    <w:rsid w:val="007E6629"/>
    <w:rsid w:val="007F0F94"/>
    <w:rsid w:val="007F219F"/>
    <w:rsid w:val="007F2A12"/>
    <w:rsid w:val="007F5947"/>
    <w:rsid w:val="007F6509"/>
    <w:rsid w:val="007F733C"/>
    <w:rsid w:val="007F752B"/>
    <w:rsid w:val="00800499"/>
    <w:rsid w:val="00801163"/>
    <w:rsid w:val="0080138E"/>
    <w:rsid w:val="00802437"/>
    <w:rsid w:val="00802F02"/>
    <w:rsid w:val="008036AD"/>
    <w:rsid w:val="00803871"/>
    <w:rsid w:val="00803D3E"/>
    <w:rsid w:val="00805DA0"/>
    <w:rsid w:val="00810E24"/>
    <w:rsid w:val="008123A6"/>
    <w:rsid w:val="0081318C"/>
    <w:rsid w:val="008131E5"/>
    <w:rsid w:val="00813D26"/>
    <w:rsid w:val="00814088"/>
    <w:rsid w:val="008143E2"/>
    <w:rsid w:val="00814509"/>
    <w:rsid w:val="00815240"/>
    <w:rsid w:val="008160BF"/>
    <w:rsid w:val="008164BF"/>
    <w:rsid w:val="00817292"/>
    <w:rsid w:val="0081788C"/>
    <w:rsid w:val="0082331B"/>
    <w:rsid w:val="00823935"/>
    <w:rsid w:val="00825664"/>
    <w:rsid w:val="00825C5B"/>
    <w:rsid w:val="00825C5C"/>
    <w:rsid w:val="0082735D"/>
    <w:rsid w:val="0083052D"/>
    <w:rsid w:val="008338B5"/>
    <w:rsid w:val="008359A7"/>
    <w:rsid w:val="00835BE1"/>
    <w:rsid w:val="00836021"/>
    <w:rsid w:val="00836815"/>
    <w:rsid w:val="00837732"/>
    <w:rsid w:val="008413DE"/>
    <w:rsid w:val="00841AFD"/>
    <w:rsid w:val="00845FF6"/>
    <w:rsid w:val="008476D2"/>
    <w:rsid w:val="00847A18"/>
    <w:rsid w:val="0085040F"/>
    <w:rsid w:val="00852117"/>
    <w:rsid w:val="008524A6"/>
    <w:rsid w:val="008524FA"/>
    <w:rsid w:val="00853D53"/>
    <w:rsid w:val="00853E4F"/>
    <w:rsid w:val="00853F9B"/>
    <w:rsid w:val="00854EBC"/>
    <w:rsid w:val="008557B0"/>
    <w:rsid w:val="00856A02"/>
    <w:rsid w:val="00856D21"/>
    <w:rsid w:val="0085799D"/>
    <w:rsid w:val="00860A30"/>
    <w:rsid w:val="0086166F"/>
    <w:rsid w:val="00862846"/>
    <w:rsid w:val="00863774"/>
    <w:rsid w:val="00864F85"/>
    <w:rsid w:val="00865C8A"/>
    <w:rsid w:val="00866C88"/>
    <w:rsid w:val="00867C01"/>
    <w:rsid w:val="0087074B"/>
    <w:rsid w:val="00871ED7"/>
    <w:rsid w:val="00872415"/>
    <w:rsid w:val="00872E18"/>
    <w:rsid w:val="008732EF"/>
    <w:rsid w:val="00875193"/>
    <w:rsid w:val="00875A43"/>
    <w:rsid w:val="00876A13"/>
    <w:rsid w:val="00883419"/>
    <w:rsid w:val="00883470"/>
    <w:rsid w:val="00884A1E"/>
    <w:rsid w:val="0089087B"/>
    <w:rsid w:val="00891184"/>
    <w:rsid w:val="0089291E"/>
    <w:rsid w:val="008930FC"/>
    <w:rsid w:val="00894DF9"/>
    <w:rsid w:val="008962CC"/>
    <w:rsid w:val="00896E8C"/>
    <w:rsid w:val="008A23DA"/>
    <w:rsid w:val="008A350D"/>
    <w:rsid w:val="008A3A1A"/>
    <w:rsid w:val="008A3E90"/>
    <w:rsid w:val="008A468D"/>
    <w:rsid w:val="008A4EF7"/>
    <w:rsid w:val="008A4FDB"/>
    <w:rsid w:val="008A5C1E"/>
    <w:rsid w:val="008B00B4"/>
    <w:rsid w:val="008B0F9C"/>
    <w:rsid w:val="008B10C4"/>
    <w:rsid w:val="008B1607"/>
    <w:rsid w:val="008B161C"/>
    <w:rsid w:val="008B1AC8"/>
    <w:rsid w:val="008B3262"/>
    <w:rsid w:val="008B5027"/>
    <w:rsid w:val="008B670C"/>
    <w:rsid w:val="008B7566"/>
    <w:rsid w:val="008C0C97"/>
    <w:rsid w:val="008C17CD"/>
    <w:rsid w:val="008C2E81"/>
    <w:rsid w:val="008C484C"/>
    <w:rsid w:val="008C496D"/>
    <w:rsid w:val="008C64FF"/>
    <w:rsid w:val="008C6C74"/>
    <w:rsid w:val="008C6EE6"/>
    <w:rsid w:val="008C6FCC"/>
    <w:rsid w:val="008D0DBB"/>
    <w:rsid w:val="008D15BF"/>
    <w:rsid w:val="008D1892"/>
    <w:rsid w:val="008D261F"/>
    <w:rsid w:val="008D29FA"/>
    <w:rsid w:val="008D2A00"/>
    <w:rsid w:val="008D3538"/>
    <w:rsid w:val="008D4AA9"/>
    <w:rsid w:val="008D54DB"/>
    <w:rsid w:val="008D59DA"/>
    <w:rsid w:val="008D6E8B"/>
    <w:rsid w:val="008D73CB"/>
    <w:rsid w:val="008E0CC6"/>
    <w:rsid w:val="008E3101"/>
    <w:rsid w:val="008E3D11"/>
    <w:rsid w:val="008F0679"/>
    <w:rsid w:val="008F3123"/>
    <w:rsid w:val="008F3ABE"/>
    <w:rsid w:val="008F3F84"/>
    <w:rsid w:val="008F49B1"/>
    <w:rsid w:val="008F4FD9"/>
    <w:rsid w:val="008F59EF"/>
    <w:rsid w:val="008F5CC4"/>
    <w:rsid w:val="008F6463"/>
    <w:rsid w:val="008F6AF1"/>
    <w:rsid w:val="008F7272"/>
    <w:rsid w:val="008F75CD"/>
    <w:rsid w:val="009013E0"/>
    <w:rsid w:val="009024CD"/>
    <w:rsid w:val="0090297A"/>
    <w:rsid w:val="00903693"/>
    <w:rsid w:val="009054A6"/>
    <w:rsid w:val="009054CA"/>
    <w:rsid w:val="00905F38"/>
    <w:rsid w:val="00906A9A"/>
    <w:rsid w:val="00907B5F"/>
    <w:rsid w:val="00911138"/>
    <w:rsid w:val="00911E6C"/>
    <w:rsid w:val="00912690"/>
    <w:rsid w:val="00912A08"/>
    <w:rsid w:val="00915B7A"/>
    <w:rsid w:val="00917B86"/>
    <w:rsid w:val="0092043B"/>
    <w:rsid w:val="00921129"/>
    <w:rsid w:val="00921D2D"/>
    <w:rsid w:val="009224E4"/>
    <w:rsid w:val="00925387"/>
    <w:rsid w:val="00925A33"/>
    <w:rsid w:val="009275B7"/>
    <w:rsid w:val="00930B4F"/>
    <w:rsid w:val="00931037"/>
    <w:rsid w:val="00931099"/>
    <w:rsid w:val="00931430"/>
    <w:rsid w:val="00931AF6"/>
    <w:rsid w:val="00931FC3"/>
    <w:rsid w:val="009320EC"/>
    <w:rsid w:val="00932264"/>
    <w:rsid w:val="00932471"/>
    <w:rsid w:val="00932EE1"/>
    <w:rsid w:val="009334EF"/>
    <w:rsid w:val="00933CBA"/>
    <w:rsid w:val="00933FC6"/>
    <w:rsid w:val="00935F19"/>
    <w:rsid w:val="00936989"/>
    <w:rsid w:val="00936C1F"/>
    <w:rsid w:val="009374E0"/>
    <w:rsid w:val="00937AFB"/>
    <w:rsid w:val="00937D73"/>
    <w:rsid w:val="0094108B"/>
    <w:rsid w:val="00941C1C"/>
    <w:rsid w:val="00942AD7"/>
    <w:rsid w:val="009454D6"/>
    <w:rsid w:val="0094568D"/>
    <w:rsid w:val="00945F44"/>
    <w:rsid w:val="00950343"/>
    <w:rsid w:val="00950F72"/>
    <w:rsid w:val="0095112C"/>
    <w:rsid w:val="00953226"/>
    <w:rsid w:val="00953959"/>
    <w:rsid w:val="00953D94"/>
    <w:rsid w:val="00955922"/>
    <w:rsid w:val="00955DAD"/>
    <w:rsid w:val="00955E60"/>
    <w:rsid w:val="00955E6B"/>
    <w:rsid w:val="00957E55"/>
    <w:rsid w:val="00960955"/>
    <w:rsid w:val="009615C4"/>
    <w:rsid w:val="00961C4C"/>
    <w:rsid w:val="00963CA8"/>
    <w:rsid w:val="00966586"/>
    <w:rsid w:val="00970456"/>
    <w:rsid w:val="00971B09"/>
    <w:rsid w:val="00973969"/>
    <w:rsid w:val="009745EB"/>
    <w:rsid w:val="00975396"/>
    <w:rsid w:val="0097785C"/>
    <w:rsid w:val="009812B3"/>
    <w:rsid w:val="00982C8A"/>
    <w:rsid w:val="00983B98"/>
    <w:rsid w:val="00983CAA"/>
    <w:rsid w:val="009849AE"/>
    <w:rsid w:val="00985039"/>
    <w:rsid w:val="00987317"/>
    <w:rsid w:val="009907F6"/>
    <w:rsid w:val="009973D5"/>
    <w:rsid w:val="009974D8"/>
    <w:rsid w:val="009A0757"/>
    <w:rsid w:val="009A4BC5"/>
    <w:rsid w:val="009A4C54"/>
    <w:rsid w:val="009A5369"/>
    <w:rsid w:val="009A71F5"/>
    <w:rsid w:val="009A71F6"/>
    <w:rsid w:val="009A7474"/>
    <w:rsid w:val="009A782A"/>
    <w:rsid w:val="009B03B5"/>
    <w:rsid w:val="009B0A0D"/>
    <w:rsid w:val="009B1673"/>
    <w:rsid w:val="009B2102"/>
    <w:rsid w:val="009B2360"/>
    <w:rsid w:val="009B49E1"/>
    <w:rsid w:val="009B5109"/>
    <w:rsid w:val="009B77E9"/>
    <w:rsid w:val="009C04D8"/>
    <w:rsid w:val="009C0556"/>
    <w:rsid w:val="009C4B95"/>
    <w:rsid w:val="009C4BF4"/>
    <w:rsid w:val="009C5CF2"/>
    <w:rsid w:val="009C5D63"/>
    <w:rsid w:val="009C67C9"/>
    <w:rsid w:val="009C7751"/>
    <w:rsid w:val="009C7AE8"/>
    <w:rsid w:val="009D00AA"/>
    <w:rsid w:val="009D04E5"/>
    <w:rsid w:val="009D1C1E"/>
    <w:rsid w:val="009D1CCE"/>
    <w:rsid w:val="009D2030"/>
    <w:rsid w:val="009D344A"/>
    <w:rsid w:val="009D3BC1"/>
    <w:rsid w:val="009D4EA2"/>
    <w:rsid w:val="009D5D11"/>
    <w:rsid w:val="009D5EC6"/>
    <w:rsid w:val="009D6DA2"/>
    <w:rsid w:val="009E0108"/>
    <w:rsid w:val="009E0412"/>
    <w:rsid w:val="009E39A5"/>
    <w:rsid w:val="009E3EE0"/>
    <w:rsid w:val="009E6BE7"/>
    <w:rsid w:val="009F20EF"/>
    <w:rsid w:val="009F2950"/>
    <w:rsid w:val="009F3F8A"/>
    <w:rsid w:val="009F572D"/>
    <w:rsid w:val="009F65E6"/>
    <w:rsid w:val="009F7FE8"/>
    <w:rsid w:val="00A001BD"/>
    <w:rsid w:val="00A00ADF"/>
    <w:rsid w:val="00A00D99"/>
    <w:rsid w:val="00A047BA"/>
    <w:rsid w:val="00A05A55"/>
    <w:rsid w:val="00A06D2F"/>
    <w:rsid w:val="00A106EB"/>
    <w:rsid w:val="00A1342A"/>
    <w:rsid w:val="00A13E2B"/>
    <w:rsid w:val="00A144F8"/>
    <w:rsid w:val="00A15397"/>
    <w:rsid w:val="00A15742"/>
    <w:rsid w:val="00A15D4F"/>
    <w:rsid w:val="00A172E7"/>
    <w:rsid w:val="00A22024"/>
    <w:rsid w:val="00A2385D"/>
    <w:rsid w:val="00A2775F"/>
    <w:rsid w:val="00A27FB7"/>
    <w:rsid w:val="00A314D0"/>
    <w:rsid w:val="00A324ED"/>
    <w:rsid w:val="00A32CAD"/>
    <w:rsid w:val="00A35A9F"/>
    <w:rsid w:val="00A36C5F"/>
    <w:rsid w:val="00A36E3E"/>
    <w:rsid w:val="00A373AC"/>
    <w:rsid w:val="00A37786"/>
    <w:rsid w:val="00A4058C"/>
    <w:rsid w:val="00A4060F"/>
    <w:rsid w:val="00A4233D"/>
    <w:rsid w:val="00A43267"/>
    <w:rsid w:val="00A4547F"/>
    <w:rsid w:val="00A45FF1"/>
    <w:rsid w:val="00A4696A"/>
    <w:rsid w:val="00A51E4C"/>
    <w:rsid w:val="00A525D1"/>
    <w:rsid w:val="00A5496E"/>
    <w:rsid w:val="00A54DF0"/>
    <w:rsid w:val="00A55E0F"/>
    <w:rsid w:val="00A5627E"/>
    <w:rsid w:val="00A563FD"/>
    <w:rsid w:val="00A5668B"/>
    <w:rsid w:val="00A6182C"/>
    <w:rsid w:val="00A62571"/>
    <w:rsid w:val="00A642E5"/>
    <w:rsid w:val="00A64D1F"/>
    <w:rsid w:val="00A64D56"/>
    <w:rsid w:val="00A67740"/>
    <w:rsid w:val="00A7009C"/>
    <w:rsid w:val="00A74769"/>
    <w:rsid w:val="00A75CDA"/>
    <w:rsid w:val="00A77084"/>
    <w:rsid w:val="00A770AD"/>
    <w:rsid w:val="00A77701"/>
    <w:rsid w:val="00A77D07"/>
    <w:rsid w:val="00A808C8"/>
    <w:rsid w:val="00A90E19"/>
    <w:rsid w:val="00A92D19"/>
    <w:rsid w:val="00A934F2"/>
    <w:rsid w:val="00A954AE"/>
    <w:rsid w:val="00A95893"/>
    <w:rsid w:val="00AA00A2"/>
    <w:rsid w:val="00AA1BF2"/>
    <w:rsid w:val="00AA1ED1"/>
    <w:rsid w:val="00AA219A"/>
    <w:rsid w:val="00AA259D"/>
    <w:rsid w:val="00AA38A5"/>
    <w:rsid w:val="00AA4055"/>
    <w:rsid w:val="00AA511C"/>
    <w:rsid w:val="00AA5255"/>
    <w:rsid w:val="00AA67ED"/>
    <w:rsid w:val="00AB1697"/>
    <w:rsid w:val="00AB2133"/>
    <w:rsid w:val="00AB2CE7"/>
    <w:rsid w:val="00AB6B40"/>
    <w:rsid w:val="00AB770D"/>
    <w:rsid w:val="00AB77F6"/>
    <w:rsid w:val="00AC092B"/>
    <w:rsid w:val="00AC0CC7"/>
    <w:rsid w:val="00AC2CA3"/>
    <w:rsid w:val="00AC30A5"/>
    <w:rsid w:val="00AC36C5"/>
    <w:rsid w:val="00AC69CA"/>
    <w:rsid w:val="00AC733E"/>
    <w:rsid w:val="00AC7983"/>
    <w:rsid w:val="00AD01C5"/>
    <w:rsid w:val="00AD370B"/>
    <w:rsid w:val="00AD4322"/>
    <w:rsid w:val="00AD4ECA"/>
    <w:rsid w:val="00AD605F"/>
    <w:rsid w:val="00AE0DED"/>
    <w:rsid w:val="00AF02E0"/>
    <w:rsid w:val="00AF09C4"/>
    <w:rsid w:val="00AF46B4"/>
    <w:rsid w:val="00AF4E06"/>
    <w:rsid w:val="00AF4EBA"/>
    <w:rsid w:val="00AF4F79"/>
    <w:rsid w:val="00AF50AA"/>
    <w:rsid w:val="00AF5A0C"/>
    <w:rsid w:val="00AF7273"/>
    <w:rsid w:val="00AF7C93"/>
    <w:rsid w:val="00B00613"/>
    <w:rsid w:val="00B00799"/>
    <w:rsid w:val="00B00D2F"/>
    <w:rsid w:val="00B016BA"/>
    <w:rsid w:val="00B02087"/>
    <w:rsid w:val="00B02C78"/>
    <w:rsid w:val="00B04C12"/>
    <w:rsid w:val="00B050F9"/>
    <w:rsid w:val="00B05510"/>
    <w:rsid w:val="00B064EB"/>
    <w:rsid w:val="00B06688"/>
    <w:rsid w:val="00B07452"/>
    <w:rsid w:val="00B10373"/>
    <w:rsid w:val="00B109EA"/>
    <w:rsid w:val="00B110D7"/>
    <w:rsid w:val="00B12610"/>
    <w:rsid w:val="00B12C39"/>
    <w:rsid w:val="00B133A9"/>
    <w:rsid w:val="00B13ACE"/>
    <w:rsid w:val="00B159B6"/>
    <w:rsid w:val="00B162C7"/>
    <w:rsid w:val="00B172F0"/>
    <w:rsid w:val="00B21D38"/>
    <w:rsid w:val="00B2300D"/>
    <w:rsid w:val="00B2365C"/>
    <w:rsid w:val="00B25391"/>
    <w:rsid w:val="00B25952"/>
    <w:rsid w:val="00B26295"/>
    <w:rsid w:val="00B31ECC"/>
    <w:rsid w:val="00B322A4"/>
    <w:rsid w:val="00B34B3D"/>
    <w:rsid w:val="00B34B7F"/>
    <w:rsid w:val="00B35B48"/>
    <w:rsid w:val="00B36E57"/>
    <w:rsid w:val="00B40606"/>
    <w:rsid w:val="00B42176"/>
    <w:rsid w:val="00B43472"/>
    <w:rsid w:val="00B467B2"/>
    <w:rsid w:val="00B468C9"/>
    <w:rsid w:val="00B47866"/>
    <w:rsid w:val="00B52577"/>
    <w:rsid w:val="00B5561F"/>
    <w:rsid w:val="00B56726"/>
    <w:rsid w:val="00B61257"/>
    <w:rsid w:val="00B62285"/>
    <w:rsid w:val="00B62893"/>
    <w:rsid w:val="00B6376F"/>
    <w:rsid w:val="00B63C35"/>
    <w:rsid w:val="00B65EC1"/>
    <w:rsid w:val="00B664C2"/>
    <w:rsid w:val="00B67213"/>
    <w:rsid w:val="00B67A4D"/>
    <w:rsid w:val="00B711C8"/>
    <w:rsid w:val="00B711CC"/>
    <w:rsid w:val="00B71EAA"/>
    <w:rsid w:val="00B73239"/>
    <w:rsid w:val="00B742AC"/>
    <w:rsid w:val="00B747ED"/>
    <w:rsid w:val="00B74DE2"/>
    <w:rsid w:val="00B76533"/>
    <w:rsid w:val="00B76614"/>
    <w:rsid w:val="00B769E5"/>
    <w:rsid w:val="00B77C8C"/>
    <w:rsid w:val="00B80E7F"/>
    <w:rsid w:val="00B8128C"/>
    <w:rsid w:val="00B8216D"/>
    <w:rsid w:val="00B834AC"/>
    <w:rsid w:val="00B83AAE"/>
    <w:rsid w:val="00B84600"/>
    <w:rsid w:val="00B85145"/>
    <w:rsid w:val="00B853E6"/>
    <w:rsid w:val="00B85BE6"/>
    <w:rsid w:val="00B85CE8"/>
    <w:rsid w:val="00B87534"/>
    <w:rsid w:val="00B90D3E"/>
    <w:rsid w:val="00B90D86"/>
    <w:rsid w:val="00B9223F"/>
    <w:rsid w:val="00B93989"/>
    <w:rsid w:val="00B93DD0"/>
    <w:rsid w:val="00B96DDE"/>
    <w:rsid w:val="00B96E48"/>
    <w:rsid w:val="00BA03FB"/>
    <w:rsid w:val="00BA0E34"/>
    <w:rsid w:val="00BA14DE"/>
    <w:rsid w:val="00BA212C"/>
    <w:rsid w:val="00BA476E"/>
    <w:rsid w:val="00BA53A3"/>
    <w:rsid w:val="00BA62DD"/>
    <w:rsid w:val="00BA6382"/>
    <w:rsid w:val="00BA6E5E"/>
    <w:rsid w:val="00BA74FA"/>
    <w:rsid w:val="00BA7AC6"/>
    <w:rsid w:val="00BB0C44"/>
    <w:rsid w:val="00BB4037"/>
    <w:rsid w:val="00BB50C6"/>
    <w:rsid w:val="00BB5D2F"/>
    <w:rsid w:val="00BB5DA6"/>
    <w:rsid w:val="00BB6734"/>
    <w:rsid w:val="00BB68D1"/>
    <w:rsid w:val="00BB6DC1"/>
    <w:rsid w:val="00BB767A"/>
    <w:rsid w:val="00BB7BE9"/>
    <w:rsid w:val="00BC00CB"/>
    <w:rsid w:val="00BC010D"/>
    <w:rsid w:val="00BC0999"/>
    <w:rsid w:val="00BC0EC3"/>
    <w:rsid w:val="00BC1D62"/>
    <w:rsid w:val="00BC39B9"/>
    <w:rsid w:val="00BC494D"/>
    <w:rsid w:val="00BC76A0"/>
    <w:rsid w:val="00BD1805"/>
    <w:rsid w:val="00BD1CE6"/>
    <w:rsid w:val="00BD1DE1"/>
    <w:rsid w:val="00BD2574"/>
    <w:rsid w:val="00BD5963"/>
    <w:rsid w:val="00BE0CE0"/>
    <w:rsid w:val="00BE1F28"/>
    <w:rsid w:val="00BE2340"/>
    <w:rsid w:val="00BE265E"/>
    <w:rsid w:val="00BE5BF4"/>
    <w:rsid w:val="00BE6A53"/>
    <w:rsid w:val="00BE7FC6"/>
    <w:rsid w:val="00BF4AF0"/>
    <w:rsid w:val="00BF69ED"/>
    <w:rsid w:val="00BF78CF"/>
    <w:rsid w:val="00C048F7"/>
    <w:rsid w:val="00C061FC"/>
    <w:rsid w:val="00C0658C"/>
    <w:rsid w:val="00C06FDE"/>
    <w:rsid w:val="00C07CEF"/>
    <w:rsid w:val="00C10B8A"/>
    <w:rsid w:val="00C11107"/>
    <w:rsid w:val="00C1120D"/>
    <w:rsid w:val="00C117A7"/>
    <w:rsid w:val="00C11E53"/>
    <w:rsid w:val="00C126FB"/>
    <w:rsid w:val="00C12A0F"/>
    <w:rsid w:val="00C160E6"/>
    <w:rsid w:val="00C16200"/>
    <w:rsid w:val="00C164AB"/>
    <w:rsid w:val="00C168CB"/>
    <w:rsid w:val="00C16D6F"/>
    <w:rsid w:val="00C173D9"/>
    <w:rsid w:val="00C17668"/>
    <w:rsid w:val="00C17B13"/>
    <w:rsid w:val="00C201C3"/>
    <w:rsid w:val="00C2045C"/>
    <w:rsid w:val="00C211E6"/>
    <w:rsid w:val="00C220F1"/>
    <w:rsid w:val="00C26FF3"/>
    <w:rsid w:val="00C308C7"/>
    <w:rsid w:val="00C30F4C"/>
    <w:rsid w:val="00C321ED"/>
    <w:rsid w:val="00C325D7"/>
    <w:rsid w:val="00C3352B"/>
    <w:rsid w:val="00C34C07"/>
    <w:rsid w:val="00C4134F"/>
    <w:rsid w:val="00C4183A"/>
    <w:rsid w:val="00C42A79"/>
    <w:rsid w:val="00C42D6A"/>
    <w:rsid w:val="00C431FF"/>
    <w:rsid w:val="00C438A4"/>
    <w:rsid w:val="00C468C9"/>
    <w:rsid w:val="00C51D55"/>
    <w:rsid w:val="00C5246D"/>
    <w:rsid w:val="00C5587A"/>
    <w:rsid w:val="00C5614F"/>
    <w:rsid w:val="00C5660E"/>
    <w:rsid w:val="00C57200"/>
    <w:rsid w:val="00C57AD9"/>
    <w:rsid w:val="00C609A1"/>
    <w:rsid w:val="00C61174"/>
    <w:rsid w:val="00C61FA6"/>
    <w:rsid w:val="00C642E4"/>
    <w:rsid w:val="00C65B64"/>
    <w:rsid w:val="00C65F48"/>
    <w:rsid w:val="00C7072D"/>
    <w:rsid w:val="00C7124D"/>
    <w:rsid w:val="00C713B0"/>
    <w:rsid w:val="00C741DB"/>
    <w:rsid w:val="00C748EF"/>
    <w:rsid w:val="00C7691B"/>
    <w:rsid w:val="00C77E99"/>
    <w:rsid w:val="00C80117"/>
    <w:rsid w:val="00C80990"/>
    <w:rsid w:val="00C81A21"/>
    <w:rsid w:val="00C81C2F"/>
    <w:rsid w:val="00C821B5"/>
    <w:rsid w:val="00C83629"/>
    <w:rsid w:val="00C85225"/>
    <w:rsid w:val="00C85A85"/>
    <w:rsid w:val="00C860C0"/>
    <w:rsid w:val="00C8727E"/>
    <w:rsid w:val="00C904DC"/>
    <w:rsid w:val="00C919B0"/>
    <w:rsid w:val="00C93F58"/>
    <w:rsid w:val="00C94560"/>
    <w:rsid w:val="00C945FA"/>
    <w:rsid w:val="00C94F15"/>
    <w:rsid w:val="00C952E7"/>
    <w:rsid w:val="00C96CC9"/>
    <w:rsid w:val="00C9750E"/>
    <w:rsid w:val="00CA049E"/>
    <w:rsid w:val="00CA36B0"/>
    <w:rsid w:val="00CA3C66"/>
    <w:rsid w:val="00CA420F"/>
    <w:rsid w:val="00CA4847"/>
    <w:rsid w:val="00CA4884"/>
    <w:rsid w:val="00CA4F43"/>
    <w:rsid w:val="00CA6F26"/>
    <w:rsid w:val="00CA7EC7"/>
    <w:rsid w:val="00CB1F4E"/>
    <w:rsid w:val="00CB1F8E"/>
    <w:rsid w:val="00CB30B5"/>
    <w:rsid w:val="00CB3857"/>
    <w:rsid w:val="00CB47B3"/>
    <w:rsid w:val="00CB63B4"/>
    <w:rsid w:val="00CB77D8"/>
    <w:rsid w:val="00CC2632"/>
    <w:rsid w:val="00CC3523"/>
    <w:rsid w:val="00CC3E3B"/>
    <w:rsid w:val="00CC4B6E"/>
    <w:rsid w:val="00CC53BB"/>
    <w:rsid w:val="00CC594F"/>
    <w:rsid w:val="00CD0831"/>
    <w:rsid w:val="00CD08A8"/>
    <w:rsid w:val="00CD171B"/>
    <w:rsid w:val="00CD1D37"/>
    <w:rsid w:val="00CD2095"/>
    <w:rsid w:val="00CD22FC"/>
    <w:rsid w:val="00CD2F3D"/>
    <w:rsid w:val="00CD5A6A"/>
    <w:rsid w:val="00CD6F1C"/>
    <w:rsid w:val="00CE1453"/>
    <w:rsid w:val="00CE17C9"/>
    <w:rsid w:val="00CE228A"/>
    <w:rsid w:val="00CE2A6F"/>
    <w:rsid w:val="00CE498A"/>
    <w:rsid w:val="00CE4DE5"/>
    <w:rsid w:val="00CE5280"/>
    <w:rsid w:val="00CE5695"/>
    <w:rsid w:val="00CE5C7A"/>
    <w:rsid w:val="00CE6304"/>
    <w:rsid w:val="00CE6A0C"/>
    <w:rsid w:val="00CF1006"/>
    <w:rsid w:val="00CF16D1"/>
    <w:rsid w:val="00CF1E26"/>
    <w:rsid w:val="00CF51E0"/>
    <w:rsid w:val="00CF5EF3"/>
    <w:rsid w:val="00CF6F1B"/>
    <w:rsid w:val="00CF74E6"/>
    <w:rsid w:val="00D006CE"/>
    <w:rsid w:val="00D01A33"/>
    <w:rsid w:val="00D01C7C"/>
    <w:rsid w:val="00D0397F"/>
    <w:rsid w:val="00D044A3"/>
    <w:rsid w:val="00D0549E"/>
    <w:rsid w:val="00D07A50"/>
    <w:rsid w:val="00D10FA8"/>
    <w:rsid w:val="00D123E2"/>
    <w:rsid w:val="00D1390C"/>
    <w:rsid w:val="00D14C74"/>
    <w:rsid w:val="00D1733E"/>
    <w:rsid w:val="00D21FF5"/>
    <w:rsid w:val="00D22437"/>
    <w:rsid w:val="00D242EB"/>
    <w:rsid w:val="00D2442B"/>
    <w:rsid w:val="00D2720D"/>
    <w:rsid w:val="00D27B3C"/>
    <w:rsid w:val="00D3264A"/>
    <w:rsid w:val="00D327B3"/>
    <w:rsid w:val="00D329AE"/>
    <w:rsid w:val="00D33DC2"/>
    <w:rsid w:val="00D41CDA"/>
    <w:rsid w:val="00D428AB"/>
    <w:rsid w:val="00D42D97"/>
    <w:rsid w:val="00D469DE"/>
    <w:rsid w:val="00D46A51"/>
    <w:rsid w:val="00D52365"/>
    <w:rsid w:val="00D54361"/>
    <w:rsid w:val="00D55CB7"/>
    <w:rsid w:val="00D56183"/>
    <w:rsid w:val="00D60710"/>
    <w:rsid w:val="00D62225"/>
    <w:rsid w:val="00D62930"/>
    <w:rsid w:val="00D639F5"/>
    <w:rsid w:val="00D64438"/>
    <w:rsid w:val="00D644CD"/>
    <w:rsid w:val="00D65F6D"/>
    <w:rsid w:val="00D668EB"/>
    <w:rsid w:val="00D67DBA"/>
    <w:rsid w:val="00D70F5E"/>
    <w:rsid w:val="00D721C0"/>
    <w:rsid w:val="00D72995"/>
    <w:rsid w:val="00D729DD"/>
    <w:rsid w:val="00D749E4"/>
    <w:rsid w:val="00D7760D"/>
    <w:rsid w:val="00D83654"/>
    <w:rsid w:val="00D8533B"/>
    <w:rsid w:val="00D8557A"/>
    <w:rsid w:val="00D85ACA"/>
    <w:rsid w:val="00D87DB3"/>
    <w:rsid w:val="00D90F76"/>
    <w:rsid w:val="00D93146"/>
    <w:rsid w:val="00D93796"/>
    <w:rsid w:val="00D93E54"/>
    <w:rsid w:val="00D965F0"/>
    <w:rsid w:val="00D97D1B"/>
    <w:rsid w:val="00DA339B"/>
    <w:rsid w:val="00DA3B32"/>
    <w:rsid w:val="00DA46FB"/>
    <w:rsid w:val="00DA4E33"/>
    <w:rsid w:val="00DA4EC5"/>
    <w:rsid w:val="00DA5683"/>
    <w:rsid w:val="00DA676C"/>
    <w:rsid w:val="00DA7DC2"/>
    <w:rsid w:val="00DB2D71"/>
    <w:rsid w:val="00DB37F4"/>
    <w:rsid w:val="00DC0175"/>
    <w:rsid w:val="00DC09F0"/>
    <w:rsid w:val="00DC0C67"/>
    <w:rsid w:val="00DC36EB"/>
    <w:rsid w:val="00DC4079"/>
    <w:rsid w:val="00DC47F5"/>
    <w:rsid w:val="00DC4926"/>
    <w:rsid w:val="00DC4FA4"/>
    <w:rsid w:val="00DC561D"/>
    <w:rsid w:val="00DC5E29"/>
    <w:rsid w:val="00DD103F"/>
    <w:rsid w:val="00DD1227"/>
    <w:rsid w:val="00DD20B5"/>
    <w:rsid w:val="00DD3552"/>
    <w:rsid w:val="00DD36C7"/>
    <w:rsid w:val="00DD55CE"/>
    <w:rsid w:val="00DD6AB2"/>
    <w:rsid w:val="00DE1DFA"/>
    <w:rsid w:val="00DE439C"/>
    <w:rsid w:val="00DE6281"/>
    <w:rsid w:val="00DE71E3"/>
    <w:rsid w:val="00DF2B2D"/>
    <w:rsid w:val="00DF2F3D"/>
    <w:rsid w:val="00DF3DF3"/>
    <w:rsid w:val="00DF47C9"/>
    <w:rsid w:val="00DF76D5"/>
    <w:rsid w:val="00E006FD"/>
    <w:rsid w:val="00E00DE2"/>
    <w:rsid w:val="00E0275B"/>
    <w:rsid w:val="00E03719"/>
    <w:rsid w:val="00E04389"/>
    <w:rsid w:val="00E04AAC"/>
    <w:rsid w:val="00E04CB9"/>
    <w:rsid w:val="00E04E39"/>
    <w:rsid w:val="00E06677"/>
    <w:rsid w:val="00E071E4"/>
    <w:rsid w:val="00E10027"/>
    <w:rsid w:val="00E1054E"/>
    <w:rsid w:val="00E105D5"/>
    <w:rsid w:val="00E10A39"/>
    <w:rsid w:val="00E16918"/>
    <w:rsid w:val="00E170AC"/>
    <w:rsid w:val="00E20137"/>
    <w:rsid w:val="00E24A49"/>
    <w:rsid w:val="00E24DE6"/>
    <w:rsid w:val="00E26626"/>
    <w:rsid w:val="00E26FE8"/>
    <w:rsid w:val="00E30B3C"/>
    <w:rsid w:val="00E32AA0"/>
    <w:rsid w:val="00E347AB"/>
    <w:rsid w:val="00E351CE"/>
    <w:rsid w:val="00E353BD"/>
    <w:rsid w:val="00E36000"/>
    <w:rsid w:val="00E37767"/>
    <w:rsid w:val="00E400C9"/>
    <w:rsid w:val="00E40D52"/>
    <w:rsid w:val="00E41F56"/>
    <w:rsid w:val="00E42790"/>
    <w:rsid w:val="00E43F1D"/>
    <w:rsid w:val="00E44388"/>
    <w:rsid w:val="00E45915"/>
    <w:rsid w:val="00E47B90"/>
    <w:rsid w:val="00E5034B"/>
    <w:rsid w:val="00E5191B"/>
    <w:rsid w:val="00E53717"/>
    <w:rsid w:val="00E55DE1"/>
    <w:rsid w:val="00E5642C"/>
    <w:rsid w:val="00E56BD3"/>
    <w:rsid w:val="00E57DC7"/>
    <w:rsid w:val="00E625CC"/>
    <w:rsid w:val="00E63149"/>
    <w:rsid w:val="00E644C4"/>
    <w:rsid w:val="00E710E5"/>
    <w:rsid w:val="00E72908"/>
    <w:rsid w:val="00E72B77"/>
    <w:rsid w:val="00E73CAF"/>
    <w:rsid w:val="00E74E6F"/>
    <w:rsid w:val="00E76397"/>
    <w:rsid w:val="00E76A84"/>
    <w:rsid w:val="00E76D84"/>
    <w:rsid w:val="00E77B89"/>
    <w:rsid w:val="00E8289D"/>
    <w:rsid w:val="00E835E0"/>
    <w:rsid w:val="00E8502C"/>
    <w:rsid w:val="00E850B3"/>
    <w:rsid w:val="00E863A4"/>
    <w:rsid w:val="00E92023"/>
    <w:rsid w:val="00E936AE"/>
    <w:rsid w:val="00E94F1B"/>
    <w:rsid w:val="00E951A3"/>
    <w:rsid w:val="00E96B22"/>
    <w:rsid w:val="00E97142"/>
    <w:rsid w:val="00EA0911"/>
    <w:rsid w:val="00EA5041"/>
    <w:rsid w:val="00EA53E2"/>
    <w:rsid w:val="00EB168E"/>
    <w:rsid w:val="00EB2248"/>
    <w:rsid w:val="00EB3592"/>
    <w:rsid w:val="00EB4C64"/>
    <w:rsid w:val="00EB7171"/>
    <w:rsid w:val="00EC29CA"/>
    <w:rsid w:val="00EC2BE8"/>
    <w:rsid w:val="00EC2E2D"/>
    <w:rsid w:val="00EC3724"/>
    <w:rsid w:val="00EC4C15"/>
    <w:rsid w:val="00EC4C20"/>
    <w:rsid w:val="00EC5610"/>
    <w:rsid w:val="00EC69AE"/>
    <w:rsid w:val="00EC7846"/>
    <w:rsid w:val="00ED0077"/>
    <w:rsid w:val="00ED060A"/>
    <w:rsid w:val="00ED0C73"/>
    <w:rsid w:val="00ED0E3A"/>
    <w:rsid w:val="00ED5AB2"/>
    <w:rsid w:val="00ED5E7E"/>
    <w:rsid w:val="00ED67F6"/>
    <w:rsid w:val="00ED6A49"/>
    <w:rsid w:val="00ED6BA3"/>
    <w:rsid w:val="00ED6DE0"/>
    <w:rsid w:val="00EE15AB"/>
    <w:rsid w:val="00EE4047"/>
    <w:rsid w:val="00EE43A1"/>
    <w:rsid w:val="00EE6A2B"/>
    <w:rsid w:val="00EE6C21"/>
    <w:rsid w:val="00EE748D"/>
    <w:rsid w:val="00EF067D"/>
    <w:rsid w:val="00EF0F71"/>
    <w:rsid w:val="00EF1AE1"/>
    <w:rsid w:val="00EF21C3"/>
    <w:rsid w:val="00EF2545"/>
    <w:rsid w:val="00EF312A"/>
    <w:rsid w:val="00EF496F"/>
    <w:rsid w:val="00EF6590"/>
    <w:rsid w:val="00EF7C91"/>
    <w:rsid w:val="00F00392"/>
    <w:rsid w:val="00F026DE"/>
    <w:rsid w:val="00F030C7"/>
    <w:rsid w:val="00F1156A"/>
    <w:rsid w:val="00F1157C"/>
    <w:rsid w:val="00F13E1A"/>
    <w:rsid w:val="00F14073"/>
    <w:rsid w:val="00F142D2"/>
    <w:rsid w:val="00F14539"/>
    <w:rsid w:val="00F15EAD"/>
    <w:rsid w:val="00F16578"/>
    <w:rsid w:val="00F165F2"/>
    <w:rsid w:val="00F17301"/>
    <w:rsid w:val="00F2093C"/>
    <w:rsid w:val="00F22002"/>
    <w:rsid w:val="00F23C8D"/>
    <w:rsid w:val="00F2493B"/>
    <w:rsid w:val="00F30171"/>
    <w:rsid w:val="00F32650"/>
    <w:rsid w:val="00F329C1"/>
    <w:rsid w:val="00F33479"/>
    <w:rsid w:val="00F34572"/>
    <w:rsid w:val="00F3504B"/>
    <w:rsid w:val="00F365DE"/>
    <w:rsid w:val="00F36A67"/>
    <w:rsid w:val="00F37CF8"/>
    <w:rsid w:val="00F4112B"/>
    <w:rsid w:val="00F4458A"/>
    <w:rsid w:val="00F4576B"/>
    <w:rsid w:val="00F45B04"/>
    <w:rsid w:val="00F45FFE"/>
    <w:rsid w:val="00F47088"/>
    <w:rsid w:val="00F478B7"/>
    <w:rsid w:val="00F47C10"/>
    <w:rsid w:val="00F510D5"/>
    <w:rsid w:val="00F51677"/>
    <w:rsid w:val="00F5221F"/>
    <w:rsid w:val="00F52ED5"/>
    <w:rsid w:val="00F531A8"/>
    <w:rsid w:val="00F535D3"/>
    <w:rsid w:val="00F53D09"/>
    <w:rsid w:val="00F560A1"/>
    <w:rsid w:val="00F5631F"/>
    <w:rsid w:val="00F6079D"/>
    <w:rsid w:val="00F646CE"/>
    <w:rsid w:val="00F66757"/>
    <w:rsid w:val="00F668B6"/>
    <w:rsid w:val="00F66DF8"/>
    <w:rsid w:val="00F67026"/>
    <w:rsid w:val="00F670E4"/>
    <w:rsid w:val="00F67A15"/>
    <w:rsid w:val="00F71442"/>
    <w:rsid w:val="00F7392F"/>
    <w:rsid w:val="00F73D90"/>
    <w:rsid w:val="00F73DC4"/>
    <w:rsid w:val="00F7542E"/>
    <w:rsid w:val="00F75C97"/>
    <w:rsid w:val="00F76A4F"/>
    <w:rsid w:val="00F77D01"/>
    <w:rsid w:val="00F80352"/>
    <w:rsid w:val="00F81F77"/>
    <w:rsid w:val="00F8236F"/>
    <w:rsid w:val="00F8436D"/>
    <w:rsid w:val="00F855A4"/>
    <w:rsid w:val="00F86CBE"/>
    <w:rsid w:val="00F86F4B"/>
    <w:rsid w:val="00F875A6"/>
    <w:rsid w:val="00F8781F"/>
    <w:rsid w:val="00F87EF5"/>
    <w:rsid w:val="00F9075C"/>
    <w:rsid w:val="00F91056"/>
    <w:rsid w:val="00F925B8"/>
    <w:rsid w:val="00F940E1"/>
    <w:rsid w:val="00F943F0"/>
    <w:rsid w:val="00F966ED"/>
    <w:rsid w:val="00F96A13"/>
    <w:rsid w:val="00FA353D"/>
    <w:rsid w:val="00FA4417"/>
    <w:rsid w:val="00FA5B19"/>
    <w:rsid w:val="00FA5DB7"/>
    <w:rsid w:val="00FA6F76"/>
    <w:rsid w:val="00FA7C56"/>
    <w:rsid w:val="00FB0FF6"/>
    <w:rsid w:val="00FB1D0A"/>
    <w:rsid w:val="00FB2894"/>
    <w:rsid w:val="00FB5019"/>
    <w:rsid w:val="00FB69BA"/>
    <w:rsid w:val="00FB752F"/>
    <w:rsid w:val="00FB79C8"/>
    <w:rsid w:val="00FB7E65"/>
    <w:rsid w:val="00FC1FE9"/>
    <w:rsid w:val="00FC3392"/>
    <w:rsid w:val="00FC4ED4"/>
    <w:rsid w:val="00FC5726"/>
    <w:rsid w:val="00FC5D4E"/>
    <w:rsid w:val="00FC725E"/>
    <w:rsid w:val="00FD3BAC"/>
    <w:rsid w:val="00FD606E"/>
    <w:rsid w:val="00FD794F"/>
    <w:rsid w:val="00FE1631"/>
    <w:rsid w:val="00FE4E3C"/>
    <w:rsid w:val="00FE57A2"/>
    <w:rsid w:val="00FE5DAA"/>
    <w:rsid w:val="00FE60F6"/>
    <w:rsid w:val="00FE6203"/>
    <w:rsid w:val="00FE65CA"/>
    <w:rsid w:val="00FE7AD5"/>
    <w:rsid w:val="00FF058E"/>
    <w:rsid w:val="00FF0FF1"/>
    <w:rsid w:val="00FF1302"/>
    <w:rsid w:val="00FF1A53"/>
    <w:rsid w:val="00FF3DFB"/>
    <w:rsid w:val="00FF4FAF"/>
    <w:rsid w:val="00FF688C"/>
    <w:rsid w:val="00FF6E1C"/>
    <w:rsid w:val="00FF6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514F4C14"/>
  <w15:docId w15:val="{2BBD2F54-E260-4FF7-99DB-4F8829E7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Verdana"/>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cs="Times New Roman"/>
      <w:lang w:eastAsia="fi-FI"/>
    </w:rPr>
  </w:style>
  <w:style w:type="paragraph" w:styleId="Heading1">
    <w:name w:val="heading 1"/>
    <w:aliases w:val="ECHA Heading 1"/>
    <w:basedOn w:val="Normal"/>
    <w:next w:val="BodyText"/>
    <w:link w:val="Heading1Char"/>
    <w:qFormat/>
    <w:pPr>
      <w:keepNext/>
      <w:keepLines/>
      <w:numPr>
        <w:numId w:val="1"/>
      </w:numPr>
      <w:spacing w:after="240"/>
      <w:outlineLvl w:val="0"/>
    </w:pPr>
    <w:rPr>
      <w:b/>
      <w:color w:val="0046AD"/>
      <w:sz w:val="28"/>
      <w:szCs w:val="24"/>
    </w:rPr>
  </w:style>
  <w:style w:type="paragraph" w:styleId="Heading2">
    <w:name w:val="heading 2"/>
    <w:aliases w:val="ECHA Heading 2"/>
    <w:basedOn w:val="Heading1"/>
    <w:next w:val="BodyText"/>
    <w:link w:val="Heading2Char"/>
    <w:qFormat/>
    <w:pPr>
      <w:numPr>
        <w:numId w:val="0"/>
      </w:numPr>
      <w:outlineLvl w:val="1"/>
    </w:pPr>
    <w:rPr>
      <w:rFonts w:cs="Arial"/>
      <w:sz w:val="24"/>
      <w:szCs w:val="22"/>
    </w:rPr>
  </w:style>
  <w:style w:type="paragraph" w:styleId="Heading3">
    <w:name w:val="heading 3"/>
    <w:aliases w:val="ECHA Heading 3"/>
    <w:basedOn w:val="Heading2"/>
    <w:next w:val="BodyText"/>
    <w:link w:val="Heading3Char"/>
    <w:qFormat/>
    <w:pPr>
      <w:numPr>
        <w:ilvl w:val="2"/>
        <w:numId w:val="1"/>
      </w:numPr>
      <w:outlineLvl w:val="2"/>
    </w:pPr>
    <w:rPr>
      <w:bCs/>
      <w:color w:val="000000"/>
      <w:sz w:val="22"/>
    </w:rPr>
  </w:style>
  <w:style w:type="paragraph" w:styleId="Heading4">
    <w:name w:val="heading 4"/>
    <w:aliases w:val="ECHA Heading 4"/>
    <w:basedOn w:val="Heading3"/>
    <w:next w:val="BodyText"/>
    <w:link w:val="Heading4Char"/>
    <w:qFormat/>
    <w:pPr>
      <w:numPr>
        <w:ilvl w:val="3"/>
      </w:numPr>
      <w:outlineLvl w:val="3"/>
    </w:pPr>
    <w:rPr>
      <w:b w:val="0"/>
      <w:bCs w:val="0"/>
      <w:szCs w:val="28"/>
    </w:rPr>
  </w:style>
  <w:style w:type="paragraph" w:styleId="Heading5">
    <w:name w:val="heading 5"/>
    <w:aliases w:val="ECHA Heading 5"/>
    <w:basedOn w:val="Heading3"/>
    <w:next w:val="BodyText"/>
    <w:link w:val="Heading5Char"/>
    <w:qFormat/>
    <w:pPr>
      <w:numPr>
        <w:ilvl w:val="4"/>
      </w:numPr>
      <w:outlineLvl w:val="4"/>
    </w:pPr>
    <w:rPr>
      <w:bCs w:val="0"/>
      <w:iCs/>
      <w:sz w:val="20"/>
      <w:szCs w:val="26"/>
    </w:rPr>
  </w:style>
  <w:style w:type="paragraph" w:styleId="Heading6">
    <w:name w:val="heading 6"/>
    <w:aliases w:val="ECHA Heading 6"/>
    <w:basedOn w:val="Heading5"/>
    <w:next w:val="BodyText"/>
    <w:link w:val="Heading6Char"/>
    <w:qFormat/>
    <w:pPr>
      <w:numPr>
        <w:ilvl w:val="5"/>
      </w:numPr>
      <w:outlineLvl w:val="5"/>
    </w:pPr>
    <w:rPr>
      <w:bCs/>
      <w:szCs w:val="22"/>
    </w:rPr>
  </w:style>
  <w:style w:type="paragraph" w:styleId="Heading7">
    <w:name w:val="heading 7"/>
    <w:aliases w:val="ECHA Heading 7"/>
    <w:basedOn w:val="Heading5"/>
    <w:next w:val="BodyText"/>
    <w:link w:val="Heading7Char"/>
    <w:qFormat/>
    <w:pPr>
      <w:numPr>
        <w:ilvl w:val="6"/>
      </w:numPr>
      <w:outlineLvl w:val="6"/>
    </w:pPr>
    <w:rPr>
      <w:szCs w:val="24"/>
    </w:rPr>
  </w:style>
  <w:style w:type="paragraph" w:styleId="Heading8">
    <w:name w:val="heading 8"/>
    <w:aliases w:val="ECHA Heading 8"/>
    <w:basedOn w:val="Heading5"/>
    <w:next w:val="BodyText"/>
    <w:link w:val="Heading8Char"/>
    <w:qFormat/>
    <w:pPr>
      <w:numPr>
        <w:ilvl w:val="7"/>
      </w:numPr>
      <w:outlineLvl w:val="7"/>
    </w:pPr>
    <w:rPr>
      <w:iCs w:val="0"/>
      <w:szCs w:val="24"/>
    </w:rPr>
  </w:style>
  <w:style w:type="paragraph" w:styleId="Heading9">
    <w:name w:val="heading 9"/>
    <w:aliases w:val="ECHA Heading 9"/>
    <w:basedOn w:val="Heading5"/>
    <w:next w:val="BodyText"/>
    <w:link w:val="Heading9Char"/>
    <w:qFormat/>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HA Heading 1 Char"/>
    <w:basedOn w:val="DefaultParagraphFont"/>
    <w:link w:val="Heading1"/>
    <w:locked/>
    <w:rPr>
      <w:rFonts w:cs="Times New Roman"/>
      <w:b/>
      <w:color w:val="0046AD"/>
      <w:sz w:val="28"/>
      <w:szCs w:val="24"/>
      <w:lang w:eastAsia="fi-FI"/>
    </w:rPr>
  </w:style>
  <w:style w:type="character" w:customStyle="1" w:styleId="Heading2Char">
    <w:name w:val="Heading 2 Char"/>
    <w:aliases w:val="ECHA Heading 2 Char"/>
    <w:basedOn w:val="DefaultParagraphFont"/>
    <w:link w:val="Heading2"/>
    <w:locked/>
    <w:rPr>
      <w:rFonts w:ascii="Cambria" w:hAnsi="Cambria"/>
      <w:b/>
      <w:i/>
      <w:sz w:val="28"/>
      <w:lang w:val="x-none" w:eastAsia="fi-FI"/>
    </w:rPr>
  </w:style>
  <w:style w:type="character" w:customStyle="1" w:styleId="Heading3Char">
    <w:name w:val="Heading 3 Char"/>
    <w:aliases w:val="ECHA Heading 3 Char"/>
    <w:basedOn w:val="DefaultParagraphFont"/>
    <w:link w:val="Heading3"/>
    <w:locked/>
    <w:rPr>
      <w:rFonts w:cs="Arial"/>
      <w:b/>
      <w:bCs/>
      <w:color w:val="000000"/>
      <w:sz w:val="22"/>
      <w:szCs w:val="22"/>
      <w:lang w:eastAsia="fi-FI"/>
    </w:rPr>
  </w:style>
  <w:style w:type="character" w:customStyle="1" w:styleId="Heading4Char">
    <w:name w:val="Heading 4 Char"/>
    <w:aliases w:val="ECHA Heading 4 Char"/>
    <w:basedOn w:val="DefaultParagraphFont"/>
    <w:link w:val="Heading4"/>
    <w:locked/>
    <w:rPr>
      <w:rFonts w:cs="Arial"/>
      <w:color w:val="000000"/>
      <w:sz w:val="22"/>
      <w:szCs w:val="28"/>
      <w:lang w:eastAsia="fi-FI"/>
    </w:rPr>
  </w:style>
  <w:style w:type="character" w:customStyle="1" w:styleId="Heading5Char">
    <w:name w:val="Heading 5 Char"/>
    <w:aliases w:val="ECHA Heading 5 Char"/>
    <w:basedOn w:val="DefaultParagraphFont"/>
    <w:link w:val="Heading5"/>
    <w:locked/>
    <w:rPr>
      <w:rFonts w:cs="Arial"/>
      <w:b/>
      <w:iCs/>
      <w:color w:val="000000"/>
      <w:szCs w:val="26"/>
      <w:lang w:eastAsia="fi-FI"/>
    </w:rPr>
  </w:style>
  <w:style w:type="character" w:customStyle="1" w:styleId="Heading6Char">
    <w:name w:val="Heading 6 Char"/>
    <w:aliases w:val="ECHA Heading 6 Char"/>
    <w:basedOn w:val="DefaultParagraphFont"/>
    <w:link w:val="Heading6"/>
    <w:locked/>
    <w:rPr>
      <w:rFonts w:cs="Arial"/>
      <w:b/>
      <w:bCs/>
      <w:iCs/>
      <w:color w:val="000000"/>
      <w:szCs w:val="22"/>
      <w:lang w:eastAsia="fi-FI"/>
    </w:rPr>
  </w:style>
  <w:style w:type="character" w:customStyle="1" w:styleId="Heading7Char">
    <w:name w:val="Heading 7 Char"/>
    <w:aliases w:val="ECHA Heading 7 Char"/>
    <w:basedOn w:val="DefaultParagraphFont"/>
    <w:link w:val="Heading7"/>
    <w:locked/>
    <w:rPr>
      <w:rFonts w:cs="Arial"/>
      <w:b/>
      <w:iCs/>
      <w:color w:val="000000"/>
      <w:szCs w:val="24"/>
      <w:lang w:eastAsia="fi-FI"/>
    </w:rPr>
  </w:style>
  <w:style w:type="character" w:customStyle="1" w:styleId="Heading8Char">
    <w:name w:val="Heading 8 Char"/>
    <w:aliases w:val="ECHA Heading 8 Char"/>
    <w:basedOn w:val="DefaultParagraphFont"/>
    <w:link w:val="Heading8"/>
    <w:locked/>
    <w:rPr>
      <w:rFonts w:cs="Arial"/>
      <w:b/>
      <w:color w:val="000000"/>
      <w:szCs w:val="24"/>
      <w:lang w:eastAsia="fi-FI"/>
    </w:rPr>
  </w:style>
  <w:style w:type="character" w:customStyle="1" w:styleId="Heading9Char">
    <w:name w:val="Heading 9 Char"/>
    <w:aliases w:val="ECHA Heading 9 Char"/>
    <w:basedOn w:val="DefaultParagraphFont"/>
    <w:link w:val="Heading9"/>
    <w:locked/>
    <w:rPr>
      <w:rFonts w:cs="Arial"/>
      <w:b/>
      <w:iCs/>
      <w:color w:val="000000"/>
      <w:szCs w:val="22"/>
      <w:lang w:eastAsia="fi-FI"/>
    </w:rPr>
  </w:style>
  <w:style w:type="paragraph" w:styleId="Header">
    <w:name w:val="header"/>
    <w:basedOn w:val="Normal"/>
    <w:link w:val="HeaderChar"/>
    <w:pPr>
      <w:tabs>
        <w:tab w:val="left" w:pos="4536"/>
        <w:tab w:val="left" w:pos="7088"/>
        <w:tab w:val="left" w:pos="8789"/>
      </w:tabs>
      <w:jc w:val="right"/>
    </w:pPr>
  </w:style>
  <w:style w:type="character" w:customStyle="1" w:styleId="HeaderChar">
    <w:name w:val="Header Char"/>
    <w:basedOn w:val="DefaultParagraphFont"/>
    <w:link w:val="Header"/>
    <w:locked/>
    <w:rPr>
      <w:lang w:val="x-none" w:eastAsia="fi-FI"/>
    </w:rPr>
  </w:style>
  <w:style w:type="paragraph" w:styleId="Footer">
    <w:name w:val="footer"/>
    <w:basedOn w:val="Normal"/>
    <w:link w:val="FooterChar"/>
    <w:uiPriority w:val="99"/>
    <w:pPr>
      <w:spacing w:line="160" w:lineRule="exact"/>
    </w:pPr>
    <w:rPr>
      <w:spacing w:val="2"/>
      <w:sz w:val="13"/>
    </w:rPr>
  </w:style>
  <w:style w:type="character" w:customStyle="1" w:styleId="FooterChar">
    <w:name w:val="Footer Char"/>
    <w:basedOn w:val="DefaultParagraphFont"/>
    <w:link w:val="Footer"/>
    <w:uiPriority w:val="99"/>
    <w:locked/>
    <w:rPr>
      <w:spacing w:val="2"/>
      <w:sz w:val="13"/>
      <w:lang w:val="x-none" w:eastAsia="fi-FI"/>
    </w:rPr>
  </w:style>
  <w:style w:type="character" w:styleId="PageNumber">
    <w:name w:val="page number"/>
    <w:basedOn w:val="DefaultParagraphFont"/>
    <w:uiPriority w:val="99"/>
    <w:rPr>
      <w:rFonts w:ascii="Verdana" w:hAnsi="Verdana"/>
      <w:sz w:val="20"/>
    </w:rPr>
  </w:style>
  <w:style w:type="character" w:customStyle="1" w:styleId="Italic">
    <w:name w:val="Italic"/>
    <w:rPr>
      <w:rFonts w:ascii="Verdana" w:hAnsi="Verdana"/>
      <w:i/>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x-none" w:eastAsia="fi-FI"/>
    </w:rPr>
  </w:style>
  <w:style w:type="paragraph" w:styleId="TOC1">
    <w:name w:val="toc 1"/>
    <w:basedOn w:val="Normal"/>
    <w:next w:val="Normal"/>
    <w:autoRedefine/>
    <w:uiPriority w:val="39"/>
    <w:pPr>
      <w:tabs>
        <w:tab w:val="right" w:leader="dot" w:pos="9629"/>
      </w:tabs>
      <w:spacing w:before="120" w:after="120"/>
    </w:pPr>
    <w:rPr>
      <w:rFonts w:ascii="Calibri" w:hAnsi="Calibri" w:cs="Calibri"/>
      <w:b/>
      <w:bCs/>
      <w:caps/>
    </w:rPr>
  </w:style>
  <w:style w:type="paragraph" w:styleId="TOC2">
    <w:name w:val="toc 2"/>
    <w:basedOn w:val="Normal"/>
    <w:next w:val="Normal"/>
    <w:autoRedefine/>
    <w:uiPriority w:val="39"/>
    <w:rsid w:val="003C0010"/>
    <w:pPr>
      <w:tabs>
        <w:tab w:val="right" w:leader="dot" w:pos="9629"/>
      </w:tabs>
      <w:ind w:left="567" w:hanging="367"/>
    </w:pPr>
    <w:rPr>
      <w:rFonts w:ascii="Calibri" w:hAnsi="Calibri" w:cs="Calibri"/>
    </w:rPr>
  </w:style>
  <w:style w:type="paragraph" w:styleId="TOC3">
    <w:name w:val="toc 3"/>
    <w:basedOn w:val="Normal"/>
    <w:next w:val="Normal"/>
    <w:autoRedefine/>
    <w:uiPriority w:val="39"/>
    <w:pPr>
      <w:ind w:left="400"/>
    </w:pPr>
    <w:rPr>
      <w:rFonts w:ascii="Calibri" w:hAnsi="Calibri" w:cs="Calibri"/>
      <w:i/>
      <w:iCs/>
    </w:rPr>
  </w:style>
  <w:style w:type="character" w:styleId="Hyperlink">
    <w:name w:val="Hyperlink"/>
    <w:basedOn w:val="DefaultParagraphFont"/>
    <w:uiPriority w:val="99"/>
    <w:rPr>
      <w:rFonts w:ascii="Verdana" w:hAnsi="Verdana"/>
      <w:color w:val="0000FF"/>
      <w:sz w:val="20"/>
      <w:u w:val="single"/>
    </w:rPr>
  </w:style>
  <w:style w:type="paragraph" w:customStyle="1" w:styleId="Leipteksti1">
    <w:name w:val="Leipäteksti1"/>
    <w:basedOn w:val="Normal"/>
    <w:semiHidden/>
    <w:pPr>
      <w:ind w:left="2608"/>
    </w:pPr>
    <w:rPr>
      <w:szCs w:val="24"/>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locked/>
    <w:rPr>
      <w:lang w:val="x-none" w:eastAsia="fi-FI"/>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b/>
      <w:lang w:val="x-none" w:eastAsia="fi-FI"/>
    </w:rPr>
  </w:style>
  <w:style w:type="character" w:styleId="FollowedHyperlink">
    <w:name w:val="FollowedHyperlink"/>
    <w:aliases w:val="Hyperlink opened"/>
    <w:basedOn w:val="DefaultParagraphFont"/>
    <w:uiPriority w:val="99"/>
    <w:rPr>
      <w:rFonts w:ascii="Verdana" w:hAnsi="Verdana"/>
      <w:color w:val="800080"/>
      <w:sz w:val="20"/>
      <w:u w:val="single"/>
    </w:rPr>
  </w:style>
  <w:style w:type="paragraph" w:styleId="BodyText">
    <w:name w:val="Body Text"/>
    <w:aliases w:val="Text"/>
    <w:basedOn w:val="Normal"/>
    <w:link w:val="BodyTextChar"/>
    <w:uiPriority w:val="99"/>
    <w:pPr>
      <w:spacing w:after="240"/>
    </w:pPr>
  </w:style>
  <w:style w:type="character" w:customStyle="1" w:styleId="BodyTextChar">
    <w:name w:val="Body Text Char"/>
    <w:aliases w:val="Text Char"/>
    <w:basedOn w:val="DefaultParagraphFont"/>
    <w:link w:val="BodyText"/>
    <w:uiPriority w:val="99"/>
    <w:locked/>
    <w:rsid w:val="006358C1"/>
    <w:rPr>
      <w:lang w:val="x-none" w:eastAsia="fi-FI"/>
    </w:rPr>
  </w:style>
  <w:style w:type="paragraph" w:styleId="BodyTextFirstIndent">
    <w:name w:val="Body Text First Indent"/>
    <w:basedOn w:val="BodyText"/>
    <w:link w:val="BodyTextFirstIndentChar"/>
    <w:uiPriority w:val="99"/>
    <w:semiHidden/>
    <w:pPr>
      <w:spacing w:after="120"/>
      <w:ind w:firstLine="210"/>
    </w:pPr>
  </w:style>
  <w:style w:type="character" w:customStyle="1" w:styleId="BodyTextFirstIndentChar">
    <w:name w:val="Body Text First Indent Char"/>
    <w:basedOn w:val="BodyTextChar"/>
    <w:link w:val="BodyTextFirstIndent"/>
    <w:uiPriority w:val="99"/>
    <w:semiHidden/>
    <w:locked/>
    <w:rPr>
      <w:lang w:val="x-none" w:eastAsia="fi-FI"/>
    </w:rPr>
  </w:style>
  <w:style w:type="character" w:customStyle="1" w:styleId="Bold">
    <w:name w:val="Bold"/>
    <w:rPr>
      <w:rFonts w:ascii="Verdana" w:hAnsi="Verdana"/>
      <w:b/>
      <w:sz w:val="20"/>
    </w:rPr>
  </w:style>
  <w:style w:type="paragraph" w:customStyle="1" w:styleId="BulletedList1-usermanual">
    <w:name w:val="Bulleted List 1 - user manual"/>
    <w:basedOn w:val="Normal"/>
    <w:pPr>
      <w:numPr>
        <w:numId w:val="4"/>
      </w:numPr>
      <w:spacing w:line="360" w:lineRule="auto"/>
    </w:pPr>
  </w:style>
  <w:style w:type="paragraph" w:styleId="Title">
    <w:name w:val="Title"/>
    <w:aliases w:val="ECHA Heading"/>
    <w:basedOn w:val="Heading1"/>
    <w:next w:val="BodyText"/>
    <w:link w:val="TitleChar"/>
    <w:qFormat/>
    <w:rPr>
      <w:rFonts w:cs="Arial"/>
      <w:bCs/>
      <w:szCs w:val="32"/>
    </w:rPr>
  </w:style>
  <w:style w:type="character" w:customStyle="1" w:styleId="TitleChar">
    <w:name w:val="Title Char"/>
    <w:aliases w:val="ECHA Heading Char"/>
    <w:basedOn w:val="DefaultParagraphFont"/>
    <w:link w:val="Title"/>
    <w:locked/>
    <w:rPr>
      <w:rFonts w:cs="Arial"/>
      <w:b/>
      <w:bCs/>
      <w:color w:val="0046AD"/>
      <w:sz w:val="28"/>
      <w:szCs w:val="32"/>
      <w:lang w:eastAsia="fi-FI"/>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locked/>
    <w:rPr>
      <w:lang w:val="x-none" w:eastAsia="fi-FI"/>
    </w:rPr>
  </w:style>
  <w:style w:type="paragraph" w:styleId="BodyTextFirstIndent2">
    <w:name w:val="Body Text First Indent 2"/>
    <w:basedOn w:val="Normal"/>
    <w:link w:val="BodyTextFirstIndent2Char"/>
    <w:uiPriority w:val="99"/>
    <w:semiHidden/>
    <w:pPr>
      <w:spacing w:after="120"/>
      <w:ind w:left="283" w:firstLine="210"/>
    </w:pPr>
  </w:style>
  <w:style w:type="character" w:customStyle="1" w:styleId="BodyTextFirstIndent2Char">
    <w:name w:val="Body Text First Indent 2 Char"/>
    <w:basedOn w:val="BodyTextIndentChar"/>
    <w:link w:val="BodyTextFirstIndent2"/>
    <w:uiPriority w:val="99"/>
    <w:semiHidden/>
    <w:locked/>
    <w:rPr>
      <w:lang w:val="x-none" w:eastAsia="fi-FI"/>
    </w:rPr>
  </w:style>
  <w:style w:type="paragraph" w:customStyle="1" w:styleId="Footnotes">
    <w:name w:val="Footnotes"/>
    <w:basedOn w:val="BodyText"/>
    <w:rPr>
      <w:rFonts w:ascii="Georgia" w:hAnsi="Georgia"/>
      <w:sz w:val="18"/>
    </w:rPr>
  </w:style>
  <w:style w:type="paragraph" w:customStyle="1" w:styleId="Disclaimer">
    <w:name w:val="Disclaimer"/>
    <w:basedOn w:val="Footer"/>
    <w:pPr>
      <w:spacing w:before="120" w:line="140" w:lineRule="exact"/>
    </w:pPr>
    <w:rPr>
      <w:spacing w:val="0"/>
      <w:sz w:val="11"/>
    </w:rPr>
  </w:style>
  <w:style w:type="table" w:styleId="TableGrid">
    <w:name w:val="Table Grid"/>
    <w:basedOn w:val="TableNormal"/>
    <w:uiPriority w:val="59"/>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w:basedOn w:val="Normal"/>
    <w:link w:val="FootnoteTextChar"/>
    <w:uiPriority w:val="99"/>
  </w:style>
  <w:style w:type="character" w:customStyle="1" w:styleId="FootnoteTextChar">
    <w:name w:val="Footnote Text Char"/>
    <w:aliases w:val="Footnote Text Char Char Char"/>
    <w:basedOn w:val="DefaultParagraphFont"/>
    <w:link w:val="FootnoteText"/>
    <w:uiPriority w:val="99"/>
    <w:locked/>
    <w:rPr>
      <w:lang w:val="x-none" w:eastAsia="fi-FI"/>
    </w:rPr>
  </w:style>
  <w:style w:type="character" w:styleId="FootnoteReference">
    <w:name w:val="footnote reference"/>
    <w:aliases w:val="Footnote,Footnote Reference/"/>
    <w:basedOn w:val="DefaultParagraphFont"/>
    <w:rPr>
      <w:rFonts w:ascii="Georgia" w:hAnsi="Georgia"/>
      <w:sz w:val="16"/>
      <w:vertAlign w:val="superscript"/>
    </w:rPr>
  </w:style>
  <w:style w:type="paragraph" w:customStyle="1" w:styleId="Tableheader">
    <w:name w:val="Table header"/>
    <w:basedOn w:val="BodyText"/>
    <w:pPr>
      <w:spacing w:after="120"/>
    </w:pPr>
    <w:rPr>
      <w:b/>
      <w:color w:val="FFCC00"/>
      <w:sz w:val="18"/>
      <w:szCs w:val="18"/>
    </w:rPr>
  </w:style>
  <w:style w:type="paragraph" w:customStyle="1" w:styleId="Tabletext">
    <w:name w:val="Tabletext"/>
    <w:basedOn w:val="BodyText"/>
    <w:pPr>
      <w:spacing w:after="0"/>
    </w:pPr>
    <w:rPr>
      <w:sz w:val="18"/>
    </w:rPr>
  </w:style>
  <w:style w:type="paragraph" w:customStyle="1" w:styleId="Covertitle">
    <w:name w:val="Cover title"/>
    <w:basedOn w:val="Normal"/>
    <w:link w:val="CovertitleChar"/>
    <w:qFormat/>
    <w:pPr>
      <w:widowControl/>
      <w:spacing w:before="2160" w:after="240"/>
      <w:jc w:val="center"/>
    </w:pPr>
    <w:rPr>
      <w:b/>
      <w:sz w:val="32"/>
      <w:szCs w:val="24"/>
      <w:lang w:eastAsia="en-US"/>
    </w:rPr>
  </w:style>
  <w:style w:type="paragraph" w:customStyle="1" w:styleId="NormalItalic">
    <w:name w:val="Normal Italic"/>
    <w:basedOn w:val="Normal"/>
    <w:link w:val="NormalItalicCharChar"/>
    <w:pPr>
      <w:widowControl/>
      <w:spacing w:after="180"/>
      <w:jc w:val="both"/>
    </w:pPr>
    <w:rPr>
      <w:i/>
      <w:szCs w:val="24"/>
      <w:lang w:eastAsia="en-US"/>
    </w:rPr>
  </w:style>
  <w:style w:type="character" w:customStyle="1" w:styleId="CovertitleChar">
    <w:name w:val="Cover title Char"/>
    <w:link w:val="Covertitle"/>
    <w:locked/>
    <w:rPr>
      <w:b/>
      <w:sz w:val="24"/>
      <w:lang w:val="x-none" w:eastAsia="en-US"/>
    </w:rPr>
  </w:style>
  <w:style w:type="character" w:customStyle="1" w:styleId="NormalItalicCharChar">
    <w:name w:val="Normal Italic Char Char"/>
    <w:link w:val="NormalItalic"/>
    <w:locked/>
    <w:rPr>
      <w:i/>
      <w:sz w:val="24"/>
      <w:lang w:val="x-none" w:eastAsia="en-US"/>
    </w:rPr>
  </w:style>
  <w:style w:type="paragraph" w:customStyle="1" w:styleId="Sectiontitle">
    <w:name w:val="Section title"/>
    <w:basedOn w:val="Normal"/>
    <w:next w:val="Normal"/>
    <w:link w:val="SectiontitleChar"/>
    <w:pPr>
      <w:widowControl/>
      <w:spacing w:before="240" w:after="360"/>
      <w:jc w:val="center"/>
    </w:pPr>
    <w:rPr>
      <w:b/>
      <w:caps/>
      <w:sz w:val="32"/>
      <w:szCs w:val="32"/>
      <w:lang w:eastAsia="en-US"/>
    </w:rPr>
  </w:style>
  <w:style w:type="character" w:customStyle="1" w:styleId="SectiontitleChar">
    <w:name w:val="Section title Char"/>
    <w:link w:val="Sectiontitle"/>
    <w:locked/>
    <w:rPr>
      <w:b/>
      <w:caps/>
      <w:sz w:val="32"/>
      <w:lang w:val="x-none" w:eastAsia="en-US"/>
    </w:rPr>
  </w:style>
  <w:style w:type="paragraph" w:styleId="Caption">
    <w:name w:val="caption"/>
    <w:aliases w:val="Caption Table"/>
    <w:basedOn w:val="Normal"/>
    <w:next w:val="Normal"/>
    <w:link w:val="CaptionChar"/>
    <w:qFormat/>
    <w:pPr>
      <w:keepNext/>
      <w:widowControl/>
      <w:spacing w:before="120" w:after="90"/>
      <w:ind w:left="57"/>
      <w:jc w:val="both"/>
    </w:pPr>
    <w:rPr>
      <w:bCs/>
      <w:sz w:val="22"/>
      <w:szCs w:val="24"/>
      <w:lang w:eastAsia="en-US"/>
    </w:rPr>
  </w:style>
  <w:style w:type="character" w:customStyle="1" w:styleId="CaptionChar">
    <w:name w:val="Caption Char"/>
    <w:aliases w:val="Caption Table Char"/>
    <w:link w:val="Caption"/>
    <w:locked/>
    <w:rPr>
      <w:sz w:val="24"/>
      <w:lang w:val="x-none" w:eastAsia="en-US"/>
    </w:rPr>
  </w:style>
  <w:style w:type="paragraph" w:customStyle="1" w:styleId="TableRowHeader">
    <w:name w:val="Table Row Header"/>
    <w:basedOn w:val="Normal"/>
    <w:pPr>
      <w:keepNext/>
      <w:keepLines/>
      <w:widowControl/>
      <w:spacing w:before="54" w:after="54"/>
      <w:ind w:left="113"/>
      <w:jc w:val="both"/>
    </w:pPr>
    <w:rPr>
      <w:b/>
      <w:bCs/>
      <w:szCs w:val="22"/>
      <w:lang w:eastAsia="da-DK"/>
    </w:rPr>
  </w:style>
  <w:style w:type="paragraph" w:customStyle="1" w:styleId="StyleTabletextItalic">
    <w:name w:val="Style Table text + Italic"/>
    <w:basedOn w:val="Normal"/>
    <w:pPr>
      <w:keepNext/>
      <w:keepLines/>
      <w:widowControl/>
      <w:spacing w:before="54" w:after="54"/>
      <w:ind w:left="113"/>
      <w:jc w:val="both"/>
    </w:pPr>
    <w:rPr>
      <w:i/>
      <w:iCs/>
      <w:szCs w:val="24"/>
      <w:lang w:eastAsia="da-DK"/>
    </w:rPr>
  </w:style>
  <w:style w:type="paragraph" w:customStyle="1" w:styleId="StyleTableRowHeaderItalic">
    <w:name w:val="Style Table Row Header + Italic"/>
    <w:basedOn w:val="TableRowHeader"/>
    <w:rPr>
      <w:i/>
      <w:iCs/>
    </w:rPr>
  </w:style>
  <w:style w:type="paragraph" w:customStyle="1" w:styleId="TableColumnHeader">
    <w:name w:val="Table Column Header"/>
    <w:basedOn w:val="Normal"/>
    <w:pPr>
      <w:keepNext/>
      <w:keepLines/>
      <w:widowControl/>
      <w:spacing w:before="54" w:after="54"/>
      <w:ind w:left="113"/>
      <w:jc w:val="center"/>
    </w:pPr>
    <w:rPr>
      <w:b/>
      <w:bCs/>
      <w:szCs w:val="22"/>
      <w:lang w:eastAsia="da-DK"/>
    </w:rPr>
  </w:style>
  <w:style w:type="paragraph" w:customStyle="1" w:styleId="Tablenote">
    <w:name w:val="Table note"/>
    <w:next w:val="BodyText"/>
    <w:pPr>
      <w:spacing w:before="90"/>
      <w:ind w:left="839"/>
      <w:jc w:val="both"/>
    </w:pPr>
    <w:rPr>
      <w:rFonts w:ascii="Times New Roman" w:hAnsi="Times New Roman" w:cs="Times New Roman"/>
      <w:spacing w:val="-3"/>
      <w:lang w:val="en-US" w:eastAsia="en-US"/>
    </w:rPr>
  </w:style>
  <w:style w:type="paragraph" w:customStyle="1" w:styleId="Tabletext0">
    <w:name w:val="Table text"/>
    <w:basedOn w:val="Normal"/>
    <w:link w:val="TabletextCar"/>
    <w:pPr>
      <w:keepNext/>
      <w:keepLines/>
      <w:widowControl/>
      <w:spacing w:before="54" w:after="54"/>
      <w:ind w:left="113"/>
      <w:jc w:val="both"/>
    </w:pPr>
    <w:rPr>
      <w:szCs w:val="24"/>
      <w:lang w:eastAsia="da-DK"/>
    </w:rPr>
  </w:style>
  <w:style w:type="character" w:customStyle="1" w:styleId="TabletextCar">
    <w:name w:val="Table text Car"/>
    <w:link w:val="Tabletext0"/>
    <w:locked/>
    <w:rPr>
      <w:sz w:val="24"/>
      <w:lang w:val="x-none" w:eastAsia="da-DK"/>
    </w:rPr>
  </w:style>
  <w:style w:type="paragraph" w:customStyle="1" w:styleId="Normalbold">
    <w:name w:val="Normal bold"/>
    <w:basedOn w:val="Normal"/>
    <w:link w:val="NormalboldChar"/>
    <w:pPr>
      <w:widowControl/>
      <w:spacing w:after="180"/>
      <w:jc w:val="both"/>
    </w:pPr>
    <w:rPr>
      <w:b/>
      <w:szCs w:val="24"/>
      <w:lang w:eastAsia="en-US"/>
    </w:rPr>
  </w:style>
  <w:style w:type="paragraph" w:customStyle="1" w:styleId="Tablenumbers">
    <w:name w:val="Table numbers"/>
    <w:basedOn w:val="Tabletext0"/>
    <w:link w:val="TablenumbersChar"/>
    <w:pPr>
      <w:jc w:val="center"/>
    </w:pPr>
  </w:style>
  <w:style w:type="character" w:customStyle="1" w:styleId="TablenumbersChar">
    <w:name w:val="Table numbers Char"/>
    <w:link w:val="Tablenumbers"/>
    <w:locked/>
    <w:rPr>
      <w:sz w:val="24"/>
      <w:lang w:val="x-none" w:eastAsia="da-DK"/>
    </w:rPr>
  </w:style>
  <w:style w:type="paragraph" w:customStyle="1" w:styleId="Figure">
    <w:name w:val="Figure"/>
    <w:basedOn w:val="Normal"/>
    <w:next w:val="CaptionFigure"/>
    <w:pPr>
      <w:widowControl/>
      <w:spacing w:before="360" w:after="180"/>
      <w:jc w:val="center"/>
    </w:pPr>
    <w:rPr>
      <w:szCs w:val="24"/>
      <w:lang w:eastAsia="en-US"/>
    </w:rPr>
  </w:style>
  <w:style w:type="paragraph" w:customStyle="1" w:styleId="CaptionFigure">
    <w:name w:val="Caption Figure"/>
    <w:basedOn w:val="Caption"/>
    <w:pPr>
      <w:jc w:val="center"/>
    </w:pPr>
    <w:rPr>
      <w:sz w:val="24"/>
    </w:rPr>
  </w:style>
  <w:style w:type="character" w:customStyle="1" w:styleId="NormalboldChar">
    <w:name w:val="Normal bold Char"/>
    <w:link w:val="Normalbold"/>
    <w:locked/>
    <w:rPr>
      <w:b/>
      <w:sz w:val="24"/>
      <w:lang w:val="x-none" w:eastAsia="en-US"/>
    </w:rPr>
  </w:style>
  <w:style w:type="paragraph" w:customStyle="1" w:styleId="References">
    <w:name w:val="References"/>
    <w:basedOn w:val="Normal"/>
    <w:pPr>
      <w:widowControl/>
      <w:spacing w:after="180"/>
      <w:ind w:left="720" w:hanging="720"/>
      <w:jc w:val="both"/>
    </w:pPr>
    <w:rPr>
      <w:szCs w:val="24"/>
      <w:lang w:eastAsia="en-US"/>
    </w:rPr>
  </w:style>
  <w:style w:type="paragraph" w:customStyle="1" w:styleId="Heading">
    <w:name w:val="Heading"/>
    <w:basedOn w:val="Normal"/>
    <w:next w:val="Normal"/>
    <w:link w:val="HeadingChar"/>
    <w:pPr>
      <w:keepNext/>
      <w:widowControl/>
      <w:numPr>
        <w:numId w:val="7"/>
      </w:numPr>
      <w:suppressAutoHyphens/>
      <w:spacing w:before="240" w:after="120"/>
    </w:pPr>
    <w:rPr>
      <w:rFonts w:eastAsia="SimSun"/>
      <w:b/>
      <w:caps/>
      <w:szCs w:val="28"/>
      <w:lang w:eastAsia="ar-SA"/>
    </w:rPr>
  </w:style>
  <w:style w:type="paragraph" w:styleId="TableofFigures">
    <w:name w:val="table of figures"/>
    <w:basedOn w:val="Normal"/>
    <w:next w:val="Normal"/>
    <w:uiPriority w:val="99"/>
  </w:style>
  <w:style w:type="paragraph" w:styleId="TOC4">
    <w:name w:val="toc 4"/>
    <w:basedOn w:val="Normal"/>
    <w:next w:val="Normal"/>
    <w:autoRedefine/>
    <w:uiPriority w:val="39"/>
    <w:pPr>
      <w:ind w:left="600"/>
    </w:pPr>
    <w:rPr>
      <w:rFonts w:ascii="Calibri" w:hAnsi="Calibri" w:cs="Calibri"/>
      <w:sz w:val="18"/>
      <w:szCs w:val="18"/>
    </w:rPr>
  </w:style>
  <w:style w:type="paragraph" w:styleId="TOC5">
    <w:name w:val="toc 5"/>
    <w:basedOn w:val="Normal"/>
    <w:next w:val="Normal"/>
    <w:autoRedefine/>
    <w:uiPriority w:val="39"/>
    <w:pPr>
      <w:ind w:left="800"/>
    </w:pPr>
    <w:rPr>
      <w:rFonts w:ascii="Calibri" w:hAnsi="Calibri" w:cs="Calibri"/>
      <w:sz w:val="18"/>
      <w:szCs w:val="18"/>
    </w:rPr>
  </w:style>
  <w:style w:type="paragraph" w:styleId="TOC6">
    <w:name w:val="toc 6"/>
    <w:basedOn w:val="Normal"/>
    <w:next w:val="Normal"/>
    <w:autoRedefine/>
    <w:uiPriority w:val="39"/>
    <w:pPr>
      <w:ind w:left="1000"/>
    </w:pPr>
    <w:rPr>
      <w:rFonts w:ascii="Calibri" w:hAnsi="Calibri" w:cs="Calibri"/>
      <w:sz w:val="18"/>
      <w:szCs w:val="18"/>
    </w:rPr>
  </w:style>
  <w:style w:type="paragraph" w:styleId="TOC7">
    <w:name w:val="toc 7"/>
    <w:basedOn w:val="Normal"/>
    <w:next w:val="Normal"/>
    <w:autoRedefine/>
    <w:uiPriority w:val="39"/>
    <w:pPr>
      <w:ind w:left="1200"/>
    </w:pPr>
    <w:rPr>
      <w:rFonts w:ascii="Calibri" w:hAnsi="Calibri" w:cs="Calibri"/>
      <w:sz w:val="18"/>
      <w:szCs w:val="18"/>
    </w:rPr>
  </w:style>
  <w:style w:type="paragraph" w:styleId="TOC8">
    <w:name w:val="toc 8"/>
    <w:basedOn w:val="Normal"/>
    <w:next w:val="Normal"/>
    <w:autoRedefine/>
    <w:uiPriority w:val="39"/>
    <w:pPr>
      <w:spacing w:before="120" w:after="120"/>
    </w:pPr>
    <w:rPr>
      <w:rFonts w:ascii="Calibri" w:hAnsi="Calibri" w:cs="Calibri"/>
      <w:b/>
      <w:caps/>
      <w:szCs w:val="18"/>
    </w:rPr>
  </w:style>
  <w:style w:type="paragraph" w:styleId="TOC9">
    <w:name w:val="toc 9"/>
    <w:basedOn w:val="Normal"/>
    <w:next w:val="Normal"/>
    <w:autoRedefine/>
    <w:uiPriority w:val="39"/>
    <w:pPr>
      <w:tabs>
        <w:tab w:val="left" w:pos="2412"/>
        <w:tab w:val="right" w:leader="dot" w:pos="9629"/>
      </w:tabs>
    </w:pPr>
    <w:rPr>
      <w:rFonts w:ascii="Calibri" w:hAnsi="Calibri" w:cs="Calibri"/>
      <w:szCs w:val="18"/>
    </w:rPr>
  </w:style>
  <w:style w:type="paragraph" w:customStyle="1" w:styleId="Titleintro">
    <w:name w:val="Title intro"/>
    <w:basedOn w:val="Sectiontitle"/>
    <w:link w:val="TitleintroChar"/>
    <w:qFormat/>
  </w:style>
  <w:style w:type="paragraph" w:customStyle="1" w:styleId="ANNEX">
    <w:name w:val="ANNEX"/>
    <w:basedOn w:val="Heading"/>
    <w:link w:val="ANNEXChar"/>
    <w:qFormat/>
    <w:pPr>
      <w:ind w:left="0" w:firstLine="1077"/>
    </w:pPr>
  </w:style>
  <w:style w:type="character" w:customStyle="1" w:styleId="TitleintroChar">
    <w:name w:val="Title intro Char"/>
    <w:link w:val="Titleintro"/>
    <w:locked/>
    <w:rPr>
      <w:b/>
      <w:caps/>
      <w:sz w:val="32"/>
      <w:lang w:val="x-none" w:eastAsia="en-US"/>
    </w:rPr>
  </w:style>
  <w:style w:type="character" w:styleId="Strong">
    <w:name w:val="Strong"/>
    <w:basedOn w:val="DefaultParagraphFont"/>
    <w:uiPriority w:val="22"/>
    <w:qFormat/>
    <w:rPr>
      <w:b/>
    </w:rPr>
  </w:style>
  <w:style w:type="character" w:customStyle="1" w:styleId="HeadingChar">
    <w:name w:val="Heading Char"/>
    <w:link w:val="Heading"/>
    <w:locked/>
    <w:rPr>
      <w:rFonts w:eastAsia="SimSun" w:cs="Times New Roman"/>
      <w:b/>
      <w:caps/>
      <w:szCs w:val="28"/>
      <w:lang w:eastAsia="ar-SA"/>
    </w:rPr>
  </w:style>
  <w:style w:type="character" w:customStyle="1" w:styleId="ANNEXChar">
    <w:name w:val="ANNEX Char"/>
    <w:link w:val="ANNEX"/>
    <w:locked/>
    <w:rPr>
      <w:rFonts w:eastAsia="SimSun" w:cs="Times New Roman"/>
      <w:b/>
      <w:caps/>
      <w:szCs w:val="28"/>
      <w:lang w:eastAsia="ar-SA"/>
    </w:rPr>
  </w:style>
  <w:style w:type="paragraph" w:customStyle="1" w:styleId="Referencetitle">
    <w:name w:val="Reference title"/>
    <w:basedOn w:val="Titleintro"/>
    <w:link w:val="ReferencetitleChar"/>
    <w:qFormat/>
  </w:style>
  <w:style w:type="paragraph" w:customStyle="1" w:styleId="CM1">
    <w:name w:val="CM1"/>
    <w:basedOn w:val="Normal"/>
    <w:next w:val="Normal"/>
    <w:uiPriority w:val="99"/>
    <w:pPr>
      <w:widowControl/>
      <w:autoSpaceDE w:val="0"/>
      <w:autoSpaceDN w:val="0"/>
      <w:adjustRightInd w:val="0"/>
    </w:pPr>
    <w:rPr>
      <w:rFonts w:ascii="Times New Roman" w:hAnsi="Times New Roman"/>
      <w:sz w:val="24"/>
      <w:szCs w:val="24"/>
      <w:lang w:eastAsia="en-GB"/>
    </w:rPr>
  </w:style>
  <w:style w:type="character" w:customStyle="1" w:styleId="ReferencetitleChar">
    <w:name w:val="Reference title Char"/>
    <w:link w:val="Referencetitle"/>
    <w:locked/>
  </w:style>
  <w:style w:type="paragraph" w:customStyle="1" w:styleId="CM3">
    <w:name w:val="CM3"/>
    <w:basedOn w:val="Normal"/>
    <w:next w:val="Normal"/>
    <w:uiPriority w:val="99"/>
    <w:pPr>
      <w:widowControl/>
      <w:autoSpaceDE w:val="0"/>
      <w:autoSpaceDN w:val="0"/>
      <w:adjustRightInd w:val="0"/>
    </w:pPr>
    <w:rPr>
      <w:rFonts w:ascii="Times New Roman" w:hAnsi="Times New Roman"/>
      <w:sz w:val="24"/>
      <w:szCs w:val="24"/>
      <w:lang w:eastAsia="en-GB"/>
    </w:rPr>
  </w:style>
  <w:style w:type="paragraph" w:customStyle="1" w:styleId="CM4">
    <w:name w:val="CM4"/>
    <w:basedOn w:val="Normal"/>
    <w:next w:val="Normal"/>
    <w:uiPriority w:val="99"/>
    <w:pPr>
      <w:widowControl/>
      <w:autoSpaceDE w:val="0"/>
      <w:autoSpaceDN w:val="0"/>
      <w:adjustRightInd w:val="0"/>
    </w:pPr>
    <w:rPr>
      <w:rFonts w:ascii="Times New Roman" w:hAnsi="Times New Roman"/>
      <w:sz w:val="24"/>
      <w:szCs w:val="24"/>
      <w:lang w:eastAsia="en-GB"/>
    </w:rPr>
  </w:style>
  <w:style w:type="paragraph" w:styleId="PlainText">
    <w:name w:val="Plain Text"/>
    <w:basedOn w:val="Normal"/>
    <w:link w:val="PlainTextChar"/>
    <w:uiPriority w:val="99"/>
    <w:unhideWhenUsed/>
    <w:pPr>
      <w:widowControl/>
    </w:pPr>
    <w:rPr>
      <w:szCs w:val="21"/>
      <w:lang w:eastAsia="en-US"/>
    </w:rPr>
  </w:style>
  <w:style w:type="character" w:customStyle="1" w:styleId="PlainTextChar">
    <w:name w:val="Plain Text Char"/>
    <w:basedOn w:val="DefaultParagraphFont"/>
    <w:link w:val="PlainText"/>
    <w:uiPriority w:val="99"/>
    <w:locked/>
    <w:rPr>
      <w:rFonts w:eastAsia="Times New Roman"/>
      <w:sz w:val="21"/>
      <w:lang w:val="x-none" w:eastAsia="en-US"/>
    </w:rPr>
  </w:style>
  <w:style w:type="paragraph" w:customStyle="1" w:styleId="Sisllysluettelonotsikko">
    <w:name w:val="Sisällysluettelon otsikko"/>
    <w:basedOn w:val="Heading1"/>
    <w:next w:val="Normal"/>
    <w:uiPriority w:val="39"/>
    <w:semiHidden/>
    <w:unhideWhenUsed/>
    <w:qFormat/>
    <w:pPr>
      <w:widowControl/>
      <w:numPr>
        <w:numId w:val="0"/>
      </w:numPr>
      <w:spacing w:before="480" w:after="0" w:line="276" w:lineRule="auto"/>
      <w:outlineLvl w:val="9"/>
    </w:pPr>
    <w:rPr>
      <w:rFonts w:ascii="Cambria" w:eastAsia="MS Gothic" w:hAnsi="Cambria"/>
      <w:bCs/>
      <w:color w:val="365F91"/>
      <w:szCs w:val="28"/>
      <w:lang w:val="en-US" w:eastAsia="ja-JP"/>
    </w:rPr>
  </w:style>
  <w:style w:type="paragraph" w:styleId="TOCHeading">
    <w:name w:val="TOC Heading"/>
    <w:basedOn w:val="Heading1"/>
    <w:next w:val="Normal"/>
    <w:uiPriority w:val="39"/>
    <w:qFormat/>
    <w:rsid w:val="00B6376F"/>
    <w:pPr>
      <w:widowControl/>
      <w:numPr>
        <w:numId w:val="0"/>
      </w:numPr>
      <w:spacing w:before="480" w:after="0" w:line="276" w:lineRule="auto"/>
      <w:outlineLvl w:val="9"/>
    </w:pPr>
    <w:rPr>
      <w:rFonts w:ascii="Cambria" w:eastAsia="MS Gothic" w:hAnsi="Cambria"/>
      <w:bCs/>
      <w:color w:val="365F91"/>
      <w:szCs w:val="28"/>
      <w:lang w:val="en-US" w:eastAsia="ja-JP"/>
    </w:rPr>
  </w:style>
  <w:style w:type="paragraph" w:styleId="Revision">
    <w:name w:val="Revision"/>
    <w:hidden/>
    <w:uiPriority w:val="99"/>
    <w:semiHidden/>
    <w:rsid w:val="00473F8A"/>
    <w:rPr>
      <w:rFonts w:cs="Times New Roman"/>
      <w:lang w:eastAsia="fi-FI"/>
    </w:rPr>
  </w:style>
  <w:style w:type="paragraph" w:styleId="NoSpacing">
    <w:name w:val="No Spacing"/>
    <w:uiPriority w:val="1"/>
    <w:qFormat/>
    <w:rsid w:val="001F5783"/>
    <w:pPr>
      <w:widowControl w:val="0"/>
    </w:pPr>
    <w:rPr>
      <w:rFonts w:cs="Times New Roman"/>
      <w:lang w:eastAsia="fi-FI"/>
    </w:rPr>
  </w:style>
  <w:style w:type="paragraph" w:styleId="ListParagraph">
    <w:name w:val="List Paragraph"/>
    <w:basedOn w:val="Normal"/>
    <w:link w:val="ListParagraphChar"/>
    <w:uiPriority w:val="34"/>
    <w:qFormat/>
    <w:rsid w:val="003909BD"/>
    <w:pPr>
      <w:ind w:left="720"/>
    </w:pPr>
  </w:style>
  <w:style w:type="paragraph" w:customStyle="1" w:styleId="Default">
    <w:name w:val="Default"/>
    <w:rsid w:val="00B61257"/>
    <w:pPr>
      <w:autoSpaceDE w:val="0"/>
      <w:autoSpaceDN w:val="0"/>
      <w:adjustRightInd w:val="0"/>
    </w:pPr>
    <w:rPr>
      <w:rFonts w:ascii="Symbol" w:hAnsi="Symbol" w:cs="Symbol"/>
      <w:color w:val="000000"/>
      <w:sz w:val="24"/>
      <w:szCs w:val="24"/>
    </w:rPr>
  </w:style>
  <w:style w:type="numbering" w:customStyle="1" w:styleId="ECHABulletlist">
    <w:name w:val="ECHA Bullet list"/>
    <w:pPr>
      <w:numPr>
        <w:numId w:val="2"/>
      </w:numPr>
    </w:pPr>
  </w:style>
  <w:style w:type="numbering" w:customStyle="1" w:styleId="ECHANumberlist">
    <w:name w:val="ECHA Number list"/>
    <w:pPr>
      <w:numPr>
        <w:numId w:val="3"/>
      </w:numPr>
    </w:pPr>
  </w:style>
  <w:style w:type="character" w:customStyle="1" w:styleId="value1">
    <w:name w:val="value1"/>
    <w:rsid w:val="00554DC9"/>
    <w:rPr>
      <w:vanish w:val="0"/>
      <w:webHidden w:val="0"/>
      <w:color w:val="4A6463"/>
      <w:sz w:val="29"/>
      <w:szCs w:val="29"/>
      <w:specVanish w:val="0"/>
    </w:rPr>
  </w:style>
  <w:style w:type="paragraph" w:styleId="ListBullet">
    <w:name w:val="List Bullet"/>
    <w:next w:val="BodyText"/>
    <w:rsid w:val="00AF4F79"/>
    <w:pPr>
      <w:numPr>
        <w:numId w:val="18"/>
      </w:numPr>
      <w:tabs>
        <w:tab w:val="clear" w:pos="425"/>
        <w:tab w:val="left" w:pos="357"/>
      </w:tabs>
      <w:ind w:left="357" w:hanging="357"/>
      <w:jc w:val="both"/>
    </w:pPr>
    <w:rPr>
      <w:rFonts w:ascii="Times New Roman" w:hAnsi="Times New Roman" w:cs="Times New Roman"/>
      <w:sz w:val="24"/>
      <w:lang w:eastAsia="en-US"/>
    </w:rPr>
  </w:style>
  <w:style w:type="paragraph" w:styleId="ListNumber">
    <w:name w:val="List Number"/>
    <w:basedOn w:val="Normal"/>
    <w:rsid w:val="008A468D"/>
    <w:pPr>
      <w:numPr>
        <w:numId w:val="19"/>
      </w:numPr>
      <w:contextualSpacing/>
    </w:pPr>
  </w:style>
  <w:style w:type="character" w:styleId="Emphasis">
    <w:name w:val="Emphasis"/>
    <w:uiPriority w:val="20"/>
    <w:qFormat/>
    <w:rsid w:val="00B8128C"/>
    <w:rPr>
      <w:i/>
      <w:iCs/>
    </w:rPr>
  </w:style>
  <w:style w:type="character" w:customStyle="1" w:styleId="apple-converted-space">
    <w:name w:val="apple-converted-space"/>
    <w:basedOn w:val="DefaultParagraphFont"/>
    <w:rsid w:val="00912690"/>
  </w:style>
  <w:style w:type="paragraph" w:customStyle="1" w:styleId="Rubrik1">
    <w:name w:val="Rubrik1"/>
    <w:basedOn w:val="Normal"/>
    <w:rsid w:val="00EE15AB"/>
    <w:pPr>
      <w:widowControl/>
      <w:spacing w:before="100" w:beforeAutospacing="1" w:after="100" w:afterAutospacing="1"/>
    </w:pPr>
    <w:rPr>
      <w:rFonts w:ascii="Times New Roman" w:hAnsi="Times New Roman"/>
      <w:sz w:val="24"/>
      <w:szCs w:val="24"/>
      <w:lang w:val="sv-SE" w:eastAsia="sv-SE"/>
    </w:rPr>
  </w:style>
  <w:style w:type="paragraph" w:customStyle="1" w:styleId="desc">
    <w:name w:val="desc"/>
    <w:basedOn w:val="Normal"/>
    <w:rsid w:val="00EE15AB"/>
    <w:pPr>
      <w:widowControl/>
      <w:spacing w:before="100" w:beforeAutospacing="1" w:after="100" w:afterAutospacing="1"/>
    </w:pPr>
    <w:rPr>
      <w:rFonts w:ascii="Times New Roman" w:hAnsi="Times New Roman"/>
      <w:sz w:val="24"/>
      <w:szCs w:val="24"/>
      <w:lang w:val="sv-SE" w:eastAsia="sv-SE"/>
    </w:rPr>
  </w:style>
  <w:style w:type="paragraph" w:customStyle="1" w:styleId="details">
    <w:name w:val="details"/>
    <w:basedOn w:val="Normal"/>
    <w:rsid w:val="00EE15AB"/>
    <w:pPr>
      <w:widowControl/>
      <w:spacing w:before="100" w:beforeAutospacing="1" w:after="100" w:afterAutospacing="1"/>
    </w:pPr>
    <w:rPr>
      <w:rFonts w:ascii="Times New Roman" w:hAnsi="Times New Roman"/>
      <w:sz w:val="24"/>
      <w:szCs w:val="24"/>
      <w:lang w:val="sv-SE" w:eastAsia="sv-SE"/>
    </w:rPr>
  </w:style>
  <w:style w:type="character" w:customStyle="1" w:styleId="jrnl">
    <w:name w:val="jrnl"/>
    <w:basedOn w:val="DefaultParagraphFont"/>
    <w:rsid w:val="00EE15AB"/>
  </w:style>
  <w:style w:type="character" w:customStyle="1" w:styleId="highlight">
    <w:name w:val="highlight"/>
    <w:basedOn w:val="DefaultParagraphFont"/>
    <w:rsid w:val="00106C35"/>
  </w:style>
  <w:style w:type="character" w:customStyle="1" w:styleId="authors">
    <w:name w:val="authors"/>
    <w:basedOn w:val="DefaultParagraphFont"/>
    <w:rsid w:val="00223DBE"/>
  </w:style>
  <w:style w:type="character" w:customStyle="1" w:styleId="organisation1">
    <w:name w:val="organisation1"/>
    <w:basedOn w:val="DefaultParagraphFont"/>
    <w:rsid w:val="005212CE"/>
  </w:style>
  <w:style w:type="character" w:customStyle="1" w:styleId="ListParagraphChar">
    <w:name w:val="List Paragraph Char"/>
    <w:basedOn w:val="DefaultParagraphFont"/>
    <w:link w:val="ListParagraph"/>
    <w:uiPriority w:val="34"/>
    <w:rsid w:val="003F28A5"/>
    <w:rPr>
      <w:rFonts w:cs="Times New Roman"/>
      <w:lang w:eastAsia="fi-FI"/>
    </w:rPr>
  </w:style>
  <w:style w:type="paragraph" w:customStyle="1" w:styleId="TableHeading">
    <w:name w:val="Table Heading"/>
    <w:basedOn w:val="Heading6"/>
    <w:next w:val="Normal"/>
    <w:uiPriority w:val="1"/>
    <w:qFormat/>
    <w:rsid w:val="00274FAB"/>
    <w:pPr>
      <w:keepNext w:val="0"/>
      <w:keepLines w:val="0"/>
      <w:numPr>
        <w:ilvl w:val="0"/>
        <w:numId w:val="0"/>
      </w:numPr>
      <w:autoSpaceDE w:val="0"/>
      <w:autoSpaceDN w:val="0"/>
      <w:adjustRightInd w:val="0"/>
      <w:spacing w:before="200" w:after="0"/>
      <w:outlineLvl w:val="9"/>
    </w:pPr>
    <w:rPr>
      <w:rFonts w:ascii="Times" w:hAnsi="Times" w:cs="Times"/>
      <w:iCs w:val="0"/>
      <w:color w:val="auto"/>
      <w:szCs w:val="29"/>
      <w:lang w:val="de-DE" w:eastAsia="de-DE"/>
    </w:rPr>
  </w:style>
  <w:style w:type="paragraph" w:customStyle="1" w:styleId="Special">
    <w:name w:val="Special"/>
    <w:basedOn w:val="Heading6"/>
    <w:next w:val="Normal"/>
    <w:uiPriority w:val="1"/>
    <w:qFormat/>
    <w:rsid w:val="00274FAB"/>
    <w:pPr>
      <w:keepNext w:val="0"/>
      <w:keepLines w:val="0"/>
      <w:numPr>
        <w:ilvl w:val="0"/>
        <w:numId w:val="0"/>
      </w:numPr>
      <w:autoSpaceDE w:val="0"/>
      <w:autoSpaceDN w:val="0"/>
      <w:adjustRightInd w:val="0"/>
      <w:spacing w:after="0"/>
      <w:outlineLvl w:val="9"/>
    </w:pPr>
    <w:rPr>
      <w:rFonts w:ascii="Times" w:hAnsi="Times" w:cs="Times"/>
      <w:b w:val="0"/>
      <w:iCs w:val="0"/>
      <w:color w:val="auto"/>
      <w:sz w:val="16"/>
      <w:szCs w:val="29"/>
      <w:lang w:val="de-DE" w:eastAsia="de-DE"/>
    </w:rPr>
  </w:style>
  <w:style w:type="paragraph" w:customStyle="1" w:styleId="ReportHeading3">
    <w:name w:val="Report Heading 3"/>
    <w:basedOn w:val="Normal"/>
    <w:next w:val="Normal"/>
    <w:uiPriority w:val="1"/>
    <w:qFormat/>
    <w:rsid w:val="003C4717"/>
    <w:pPr>
      <w:widowControl/>
      <w:spacing w:before="200" w:line="259" w:lineRule="auto"/>
      <w:outlineLvl w:val="2"/>
    </w:pPr>
    <w:rPr>
      <w:rFonts w:ascii="Times" w:eastAsia="SimSun" w:hAnsi="Times" w:cs="Times"/>
      <w:b/>
      <w:bCs/>
      <w:sz w:val="29"/>
      <w:szCs w:val="29"/>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4473">
      <w:bodyDiv w:val="1"/>
      <w:marLeft w:val="0"/>
      <w:marRight w:val="0"/>
      <w:marTop w:val="0"/>
      <w:marBottom w:val="0"/>
      <w:divBdr>
        <w:top w:val="none" w:sz="0" w:space="0" w:color="auto"/>
        <w:left w:val="none" w:sz="0" w:space="0" w:color="auto"/>
        <w:bottom w:val="none" w:sz="0" w:space="0" w:color="auto"/>
        <w:right w:val="none" w:sz="0" w:space="0" w:color="auto"/>
      </w:divBdr>
    </w:div>
    <w:div w:id="279528934">
      <w:bodyDiv w:val="1"/>
      <w:marLeft w:val="0"/>
      <w:marRight w:val="0"/>
      <w:marTop w:val="0"/>
      <w:marBottom w:val="0"/>
      <w:divBdr>
        <w:top w:val="none" w:sz="0" w:space="0" w:color="auto"/>
        <w:left w:val="none" w:sz="0" w:space="0" w:color="auto"/>
        <w:bottom w:val="none" w:sz="0" w:space="0" w:color="auto"/>
        <w:right w:val="none" w:sz="0" w:space="0" w:color="auto"/>
      </w:divBdr>
    </w:div>
    <w:div w:id="424424668">
      <w:bodyDiv w:val="1"/>
      <w:marLeft w:val="0"/>
      <w:marRight w:val="0"/>
      <w:marTop w:val="0"/>
      <w:marBottom w:val="0"/>
      <w:divBdr>
        <w:top w:val="none" w:sz="0" w:space="0" w:color="auto"/>
        <w:left w:val="none" w:sz="0" w:space="0" w:color="auto"/>
        <w:bottom w:val="none" w:sz="0" w:space="0" w:color="auto"/>
        <w:right w:val="none" w:sz="0" w:space="0" w:color="auto"/>
      </w:divBdr>
      <w:divsChild>
        <w:div w:id="844443825">
          <w:marLeft w:val="0"/>
          <w:marRight w:val="0"/>
          <w:marTop w:val="0"/>
          <w:marBottom w:val="0"/>
          <w:divBdr>
            <w:top w:val="none" w:sz="0" w:space="0" w:color="auto"/>
            <w:left w:val="none" w:sz="0" w:space="0" w:color="auto"/>
            <w:bottom w:val="none" w:sz="0" w:space="0" w:color="auto"/>
            <w:right w:val="none" w:sz="0" w:space="0" w:color="auto"/>
          </w:divBdr>
          <w:divsChild>
            <w:div w:id="1518084073">
              <w:marLeft w:val="0"/>
              <w:marRight w:val="0"/>
              <w:marTop w:val="0"/>
              <w:marBottom w:val="0"/>
              <w:divBdr>
                <w:top w:val="none" w:sz="0" w:space="0" w:color="auto"/>
                <w:left w:val="none" w:sz="0" w:space="0" w:color="auto"/>
                <w:bottom w:val="none" w:sz="0" w:space="0" w:color="auto"/>
                <w:right w:val="none" w:sz="0" w:space="0" w:color="auto"/>
              </w:divBdr>
              <w:divsChild>
                <w:div w:id="1250774737">
                  <w:marLeft w:val="0"/>
                  <w:marRight w:val="0"/>
                  <w:marTop w:val="0"/>
                  <w:marBottom w:val="0"/>
                  <w:divBdr>
                    <w:top w:val="none" w:sz="0" w:space="0" w:color="auto"/>
                    <w:left w:val="none" w:sz="0" w:space="0" w:color="auto"/>
                    <w:bottom w:val="none" w:sz="0" w:space="0" w:color="auto"/>
                    <w:right w:val="none" w:sz="0" w:space="0" w:color="auto"/>
                  </w:divBdr>
                  <w:divsChild>
                    <w:div w:id="1259752155">
                      <w:marLeft w:val="0"/>
                      <w:marRight w:val="0"/>
                      <w:marTop w:val="0"/>
                      <w:marBottom w:val="0"/>
                      <w:divBdr>
                        <w:top w:val="none" w:sz="0" w:space="0" w:color="auto"/>
                        <w:left w:val="none" w:sz="0" w:space="0" w:color="auto"/>
                        <w:bottom w:val="none" w:sz="0" w:space="0" w:color="auto"/>
                        <w:right w:val="none" w:sz="0" w:space="0" w:color="auto"/>
                      </w:divBdr>
                      <w:divsChild>
                        <w:div w:id="542793700">
                          <w:marLeft w:val="0"/>
                          <w:marRight w:val="0"/>
                          <w:marTop w:val="0"/>
                          <w:marBottom w:val="0"/>
                          <w:divBdr>
                            <w:top w:val="none" w:sz="0" w:space="0" w:color="auto"/>
                            <w:left w:val="none" w:sz="0" w:space="0" w:color="auto"/>
                            <w:bottom w:val="none" w:sz="0" w:space="0" w:color="auto"/>
                            <w:right w:val="none" w:sz="0" w:space="0" w:color="auto"/>
                          </w:divBdr>
                          <w:divsChild>
                            <w:div w:id="2035767337">
                              <w:marLeft w:val="0"/>
                              <w:marRight w:val="0"/>
                              <w:marTop w:val="0"/>
                              <w:marBottom w:val="0"/>
                              <w:divBdr>
                                <w:top w:val="none" w:sz="0" w:space="0" w:color="auto"/>
                                <w:left w:val="none" w:sz="0" w:space="0" w:color="auto"/>
                                <w:bottom w:val="none" w:sz="0" w:space="0" w:color="auto"/>
                                <w:right w:val="none" w:sz="0" w:space="0" w:color="auto"/>
                              </w:divBdr>
                            </w:div>
                            <w:div w:id="1113669519">
                              <w:marLeft w:val="0"/>
                              <w:marRight w:val="0"/>
                              <w:marTop w:val="0"/>
                              <w:marBottom w:val="0"/>
                              <w:divBdr>
                                <w:top w:val="none" w:sz="0" w:space="0" w:color="auto"/>
                                <w:left w:val="none" w:sz="0" w:space="0" w:color="auto"/>
                                <w:bottom w:val="none" w:sz="0" w:space="0" w:color="auto"/>
                                <w:right w:val="none" w:sz="0" w:space="0" w:color="auto"/>
                              </w:divBdr>
                            </w:div>
                            <w:div w:id="21224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798903">
      <w:bodyDiv w:val="1"/>
      <w:marLeft w:val="0"/>
      <w:marRight w:val="0"/>
      <w:marTop w:val="0"/>
      <w:marBottom w:val="0"/>
      <w:divBdr>
        <w:top w:val="none" w:sz="0" w:space="0" w:color="auto"/>
        <w:left w:val="none" w:sz="0" w:space="0" w:color="auto"/>
        <w:bottom w:val="none" w:sz="0" w:space="0" w:color="auto"/>
        <w:right w:val="none" w:sz="0" w:space="0" w:color="auto"/>
      </w:divBdr>
    </w:div>
    <w:div w:id="495151865">
      <w:bodyDiv w:val="1"/>
      <w:marLeft w:val="0"/>
      <w:marRight w:val="0"/>
      <w:marTop w:val="0"/>
      <w:marBottom w:val="0"/>
      <w:divBdr>
        <w:top w:val="none" w:sz="0" w:space="0" w:color="auto"/>
        <w:left w:val="none" w:sz="0" w:space="0" w:color="auto"/>
        <w:bottom w:val="none" w:sz="0" w:space="0" w:color="auto"/>
        <w:right w:val="none" w:sz="0" w:space="0" w:color="auto"/>
      </w:divBdr>
    </w:div>
    <w:div w:id="573008013">
      <w:bodyDiv w:val="1"/>
      <w:marLeft w:val="0"/>
      <w:marRight w:val="0"/>
      <w:marTop w:val="0"/>
      <w:marBottom w:val="0"/>
      <w:divBdr>
        <w:top w:val="none" w:sz="0" w:space="0" w:color="auto"/>
        <w:left w:val="none" w:sz="0" w:space="0" w:color="auto"/>
        <w:bottom w:val="none" w:sz="0" w:space="0" w:color="auto"/>
        <w:right w:val="none" w:sz="0" w:space="0" w:color="auto"/>
      </w:divBdr>
    </w:div>
    <w:div w:id="770128356">
      <w:bodyDiv w:val="1"/>
      <w:marLeft w:val="0"/>
      <w:marRight w:val="0"/>
      <w:marTop w:val="0"/>
      <w:marBottom w:val="0"/>
      <w:divBdr>
        <w:top w:val="none" w:sz="0" w:space="0" w:color="auto"/>
        <w:left w:val="none" w:sz="0" w:space="0" w:color="auto"/>
        <w:bottom w:val="none" w:sz="0" w:space="0" w:color="auto"/>
        <w:right w:val="none" w:sz="0" w:space="0" w:color="auto"/>
      </w:divBdr>
    </w:div>
    <w:div w:id="856577556">
      <w:bodyDiv w:val="1"/>
      <w:marLeft w:val="0"/>
      <w:marRight w:val="0"/>
      <w:marTop w:val="0"/>
      <w:marBottom w:val="0"/>
      <w:divBdr>
        <w:top w:val="none" w:sz="0" w:space="0" w:color="auto"/>
        <w:left w:val="none" w:sz="0" w:space="0" w:color="auto"/>
        <w:bottom w:val="none" w:sz="0" w:space="0" w:color="auto"/>
        <w:right w:val="none" w:sz="0" w:space="0" w:color="auto"/>
      </w:divBdr>
    </w:div>
    <w:div w:id="900285397">
      <w:bodyDiv w:val="1"/>
      <w:marLeft w:val="0"/>
      <w:marRight w:val="0"/>
      <w:marTop w:val="0"/>
      <w:marBottom w:val="0"/>
      <w:divBdr>
        <w:top w:val="none" w:sz="0" w:space="0" w:color="auto"/>
        <w:left w:val="none" w:sz="0" w:space="0" w:color="auto"/>
        <w:bottom w:val="none" w:sz="0" w:space="0" w:color="auto"/>
        <w:right w:val="none" w:sz="0" w:space="0" w:color="auto"/>
      </w:divBdr>
    </w:div>
    <w:div w:id="919103123">
      <w:bodyDiv w:val="1"/>
      <w:marLeft w:val="0"/>
      <w:marRight w:val="0"/>
      <w:marTop w:val="0"/>
      <w:marBottom w:val="0"/>
      <w:divBdr>
        <w:top w:val="none" w:sz="0" w:space="0" w:color="auto"/>
        <w:left w:val="none" w:sz="0" w:space="0" w:color="auto"/>
        <w:bottom w:val="none" w:sz="0" w:space="0" w:color="auto"/>
        <w:right w:val="none" w:sz="0" w:space="0" w:color="auto"/>
      </w:divBdr>
    </w:div>
    <w:div w:id="927693776">
      <w:bodyDiv w:val="1"/>
      <w:marLeft w:val="0"/>
      <w:marRight w:val="0"/>
      <w:marTop w:val="0"/>
      <w:marBottom w:val="0"/>
      <w:divBdr>
        <w:top w:val="none" w:sz="0" w:space="0" w:color="auto"/>
        <w:left w:val="none" w:sz="0" w:space="0" w:color="auto"/>
        <w:bottom w:val="none" w:sz="0" w:space="0" w:color="auto"/>
        <w:right w:val="none" w:sz="0" w:space="0" w:color="auto"/>
      </w:divBdr>
    </w:div>
    <w:div w:id="1051660143">
      <w:bodyDiv w:val="1"/>
      <w:marLeft w:val="0"/>
      <w:marRight w:val="0"/>
      <w:marTop w:val="0"/>
      <w:marBottom w:val="0"/>
      <w:divBdr>
        <w:top w:val="none" w:sz="0" w:space="0" w:color="auto"/>
        <w:left w:val="none" w:sz="0" w:space="0" w:color="auto"/>
        <w:bottom w:val="none" w:sz="0" w:space="0" w:color="auto"/>
        <w:right w:val="none" w:sz="0" w:space="0" w:color="auto"/>
      </w:divBdr>
      <w:divsChild>
        <w:div w:id="71509647">
          <w:marLeft w:val="0"/>
          <w:marRight w:val="0"/>
          <w:marTop w:val="34"/>
          <w:marBottom w:val="34"/>
          <w:divBdr>
            <w:top w:val="none" w:sz="0" w:space="0" w:color="auto"/>
            <w:left w:val="none" w:sz="0" w:space="0" w:color="auto"/>
            <w:bottom w:val="none" w:sz="0" w:space="0" w:color="auto"/>
            <w:right w:val="none" w:sz="0" w:space="0" w:color="auto"/>
          </w:divBdr>
        </w:div>
      </w:divsChild>
    </w:div>
    <w:div w:id="1445341412">
      <w:bodyDiv w:val="1"/>
      <w:marLeft w:val="0"/>
      <w:marRight w:val="0"/>
      <w:marTop w:val="0"/>
      <w:marBottom w:val="0"/>
      <w:divBdr>
        <w:top w:val="none" w:sz="0" w:space="0" w:color="auto"/>
        <w:left w:val="none" w:sz="0" w:space="0" w:color="auto"/>
        <w:bottom w:val="none" w:sz="0" w:space="0" w:color="auto"/>
        <w:right w:val="none" w:sz="0" w:space="0" w:color="auto"/>
      </w:divBdr>
      <w:divsChild>
        <w:div w:id="1932011865">
          <w:marLeft w:val="0"/>
          <w:marRight w:val="0"/>
          <w:marTop w:val="34"/>
          <w:marBottom w:val="34"/>
          <w:divBdr>
            <w:top w:val="none" w:sz="0" w:space="0" w:color="auto"/>
            <w:left w:val="none" w:sz="0" w:space="0" w:color="auto"/>
            <w:bottom w:val="none" w:sz="0" w:space="0" w:color="auto"/>
            <w:right w:val="none" w:sz="0" w:space="0" w:color="auto"/>
          </w:divBdr>
        </w:div>
      </w:divsChild>
    </w:div>
    <w:div w:id="1526289818">
      <w:bodyDiv w:val="1"/>
      <w:marLeft w:val="0"/>
      <w:marRight w:val="0"/>
      <w:marTop w:val="0"/>
      <w:marBottom w:val="0"/>
      <w:divBdr>
        <w:top w:val="none" w:sz="0" w:space="0" w:color="auto"/>
        <w:left w:val="none" w:sz="0" w:space="0" w:color="auto"/>
        <w:bottom w:val="none" w:sz="0" w:space="0" w:color="auto"/>
        <w:right w:val="none" w:sz="0" w:space="0" w:color="auto"/>
      </w:divBdr>
    </w:div>
    <w:div w:id="1588539924">
      <w:bodyDiv w:val="1"/>
      <w:marLeft w:val="0"/>
      <w:marRight w:val="0"/>
      <w:marTop w:val="0"/>
      <w:marBottom w:val="0"/>
      <w:divBdr>
        <w:top w:val="none" w:sz="0" w:space="0" w:color="auto"/>
        <w:left w:val="none" w:sz="0" w:space="0" w:color="auto"/>
        <w:bottom w:val="none" w:sz="0" w:space="0" w:color="auto"/>
        <w:right w:val="none" w:sz="0" w:space="0" w:color="auto"/>
      </w:divBdr>
    </w:div>
    <w:div w:id="1670712953">
      <w:bodyDiv w:val="1"/>
      <w:marLeft w:val="0"/>
      <w:marRight w:val="0"/>
      <w:marTop w:val="0"/>
      <w:marBottom w:val="0"/>
      <w:divBdr>
        <w:top w:val="none" w:sz="0" w:space="0" w:color="auto"/>
        <w:left w:val="none" w:sz="0" w:space="0" w:color="auto"/>
        <w:bottom w:val="none" w:sz="0" w:space="0" w:color="auto"/>
        <w:right w:val="none" w:sz="0" w:space="0" w:color="auto"/>
      </w:divBdr>
    </w:div>
    <w:div w:id="1957062628">
      <w:bodyDiv w:val="1"/>
      <w:marLeft w:val="0"/>
      <w:marRight w:val="0"/>
      <w:marTop w:val="0"/>
      <w:marBottom w:val="0"/>
      <w:divBdr>
        <w:top w:val="none" w:sz="0" w:space="0" w:color="auto"/>
        <w:left w:val="none" w:sz="0" w:space="0" w:color="auto"/>
        <w:bottom w:val="none" w:sz="0" w:space="0" w:color="auto"/>
        <w:right w:val="none" w:sz="0" w:space="0" w:color="auto"/>
      </w:divBdr>
    </w:div>
    <w:div w:id="2000305926">
      <w:marLeft w:val="0"/>
      <w:marRight w:val="0"/>
      <w:marTop w:val="0"/>
      <w:marBottom w:val="0"/>
      <w:divBdr>
        <w:top w:val="none" w:sz="0" w:space="0" w:color="auto"/>
        <w:left w:val="none" w:sz="0" w:space="0" w:color="auto"/>
        <w:bottom w:val="none" w:sz="0" w:space="0" w:color="auto"/>
        <w:right w:val="none" w:sz="0" w:space="0" w:color="auto"/>
      </w:divBdr>
    </w:div>
    <w:div w:id="2000305927">
      <w:marLeft w:val="0"/>
      <w:marRight w:val="0"/>
      <w:marTop w:val="0"/>
      <w:marBottom w:val="0"/>
      <w:divBdr>
        <w:top w:val="none" w:sz="0" w:space="0" w:color="auto"/>
        <w:left w:val="none" w:sz="0" w:space="0" w:color="auto"/>
        <w:bottom w:val="none" w:sz="0" w:space="0" w:color="auto"/>
        <w:right w:val="none" w:sz="0" w:space="0" w:color="auto"/>
      </w:divBdr>
    </w:div>
    <w:div w:id="2000305928">
      <w:marLeft w:val="0"/>
      <w:marRight w:val="0"/>
      <w:marTop w:val="0"/>
      <w:marBottom w:val="0"/>
      <w:divBdr>
        <w:top w:val="none" w:sz="0" w:space="0" w:color="auto"/>
        <w:left w:val="none" w:sz="0" w:space="0" w:color="auto"/>
        <w:bottom w:val="none" w:sz="0" w:space="0" w:color="auto"/>
        <w:right w:val="none" w:sz="0" w:space="0" w:color="auto"/>
      </w:divBdr>
    </w:div>
    <w:div w:id="2000305929">
      <w:marLeft w:val="0"/>
      <w:marRight w:val="0"/>
      <w:marTop w:val="0"/>
      <w:marBottom w:val="0"/>
      <w:divBdr>
        <w:top w:val="none" w:sz="0" w:space="0" w:color="auto"/>
        <w:left w:val="none" w:sz="0" w:space="0" w:color="auto"/>
        <w:bottom w:val="none" w:sz="0" w:space="0" w:color="auto"/>
        <w:right w:val="none" w:sz="0" w:space="0" w:color="auto"/>
      </w:divBdr>
    </w:div>
    <w:div w:id="2000305930">
      <w:marLeft w:val="0"/>
      <w:marRight w:val="0"/>
      <w:marTop w:val="0"/>
      <w:marBottom w:val="0"/>
      <w:divBdr>
        <w:top w:val="none" w:sz="0" w:space="0" w:color="auto"/>
        <w:left w:val="none" w:sz="0" w:space="0" w:color="auto"/>
        <w:bottom w:val="none" w:sz="0" w:space="0" w:color="auto"/>
        <w:right w:val="none" w:sz="0" w:space="0" w:color="auto"/>
      </w:divBdr>
    </w:div>
    <w:div w:id="2000305931">
      <w:marLeft w:val="0"/>
      <w:marRight w:val="0"/>
      <w:marTop w:val="0"/>
      <w:marBottom w:val="0"/>
      <w:divBdr>
        <w:top w:val="none" w:sz="0" w:space="0" w:color="auto"/>
        <w:left w:val="none" w:sz="0" w:space="0" w:color="auto"/>
        <w:bottom w:val="none" w:sz="0" w:space="0" w:color="auto"/>
        <w:right w:val="none" w:sz="0" w:space="0" w:color="auto"/>
      </w:divBdr>
    </w:div>
    <w:div w:id="2000305932">
      <w:marLeft w:val="0"/>
      <w:marRight w:val="0"/>
      <w:marTop w:val="0"/>
      <w:marBottom w:val="0"/>
      <w:divBdr>
        <w:top w:val="none" w:sz="0" w:space="0" w:color="auto"/>
        <w:left w:val="none" w:sz="0" w:space="0" w:color="auto"/>
        <w:bottom w:val="none" w:sz="0" w:space="0" w:color="auto"/>
        <w:right w:val="none" w:sz="0" w:space="0" w:color="auto"/>
      </w:divBdr>
    </w:div>
    <w:div w:id="2000305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efsa.europa.eu/sites/default/files/scientific_output/files/main_documents/980.pdf" TargetMode="External"/><Relationship Id="rId26" Type="http://schemas.openxmlformats.org/officeDocument/2006/relationships/hyperlink" Target="http://www.kemi.se/global/rapporter/2011/rapport-1-11.pdf" TargetMode="External"/><Relationship Id="rId39"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http://www.cadmium.org/environment/cadmium-emissions" TargetMode="External"/><Relationship Id="rId34" Type="http://schemas.openxmlformats.org/officeDocument/2006/relationships/image" Target="media/image6.png"/><Relationship Id="rId42"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atsdr.cdc.gov/spl/index.html" TargetMode="External"/><Relationship Id="rId17" Type="http://schemas.openxmlformats.org/officeDocument/2006/relationships/hyperlink" Target="http://eur-lex.europa.eu/legal-content/EN/TXT/PDF/?uri=CELEX:02009R1223-20140401&amp;qid=1401104217811&amp;from=SV" TargetMode="External"/><Relationship Id="rId25" Type="http://schemas.openxmlformats.org/officeDocument/2006/relationships/hyperlink" Target="http://www.med.lu.se/labmedlund/amm/forskning/haelsorisker_av_metaller/phime" TargetMode="External"/><Relationship Id="rId33" Type="http://schemas.openxmlformats.org/officeDocument/2006/relationships/image" Target="media/image5.png"/><Relationship Id="rId38"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onographs.iarc.fr/ENG/Monographs/vol100C/mono100C-8.pdf" TargetMode="External"/><Relationship Id="rId29" Type="http://schemas.openxmlformats.org/officeDocument/2006/relationships/hyperlink" Target="http://www.efsa.europa.eu/sites/default/files/scientific_output/files/main_documents/980.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iva-portal.org/smash/get/diva2:967690/FULLTEXT01.pdf"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hyperlink" Target="https://www.atsdr.cdc.gov/spl/index.html" TargetMode="External"/><Relationship Id="rId23" Type="http://schemas.openxmlformats.org/officeDocument/2006/relationships/hyperlink" Target="https://www.kemi.se/global/rapporter/2013/rapport-4-13-cadmium.pdf" TargetMode="External"/><Relationship Id="rId28" Type="http://schemas.openxmlformats.org/officeDocument/2006/relationships/hyperlink" Target="https://echa.europa.eu/sv/registration-dossier/-/registered-dossier/2107" TargetMode="External"/><Relationship Id="rId36"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hyperlink" Target="http://www.efsa.europa.eu/efsajournal" TargetMode="External"/><Relationship Id="rId31" Type="http://schemas.openxmlformats.org/officeDocument/2006/relationships/hyperlink" Target="https://www.kemi.se/global/rapporter/2011/rapport-1-11.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kemi.se/global/rapporter/2011/rapport-1-11.pdf" TargetMode="External"/><Relationship Id="rId27" Type="http://schemas.openxmlformats.org/officeDocument/2006/relationships/hyperlink" Target="http://echa.europa.eu/web/guest/information-on-chemicals/cl-inventory-database" TargetMode="External"/><Relationship Id="rId30" Type="http://schemas.openxmlformats.org/officeDocument/2006/relationships/hyperlink" Target="http://www.efsa.europa.eu/efsajournal" TargetMode="External"/><Relationship Id="rId35" Type="http://schemas.openxmlformats.org/officeDocument/2006/relationships/image" Target="media/image7.png"/><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ha.europa.eu/sv/registration-dossier/-/registered-dossier/2107" TargetMode="External"/><Relationship Id="rId2" Type="http://schemas.openxmlformats.org/officeDocument/2006/relationships/hyperlink" Target="http://echa.europa.eu/web/guest/information-on-chemicals/cl-inventory-database" TargetMode="External"/><Relationship Id="rId1" Type="http://schemas.openxmlformats.org/officeDocument/2006/relationships/hyperlink" Target="https://echa.europa.eu/sv/registration-dossier/-/registered-dossier/2107" TargetMode="External"/><Relationship Id="rId5" Type="http://schemas.openxmlformats.org/officeDocument/2006/relationships/hyperlink" Target="https://echa.europa.eu/information-on-chemicals/cl-inventory-database" TargetMode="External"/><Relationship Id="rId4" Type="http://schemas.openxmlformats.org/officeDocument/2006/relationships/hyperlink" Target="https://echa.europa.eu/sv/brief-profile/-/briefprofile/100.040.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4EF948BC7CFF48BCCC6ECFC3EF08A9" ma:contentTypeVersion="2" ma:contentTypeDescription="Create a new document." ma:contentTypeScope="" ma:versionID="ab191d73455c6395f04f59adf260590f">
  <xsd:schema xmlns:xsd="http://www.w3.org/2001/XMLSchema" xmlns:xs="http://www.w3.org/2001/XMLSchema" xmlns:p="http://schemas.microsoft.com/office/2006/metadata/properties" xmlns:ns2="638ed661-6cf9-4389-bd1d-6d3315698250" targetNamespace="http://schemas.microsoft.com/office/2006/metadata/properties" ma:root="true" ma:fieldsID="1c35b10b2f987964c91ae869a03fff63" ns2:_="">
    <xsd:import namespace="638ed661-6cf9-4389-bd1d-6d3315698250"/>
    <xsd:element name="properties">
      <xsd:complexType>
        <xsd:sequence>
          <xsd:element name="documentManagement">
            <xsd:complexType>
              <xsd:all>
                <xsd:element ref="ns2:Folder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ed661-6cf9-4389-bd1d-6d3315698250" elementFormDefault="qualified">
    <xsd:import namespace="http://schemas.microsoft.com/office/2006/documentManagement/types"/>
    <xsd:import namespace="http://schemas.microsoft.com/office/infopath/2007/PartnerControls"/>
    <xsd:element name="Folder_x0020_url" ma:index="8" nillable="true" ma:displayName="Folder url" ma:format="Hyperlink" ma:internalName="Folder_x0020_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0_url xmlns="638ed661-6cf9-4389-bd1d-6d3315698250">
      <Url xsi:nil="true"/>
      <Description xsi:nil="true"/>
    </Folder_x0020_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4FA8D-8C0F-4176-A3B2-179A5853A8D4}">
  <ds:schemaRefs>
    <ds:schemaRef ds:uri="http://schemas.microsoft.com/sharepoint/v3/contenttype/forms"/>
  </ds:schemaRefs>
</ds:datastoreItem>
</file>

<file path=customXml/itemProps2.xml><?xml version="1.0" encoding="utf-8"?>
<ds:datastoreItem xmlns:ds="http://schemas.openxmlformats.org/officeDocument/2006/customXml" ds:itemID="{9846D0A0-F05C-4F72-9DAC-451E5B527C2D}">
  <ds:schemaRefs>
    <ds:schemaRef ds:uri="http://schemas.microsoft.com/office/2006/metadata/longProperties"/>
  </ds:schemaRefs>
</ds:datastoreItem>
</file>

<file path=customXml/itemProps3.xml><?xml version="1.0" encoding="utf-8"?>
<ds:datastoreItem xmlns:ds="http://schemas.openxmlformats.org/officeDocument/2006/customXml" ds:itemID="{381BC0BF-ADC7-4FA2-8BE9-C52802DEA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ed661-6cf9-4389-bd1d-6d3315698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CE269-1E98-411A-A103-D2EC417022C6}">
  <ds:schemaRefs>
    <ds:schemaRef ds:uri="http://schemas.openxmlformats.org/package/2006/metadata/core-properties"/>
    <ds:schemaRef ds:uri="http://purl.org/dc/dcmitype/"/>
    <ds:schemaRef ds:uri="http://schemas.microsoft.com/office/infopath/2007/PartnerControls"/>
    <ds:schemaRef ds:uri="638ed661-6cf9-4389-bd1d-6d3315698250"/>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5.xml><?xml version="1.0" encoding="utf-8"?>
<ds:datastoreItem xmlns:ds="http://schemas.openxmlformats.org/officeDocument/2006/customXml" ds:itemID="{81759003-8F77-46EE-8204-7587BBBF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9D13EF62.dotm</Template>
  <TotalTime>27</TotalTime>
  <Pages>36</Pages>
  <Words>14104</Words>
  <Characters>84262</Characters>
  <Application>Microsoft Office Word</Application>
  <DocSecurity>0</DocSecurity>
  <Lines>702</Lines>
  <Paragraphs>196</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Annex XV report</vt:lpstr>
      <vt:lpstr>Annex XV report</vt:lpstr>
      <vt:lpstr>Annex XV report</vt:lpstr>
    </vt:vector>
  </TitlesOfParts>
  <Company>European Chemicals Agency</Company>
  <LinksUpToDate>false</LinksUpToDate>
  <CharactersWithSpaces>98170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XV report</dc:title>
  <dc:creator>NORAH OFARRELL</dc:creator>
  <cp:lastModifiedBy>O'FARRELL Norah</cp:lastModifiedBy>
  <cp:revision>9</cp:revision>
  <cp:lastPrinted>2017-08-25T12:44:00Z</cp:lastPrinted>
  <dcterms:created xsi:type="dcterms:W3CDTF">2017-08-25T12:43:00Z</dcterms:created>
  <dcterms:modified xsi:type="dcterms:W3CDTF">2017-08-29T13:44:00Z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0x0101006F4EF948BC7CFF48BCCC6ECFC3EF08A9</vt:lpwstr>
  </property>
</Properties>
</file>