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C30927">
        <w:rPr>
          <w:b/>
          <w:sz w:val="28"/>
          <w:szCs w:val="28"/>
          <w:lang w:val="it-IT"/>
        </w:rPr>
        <w:t>0189</w:t>
      </w:r>
      <w:r w:rsidRPr="00631E8B">
        <w:rPr>
          <w:b/>
          <w:sz w:val="28"/>
          <w:szCs w:val="28"/>
          <w:lang w:val="it-IT"/>
        </w:rPr>
        <w:t>/MRA/</w:t>
      </w:r>
      <w:r w:rsidR="00BB3589">
        <w:rPr>
          <w:b/>
          <w:sz w:val="28"/>
          <w:szCs w:val="28"/>
          <w:lang w:val="it-IT"/>
        </w:rPr>
        <w:t>IT/2012/00005 AUT</w:t>
      </w:r>
    </w:p>
    <w:p w:rsidR="00B66405" w:rsidRPr="007707AC" w:rsidRDefault="00B66405" w:rsidP="00B66405">
      <w:pPr>
        <w:jc w:val="center"/>
        <w:rPr>
          <w:sz w:val="28"/>
          <w:szCs w:val="28"/>
          <w:lang w:val="ro-RO"/>
        </w:rPr>
      </w:pPr>
    </w:p>
    <w:p w:rsidR="00B66405" w:rsidRDefault="00B66405" w:rsidP="00C30927">
      <w:pPr>
        <w:pStyle w:val="Default"/>
        <w:ind w:right="49" w:firstLine="567"/>
        <w:jc w:val="both"/>
        <w:rPr>
          <w:rFonts w:ascii="Times New Roman" w:hAnsi="Times New Roman" w:cs="Times New Roman"/>
          <w:lang w:val="ro-RO"/>
        </w:rPr>
      </w:pPr>
      <w:r w:rsidRPr="00C30927">
        <w:rPr>
          <w:rFonts w:ascii="Times New Roman" w:hAnsi="Times New Roman" w:cs="Times New Roman"/>
          <w:lang w:val="ro-RO"/>
        </w:rPr>
        <w:t xml:space="preserve">In conformitate cu prevederilor </w:t>
      </w:r>
      <w:r w:rsidRPr="00C30927">
        <w:rPr>
          <w:rFonts w:ascii="Times New Roman" w:hAnsi="Times New Roman" w:cs="Times New Roman"/>
          <w:bCs/>
          <w:lang w:val="ro-RO"/>
        </w:rPr>
        <w:t>REGULAMENTULUI (UE) NR. 528/2012 al Parlamentului European si al Consiliului privind punerea la dispoziție pe piață și utilizarea produselor biocide</w:t>
      </w:r>
      <w:r w:rsidRPr="00C30927">
        <w:rPr>
          <w:rFonts w:ascii="Times New Roman" w:hAnsi="Times New Roman" w:cs="Times New Roman"/>
          <w:b/>
          <w:bCs/>
          <w:lang w:val="ro-RO"/>
        </w:rPr>
        <w:t xml:space="preserve"> </w:t>
      </w:r>
      <w:r w:rsidRPr="00C30927">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C30927">
        <w:rPr>
          <w:rFonts w:ascii="Times New Roman" w:hAnsi="Times New Roman" w:cs="Times New Roman"/>
          <w:lang w:val="ro-RO"/>
        </w:rPr>
        <w:t>e Biocide, în şedinţa din data</w:t>
      </w:r>
      <w:r w:rsidR="00C15379" w:rsidRPr="00C30927">
        <w:rPr>
          <w:rFonts w:ascii="Times New Roman" w:hAnsi="Times New Roman" w:cs="Times New Roman"/>
          <w:lang w:val="ro-RO"/>
        </w:rPr>
        <w:t xml:space="preserve"> </w:t>
      </w:r>
      <w:r w:rsidR="00160E50" w:rsidRPr="00C30927">
        <w:rPr>
          <w:rFonts w:ascii="Times New Roman" w:hAnsi="Times New Roman" w:cs="Times New Roman"/>
          <w:color w:val="auto"/>
          <w:lang w:val="ro-RO"/>
        </w:rPr>
        <w:t>28.06</w:t>
      </w:r>
      <w:r w:rsidR="00A56AB3" w:rsidRPr="00C30927">
        <w:rPr>
          <w:rFonts w:ascii="Times New Roman" w:hAnsi="Times New Roman" w:cs="Times New Roman"/>
          <w:color w:val="auto"/>
          <w:lang w:val="ro-RO"/>
        </w:rPr>
        <w:t>.2019</w:t>
      </w:r>
      <w:r w:rsidRPr="00C30927">
        <w:rPr>
          <w:rFonts w:ascii="Times New Roman" w:hAnsi="Times New Roman" w:cs="Times New Roman"/>
          <w:color w:val="auto"/>
          <w:lang w:val="ro-RO"/>
        </w:rPr>
        <w:t xml:space="preserve">, </w:t>
      </w:r>
      <w:r w:rsidRPr="00C30927">
        <w:rPr>
          <w:rFonts w:ascii="Times New Roman" w:hAnsi="Times New Roman" w:cs="Times New Roman"/>
          <w:lang w:val="ro-RO"/>
        </w:rPr>
        <w:t>a decis că produsul biocid poate fi plasat pe piaţă în România, conform prevederilor legale în vigoare.</w:t>
      </w:r>
    </w:p>
    <w:p w:rsidR="00C30927" w:rsidRPr="00C30927" w:rsidRDefault="00C30927" w:rsidP="00C30927">
      <w:pPr>
        <w:pStyle w:val="Default"/>
        <w:ind w:right="49" w:firstLine="567"/>
        <w:jc w:val="both"/>
        <w:rPr>
          <w:rFonts w:ascii="Times New Roman" w:hAnsi="Times New Roman" w:cs="Times New Roman"/>
          <w:lang w:val="ro-RO"/>
        </w:rPr>
      </w:pPr>
    </w:p>
    <w:p w:rsidR="00B66405" w:rsidRPr="00C30927" w:rsidRDefault="00B66405" w:rsidP="00C30927">
      <w:pPr>
        <w:rPr>
          <w:b/>
          <w:lang w:val="ro-RO"/>
        </w:rPr>
      </w:pPr>
      <w:r w:rsidRPr="00C30927">
        <w:rPr>
          <w:b/>
          <w:lang w:val="ro-RO"/>
        </w:rPr>
        <w:t>I. TIPUL AUTORIZA</w:t>
      </w:r>
      <w:r w:rsidR="002D65DA" w:rsidRPr="00C30927">
        <w:rPr>
          <w:b/>
          <w:lang w:val="ro-RO"/>
        </w:rPr>
        <w:t>T</w:t>
      </w:r>
      <w:r w:rsidRPr="00C30927">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7F5394">
        <w:tc>
          <w:tcPr>
            <w:tcW w:w="9923" w:type="dxa"/>
          </w:tcPr>
          <w:p w:rsidR="00B66405" w:rsidRPr="00C30927" w:rsidRDefault="00B66405" w:rsidP="00C30927">
            <w:pPr>
              <w:rPr>
                <w:bCs/>
                <w:lang w:val="ro-RO"/>
              </w:rPr>
            </w:pPr>
            <w:r w:rsidRPr="00C30927">
              <w:rPr>
                <w:b/>
                <w:i/>
                <w:lang w:val="ro-RO"/>
              </w:rPr>
              <w:t>autorizaţia prin recunoaşterea reciprocă succesiva</w:t>
            </w:r>
            <w:r w:rsidRPr="00C30927">
              <w:rPr>
                <w:lang w:val="ro-RO"/>
              </w:rPr>
              <w:t xml:space="preserve"> eliberată în conformitate cu prevederile art. 33 din </w:t>
            </w:r>
            <w:r w:rsidRPr="00C30927">
              <w:rPr>
                <w:bCs/>
                <w:lang w:val="ro-RO"/>
              </w:rPr>
              <w:t>Regulamentul (UE) nr. 528/2012;</w:t>
            </w:r>
          </w:p>
          <w:p w:rsidR="00DA7192" w:rsidRPr="00C30927" w:rsidRDefault="002D65DA" w:rsidP="00C30927">
            <w:pPr>
              <w:numPr>
                <w:ilvl w:val="0"/>
                <w:numId w:val="1"/>
              </w:numPr>
              <w:rPr>
                <w:bCs/>
                <w:lang w:val="ro-RO"/>
              </w:rPr>
            </w:pPr>
            <w:r w:rsidRPr="00C30927">
              <w:rPr>
                <w:lang w:val="ro-RO"/>
              </w:rPr>
              <w:t>Statul membru al Uniunii Europene emitent :</w:t>
            </w:r>
            <w:r w:rsidR="00DA7192" w:rsidRPr="00C30927">
              <w:rPr>
                <w:bCs/>
                <w:lang w:val="pt-BR"/>
              </w:rPr>
              <w:t xml:space="preserve"> </w:t>
            </w:r>
            <w:r w:rsidR="00BB3589" w:rsidRPr="00C30927">
              <w:rPr>
                <w:bCs/>
                <w:lang w:val="pt-BR"/>
              </w:rPr>
              <w:t>ITALIA</w:t>
            </w:r>
          </w:p>
          <w:p w:rsidR="00B66405" w:rsidRPr="00C30927" w:rsidRDefault="002D65DA" w:rsidP="00C30927">
            <w:pPr>
              <w:pStyle w:val="ListParagraph"/>
              <w:numPr>
                <w:ilvl w:val="0"/>
                <w:numId w:val="1"/>
              </w:numPr>
              <w:rPr>
                <w:b/>
                <w:lang w:val="pt-BR"/>
              </w:rPr>
            </w:pPr>
            <w:r w:rsidRPr="00C30927">
              <w:rPr>
                <w:lang w:val="ro-RO"/>
              </w:rPr>
              <w:t xml:space="preserve">Nr. Autorizației din statul membru emitent </w:t>
            </w:r>
            <w:r w:rsidR="00DA7192" w:rsidRPr="00C30927">
              <w:rPr>
                <w:lang w:val="ro-RO"/>
              </w:rPr>
              <w:t xml:space="preserve">Nr. </w:t>
            </w:r>
            <w:r w:rsidR="00DA7192" w:rsidRPr="00C30927">
              <w:rPr>
                <w:b/>
                <w:lang w:val="pt-BR"/>
              </w:rPr>
              <w:t>:</w:t>
            </w:r>
            <w:r w:rsidR="009B471E" w:rsidRPr="00C30927">
              <w:rPr>
                <w:b/>
                <w:lang w:val="pt-BR"/>
              </w:rPr>
              <w:t xml:space="preserve"> </w:t>
            </w:r>
            <w:r w:rsidR="00BB3589" w:rsidRPr="00C30927">
              <w:rPr>
                <w:b/>
                <w:lang w:val="it-IT"/>
              </w:rPr>
              <w:t>IT/2012/00005 AUT</w:t>
            </w:r>
          </w:p>
        </w:tc>
      </w:tr>
    </w:tbl>
    <w:p w:rsidR="00B66405" w:rsidRPr="00C30927" w:rsidRDefault="00B66405" w:rsidP="00C30927">
      <w:pPr>
        <w:rPr>
          <w:b/>
          <w:color w:val="000000"/>
          <w:lang w:val="ro-RO"/>
        </w:rPr>
      </w:pPr>
      <w:r w:rsidRPr="00C30927">
        <w:rPr>
          <w:b/>
          <w:color w:val="000000"/>
          <w:lang w:val="ro-RO"/>
        </w:rPr>
        <w:t>I</w:t>
      </w:r>
      <w:r w:rsidR="002D65DA" w:rsidRPr="00C30927">
        <w:rPr>
          <w:b/>
          <w:color w:val="000000"/>
          <w:lang w:val="ro-RO"/>
        </w:rPr>
        <w:t>I. Data emiterii autorizat</w:t>
      </w:r>
      <w:r w:rsidRPr="00C30927">
        <w:rPr>
          <w:b/>
          <w:color w:val="000000"/>
          <w:lang w:val="ro-RO"/>
        </w:rPr>
        <w:t>iei</w:t>
      </w:r>
      <w:r w:rsidR="00C43A97" w:rsidRPr="00C30927">
        <w:rPr>
          <w:b/>
          <w:color w:val="000000"/>
          <w:lang w:val="ro-RO"/>
        </w:rPr>
        <w:t xml:space="preserve">: </w:t>
      </w:r>
      <w:r w:rsidR="00C30927" w:rsidRPr="00C30927">
        <w:rPr>
          <w:b/>
          <w:color w:val="000000"/>
          <w:lang w:val="ro-RO"/>
        </w:rPr>
        <w:t>28.06.2019</w:t>
      </w:r>
    </w:p>
    <w:p w:rsidR="00B66405" w:rsidRDefault="00B66405" w:rsidP="00C30927">
      <w:pPr>
        <w:rPr>
          <w:b/>
          <w:color w:val="000000"/>
          <w:lang w:val="ro-RO"/>
        </w:rPr>
      </w:pPr>
      <w:r w:rsidRPr="00C30927">
        <w:rPr>
          <w:b/>
          <w:color w:val="000000"/>
          <w:lang w:val="ro-RO"/>
        </w:rPr>
        <w:t>III. Data expirării autoriza</w:t>
      </w:r>
      <w:r w:rsidR="00DA7192" w:rsidRPr="00C30927">
        <w:rPr>
          <w:b/>
          <w:color w:val="000000"/>
          <w:lang w:val="ro-RO"/>
        </w:rPr>
        <w:t>t</w:t>
      </w:r>
      <w:r w:rsidR="00C22081" w:rsidRPr="00C30927">
        <w:rPr>
          <w:b/>
          <w:color w:val="000000"/>
          <w:lang w:val="ro-RO"/>
        </w:rPr>
        <w:t xml:space="preserve">ie: </w:t>
      </w:r>
      <w:r w:rsidR="00BB3589" w:rsidRPr="00C30927">
        <w:rPr>
          <w:b/>
          <w:color w:val="000000"/>
          <w:lang w:val="ro-RO"/>
        </w:rPr>
        <w:t>31.12.2022</w:t>
      </w:r>
    </w:p>
    <w:p w:rsidR="00C30927" w:rsidRPr="00C30927" w:rsidRDefault="00C30927" w:rsidP="00C30927">
      <w:pPr>
        <w:rPr>
          <w:b/>
          <w:color w:val="000000"/>
          <w:lang w:val="ro-RO"/>
        </w:rPr>
      </w:pPr>
    </w:p>
    <w:p w:rsidR="00B66405" w:rsidRPr="00C30927" w:rsidRDefault="00B66405" w:rsidP="00C30927">
      <w:pPr>
        <w:pStyle w:val="NoSpacing"/>
        <w:rPr>
          <w:b/>
          <w:color w:val="FF0000"/>
          <w:lang w:val="ro-RO"/>
        </w:rPr>
      </w:pPr>
      <w:r w:rsidRPr="00C30927">
        <w:rPr>
          <w:b/>
          <w:lang w:val="ro-RO"/>
        </w:rPr>
        <w:t>IV</w:t>
      </w:r>
      <w:r w:rsidRPr="00C30927">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7F5394">
        <w:tc>
          <w:tcPr>
            <w:tcW w:w="9923" w:type="dxa"/>
          </w:tcPr>
          <w:p w:rsidR="00C37571" w:rsidRPr="00C30927" w:rsidRDefault="00385365" w:rsidP="00C30927">
            <w:pPr>
              <w:pStyle w:val="NoSpacing"/>
              <w:rPr>
                <w:b/>
                <w:lang w:val="it-IT"/>
              </w:rPr>
            </w:pPr>
            <w:r w:rsidRPr="00C30927">
              <w:rPr>
                <w:b/>
                <w:lang w:val="ro-RO"/>
              </w:rPr>
              <w:t>DENUMIREA COMERCIALĂ A PRODUSULUI BIOCID</w:t>
            </w:r>
            <w:r w:rsidRPr="00C30927">
              <w:rPr>
                <w:b/>
                <w:lang w:val="it-IT"/>
              </w:rPr>
              <w:t xml:space="preserve"> : </w:t>
            </w:r>
            <w:r w:rsidR="00BC43F9" w:rsidRPr="00C30927">
              <w:rPr>
                <w:b/>
                <w:lang w:val="it-IT"/>
              </w:rPr>
              <w:t xml:space="preserve">MURIBROM </w:t>
            </w:r>
            <w:r w:rsidR="000A2270" w:rsidRPr="00C30927">
              <w:rPr>
                <w:b/>
                <w:lang w:val="it-IT"/>
              </w:rPr>
              <w:t xml:space="preserve"> </w:t>
            </w:r>
            <w:r w:rsidR="00BB3589" w:rsidRPr="00C30927">
              <w:rPr>
                <w:b/>
                <w:lang w:val="it-IT"/>
              </w:rPr>
              <w:t xml:space="preserve">DIFENACOUM </w:t>
            </w:r>
            <w:r w:rsidR="00BF55F1" w:rsidRPr="00C30927">
              <w:rPr>
                <w:b/>
                <w:lang w:val="it-IT"/>
              </w:rPr>
              <w:t xml:space="preserve"> </w:t>
            </w:r>
            <w:r w:rsidR="00350A1C" w:rsidRPr="00C30927">
              <w:rPr>
                <w:b/>
                <w:lang w:val="it-IT"/>
              </w:rPr>
              <w:t xml:space="preserve">FRESH </w:t>
            </w:r>
            <w:r w:rsidR="00BB3589" w:rsidRPr="00C30927">
              <w:rPr>
                <w:b/>
                <w:lang w:val="it-IT"/>
              </w:rPr>
              <w:t xml:space="preserve"> </w:t>
            </w:r>
            <w:r w:rsidR="00350A1C" w:rsidRPr="00C30927">
              <w:rPr>
                <w:b/>
                <w:lang w:val="it-IT"/>
              </w:rPr>
              <w:t xml:space="preserve">BAIT </w:t>
            </w:r>
          </w:p>
        </w:tc>
      </w:tr>
    </w:tbl>
    <w:p w:rsidR="00C30927" w:rsidRDefault="00C30927" w:rsidP="00C30927">
      <w:pPr>
        <w:pStyle w:val="Default"/>
        <w:rPr>
          <w:rFonts w:ascii="Times New Roman" w:hAnsi="Times New Roman" w:cs="Times New Roman"/>
          <w:b/>
          <w:lang w:val="ro-RO"/>
        </w:rPr>
      </w:pPr>
    </w:p>
    <w:p w:rsidR="00B66405" w:rsidRPr="00C30927" w:rsidRDefault="00B66405" w:rsidP="00C30927">
      <w:pPr>
        <w:pStyle w:val="Default"/>
        <w:rPr>
          <w:rFonts w:ascii="Times New Roman" w:hAnsi="Times New Roman" w:cs="Times New Roman"/>
          <w:b/>
          <w:lang w:val="ro-RO"/>
        </w:rPr>
      </w:pPr>
      <w:r w:rsidRPr="00C30927">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8D09E1">
        <w:trPr>
          <w:trHeight w:val="327"/>
        </w:trPr>
        <w:tc>
          <w:tcPr>
            <w:tcW w:w="9923" w:type="dxa"/>
          </w:tcPr>
          <w:p w:rsidR="00FB3760" w:rsidRPr="00C30927" w:rsidRDefault="00B66405" w:rsidP="00C30927">
            <w:pPr>
              <w:rPr>
                <w:b/>
                <w:lang w:val="ro-RO"/>
              </w:rPr>
            </w:pPr>
            <w:r w:rsidRPr="00C30927">
              <w:rPr>
                <w:b/>
                <w:lang w:val="ro-RO"/>
              </w:rPr>
              <w:t>NUMELE TITULARULUI AUTORIZA</w:t>
            </w:r>
            <w:r w:rsidR="002D65DA" w:rsidRPr="00C30927">
              <w:rPr>
                <w:b/>
                <w:lang w:val="ro-RO"/>
              </w:rPr>
              <w:t>T</w:t>
            </w:r>
            <w:r w:rsidRPr="00C30927">
              <w:rPr>
                <w:b/>
                <w:lang w:val="ro-RO"/>
              </w:rPr>
              <w:t>IEI</w:t>
            </w:r>
            <w:r w:rsidRPr="00C30927">
              <w:rPr>
                <w:lang w:val="ro-RO"/>
              </w:rPr>
              <w:t xml:space="preserve"> </w:t>
            </w:r>
            <w:r w:rsidR="00CE732B" w:rsidRPr="00C30927">
              <w:rPr>
                <w:lang w:val="ro-RO"/>
              </w:rPr>
              <w:t xml:space="preserve">: </w:t>
            </w:r>
            <w:r w:rsidR="00A754FC" w:rsidRPr="00C30927">
              <w:rPr>
                <w:b/>
              </w:rPr>
              <w:t>QUIMICA DE MUNGUIA S.A.</w:t>
            </w:r>
          </w:p>
          <w:p w:rsidR="00A56AB3" w:rsidRPr="00C30927" w:rsidRDefault="007F5394" w:rsidP="00C30927">
            <w:pPr>
              <w:rPr>
                <w:bCs/>
                <w:lang w:val="it-IT"/>
              </w:rPr>
            </w:pPr>
            <w:r w:rsidRPr="00C30927">
              <w:rPr>
                <w:bCs/>
                <w:lang w:val="it-IT"/>
              </w:rPr>
              <w:t>C/ Derio Bidea 51, 48100 Munguía (Vizcaya), SPANIA</w:t>
            </w:r>
          </w:p>
        </w:tc>
      </w:tr>
    </w:tbl>
    <w:p w:rsidR="00B66405" w:rsidRPr="00C30927" w:rsidRDefault="00B66405" w:rsidP="00C3092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6A3624">
        <w:trPr>
          <w:trHeight w:val="323"/>
        </w:trPr>
        <w:tc>
          <w:tcPr>
            <w:tcW w:w="9923" w:type="dxa"/>
          </w:tcPr>
          <w:p w:rsidR="00C37571" w:rsidRPr="00C30927" w:rsidRDefault="00385365" w:rsidP="00C30927">
            <w:pPr>
              <w:rPr>
                <w:rFonts w:eastAsiaTheme="minorHAnsi"/>
                <w:b/>
                <w:bCs/>
                <w:lang w:val="it-IT"/>
              </w:rPr>
            </w:pPr>
            <w:r w:rsidRPr="00C30927">
              <w:rPr>
                <w:b/>
                <w:lang w:val="ro-RO"/>
              </w:rPr>
              <w:t>NUMELE TITULARULUI AUTORIZATIEI</w:t>
            </w:r>
            <w:r w:rsidRPr="00C30927">
              <w:rPr>
                <w:lang w:val="ro-RO"/>
              </w:rPr>
              <w:t xml:space="preserve"> recunoscută reciproc:</w:t>
            </w:r>
            <w:r w:rsidR="00834908" w:rsidRPr="00C30927">
              <w:rPr>
                <w:rFonts w:eastAsiaTheme="minorHAnsi"/>
              </w:rPr>
              <w:t xml:space="preserve"> </w:t>
            </w:r>
            <w:r w:rsidR="00C37571" w:rsidRPr="00C30927">
              <w:rPr>
                <w:rFonts w:eastAsiaTheme="minorHAnsi"/>
                <w:b/>
                <w:bCs/>
                <w:lang w:val="it-IT"/>
              </w:rPr>
              <w:t>Activa S.r.l.</w:t>
            </w:r>
          </w:p>
          <w:p w:rsidR="006A3624" w:rsidRPr="00C30927" w:rsidRDefault="00C37571" w:rsidP="00C30927">
            <w:pPr>
              <w:rPr>
                <w:rFonts w:eastAsiaTheme="minorHAnsi"/>
                <w:bCs/>
                <w:lang w:val="it-IT"/>
              </w:rPr>
            </w:pPr>
            <w:r w:rsidRPr="00C30927">
              <w:rPr>
                <w:rFonts w:eastAsiaTheme="minorHAnsi"/>
                <w:bCs/>
                <w:lang w:val="it-IT"/>
              </w:rPr>
              <w:t>Via Feltre, 32, 20132 – Milano, Italy</w:t>
            </w:r>
          </w:p>
        </w:tc>
      </w:tr>
    </w:tbl>
    <w:p w:rsidR="00B66405" w:rsidRPr="00C30927" w:rsidRDefault="00B66405" w:rsidP="00C3092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7F5394">
        <w:tc>
          <w:tcPr>
            <w:tcW w:w="9923" w:type="dxa"/>
          </w:tcPr>
          <w:p w:rsidR="001B19C6" w:rsidRPr="00C30927" w:rsidRDefault="00385365" w:rsidP="00C30927">
            <w:pPr>
              <w:rPr>
                <w:b/>
                <w:lang w:val="ro-RO"/>
              </w:rPr>
            </w:pPr>
            <w:r w:rsidRPr="00C30927">
              <w:rPr>
                <w:b/>
                <w:lang w:val="ro-RO"/>
              </w:rPr>
              <w:t>NUMELE FABRICANTULUI  PRODUSULUI BIOCID</w:t>
            </w:r>
            <w:r w:rsidRPr="00C30927">
              <w:rPr>
                <w:lang w:val="ro-RO"/>
              </w:rPr>
              <w:t xml:space="preserve"> : </w:t>
            </w:r>
            <w:r w:rsidR="001B19C6" w:rsidRPr="00C30927">
              <w:rPr>
                <w:b/>
              </w:rPr>
              <w:t>QUIMICA DE MUNGUIA S.A.</w:t>
            </w:r>
          </w:p>
          <w:p w:rsidR="00BB3589" w:rsidRPr="00C30927" w:rsidRDefault="001B19C6" w:rsidP="00C30927">
            <w:pPr>
              <w:rPr>
                <w:lang w:val="ro-RO"/>
              </w:rPr>
            </w:pPr>
            <w:r w:rsidRPr="00C30927">
              <w:rPr>
                <w:bCs/>
                <w:lang w:val="it-IT"/>
              </w:rPr>
              <w:t>C/ Derio Bidea 51, 48100 Munguía (Vizcaya), SPANIA</w:t>
            </w:r>
          </w:p>
        </w:tc>
      </w:tr>
    </w:tbl>
    <w:p w:rsidR="007A05A1" w:rsidRPr="00C30927" w:rsidRDefault="007A05A1" w:rsidP="00C30927">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7F5394">
        <w:tc>
          <w:tcPr>
            <w:tcW w:w="9923" w:type="dxa"/>
          </w:tcPr>
          <w:p w:rsidR="00BB3589" w:rsidRPr="00C30927" w:rsidRDefault="00385365" w:rsidP="00C30927">
            <w:pPr>
              <w:rPr>
                <w:lang w:val="ro-RO"/>
              </w:rPr>
            </w:pPr>
            <w:r w:rsidRPr="00C30927">
              <w:rPr>
                <w:b/>
                <w:lang w:val="ro-RO"/>
              </w:rPr>
              <w:t>NUMELE FABRICANTULUI  SUBSTANTEI ACTIVE:</w:t>
            </w:r>
            <w:r w:rsidR="00EC4992" w:rsidRPr="00C30927">
              <w:rPr>
                <w:b/>
                <w:lang w:val="ro-RO"/>
              </w:rPr>
              <w:t xml:space="preserve"> </w:t>
            </w:r>
            <w:r w:rsidR="00BB3589" w:rsidRPr="00C30927">
              <w:rPr>
                <w:b/>
                <w:lang w:val="ro-RO"/>
              </w:rPr>
              <w:t>Activa S.r.l.,</w:t>
            </w:r>
            <w:r w:rsidR="00BB3589" w:rsidRPr="00C30927">
              <w:rPr>
                <w:lang w:val="ro-RO"/>
              </w:rPr>
              <w:t xml:space="preserve"> Via Feltre, 32 20123- Milano, Italy</w:t>
            </w:r>
          </w:p>
          <w:p w:rsidR="00DE1A54" w:rsidRPr="00C30927" w:rsidRDefault="00BB3589" w:rsidP="00C30927">
            <w:r w:rsidRPr="00C30927">
              <w:rPr>
                <w:lang w:val="ro-RO"/>
              </w:rPr>
              <w:t>Loc de productie : Dr</w:t>
            </w:r>
            <w:r w:rsidR="00350A1C" w:rsidRPr="00C30927">
              <w:rPr>
                <w:lang w:val="ro-RO"/>
              </w:rPr>
              <w:t>. Tezza s.r.l</w:t>
            </w:r>
            <w:r w:rsidRPr="00C30927">
              <w:t xml:space="preserve">. </w:t>
            </w:r>
            <w:r w:rsidR="00350A1C" w:rsidRPr="00C30927">
              <w:t>Via Tre Ponti 22, S. Maria di Zevio, 37050, Italy</w:t>
            </w:r>
          </w:p>
        </w:tc>
      </w:tr>
    </w:tbl>
    <w:p w:rsidR="00F20DAC" w:rsidRPr="00C30927" w:rsidRDefault="00F20DAC" w:rsidP="00C30927">
      <w:pPr>
        <w:pStyle w:val="Default"/>
        <w:rPr>
          <w:rFonts w:ascii="Times New Roman" w:hAnsi="Times New Roman" w:cs="Times New Roman"/>
          <w:lang w:val="ro-RO"/>
        </w:rPr>
      </w:pPr>
    </w:p>
    <w:p w:rsidR="003B38F7" w:rsidRPr="00C30927" w:rsidRDefault="003B38F7" w:rsidP="00C30927">
      <w:pPr>
        <w:pStyle w:val="NoSpacing"/>
        <w:rPr>
          <w:b/>
          <w:lang w:val="ro-RO"/>
        </w:rPr>
      </w:pPr>
      <w:r w:rsidRPr="00C30927">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C30927" w:rsidTr="007F5394">
        <w:tc>
          <w:tcPr>
            <w:tcW w:w="9923" w:type="dxa"/>
          </w:tcPr>
          <w:p w:rsidR="003B38F7" w:rsidRPr="00C30927" w:rsidRDefault="003B38F7" w:rsidP="00C30927">
            <w:pPr>
              <w:pStyle w:val="NoSpacing"/>
              <w:rPr>
                <w:lang w:val="ro-RO"/>
              </w:rPr>
            </w:pPr>
            <w:r w:rsidRPr="00C30927">
              <w:rPr>
                <w:b/>
                <w:lang w:val="ro-RO"/>
              </w:rPr>
              <w:t>TIPUL DE PRODUS</w:t>
            </w:r>
            <w:r w:rsidRPr="00C30927">
              <w:rPr>
                <w:lang w:val="ro-RO"/>
              </w:rPr>
              <w:t> </w:t>
            </w:r>
            <w:r w:rsidRPr="00C30927">
              <w:rPr>
                <w:lang w:val="fr-FR"/>
              </w:rPr>
              <w:t>:</w:t>
            </w:r>
            <w:r w:rsidR="00DC79DE" w:rsidRPr="00C30927">
              <w:t xml:space="preserve"> </w:t>
            </w:r>
            <w:r w:rsidRPr="00C30927">
              <w:t>TP 14 Rodenticide</w:t>
            </w:r>
          </w:p>
        </w:tc>
      </w:tr>
    </w:tbl>
    <w:p w:rsidR="00FF3D0E" w:rsidRPr="00C30927" w:rsidRDefault="00FF3D0E" w:rsidP="00C30927">
      <w:pPr>
        <w:pStyle w:val="Default"/>
        <w:rPr>
          <w:rFonts w:ascii="Times New Roman" w:hAnsi="Times New Roman" w:cs="Times New Roman"/>
          <w:b/>
          <w:lang w:val="ro-RO"/>
        </w:rPr>
      </w:pPr>
    </w:p>
    <w:p w:rsidR="00B66405" w:rsidRPr="00C30927" w:rsidRDefault="00AB2496" w:rsidP="00C30927">
      <w:pPr>
        <w:pStyle w:val="Default"/>
        <w:rPr>
          <w:rFonts w:ascii="Times New Roman" w:hAnsi="Times New Roman" w:cs="Times New Roman"/>
          <w:b/>
          <w:lang w:val="ro-RO"/>
        </w:rPr>
      </w:pPr>
      <w:r w:rsidRPr="00C30927">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7F5394">
        <w:tc>
          <w:tcPr>
            <w:tcW w:w="9923" w:type="dxa"/>
          </w:tcPr>
          <w:p w:rsidR="007F5394" w:rsidRPr="00C30927" w:rsidRDefault="00467F1E" w:rsidP="00C30927">
            <w:pPr>
              <w:rPr>
                <w:rFonts w:eastAsiaTheme="minorHAnsi"/>
                <w:lang w:val="ro-RO"/>
              </w:rPr>
            </w:pPr>
            <w:r w:rsidRPr="00C30927">
              <w:rPr>
                <w:b/>
                <w:lang w:val="ro-RO"/>
              </w:rPr>
              <w:t>CATEGORIILE DE UTILIZATORI</w:t>
            </w:r>
            <w:r w:rsidRPr="00C30927">
              <w:rPr>
                <w:lang w:val="ro-RO"/>
              </w:rPr>
              <w:t xml:space="preserve"> </w:t>
            </w:r>
            <w:r w:rsidR="00AF0C71" w:rsidRPr="00C30927">
              <w:rPr>
                <w:lang w:val="ro-RO"/>
              </w:rPr>
              <w:t>:</w:t>
            </w:r>
            <w:r w:rsidR="005B7030" w:rsidRPr="00C30927">
              <w:rPr>
                <w:rFonts w:eastAsiaTheme="minorHAnsi"/>
              </w:rPr>
              <w:t xml:space="preserve"> </w:t>
            </w:r>
            <w:bookmarkStart w:id="0" w:name="_Hlk2170711"/>
            <w:r w:rsidR="007F5394" w:rsidRPr="00C30927">
              <w:rPr>
                <w:rFonts w:eastAsiaTheme="minorHAnsi"/>
                <w:lang w:val="ro-RO"/>
              </w:rPr>
              <w:t>Profesioniști</w:t>
            </w:r>
          </w:p>
          <w:p w:rsidR="00B66405" w:rsidRPr="00C30927" w:rsidRDefault="007F5394" w:rsidP="00C30927">
            <w:pPr>
              <w:rPr>
                <w:rFonts w:eastAsiaTheme="minorHAnsi"/>
                <w:lang w:val="ro-RO"/>
              </w:rPr>
            </w:pPr>
            <w:r w:rsidRPr="00C30927">
              <w:rPr>
                <w:rFonts w:eastAsiaTheme="minorHAnsi"/>
                <w:lang w:val="ro-RO"/>
              </w:rPr>
              <w:t>Profesioniști</w:t>
            </w:r>
            <w:bookmarkEnd w:id="0"/>
            <w:r w:rsidRPr="00C30927">
              <w:rPr>
                <w:rFonts w:eastAsiaTheme="minorHAnsi"/>
                <w:lang w:val="ro-RO"/>
              </w:rPr>
              <w:t xml:space="preserve"> Instruiți</w:t>
            </w:r>
          </w:p>
        </w:tc>
      </w:tr>
    </w:tbl>
    <w:p w:rsidR="00350A1C" w:rsidRPr="00C30927" w:rsidRDefault="00350A1C" w:rsidP="00C30927">
      <w:pPr>
        <w:pStyle w:val="Default"/>
        <w:rPr>
          <w:rFonts w:ascii="Times New Roman" w:hAnsi="Times New Roman" w:cs="Times New Roman"/>
          <w:b/>
          <w:lang w:val="ro-RO"/>
        </w:rPr>
      </w:pPr>
    </w:p>
    <w:p w:rsidR="00B66405" w:rsidRPr="00C30927" w:rsidRDefault="00AB2496" w:rsidP="00C30927">
      <w:pPr>
        <w:pStyle w:val="Default"/>
        <w:rPr>
          <w:rFonts w:ascii="Times New Roman" w:hAnsi="Times New Roman" w:cs="Times New Roman"/>
          <w:b/>
          <w:lang w:val="ro-RO"/>
        </w:rPr>
      </w:pPr>
      <w:r w:rsidRPr="00C30927">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AB2496">
        <w:trPr>
          <w:trHeight w:val="188"/>
        </w:trPr>
        <w:tc>
          <w:tcPr>
            <w:tcW w:w="9923" w:type="dxa"/>
          </w:tcPr>
          <w:p w:rsidR="00D27580" w:rsidRPr="00C30927" w:rsidRDefault="00467F1E" w:rsidP="00C30927">
            <w:pPr>
              <w:pStyle w:val="NoSpacing"/>
              <w:rPr>
                <w:lang w:val="it-IT"/>
              </w:rPr>
            </w:pPr>
            <w:r w:rsidRPr="00C30927">
              <w:rPr>
                <w:b/>
                <w:lang w:val="ro-RO"/>
              </w:rPr>
              <w:t>TIPUL PREPARATULUI</w:t>
            </w:r>
            <w:r w:rsidR="00816917" w:rsidRPr="00C30927">
              <w:rPr>
                <w:b/>
                <w:lang w:val="ro-RO"/>
              </w:rPr>
              <w:t>:</w:t>
            </w:r>
            <w:r w:rsidR="00816917" w:rsidRPr="00C30927">
              <w:rPr>
                <w:lang w:val="it-IT"/>
              </w:rPr>
              <w:t xml:space="preserve"> </w:t>
            </w:r>
            <w:r w:rsidR="007F5394" w:rsidRPr="00C30927">
              <w:rPr>
                <w:lang w:val="ro-RO"/>
              </w:rPr>
              <w:t xml:space="preserve">Momeala rodenticida sub forma de pasta proaspata </w:t>
            </w:r>
          </w:p>
        </w:tc>
      </w:tr>
    </w:tbl>
    <w:p w:rsidR="00FF3D0E" w:rsidRPr="00C30927" w:rsidRDefault="00FF3D0E" w:rsidP="00C30927">
      <w:pPr>
        <w:pStyle w:val="NoSpacing"/>
        <w:rPr>
          <w:b/>
          <w:lang w:val="ro-RO"/>
        </w:rPr>
      </w:pPr>
    </w:p>
    <w:p w:rsidR="00B66405" w:rsidRPr="00C30927" w:rsidRDefault="00B66405" w:rsidP="00C30927">
      <w:pPr>
        <w:pStyle w:val="NoSpacing"/>
        <w:rPr>
          <w:b/>
          <w:lang w:val="ro-RO"/>
        </w:rPr>
      </w:pPr>
      <w:r w:rsidRPr="00C30927">
        <w:rPr>
          <w:b/>
          <w:lang w:val="ro-RO"/>
        </w:rPr>
        <w:t>IX</w:t>
      </w:r>
      <w:r w:rsidR="00203F73" w:rsidRPr="00C30927">
        <w:rPr>
          <w:b/>
          <w:lang w:val="ro-RO"/>
        </w:rPr>
        <w:t>.</w:t>
      </w:r>
      <w:r w:rsidRPr="00C30927">
        <w:rPr>
          <w:b/>
          <w:lang w:val="ro-RO"/>
        </w:rPr>
        <w:t xml:space="preserve"> </w:t>
      </w:r>
      <w:r w:rsidR="00774E2B" w:rsidRPr="00C30927">
        <w:rPr>
          <w:b/>
          <w:lang w:val="ro-RO"/>
        </w:rPr>
        <w:t xml:space="preserve">COMPOZITIA CALITATIVĂ </w:t>
      </w:r>
      <w:r w:rsidR="00C43A97" w:rsidRPr="00C30927">
        <w:rPr>
          <w:b/>
          <w:lang w:val="ro-RO"/>
        </w:rPr>
        <w:t xml:space="preserve">SI CANTITATIVĂ </w:t>
      </w:r>
    </w:p>
    <w:p w:rsidR="00B66405" w:rsidRPr="00C30927" w:rsidRDefault="00B66405" w:rsidP="00C30927">
      <w:pPr>
        <w:pStyle w:val="NoSpacing"/>
        <w:numPr>
          <w:ilvl w:val="0"/>
          <w:numId w:val="33"/>
        </w:numPr>
        <w:rPr>
          <w:b/>
          <w:i/>
          <w:lang w:val="ro-RO"/>
        </w:rPr>
      </w:pPr>
      <w:r w:rsidRPr="00C30927">
        <w:rPr>
          <w:b/>
          <w:lang w:val="ro-RO"/>
        </w:rPr>
        <w:t>Substan</w:t>
      </w:r>
      <w:r w:rsidR="00D27580" w:rsidRPr="00C30927">
        <w:rPr>
          <w:b/>
          <w:lang w:val="ro-RO"/>
        </w:rPr>
        <w:t>t</w:t>
      </w:r>
      <w:r w:rsidR="005D143E" w:rsidRPr="00C30927">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B960E3" w:rsidRPr="00C30927" w:rsidTr="00C709B7">
        <w:tc>
          <w:tcPr>
            <w:tcW w:w="2977" w:type="dxa"/>
            <w:shd w:val="clear" w:color="auto" w:fill="auto"/>
          </w:tcPr>
          <w:p w:rsidR="00B960E3" w:rsidRPr="00C30927" w:rsidRDefault="00B960E3" w:rsidP="00C30927">
            <w:pPr>
              <w:pStyle w:val="NoSpacing"/>
              <w:rPr>
                <w:lang w:val="ro-RO"/>
              </w:rPr>
            </w:pPr>
            <w:r w:rsidRPr="00C30927">
              <w:rPr>
                <w:lang w:val="ro-RO"/>
              </w:rPr>
              <w:t>Denumirea IUPAC</w:t>
            </w:r>
          </w:p>
        </w:tc>
        <w:tc>
          <w:tcPr>
            <w:tcW w:w="6946" w:type="dxa"/>
            <w:shd w:val="clear" w:color="auto" w:fill="auto"/>
          </w:tcPr>
          <w:p w:rsidR="00B960E3" w:rsidRPr="00C30927" w:rsidRDefault="00B960E3" w:rsidP="00C30927">
            <w:pPr>
              <w:pStyle w:val="NoSpacing"/>
              <w:rPr>
                <w:lang w:val="ro-RO"/>
              </w:rPr>
            </w:pPr>
            <w:r w:rsidRPr="00C30927">
              <w:rPr>
                <w:lang w:val="ro-RO"/>
              </w:rPr>
              <w:t>Difenacoum</w:t>
            </w:r>
          </w:p>
        </w:tc>
      </w:tr>
      <w:tr w:rsidR="00B960E3" w:rsidRPr="00C30927" w:rsidTr="00C709B7">
        <w:tc>
          <w:tcPr>
            <w:tcW w:w="2977" w:type="dxa"/>
            <w:shd w:val="clear" w:color="auto" w:fill="auto"/>
          </w:tcPr>
          <w:p w:rsidR="00B960E3" w:rsidRPr="00C30927" w:rsidRDefault="00B960E3" w:rsidP="00C30927">
            <w:pPr>
              <w:pStyle w:val="NoSpacing"/>
              <w:rPr>
                <w:lang w:val="ro-RO"/>
              </w:rPr>
            </w:pPr>
            <w:r w:rsidRPr="00C30927">
              <w:rPr>
                <w:lang w:val="ro-RO"/>
              </w:rPr>
              <w:t>Numar CAS</w:t>
            </w:r>
          </w:p>
        </w:tc>
        <w:tc>
          <w:tcPr>
            <w:tcW w:w="6946" w:type="dxa"/>
            <w:shd w:val="clear" w:color="auto" w:fill="auto"/>
          </w:tcPr>
          <w:p w:rsidR="00B960E3" w:rsidRPr="00C30927" w:rsidRDefault="00B960E3" w:rsidP="00C30927">
            <w:pPr>
              <w:pStyle w:val="NoSpacing"/>
              <w:rPr>
                <w:lang w:val="ro-RO"/>
              </w:rPr>
            </w:pPr>
            <w:r w:rsidRPr="00C30927">
              <w:rPr>
                <w:lang w:val="ro-RO"/>
              </w:rPr>
              <w:t>56073-07-5</w:t>
            </w:r>
          </w:p>
        </w:tc>
      </w:tr>
      <w:tr w:rsidR="00B960E3" w:rsidRPr="00C30927" w:rsidTr="00C709B7">
        <w:tc>
          <w:tcPr>
            <w:tcW w:w="2977" w:type="dxa"/>
            <w:shd w:val="clear" w:color="auto" w:fill="auto"/>
          </w:tcPr>
          <w:p w:rsidR="00B960E3" w:rsidRPr="00C30927" w:rsidRDefault="00B960E3" w:rsidP="00C30927">
            <w:pPr>
              <w:pStyle w:val="NoSpacing"/>
              <w:rPr>
                <w:lang w:val="ro-RO"/>
              </w:rPr>
            </w:pPr>
            <w:r w:rsidRPr="00C30927">
              <w:rPr>
                <w:lang w:val="ro-RO"/>
              </w:rPr>
              <w:t>Numar CE</w:t>
            </w:r>
          </w:p>
        </w:tc>
        <w:tc>
          <w:tcPr>
            <w:tcW w:w="6946" w:type="dxa"/>
            <w:shd w:val="clear" w:color="auto" w:fill="auto"/>
          </w:tcPr>
          <w:p w:rsidR="00B960E3" w:rsidRPr="00C30927" w:rsidRDefault="00B960E3" w:rsidP="00C30927">
            <w:pPr>
              <w:pStyle w:val="NoSpacing"/>
              <w:rPr>
                <w:lang w:val="ro-RO"/>
              </w:rPr>
            </w:pPr>
            <w:r w:rsidRPr="00C30927">
              <w:rPr>
                <w:lang w:val="ro-RO"/>
              </w:rPr>
              <w:t>259-978-4</w:t>
            </w:r>
          </w:p>
        </w:tc>
      </w:tr>
      <w:tr w:rsidR="00B960E3" w:rsidRPr="00C30927" w:rsidTr="00C709B7">
        <w:tc>
          <w:tcPr>
            <w:tcW w:w="2977" w:type="dxa"/>
            <w:shd w:val="clear" w:color="auto" w:fill="auto"/>
          </w:tcPr>
          <w:p w:rsidR="00B960E3" w:rsidRPr="00C30927" w:rsidRDefault="00B960E3" w:rsidP="00C30927">
            <w:pPr>
              <w:pStyle w:val="NoSpacing"/>
              <w:rPr>
                <w:lang w:val="ro-RO"/>
              </w:rPr>
            </w:pPr>
            <w:r w:rsidRPr="00C30927">
              <w:rPr>
                <w:lang w:val="ro-RO"/>
              </w:rPr>
              <w:t>Continut de substantă activă</w:t>
            </w:r>
          </w:p>
        </w:tc>
        <w:tc>
          <w:tcPr>
            <w:tcW w:w="6946" w:type="dxa"/>
            <w:shd w:val="clear" w:color="auto" w:fill="auto"/>
          </w:tcPr>
          <w:p w:rsidR="00B960E3" w:rsidRPr="00C30927" w:rsidRDefault="00B960E3" w:rsidP="00C30927">
            <w:pPr>
              <w:pStyle w:val="NoSpacing"/>
              <w:rPr>
                <w:lang w:val="ro-RO"/>
              </w:rPr>
            </w:pPr>
            <w:r w:rsidRPr="00C30927">
              <w:rPr>
                <w:lang w:val="ro-RO"/>
              </w:rPr>
              <w:t>0,005%</w:t>
            </w:r>
          </w:p>
        </w:tc>
      </w:tr>
    </w:tbl>
    <w:p w:rsidR="00DC0CDA" w:rsidRPr="00C30927" w:rsidRDefault="00DC0CDA" w:rsidP="00C30927">
      <w:pPr>
        <w:pStyle w:val="NoSpacing"/>
        <w:rPr>
          <w:lang w:val="ro-RO"/>
        </w:rPr>
      </w:pPr>
    </w:p>
    <w:p w:rsidR="00B66405" w:rsidRPr="00C30927" w:rsidRDefault="00B66405" w:rsidP="00C30927">
      <w:pPr>
        <w:pStyle w:val="ListParagraph"/>
        <w:numPr>
          <w:ilvl w:val="0"/>
          <w:numId w:val="33"/>
        </w:numPr>
        <w:rPr>
          <w:b/>
          <w:lang w:val="ro-RO"/>
        </w:rPr>
      </w:pPr>
      <w:r w:rsidRPr="00C30927">
        <w:rPr>
          <w:b/>
          <w:lang w:val="ro-RO"/>
        </w:rPr>
        <w:t>Substan</w:t>
      </w:r>
      <w:r w:rsidR="003E25B6" w:rsidRPr="00C30927">
        <w:rPr>
          <w:b/>
          <w:lang w:val="ro-RO"/>
        </w:rPr>
        <w:t>t</w:t>
      </w:r>
      <w:r w:rsidRPr="00C30927">
        <w:rPr>
          <w:b/>
          <w:lang w:val="ro-RO"/>
        </w:rPr>
        <w:t>a inactivă/nonactivă</w:t>
      </w:r>
      <w:r w:rsidR="00385365" w:rsidRPr="00C30927">
        <w:rPr>
          <w:b/>
          <w:lang w:val="ro-RO"/>
        </w:rPr>
        <w:t xml:space="preserve"> – nu se specifica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B960E3" w:rsidRPr="00C30927" w:rsidTr="00C709B7">
        <w:tc>
          <w:tcPr>
            <w:tcW w:w="2977" w:type="dxa"/>
            <w:shd w:val="clear" w:color="auto" w:fill="auto"/>
          </w:tcPr>
          <w:p w:rsidR="00B960E3" w:rsidRPr="00C30927" w:rsidRDefault="00B960E3" w:rsidP="00C30927">
            <w:pPr>
              <w:pStyle w:val="NoSpacing"/>
              <w:rPr>
                <w:lang w:val="ro-RO"/>
              </w:rPr>
            </w:pPr>
            <w:r w:rsidRPr="00C30927">
              <w:rPr>
                <w:lang w:val="ro-RO"/>
              </w:rPr>
              <w:t>Denumirea IUPAC</w:t>
            </w:r>
          </w:p>
        </w:tc>
        <w:tc>
          <w:tcPr>
            <w:tcW w:w="6946" w:type="dxa"/>
            <w:shd w:val="clear" w:color="auto" w:fill="auto"/>
          </w:tcPr>
          <w:p w:rsidR="00B960E3" w:rsidRPr="00C30927" w:rsidRDefault="00B960E3" w:rsidP="00C30927">
            <w:pPr>
              <w:pStyle w:val="NoSpacing"/>
              <w:rPr>
                <w:lang w:val="ro-RO"/>
              </w:rPr>
            </w:pPr>
            <w:r w:rsidRPr="00C30927">
              <w:rPr>
                <w:lang w:val="ro-RO"/>
              </w:rPr>
              <w:t>2-Bromo-2-nitropropan-1,3-diol</w:t>
            </w:r>
          </w:p>
        </w:tc>
      </w:tr>
      <w:tr w:rsidR="00B960E3" w:rsidRPr="00C30927" w:rsidTr="00C709B7">
        <w:tc>
          <w:tcPr>
            <w:tcW w:w="2977" w:type="dxa"/>
            <w:shd w:val="clear" w:color="auto" w:fill="auto"/>
          </w:tcPr>
          <w:p w:rsidR="00B960E3" w:rsidRPr="00C30927" w:rsidRDefault="00B960E3" w:rsidP="00C30927">
            <w:pPr>
              <w:pStyle w:val="NoSpacing"/>
              <w:rPr>
                <w:lang w:val="ro-RO"/>
              </w:rPr>
            </w:pPr>
            <w:r w:rsidRPr="00C30927">
              <w:rPr>
                <w:lang w:val="ro-RO"/>
              </w:rPr>
              <w:t>Numar CAS</w:t>
            </w:r>
          </w:p>
        </w:tc>
        <w:tc>
          <w:tcPr>
            <w:tcW w:w="6946" w:type="dxa"/>
            <w:shd w:val="clear" w:color="auto" w:fill="auto"/>
          </w:tcPr>
          <w:p w:rsidR="00B960E3" w:rsidRPr="00C30927" w:rsidRDefault="00B960E3" w:rsidP="00C30927">
            <w:pPr>
              <w:pStyle w:val="NoSpacing"/>
              <w:rPr>
                <w:lang w:val="ro-RO"/>
              </w:rPr>
            </w:pPr>
            <w:r w:rsidRPr="00C30927">
              <w:rPr>
                <w:lang w:val="ro-RO"/>
              </w:rPr>
              <w:t>52-51-7</w:t>
            </w:r>
          </w:p>
        </w:tc>
      </w:tr>
      <w:tr w:rsidR="00B960E3" w:rsidRPr="00C30927" w:rsidTr="00C709B7">
        <w:tc>
          <w:tcPr>
            <w:tcW w:w="2977" w:type="dxa"/>
            <w:shd w:val="clear" w:color="auto" w:fill="auto"/>
          </w:tcPr>
          <w:p w:rsidR="00B960E3" w:rsidRPr="00C30927" w:rsidRDefault="00B960E3" w:rsidP="00C30927">
            <w:pPr>
              <w:pStyle w:val="NoSpacing"/>
              <w:rPr>
                <w:lang w:val="ro-RO"/>
              </w:rPr>
            </w:pPr>
            <w:r w:rsidRPr="00C30927">
              <w:rPr>
                <w:lang w:val="ro-RO"/>
              </w:rPr>
              <w:t>Numar CE</w:t>
            </w:r>
          </w:p>
        </w:tc>
        <w:tc>
          <w:tcPr>
            <w:tcW w:w="6946" w:type="dxa"/>
            <w:shd w:val="clear" w:color="auto" w:fill="auto"/>
          </w:tcPr>
          <w:p w:rsidR="00B960E3" w:rsidRPr="00C30927" w:rsidRDefault="00B960E3" w:rsidP="00C30927">
            <w:pPr>
              <w:pStyle w:val="NoSpacing"/>
              <w:rPr>
                <w:lang w:val="ro-RO"/>
              </w:rPr>
            </w:pPr>
            <w:r w:rsidRPr="00C30927">
              <w:rPr>
                <w:lang w:val="ro-RO"/>
              </w:rPr>
              <w:t>204-881-4</w:t>
            </w:r>
          </w:p>
        </w:tc>
      </w:tr>
      <w:tr w:rsidR="00B960E3" w:rsidRPr="00C30927" w:rsidTr="00C709B7">
        <w:tc>
          <w:tcPr>
            <w:tcW w:w="2977" w:type="dxa"/>
            <w:shd w:val="clear" w:color="auto" w:fill="auto"/>
          </w:tcPr>
          <w:p w:rsidR="00B960E3" w:rsidRPr="00C30927" w:rsidRDefault="00B960E3" w:rsidP="00C30927">
            <w:pPr>
              <w:pStyle w:val="NoSpacing"/>
              <w:rPr>
                <w:lang w:val="ro-RO"/>
              </w:rPr>
            </w:pPr>
            <w:r w:rsidRPr="00C30927">
              <w:rPr>
                <w:lang w:val="ro-RO"/>
              </w:rPr>
              <w:t>Continut de substantă activă</w:t>
            </w:r>
          </w:p>
        </w:tc>
        <w:tc>
          <w:tcPr>
            <w:tcW w:w="6946" w:type="dxa"/>
            <w:shd w:val="clear" w:color="auto" w:fill="auto"/>
          </w:tcPr>
          <w:p w:rsidR="00B960E3" w:rsidRPr="00C30927" w:rsidRDefault="00B960E3" w:rsidP="00C30927">
            <w:pPr>
              <w:pStyle w:val="NoSpacing"/>
              <w:rPr>
                <w:lang w:val="ro-RO"/>
              </w:rPr>
            </w:pPr>
            <w:r w:rsidRPr="00C30927">
              <w:rPr>
                <w:lang w:val="ro-RO"/>
              </w:rPr>
              <w:t>0,05%-0,10%</w:t>
            </w:r>
          </w:p>
        </w:tc>
      </w:tr>
    </w:tbl>
    <w:p w:rsidR="00B960E3" w:rsidRPr="00C30927" w:rsidRDefault="00B960E3" w:rsidP="00C30927">
      <w:pPr>
        <w:ind w:left="720"/>
        <w:rPr>
          <w:b/>
          <w:lang w:val="ro-RO"/>
        </w:rPr>
      </w:pPr>
    </w:p>
    <w:p w:rsidR="00B66405" w:rsidRPr="00C30927" w:rsidRDefault="00203F73" w:rsidP="00C30927">
      <w:pPr>
        <w:pStyle w:val="NoSpacing"/>
        <w:rPr>
          <w:b/>
          <w:lang w:val="ro-RO"/>
        </w:rPr>
      </w:pPr>
      <w:r w:rsidRPr="00C30927">
        <w:rPr>
          <w:b/>
          <w:lang w:val="ro-RO"/>
        </w:rPr>
        <w:t xml:space="preserve">X. </w:t>
      </w:r>
      <w:r w:rsidR="00B66405" w:rsidRPr="00C30927">
        <w:rPr>
          <w:b/>
          <w:lang w:val="ro-RO"/>
        </w:rPr>
        <w:t>CLASIFICAREA SI ETICHETAREA PRODUSULUI</w:t>
      </w:r>
    </w:p>
    <w:p w:rsidR="00B66405" w:rsidRPr="00C30927" w:rsidRDefault="00B66405" w:rsidP="00C30927">
      <w:pPr>
        <w:pStyle w:val="NoSpacing"/>
        <w:ind w:firstLine="360"/>
        <w:rPr>
          <w:b/>
          <w:lang w:val="ro-RO"/>
        </w:rPr>
      </w:pPr>
      <w:r w:rsidRPr="00C30927">
        <w:rPr>
          <w:b/>
          <w:lang w:val="ro-RO"/>
        </w:rPr>
        <w:t xml:space="preserve">Produs biocid cu substanţe active - </w:t>
      </w:r>
      <w:r w:rsidRPr="00C30927">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F4E7B" w:rsidRPr="00C30927" w:rsidTr="007F5394">
        <w:tc>
          <w:tcPr>
            <w:tcW w:w="3402" w:type="dxa"/>
          </w:tcPr>
          <w:p w:rsidR="004F4E7B" w:rsidRPr="00C30927" w:rsidRDefault="004F4E7B" w:rsidP="00C30927">
            <w:pPr>
              <w:pStyle w:val="NoSpacing"/>
              <w:rPr>
                <w:lang w:val="ro-RO"/>
              </w:rPr>
            </w:pPr>
            <w:r w:rsidRPr="00C30927">
              <w:rPr>
                <w:lang w:val="ro-RO"/>
              </w:rPr>
              <w:t xml:space="preserve">Simboluri </w:t>
            </w:r>
          </w:p>
        </w:tc>
        <w:tc>
          <w:tcPr>
            <w:tcW w:w="6521" w:type="dxa"/>
          </w:tcPr>
          <w:p w:rsidR="004F4E7B" w:rsidRPr="00E30214" w:rsidRDefault="00E30214" w:rsidP="00C30927">
            <w:pPr>
              <w:pStyle w:val="NoSpacing"/>
              <w:rPr>
                <w:lang w:val="ro-RO"/>
              </w:rPr>
            </w:pPr>
            <w:r w:rsidRPr="00E30214">
              <w:rPr>
                <w:lang w:val="ro-RO"/>
              </w:rPr>
              <w:t>-</w:t>
            </w:r>
          </w:p>
        </w:tc>
      </w:tr>
      <w:tr w:rsidR="004F4E7B" w:rsidRPr="00C30927" w:rsidTr="007F5394">
        <w:tc>
          <w:tcPr>
            <w:tcW w:w="3402" w:type="dxa"/>
          </w:tcPr>
          <w:p w:rsidR="004F4E7B" w:rsidRPr="00C30927" w:rsidRDefault="004F4E7B" w:rsidP="00C30927">
            <w:pPr>
              <w:pStyle w:val="NoSpacing"/>
              <w:rPr>
                <w:lang w:val="ro-RO"/>
              </w:rPr>
            </w:pPr>
            <w:r w:rsidRPr="00C30927">
              <w:rPr>
                <w:lang w:val="ro-RO"/>
              </w:rPr>
              <w:t>Fraze de pericol (H)</w:t>
            </w:r>
          </w:p>
        </w:tc>
        <w:tc>
          <w:tcPr>
            <w:tcW w:w="6521" w:type="dxa"/>
          </w:tcPr>
          <w:p w:rsidR="004F4E7B" w:rsidRPr="00E30214" w:rsidRDefault="00E30214" w:rsidP="00C30927">
            <w:pPr>
              <w:pStyle w:val="NoSpacing"/>
              <w:rPr>
                <w:lang w:val="ro-RO"/>
              </w:rPr>
            </w:pPr>
            <w:r w:rsidRPr="00E30214">
              <w:rPr>
                <w:lang w:val="ro-RO"/>
              </w:rPr>
              <w:t>-</w:t>
            </w:r>
          </w:p>
        </w:tc>
      </w:tr>
      <w:tr w:rsidR="004F4E7B" w:rsidRPr="00C30927" w:rsidTr="007F5394">
        <w:trPr>
          <w:trHeight w:val="267"/>
        </w:trPr>
        <w:tc>
          <w:tcPr>
            <w:tcW w:w="3402" w:type="dxa"/>
          </w:tcPr>
          <w:p w:rsidR="004F4E7B" w:rsidRPr="00C30927" w:rsidRDefault="004F4E7B" w:rsidP="00C30927">
            <w:pPr>
              <w:pStyle w:val="NoSpacing"/>
              <w:rPr>
                <w:lang w:val="ro-RO"/>
              </w:rPr>
            </w:pPr>
            <w:r w:rsidRPr="00C30927">
              <w:rPr>
                <w:lang w:val="ro-RO"/>
              </w:rPr>
              <w:t>Fraze de prudenta (P)</w:t>
            </w:r>
          </w:p>
        </w:tc>
        <w:tc>
          <w:tcPr>
            <w:tcW w:w="6521" w:type="dxa"/>
          </w:tcPr>
          <w:p w:rsidR="004F4E7B" w:rsidRPr="00C30927" w:rsidRDefault="00E17E3F" w:rsidP="00C30927">
            <w:pPr>
              <w:pStyle w:val="NoSpacing"/>
            </w:pPr>
            <w:r w:rsidRPr="00C30927">
              <w:t>P501- eliminate continutul/recipientul la un centru autorizat pentru colectarea deseurilor</w:t>
            </w:r>
          </w:p>
        </w:tc>
      </w:tr>
      <w:tr w:rsidR="004F4E7B" w:rsidRPr="00C30927" w:rsidTr="007F5394">
        <w:tc>
          <w:tcPr>
            <w:tcW w:w="3402" w:type="dxa"/>
          </w:tcPr>
          <w:p w:rsidR="004F4E7B" w:rsidRPr="00C30927" w:rsidRDefault="004F4E7B" w:rsidP="00C30927">
            <w:pPr>
              <w:pStyle w:val="NoSpacing"/>
              <w:rPr>
                <w:lang w:val="ro-RO"/>
              </w:rPr>
            </w:pPr>
            <w:r w:rsidRPr="00C30927">
              <w:rPr>
                <w:lang w:val="ro-RO"/>
              </w:rPr>
              <w:t>Pictograma(e)</w:t>
            </w:r>
          </w:p>
        </w:tc>
        <w:tc>
          <w:tcPr>
            <w:tcW w:w="6521" w:type="dxa"/>
          </w:tcPr>
          <w:p w:rsidR="004F4E7B" w:rsidRPr="00C30927" w:rsidRDefault="00E30214" w:rsidP="00C30927">
            <w:pPr>
              <w:pStyle w:val="NoSpacing"/>
              <w:rPr>
                <w:lang w:val="ro-RO"/>
              </w:rPr>
            </w:pPr>
            <w:r>
              <w:rPr>
                <w:lang w:val="ro-RO"/>
              </w:rPr>
              <w:t>-</w:t>
            </w:r>
          </w:p>
        </w:tc>
      </w:tr>
    </w:tbl>
    <w:p w:rsidR="00FF3D0E" w:rsidRPr="00C30927" w:rsidRDefault="00FF3D0E" w:rsidP="00C30927">
      <w:pPr>
        <w:rPr>
          <w:b/>
          <w:lang w:val="ro-RO"/>
        </w:rPr>
      </w:pPr>
    </w:p>
    <w:p w:rsidR="00954B28" w:rsidRPr="00C30927" w:rsidRDefault="00203F73" w:rsidP="00C30927">
      <w:pPr>
        <w:rPr>
          <w:b/>
          <w:lang w:val="ro-RO"/>
        </w:rPr>
      </w:pPr>
      <w:r w:rsidRPr="00C30927">
        <w:rPr>
          <w:b/>
          <w:lang w:val="ro-RO"/>
        </w:rPr>
        <w:t xml:space="preserve">XI. </w:t>
      </w:r>
      <w:r w:rsidR="00B66405" w:rsidRPr="00C30927">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F1361B">
        <w:tc>
          <w:tcPr>
            <w:tcW w:w="9923" w:type="dxa"/>
            <w:shd w:val="clear" w:color="auto" w:fill="FFFFFF" w:themeFill="background1"/>
          </w:tcPr>
          <w:p w:rsidR="007F5394" w:rsidRPr="00C30927" w:rsidRDefault="007F5394" w:rsidP="00C30927">
            <w:pPr>
              <w:pStyle w:val="NoSpacing"/>
              <w:rPr>
                <w:lang w:val="ro-RO"/>
              </w:rPr>
            </w:pPr>
            <w:r w:rsidRPr="00C30927">
              <w:rPr>
                <w:lang w:val="ro-RO"/>
              </w:rPr>
              <w:t>Utilizarea 1 - soareci de casa - profesioniști - în interior</w:t>
            </w:r>
          </w:p>
          <w:p w:rsidR="007F5394" w:rsidRPr="00C30927" w:rsidRDefault="007F5394" w:rsidP="00C30927">
            <w:pPr>
              <w:pStyle w:val="NoSpacing"/>
              <w:rPr>
                <w:lang w:val="ro-RO"/>
              </w:rPr>
            </w:pPr>
            <w:bookmarkStart w:id="1" w:name="_Hlk11149849"/>
            <w:r w:rsidRPr="00C30927">
              <w:rPr>
                <w:lang w:val="ro-RO"/>
              </w:rPr>
              <w:t>Momeală de10 sau 20 gr pe unitate.</w:t>
            </w:r>
          </w:p>
          <w:p w:rsidR="007F5394" w:rsidRPr="00C30927" w:rsidRDefault="007F5394" w:rsidP="00C30927">
            <w:pPr>
              <w:pStyle w:val="NoSpacing"/>
              <w:rPr>
                <w:lang w:val="ro-RO"/>
              </w:rPr>
            </w:pPr>
            <w:r w:rsidRPr="00C30927">
              <w:rPr>
                <w:lang w:val="ro-RO"/>
              </w:rPr>
              <w:t>Dimensiunea minima a ambalajului de la 1,5 kg până la 25 kg.</w:t>
            </w:r>
          </w:p>
          <w:p w:rsidR="007F5394" w:rsidRPr="00C30927" w:rsidRDefault="007F5394" w:rsidP="00C30927">
            <w:pPr>
              <w:pStyle w:val="NoSpacing"/>
              <w:rPr>
                <w:lang w:val="ro-RO"/>
              </w:rPr>
            </w:pPr>
            <w:r w:rsidRPr="00C30927">
              <w:rPr>
                <w:lang w:val="ro-RO"/>
              </w:rPr>
              <w:t>Acolo unde este cazul, dacă se aplică restricții privind modul de ambalare, ambalajul este limitat la pungi ambalate separat, cu o pungă de maxim 10 kg.</w:t>
            </w:r>
          </w:p>
          <w:p w:rsidR="007F5394" w:rsidRPr="00C30927" w:rsidRDefault="007F5394" w:rsidP="00C30927">
            <w:pPr>
              <w:pStyle w:val="NoSpacing"/>
              <w:rPr>
                <w:lang w:val="ro-RO"/>
              </w:rPr>
            </w:pPr>
            <w:r w:rsidRPr="00C30927">
              <w:rPr>
                <w:lang w:val="ro-RO"/>
              </w:rPr>
              <w:t>Flacoane etichetate sau imprimate de la 1,5 kg la 5 kg.</w:t>
            </w:r>
            <w:bookmarkStart w:id="2" w:name="_GoBack"/>
            <w:bookmarkEnd w:id="2"/>
          </w:p>
          <w:p w:rsidR="007F5394" w:rsidRPr="00C30927" w:rsidRDefault="007F5394" w:rsidP="00C30927">
            <w:pPr>
              <w:pStyle w:val="NoSpacing"/>
              <w:rPr>
                <w:lang w:val="ro-RO"/>
              </w:rPr>
            </w:pPr>
            <w:r w:rsidRPr="00C30927">
              <w:rPr>
                <w:lang w:val="ro-RO"/>
              </w:rPr>
              <w:t>Materiale plastice compozite (HDPE).</w:t>
            </w:r>
          </w:p>
          <w:p w:rsidR="007F5394" w:rsidRPr="00C30927" w:rsidRDefault="007F5394" w:rsidP="00C30927">
            <w:pPr>
              <w:pStyle w:val="NoSpacing"/>
              <w:rPr>
                <w:lang w:val="ro-RO"/>
              </w:rPr>
            </w:pPr>
            <w:r w:rsidRPr="00C30927">
              <w:rPr>
                <w:lang w:val="ro-RO"/>
              </w:rPr>
              <w:t>Flacon sigilat.</w:t>
            </w:r>
          </w:p>
          <w:p w:rsidR="007F5394" w:rsidRPr="00C30927" w:rsidRDefault="007F5394" w:rsidP="00C30927">
            <w:pPr>
              <w:pStyle w:val="NoSpacing"/>
              <w:rPr>
                <w:lang w:val="ro-RO"/>
              </w:rPr>
            </w:pPr>
            <w:r w:rsidRPr="00C30927">
              <w:rPr>
                <w:lang w:val="ro-RO"/>
              </w:rPr>
              <w:t>Pungă/sac etichetată sau imprimată de la 1,5 kg la 25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Pungă/ sac etichetată sau imprimată -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lastRenderedPageBreak/>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Cutie din plastic cu etichetă de la 1,5 kg la 25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din plastic cu etichetă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de carton etichetată sau imprimată cu căptușeală interioară din plastic de la 1,5 la 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Carton etichetat sau imprimat cu garnitură interioară din plastic 1,5-10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Carton prefabricat.</w:t>
            </w:r>
            <w:bookmarkEnd w:id="1"/>
          </w:p>
          <w:p w:rsidR="007F5394" w:rsidRPr="00C30927" w:rsidRDefault="007F5394" w:rsidP="00C30927">
            <w:pPr>
              <w:pStyle w:val="NoSpacing"/>
              <w:rPr>
                <w:lang w:val="ro-RO"/>
              </w:rPr>
            </w:pPr>
            <w:r w:rsidRPr="00C30927">
              <w:rPr>
                <w:lang w:val="ro-RO"/>
              </w:rPr>
              <w:t>Utilizarea 2 - Șobolani - profesioniști - în interior</w:t>
            </w:r>
          </w:p>
          <w:p w:rsidR="007F5394" w:rsidRPr="00C30927" w:rsidRDefault="007F5394" w:rsidP="00C30927">
            <w:pPr>
              <w:pStyle w:val="NoSpacing"/>
              <w:rPr>
                <w:lang w:val="ro-RO"/>
              </w:rPr>
            </w:pPr>
            <w:bookmarkStart w:id="3" w:name="_Hlk531869386"/>
            <w:r w:rsidRPr="00C30927">
              <w:rPr>
                <w:lang w:val="ro-RO"/>
              </w:rPr>
              <w:t>Momeală de 10 sau 20 gr pe unitate.</w:t>
            </w:r>
          </w:p>
          <w:p w:rsidR="007F5394" w:rsidRPr="00C30927" w:rsidRDefault="007F5394" w:rsidP="00C30927">
            <w:pPr>
              <w:pStyle w:val="NoSpacing"/>
              <w:rPr>
                <w:lang w:val="ro-RO"/>
              </w:rPr>
            </w:pPr>
            <w:r w:rsidRPr="00C30927">
              <w:rPr>
                <w:lang w:val="ro-RO"/>
              </w:rPr>
              <w:t>Dimensiunea minima a ambalajului de la 1,5 kg până la 25 kg.</w:t>
            </w:r>
          </w:p>
          <w:p w:rsidR="007F5394" w:rsidRPr="00C30927" w:rsidRDefault="007F5394" w:rsidP="00C30927">
            <w:pPr>
              <w:pStyle w:val="NoSpacing"/>
              <w:rPr>
                <w:lang w:val="ro-RO"/>
              </w:rPr>
            </w:pPr>
            <w:r w:rsidRPr="00C30927">
              <w:rPr>
                <w:lang w:val="ro-RO"/>
              </w:rPr>
              <w:t>Acolo unde este cazul, dacă se aplică restricții privind modul de ambalare, ambalajul este limitat la pungi ambalate separat, cu o pungă de maxim 10 kg.</w:t>
            </w:r>
          </w:p>
          <w:p w:rsidR="007F5394" w:rsidRPr="00C30927" w:rsidRDefault="007F5394" w:rsidP="00C30927">
            <w:pPr>
              <w:pStyle w:val="NoSpacing"/>
              <w:rPr>
                <w:lang w:val="ro-RO"/>
              </w:rPr>
            </w:pPr>
            <w:r w:rsidRPr="00C30927">
              <w:rPr>
                <w:lang w:val="ro-RO"/>
              </w:rPr>
              <w:t>Flacoane etichetate sau imprimate de la 1,5 kg la 5 kg.</w:t>
            </w:r>
          </w:p>
          <w:p w:rsidR="007F5394" w:rsidRPr="00C30927" w:rsidRDefault="007F5394" w:rsidP="00C30927">
            <w:pPr>
              <w:pStyle w:val="NoSpacing"/>
              <w:rPr>
                <w:lang w:val="ro-RO"/>
              </w:rPr>
            </w:pPr>
            <w:r w:rsidRPr="00C30927">
              <w:rPr>
                <w:lang w:val="ro-RO"/>
              </w:rPr>
              <w:t>Materiale plastice compozite (HDPE).</w:t>
            </w:r>
          </w:p>
          <w:p w:rsidR="007F5394" w:rsidRPr="00C30927" w:rsidRDefault="007F5394" w:rsidP="00C30927">
            <w:pPr>
              <w:pStyle w:val="NoSpacing"/>
              <w:rPr>
                <w:lang w:val="ro-RO"/>
              </w:rPr>
            </w:pPr>
            <w:r w:rsidRPr="00C30927">
              <w:rPr>
                <w:lang w:val="ro-RO"/>
              </w:rPr>
              <w:t>Flacon sigilat.</w:t>
            </w:r>
          </w:p>
          <w:p w:rsidR="007F5394" w:rsidRPr="00C30927" w:rsidRDefault="007F5394" w:rsidP="00C30927">
            <w:pPr>
              <w:pStyle w:val="NoSpacing"/>
              <w:rPr>
                <w:lang w:val="ro-RO"/>
              </w:rPr>
            </w:pPr>
            <w:r w:rsidRPr="00C30927">
              <w:rPr>
                <w:lang w:val="ro-RO"/>
              </w:rPr>
              <w:t>Pungă/sac etichetată sau imprimată de la 1,5 kg la 25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Pungă/ sac etichetată sau imprimată -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Cutie din plastic cu etichetă de la 1,5 kg la 25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din plastic cu etichetă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de carton etichetată sau imprimată cu căptușeală interioară din plastic de la 1,5 la 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lastRenderedPageBreak/>
              <w:t>Pungi prefabricate sau pungi de producție în serie, ambele lipite termic.</w:t>
            </w:r>
          </w:p>
          <w:p w:rsidR="007F5394" w:rsidRPr="00C30927" w:rsidRDefault="007F5394" w:rsidP="00C30927">
            <w:pPr>
              <w:pStyle w:val="NoSpacing"/>
              <w:rPr>
                <w:lang w:val="ro-RO"/>
              </w:rPr>
            </w:pPr>
            <w:r w:rsidRPr="00C30927">
              <w:rPr>
                <w:lang w:val="ro-RO"/>
              </w:rPr>
              <w:t>Carton etichetat sau imprimat cu garnitură interioară din plastic 1,5-10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Carton prefabricat.</w:t>
            </w:r>
          </w:p>
          <w:bookmarkEnd w:id="3"/>
          <w:p w:rsidR="007F5394" w:rsidRPr="00C30927" w:rsidRDefault="007F5394" w:rsidP="00C30927">
            <w:pPr>
              <w:pStyle w:val="NoSpacing"/>
              <w:rPr>
                <w:lang w:val="ro-RO"/>
              </w:rPr>
            </w:pPr>
            <w:r w:rsidRPr="00C30927">
              <w:rPr>
                <w:lang w:val="ro-RO"/>
              </w:rPr>
              <w:t>Utilizarea 3 - soareci de casa si sobolani – profesioniști - exterior în jurul clădirilor</w:t>
            </w:r>
          </w:p>
          <w:p w:rsidR="007F5394" w:rsidRPr="00C30927" w:rsidRDefault="007F5394" w:rsidP="00C30927">
            <w:pPr>
              <w:pStyle w:val="NoSpacing"/>
              <w:rPr>
                <w:lang w:val="ro-RO"/>
              </w:rPr>
            </w:pPr>
            <w:r w:rsidRPr="00C30927">
              <w:rPr>
                <w:lang w:val="ro-RO"/>
              </w:rPr>
              <w:t>Momeală de 10 sau 20 gr pe unitate.</w:t>
            </w:r>
          </w:p>
          <w:p w:rsidR="007F5394" w:rsidRPr="00C30927" w:rsidRDefault="007F5394" w:rsidP="00C30927">
            <w:pPr>
              <w:pStyle w:val="NoSpacing"/>
              <w:rPr>
                <w:lang w:val="ro-RO"/>
              </w:rPr>
            </w:pPr>
            <w:r w:rsidRPr="00C30927">
              <w:rPr>
                <w:lang w:val="ro-RO"/>
              </w:rPr>
              <w:t>Dimensiunea minima a ambalajului de la 1,5 kg până la 25 kg.</w:t>
            </w:r>
          </w:p>
          <w:p w:rsidR="007F5394" w:rsidRPr="00C30927" w:rsidRDefault="007F5394" w:rsidP="00C30927">
            <w:pPr>
              <w:pStyle w:val="NoSpacing"/>
              <w:rPr>
                <w:lang w:val="ro-RO"/>
              </w:rPr>
            </w:pPr>
            <w:r w:rsidRPr="00C30927">
              <w:rPr>
                <w:lang w:val="ro-RO"/>
              </w:rPr>
              <w:t>Acolo unde este cazul, dacă se aplică restricții privind modul de ambalare, ambalajul este limitat la pungi ambalate separat, cu o pungă de maxim 10 kg.</w:t>
            </w:r>
          </w:p>
          <w:p w:rsidR="007F5394" w:rsidRPr="00C30927" w:rsidRDefault="007F5394" w:rsidP="00C30927">
            <w:pPr>
              <w:pStyle w:val="NoSpacing"/>
              <w:rPr>
                <w:lang w:val="ro-RO"/>
              </w:rPr>
            </w:pPr>
            <w:r w:rsidRPr="00C30927">
              <w:rPr>
                <w:lang w:val="ro-RO"/>
              </w:rPr>
              <w:t>Flacoane etichetate sau imprimate de la 1,5 kg la 5 kg.</w:t>
            </w:r>
          </w:p>
          <w:p w:rsidR="007F5394" w:rsidRPr="00C30927" w:rsidRDefault="007F5394" w:rsidP="00C30927">
            <w:pPr>
              <w:pStyle w:val="NoSpacing"/>
              <w:rPr>
                <w:lang w:val="ro-RO"/>
              </w:rPr>
            </w:pPr>
            <w:r w:rsidRPr="00C30927">
              <w:rPr>
                <w:lang w:val="ro-RO"/>
              </w:rPr>
              <w:t>Materiale plastice compozite (HDPE).</w:t>
            </w:r>
          </w:p>
          <w:p w:rsidR="007F5394" w:rsidRPr="00C30927" w:rsidRDefault="007F5394" w:rsidP="00C30927">
            <w:pPr>
              <w:pStyle w:val="NoSpacing"/>
              <w:rPr>
                <w:lang w:val="ro-RO"/>
              </w:rPr>
            </w:pPr>
            <w:r w:rsidRPr="00C30927">
              <w:rPr>
                <w:lang w:val="ro-RO"/>
              </w:rPr>
              <w:t>Flacon sigilat.</w:t>
            </w:r>
          </w:p>
          <w:p w:rsidR="007F5394" w:rsidRPr="00C30927" w:rsidRDefault="007F5394" w:rsidP="00C30927">
            <w:pPr>
              <w:pStyle w:val="NoSpacing"/>
              <w:rPr>
                <w:lang w:val="ro-RO"/>
              </w:rPr>
            </w:pPr>
            <w:r w:rsidRPr="00C30927">
              <w:rPr>
                <w:lang w:val="ro-RO"/>
              </w:rPr>
              <w:t>Pungă/sac etichetată sau imprimată de la 1,5 kg la 25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Pungă/ sac etichetată sau imprimată -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Cutie din plastic cu etichetă de la 1,5 kg la 25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din plastic cu etichetă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de carton etichetată sau imprimată cu căptușeală interioară din plastic de la 1,5 la 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Carton etichetat sau imprimat cu garnitură interioară din plastic 1,5-10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Carton prefabricat.</w:t>
            </w:r>
          </w:p>
          <w:p w:rsidR="007F5394" w:rsidRPr="00C30927" w:rsidRDefault="007F5394" w:rsidP="00C30927">
            <w:pPr>
              <w:pStyle w:val="NoSpacing"/>
              <w:rPr>
                <w:bCs/>
                <w:lang w:val="ro-RO"/>
              </w:rPr>
            </w:pPr>
            <w:r w:rsidRPr="00C30927">
              <w:rPr>
                <w:bCs/>
                <w:lang w:val="ro-RO"/>
              </w:rPr>
              <w:t>Utilizarea 4 - soareci de casa si sobolani – profesioniști instruiti - interior</w:t>
            </w:r>
          </w:p>
          <w:p w:rsidR="007F5394" w:rsidRPr="00C30927" w:rsidRDefault="007F5394" w:rsidP="00C30927">
            <w:pPr>
              <w:pStyle w:val="NoSpacing"/>
              <w:rPr>
                <w:lang w:val="ro-RO"/>
              </w:rPr>
            </w:pPr>
            <w:r w:rsidRPr="00C30927">
              <w:rPr>
                <w:lang w:val="ro-RO"/>
              </w:rPr>
              <w:t>Momeală de 10 sau 20 gr pe unitate.</w:t>
            </w:r>
          </w:p>
          <w:p w:rsidR="007F5394" w:rsidRPr="00C30927" w:rsidRDefault="007F5394" w:rsidP="00C30927">
            <w:pPr>
              <w:pStyle w:val="NoSpacing"/>
              <w:rPr>
                <w:lang w:val="ro-RO"/>
              </w:rPr>
            </w:pPr>
            <w:r w:rsidRPr="00C30927">
              <w:rPr>
                <w:lang w:val="ro-RO"/>
              </w:rPr>
              <w:t>Dimensiunea minima a ambalajului de la 1,5 kg până la 25 kg.</w:t>
            </w:r>
          </w:p>
          <w:p w:rsidR="007F5394" w:rsidRPr="00C30927" w:rsidRDefault="007F5394" w:rsidP="00C30927">
            <w:pPr>
              <w:pStyle w:val="NoSpacing"/>
              <w:rPr>
                <w:lang w:val="ro-RO"/>
              </w:rPr>
            </w:pPr>
            <w:r w:rsidRPr="00C30927">
              <w:rPr>
                <w:lang w:val="ro-RO"/>
              </w:rPr>
              <w:t>Acolo unde este cazul, dacă se aplică restricții privind modul de ambalare, ambalajul este limitat la pungi ambalate separat, cu o pungă de maxim 10 kg.</w:t>
            </w:r>
          </w:p>
          <w:p w:rsidR="007F5394" w:rsidRPr="00C30927" w:rsidRDefault="007F5394" w:rsidP="00C30927">
            <w:pPr>
              <w:pStyle w:val="NoSpacing"/>
              <w:rPr>
                <w:lang w:val="ro-RO"/>
              </w:rPr>
            </w:pPr>
            <w:r w:rsidRPr="00C30927">
              <w:rPr>
                <w:lang w:val="ro-RO"/>
              </w:rPr>
              <w:t>Flacoane etichetate sau imprimate de la 1,5 kg la 5 kg.</w:t>
            </w:r>
          </w:p>
          <w:p w:rsidR="007F5394" w:rsidRPr="00C30927" w:rsidRDefault="007F5394" w:rsidP="00C30927">
            <w:pPr>
              <w:pStyle w:val="NoSpacing"/>
              <w:rPr>
                <w:lang w:val="ro-RO"/>
              </w:rPr>
            </w:pPr>
            <w:r w:rsidRPr="00C30927">
              <w:rPr>
                <w:lang w:val="ro-RO"/>
              </w:rPr>
              <w:t>Materiale plastice compozite (HDPE).</w:t>
            </w:r>
          </w:p>
          <w:p w:rsidR="007F5394" w:rsidRPr="00C30927" w:rsidRDefault="007F5394" w:rsidP="00C30927">
            <w:pPr>
              <w:pStyle w:val="NoSpacing"/>
              <w:rPr>
                <w:lang w:val="ro-RO"/>
              </w:rPr>
            </w:pPr>
            <w:r w:rsidRPr="00C30927">
              <w:rPr>
                <w:lang w:val="ro-RO"/>
              </w:rPr>
              <w:lastRenderedPageBreak/>
              <w:t>Flacon sigilat.</w:t>
            </w:r>
          </w:p>
          <w:p w:rsidR="007F5394" w:rsidRPr="00C30927" w:rsidRDefault="007F5394" w:rsidP="00C30927">
            <w:pPr>
              <w:pStyle w:val="NoSpacing"/>
              <w:rPr>
                <w:lang w:val="ro-RO"/>
              </w:rPr>
            </w:pPr>
            <w:r w:rsidRPr="00C30927">
              <w:rPr>
                <w:lang w:val="ro-RO"/>
              </w:rPr>
              <w:t>Pungă/sac etichetată sau imprimată de la 1,5 kg la 25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Pungă/ sac etichetată sau imprimată -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Cutie din plastic cu etichetă de la 1,5 kg la 25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din plastic cu etichetă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de carton etichetată sau imprimată cu căptușeală interioară din plastic de la 1,5 la 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Carton etichetat sau imprimat cu garnitură interioară din plastic 1,5-10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Carton prefabricat.</w:t>
            </w:r>
          </w:p>
          <w:p w:rsidR="007F5394" w:rsidRPr="00C30927" w:rsidRDefault="007F5394" w:rsidP="00C30927">
            <w:pPr>
              <w:pStyle w:val="NoSpacing"/>
              <w:rPr>
                <w:bCs/>
                <w:lang w:val="ro-RO"/>
              </w:rPr>
            </w:pPr>
            <w:r w:rsidRPr="00C30927">
              <w:rPr>
                <w:bCs/>
                <w:lang w:val="ro-RO"/>
              </w:rPr>
              <w:t>Utilizarea 5 – soareci si sobolani – profesioniști instruiti – exterior</w:t>
            </w:r>
            <w:r w:rsidRPr="00C30927">
              <w:t xml:space="preserve"> </w:t>
            </w:r>
            <w:r w:rsidRPr="00C30927">
              <w:rPr>
                <w:bCs/>
                <w:lang w:val="ro-RO"/>
              </w:rPr>
              <w:t xml:space="preserve">în jurul clădirilor </w:t>
            </w:r>
          </w:p>
          <w:p w:rsidR="007F5394" w:rsidRPr="00C30927" w:rsidRDefault="007F5394" w:rsidP="00C30927">
            <w:pPr>
              <w:pStyle w:val="NoSpacing"/>
              <w:rPr>
                <w:lang w:val="ro-RO"/>
              </w:rPr>
            </w:pPr>
            <w:r w:rsidRPr="00C30927">
              <w:rPr>
                <w:lang w:val="ro-RO"/>
              </w:rPr>
              <w:t>Momeală de 10 sau 20 gr pe unitate.</w:t>
            </w:r>
          </w:p>
          <w:p w:rsidR="007F5394" w:rsidRPr="00C30927" w:rsidRDefault="007F5394" w:rsidP="00C30927">
            <w:pPr>
              <w:pStyle w:val="NoSpacing"/>
              <w:rPr>
                <w:lang w:val="ro-RO"/>
              </w:rPr>
            </w:pPr>
            <w:r w:rsidRPr="00C30927">
              <w:rPr>
                <w:lang w:val="ro-RO"/>
              </w:rPr>
              <w:t>Dimensiunea minima a ambalajului de la 1,5 kg până la 25 kg.</w:t>
            </w:r>
          </w:p>
          <w:p w:rsidR="007F5394" w:rsidRPr="00C30927" w:rsidRDefault="007F5394" w:rsidP="00C30927">
            <w:pPr>
              <w:pStyle w:val="NoSpacing"/>
              <w:rPr>
                <w:lang w:val="ro-RO"/>
              </w:rPr>
            </w:pPr>
            <w:r w:rsidRPr="00C30927">
              <w:rPr>
                <w:lang w:val="ro-RO"/>
              </w:rPr>
              <w:t>Acolo unde este cazul, dacă se aplică restricții privind modul de ambalare, ambalajul este limitat la pungi ambalate separat, cu o pungă de maxim 10 kg.</w:t>
            </w:r>
          </w:p>
          <w:p w:rsidR="007F5394" w:rsidRPr="00C30927" w:rsidRDefault="007F5394" w:rsidP="00C30927">
            <w:pPr>
              <w:pStyle w:val="NoSpacing"/>
              <w:rPr>
                <w:lang w:val="ro-RO"/>
              </w:rPr>
            </w:pPr>
            <w:r w:rsidRPr="00C30927">
              <w:rPr>
                <w:lang w:val="ro-RO"/>
              </w:rPr>
              <w:t>Flacoane etichetate sau imprimate de la 1,5 kg la 5 kg.</w:t>
            </w:r>
          </w:p>
          <w:p w:rsidR="007F5394" w:rsidRPr="00C30927" w:rsidRDefault="007F5394" w:rsidP="00C30927">
            <w:pPr>
              <w:pStyle w:val="NoSpacing"/>
              <w:rPr>
                <w:lang w:val="ro-RO"/>
              </w:rPr>
            </w:pPr>
            <w:r w:rsidRPr="00C30927">
              <w:rPr>
                <w:lang w:val="ro-RO"/>
              </w:rPr>
              <w:t>Materiale plastice compozite (HDPE).</w:t>
            </w:r>
          </w:p>
          <w:p w:rsidR="007F5394" w:rsidRPr="00C30927" w:rsidRDefault="007F5394" w:rsidP="00C30927">
            <w:pPr>
              <w:pStyle w:val="NoSpacing"/>
              <w:rPr>
                <w:lang w:val="ro-RO"/>
              </w:rPr>
            </w:pPr>
            <w:r w:rsidRPr="00C30927">
              <w:rPr>
                <w:lang w:val="ro-RO"/>
              </w:rPr>
              <w:t>Flacon sigilat.</w:t>
            </w:r>
          </w:p>
          <w:p w:rsidR="007F5394" w:rsidRPr="00C30927" w:rsidRDefault="007F5394" w:rsidP="00C30927">
            <w:pPr>
              <w:pStyle w:val="NoSpacing"/>
              <w:rPr>
                <w:lang w:val="ro-RO"/>
              </w:rPr>
            </w:pPr>
            <w:r w:rsidRPr="00C30927">
              <w:rPr>
                <w:lang w:val="ro-RO"/>
              </w:rPr>
              <w:t>Pungă/sac etichetată sau imprimată de la 1,5 kg la 25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Pungă/ sac etichetată sau imprimată -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Cutie din plastic cu etichetă de la 1,5 kg la 25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 xml:space="preserve">Cutie din plastic cu etichetă cu căptușeală interioară din material plastic de la 1,5 kg - până la 10 kg - </w:t>
            </w:r>
            <w:r w:rsidRPr="00C30927">
              <w:rPr>
                <w:lang w:val="ro-RO"/>
              </w:rPr>
              <w:lastRenderedPageBreak/>
              <w:t>înveliș interior maxim 10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de carton etichetată sau imprimată cu căptușeală interioară din plastic de la 1,5 la 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Carton etichetat sau imprimat cu garnitură interioară din plastic 1,5-10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Carton prefabricat.</w:t>
            </w:r>
          </w:p>
          <w:p w:rsidR="007F5394" w:rsidRPr="00C30927" w:rsidRDefault="007F5394" w:rsidP="00C30927">
            <w:pPr>
              <w:pStyle w:val="NoSpacing"/>
              <w:rPr>
                <w:bCs/>
                <w:lang w:val="ro-RO"/>
              </w:rPr>
            </w:pPr>
            <w:r w:rsidRPr="00C30927">
              <w:rPr>
                <w:bCs/>
                <w:lang w:val="ro-RO"/>
              </w:rPr>
              <w:t>Utilizarea 6 –sobolani – profesioniști instruiti – exterior zone deschise</w:t>
            </w:r>
          </w:p>
          <w:p w:rsidR="007F5394" w:rsidRPr="00C30927" w:rsidRDefault="007F5394" w:rsidP="00C30927">
            <w:pPr>
              <w:pStyle w:val="NoSpacing"/>
              <w:rPr>
                <w:lang w:val="ro-RO"/>
              </w:rPr>
            </w:pPr>
            <w:r w:rsidRPr="00C30927">
              <w:rPr>
                <w:lang w:val="ro-RO"/>
              </w:rPr>
              <w:t>Momeală de 10 sau 20 gr pe unitate.</w:t>
            </w:r>
          </w:p>
          <w:p w:rsidR="007F5394" w:rsidRPr="00C30927" w:rsidRDefault="007F5394" w:rsidP="00C30927">
            <w:pPr>
              <w:pStyle w:val="NoSpacing"/>
              <w:rPr>
                <w:lang w:val="ro-RO"/>
              </w:rPr>
            </w:pPr>
            <w:r w:rsidRPr="00C30927">
              <w:rPr>
                <w:lang w:val="ro-RO"/>
              </w:rPr>
              <w:t>Dimensiunea minima a ambalajului de la 1,5 kg până la 25 kg.</w:t>
            </w:r>
          </w:p>
          <w:p w:rsidR="007F5394" w:rsidRPr="00C30927" w:rsidRDefault="007F5394" w:rsidP="00C30927">
            <w:pPr>
              <w:pStyle w:val="NoSpacing"/>
              <w:rPr>
                <w:lang w:val="ro-RO"/>
              </w:rPr>
            </w:pPr>
            <w:r w:rsidRPr="00C30927">
              <w:rPr>
                <w:lang w:val="ro-RO"/>
              </w:rPr>
              <w:t>Acolo unde este cazul, dacă se aplică restricții privind modul de ambalare, ambalajul este limitat la pungi ambalate separat, cu o pungă de maxim 10 kg.</w:t>
            </w:r>
          </w:p>
          <w:p w:rsidR="007F5394" w:rsidRPr="00C30927" w:rsidRDefault="007F5394" w:rsidP="00C30927">
            <w:pPr>
              <w:pStyle w:val="NoSpacing"/>
              <w:rPr>
                <w:lang w:val="ro-RO"/>
              </w:rPr>
            </w:pPr>
            <w:r w:rsidRPr="00C30927">
              <w:rPr>
                <w:lang w:val="ro-RO"/>
              </w:rPr>
              <w:t>Flacoane etichetate sau imprimate de la 1,5 kg la 5 kg.</w:t>
            </w:r>
          </w:p>
          <w:p w:rsidR="007F5394" w:rsidRPr="00C30927" w:rsidRDefault="007F5394" w:rsidP="00C30927">
            <w:pPr>
              <w:pStyle w:val="NoSpacing"/>
              <w:rPr>
                <w:lang w:val="ro-RO"/>
              </w:rPr>
            </w:pPr>
            <w:r w:rsidRPr="00C30927">
              <w:rPr>
                <w:lang w:val="ro-RO"/>
              </w:rPr>
              <w:t>Materiale plastice compozite (HDPE).</w:t>
            </w:r>
          </w:p>
          <w:p w:rsidR="007F5394" w:rsidRPr="00C30927" w:rsidRDefault="007F5394" w:rsidP="00C30927">
            <w:pPr>
              <w:pStyle w:val="NoSpacing"/>
              <w:rPr>
                <w:lang w:val="ro-RO"/>
              </w:rPr>
            </w:pPr>
            <w:r w:rsidRPr="00C30927">
              <w:rPr>
                <w:lang w:val="ro-RO"/>
              </w:rPr>
              <w:t>Flacon sigilat.</w:t>
            </w:r>
          </w:p>
          <w:p w:rsidR="007F5394" w:rsidRPr="00C30927" w:rsidRDefault="007F5394" w:rsidP="00C30927">
            <w:pPr>
              <w:pStyle w:val="NoSpacing"/>
              <w:rPr>
                <w:lang w:val="ro-RO"/>
              </w:rPr>
            </w:pPr>
            <w:r w:rsidRPr="00C30927">
              <w:rPr>
                <w:lang w:val="ro-RO"/>
              </w:rPr>
              <w:t>Pungă/sac etichetată sau imprimată de la 1,5 kg la 25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Pungă/ sac etichetată sau imprimată -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Cutie din plastic cu etichetă de la 1,5 kg la 25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din plastic cu etichetă cu căptușeală interioară din material plastic de la 1,5 kg - până la 10 kg - înveliș interior maxim 10 kg.</w:t>
            </w:r>
          </w:p>
          <w:p w:rsidR="007F5394" w:rsidRPr="00C30927" w:rsidRDefault="007F5394" w:rsidP="00C30927">
            <w:pPr>
              <w:pStyle w:val="NoSpacing"/>
              <w:rPr>
                <w:lang w:val="ro-RO"/>
              </w:rPr>
            </w:pPr>
            <w:r w:rsidRPr="00C30927">
              <w:rPr>
                <w:lang w:val="ro-RO"/>
              </w:rPr>
              <w:t>Cutie etichetată din materiale plastice compozite (HDPE).</w:t>
            </w:r>
          </w:p>
          <w:p w:rsidR="007F5394" w:rsidRPr="00C30927" w:rsidRDefault="007F5394" w:rsidP="00C30927">
            <w:pPr>
              <w:pStyle w:val="NoSpacing"/>
              <w:rPr>
                <w:lang w:val="ro-RO"/>
              </w:rPr>
            </w:pPr>
            <w:r w:rsidRPr="00C30927">
              <w:rPr>
                <w:lang w:val="ro-RO"/>
              </w:rPr>
              <w:t>Recipient rectangular sau trunchiat sigilat.</w:t>
            </w:r>
          </w:p>
          <w:p w:rsidR="007F5394" w:rsidRPr="00C30927" w:rsidRDefault="007F5394" w:rsidP="00C30927">
            <w:pPr>
              <w:pStyle w:val="NoSpacing"/>
              <w:rPr>
                <w:lang w:val="ro-RO"/>
              </w:rPr>
            </w:pPr>
            <w:r w:rsidRPr="00C30927">
              <w:rPr>
                <w:lang w:val="ro-RO"/>
              </w:rPr>
              <w:t>Cutie de carton etichetată sau imprimată cu căptușeală interioară din plastic de la 1,5 la 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7F5394" w:rsidRPr="00C30927" w:rsidRDefault="007F5394" w:rsidP="00C30927">
            <w:pPr>
              <w:pStyle w:val="NoSpacing"/>
              <w:rPr>
                <w:lang w:val="ro-RO"/>
              </w:rPr>
            </w:pPr>
            <w:r w:rsidRPr="00C30927">
              <w:rPr>
                <w:lang w:val="ro-RO"/>
              </w:rPr>
              <w:t>Pungi prefabricate sau pungi de producție în serie, ambele lipite termic.</w:t>
            </w:r>
          </w:p>
          <w:p w:rsidR="007F5394" w:rsidRPr="00C30927" w:rsidRDefault="007F5394" w:rsidP="00C30927">
            <w:pPr>
              <w:pStyle w:val="NoSpacing"/>
              <w:rPr>
                <w:lang w:val="ro-RO"/>
              </w:rPr>
            </w:pPr>
            <w:r w:rsidRPr="00C30927">
              <w:rPr>
                <w:lang w:val="ro-RO"/>
              </w:rPr>
              <w:t>Carton etichetat sau imprimat cu garnitură interioară din plastic 1,5-10 kg pungi de plastic de până la 10 kg fiecare.</w:t>
            </w:r>
          </w:p>
          <w:p w:rsidR="007F5394" w:rsidRPr="00C30927" w:rsidRDefault="007F5394" w:rsidP="00C30927">
            <w:pPr>
              <w:pStyle w:val="NoSpacing"/>
              <w:rPr>
                <w:lang w:val="ro-RO"/>
              </w:rPr>
            </w:pPr>
            <w:r w:rsidRPr="00C30927">
              <w:rPr>
                <w:lang w:val="ro-RO"/>
              </w:rPr>
              <w:t>Carton + materiale plastice compozite.</w:t>
            </w:r>
          </w:p>
          <w:p w:rsidR="00A33127" w:rsidRPr="00C30927" w:rsidRDefault="007F5394" w:rsidP="00C30927">
            <w:pPr>
              <w:pStyle w:val="NoSpacing"/>
              <w:rPr>
                <w:lang w:val="ro-RO"/>
              </w:rPr>
            </w:pPr>
            <w:r w:rsidRPr="00C30927">
              <w:rPr>
                <w:lang w:val="ro-RO"/>
              </w:rPr>
              <w:t>Carton prefabricat.</w:t>
            </w:r>
          </w:p>
        </w:tc>
      </w:tr>
    </w:tbl>
    <w:p w:rsidR="00FF3D0E" w:rsidRPr="00C30927" w:rsidRDefault="00FF3D0E" w:rsidP="00C30927">
      <w:pPr>
        <w:pStyle w:val="NoSpacing"/>
        <w:rPr>
          <w:b/>
          <w:lang w:val="ro-RO"/>
        </w:rPr>
      </w:pPr>
    </w:p>
    <w:p w:rsidR="00B66405" w:rsidRPr="00C30927" w:rsidRDefault="00B66405" w:rsidP="00C30927">
      <w:pPr>
        <w:pStyle w:val="NoSpacing"/>
        <w:rPr>
          <w:b/>
          <w:lang w:val="ro-RO"/>
        </w:rPr>
      </w:pPr>
      <w:r w:rsidRPr="00C30927">
        <w:rPr>
          <w:b/>
          <w:lang w:val="ro-RO"/>
        </w:rPr>
        <w:lastRenderedPageBreak/>
        <w:t xml:space="preserve">XII. POSIBILE EFECTE ADVERSE </w:t>
      </w:r>
      <w:r w:rsidR="00B03652" w:rsidRPr="00C30927">
        <w:rPr>
          <w:b/>
          <w:lang w:val="ro-RO"/>
        </w:rPr>
        <w:t xml:space="preserve"> </w:t>
      </w:r>
      <w:r w:rsidRPr="00C30927">
        <w:rPr>
          <w:b/>
          <w:lang w:val="ro-RO"/>
        </w:rPr>
        <w:t xml:space="preserve">DIRECTE </w:t>
      </w:r>
      <w:r w:rsidR="00B03652" w:rsidRPr="00C30927">
        <w:rPr>
          <w:b/>
          <w:lang w:val="ro-RO"/>
        </w:rPr>
        <w:t xml:space="preserve"> </w:t>
      </w:r>
      <w:r w:rsidRPr="00C30927">
        <w:rPr>
          <w:b/>
          <w:lang w:val="ro-RO"/>
        </w:rPr>
        <w:t xml:space="preserve">SAU </w:t>
      </w:r>
      <w:r w:rsidR="00B03652" w:rsidRPr="00C30927">
        <w:rPr>
          <w:b/>
          <w:lang w:val="ro-RO"/>
        </w:rPr>
        <w:t xml:space="preserve"> </w:t>
      </w:r>
      <w:r w:rsidRPr="00C30927">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30927" w:rsidTr="007F5394">
        <w:tc>
          <w:tcPr>
            <w:tcW w:w="9923" w:type="dxa"/>
          </w:tcPr>
          <w:p w:rsidR="00153D67" w:rsidRPr="00C30927" w:rsidRDefault="00B66405" w:rsidP="00C30927">
            <w:pPr>
              <w:pStyle w:val="NoSpacing"/>
              <w:rPr>
                <w:u w:val="single"/>
                <w:lang w:val="ro-RO"/>
              </w:rPr>
            </w:pPr>
            <w:r w:rsidRPr="00C30927">
              <w:rPr>
                <w:u w:val="single"/>
                <w:lang w:val="ro-RO"/>
              </w:rPr>
              <w:t>Asupra sănăt</w:t>
            </w:r>
            <w:r w:rsidR="003711FA" w:rsidRPr="00C30927">
              <w:rPr>
                <w:u w:val="single"/>
                <w:lang w:val="ro-RO"/>
              </w:rPr>
              <w:t>ăt</w:t>
            </w:r>
            <w:r w:rsidRPr="00C30927">
              <w:rPr>
                <w:u w:val="single"/>
                <w:lang w:val="ro-RO"/>
              </w:rPr>
              <w:t>ii umane</w:t>
            </w:r>
            <w:r w:rsidR="00A616BE" w:rsidRPr="00C30927">
              <w:rPr>
                <w:lang w:val="ro-RO"/>
              </w:rPr>
              <w:t xml:space="preserve">: </w:t>
            </w:r>
            <w:r w:rsidR="00153D67" w:rsidRPr="00C30927">
              <w:rPr>
                <w:lang w:val="ro-RO"/>
              </w:rPr>
              <w:t>Produsul este considerat periculos pentru sanatatea umana in concordanta cu Directiva 67/578/CEE  si cu Regulamentul 1272/2008 (CLP), produsul poate provoca leziuni ale organelor (sange) in cazul unei expuneri repetate sau prelungite, operatorii trebuie sa fie constienti ca substanta activa poate provoca probleme grave de sanatate in urma expunerii prelungite. Contactul cu produsul trebuie evitat în perioada sarcinii întrucât acesta poate fi dăunător pentru făt.</w:t>
            </w:r>
          </w:p>
          <w:p w:rsidR="00153D67" w:rsidRPr="00C30927" w:rsidRDefault="00153D67" w:rsidP="00C30927">
            <w:pPr>
              <w:pStyle w:val="NoSpacing"/>
              <w:rPr>
                <w:u w:val="single"/>
                <w:lang w:val="ro-RO"/>
              </w:rPr>
            </w:pPr>
            <w:r w:rsidRPr="00C30927">
              <w:rPr>
                <w:u w:val="single"/>
                <w:lang w:val="ro-RO"/>
              </w:rPr>
              <w:t>Efecte adverse directe:</w:t>
            </w:r>
          </w:p>
          <w:p w:rsidR="00153D67" w:rsidRPr="00C30927" w:rsidRDefault="00153D67" w:rsidP="00C30927">
            <w:pPr>
              <w:pStyle w:val="NoSpacing"/>
              <w:rPr>
                <w:lang w:val="ro-RO"/>
              </w:rPr>
            </w:pPr>
            <w:r w:rsidRPr="00C30927">
              <w:rPr>
                <w:lang w:val="ro-RO"/>
              </w:rPr>
              <w:t>Substanta activa este un anticoagulant – afecteaza sistemul de coagulare a sangelui. Are efecte cumulative importante, ceea ce duce la hemoragii externe si interne si apoi la moarte. Simptome: intoxicatia severa prin ingestie poate cauza hemoragii ale pielii si mucoaselor, simptomele aparute in alte sisteme sunt mai ales hemoragice. Alte simptome: paloare, durere abdominala sau de spate.</w:t>
            </w:r>
          </w:p>
          <w:p w:rsidR="00153D67" w:rsidRPr="00C30927" w:rsidRDefault="00153D67" w:rsidP="00C30927">
            <w:pPr>
              <w:pStyle w:val="NoSpacing"/>
              <w:rPr>
                <w:lang w:val="ro-RO"/>
              </w:rPr>
            </w:pPr>
            <w:r w:rsidRPr="00C30927">
              <w:rPr>
                <w:u w:val="single"/>
                <w:lang w:val="ro-RO"/>
              </w:rPr>
              <w:t>Efecte adverse indirecte:</w:t>
            </w:r>
            <w:r w:rsidRPr="00C30927">
              <w:rPr>
                <w:lang w:val="ro-RO"/>
              </w:rPr>
              <w:t>efecte iritante principale:</w:t>
            </w:r>
          </w:p>
          <w:p w:rsidR="00153D67" w:rsidRPr="00C30927" w:rsidRDefault="00153D67" w:rsidP="00C30927">
            <w:pPr>
              <w:pStyle w:val="NoSpacing"/>
              <w:rPr>
                <w:lang w:val="ro-RO"/>
              </w:rPr>
            </w:pPr>
            <w:r w:rsidRPr="00C30927">
              <w:rPr>
                <w:lang w:val="ro-RO"/>
              </w:rPr>
              <w:t xml:space="preserve">Coroziune/iritaţie piele: Nu are efecte iritante </w:t>
            </w:r>
          </w:p>
          <w:p w:rsidR="00153D67" w:rsidRPr="00C30927" w:rsidRDefault="00153D67" w:rsidP="00C30927">
            <w:pPr>
              <w:pStyle w:val="NoSpacing"/>
              <w:rPr>
                <w:lang w:val="ro-RO"/>
              </w:rPr>
            </w:pPr>
            <w:r w:rsidRPr="00C30927">
              <w:rPr>
                <w:lang w:val="ro-RO"/>
              </w:rPr>
              <w:t>Leziuni serioase ochi/ iritatie: Nu are efecte iritante</w:t>
            </w:r>
          </w:p>
          <w:p w:rsidR="00B66405" w:rsidRPr="00C30927" w:rsidRDefault="00153D67" w:rsidP="00C30927">
            <w:pPr>
              <w:pStyle w:val="NoSpacing"/>
              <w:rPr>
                <w:lang w:val="ro-RO"/>
              </w:rPr>
            </w:pPr>
            <w:r w:rsidRPr="00C30927">
              <w:rPr>
                <w:lang w:val="ro-RO"/>
              </w:rPr>
              <w:t>Sensibilizarea căilor respiratorii sau a pielii: Nu are efecte sensibilizante</w:t>
            </w:r>
          </w:p>
        </w:tc>
      </w:tr>
      <w:tr w:rsidR="00B66405" w:rsidRPr="00C30927" w:rsidTr="007F5394">
        <w:tc>
          <w:tcPr>
            <w:tcW w:w="9923" w:type="dxa"/>
          </w:tcPr>
          <w:p w:rsidR="007F5394" w:rsidRPr="00C30927" w:rsidRDefault="00B66405" w:rsidP="00C30927">
            <w:pPr>
              <w:pStyle w:val="NoSpacing"/>
              <w:rPr>
                <w:b/>
                <w:lang w:val="it-IT"/>
              </w:rPr>
            </w:pPr>
            <w:r w:rsidRPr="00C30927">
              <w:rPr>
                <w:u w:val="single"/>
                <w:lang w:val="ro-RO"/>
              </w:rPr>
              <w:t>Asupra sănăt</w:t>
            </w:r>
            <w:r w:rsidR="00DE5738" w:rsidRPr="00C30927">
              <w:rPr>
                <w:u w:val="single"/>
                <w:lang w:val="ro-RO"/>
              </w:rPr>
              <w:t>ăt</w:t>
            </w:r>
            <w:r w:rsidRPr="00C30927">
              <w:rPr>
                <w:u w:val="single"/>
                <w:lang w:val="ro-RO"/>
              </w:rPr>
              <w:t xml:space="preserve">ii animalelor </w:t>
            </w:r>
            <w:r w:rsidR="001B6A97" w:rsidRPr="00C30927">
              <w:rPr>
                <w:u w:val="single"/>
                <w:lang w:val="ro-RO"/>
              </w:rPr>
              <w:t>:</w:t>
            </w:r>
            <w:r w:rsidR="001B6A97" w:rsidRPr="00C30927">
              <w:rPr>
                <w:lang w:val="it-IT"/>
              </w:rPr>
              <w:t xml:space="preserve"> </w:t>
            </w:r>
          </w:p>
          <w:p w:rsidR="007F5394" w:rsidRPr="00C30927" w:rsidRDefault="007F5394" w:rsidP="00C30927">
            <w:pPr>
              <w:pStyle w:val="NoSpacing"/>
              <w:rPr>
                <w:lang w:val="it-IT"/>
              </w:rPr>
            </w:pPr>
            <w:r w:rsidRPr="00C30927">
              <w:rPr>
                <w:lang w:val="it-IT"/>
              </w:rPr>
              <w:t>Periculos pentru animalele sălbatice</w:t>
            </w:r>
          </w:p>
          <w:p w:rsidR="007F5394" w:rsidRPr="00C30927" w:rsidRDefault="007F5394" w:rsidP="00C30927">
            <w:pPr>
              <w:pStyle w:val="NoSpacing"/>
              <w:rPr>
                <w:bCs/>
                <w:lang w:val="fr-FR"/>
              </w:rPr>
            </w:pPr>
            <w:r w:rsidRPr="00C30927">
              <w:rPr>
                <w:bCs/>
                <w:lang w:val="fr-FR"/>
              </w:rPr>
              <w:t>Caracterizarea riscului indică un risc foarte mare pentru mamiferele și păsările nețintă</w:t>
            </w:r>
            <w:r w:rsidRPr="00C30927">
              <w:rPr>
                <w:b/>
                <w:lang w:val="fr-FR"/>
              </w:rPr>
              <w:t xml:space="preserve"> </w:t>
            </w:r>
            <w:r w:rsidRPr="00C30927">
              <w:rPr>
                <w:bCs/>
                <w:lang w:val="fr-FR"/>
              </w:rPr>
              <w:t>din consumul direct de momeală. Conform evaluării calitative, efectele letale nu sunt probabile, dar animalele ar suferi efecte sub-letale. Incidentele de otrăvire primară pot fi reduse la minimum prin împiedicarea accesului animalelor nevizate la momeli. In cazul în care momelile de rodenticid sunt utilizate în conformitate cu instrucțiunile de pe etichetă, riscul otrăvirii primare este neglijabil. Cu toate acestea, este posibil să nu fie posibil să se excludă expunerea tuturor animalelor nețintă, deoarece momele trebuie să fie accesibile pentru rozătoarele țintă, astfel încât acestea să poată fi accesibile și mamiferelor și păsărilor nețintă care au o dimensiune egală sau mai mică decât țintă rozătoare.</w:t>
            </w:r>
          </w:p>
          <w:p w:rsidR="007F5394" w:rsidRPr="00C30927" w:rsidRDefault="007F5394" w:rsidP="00C30927">
            <w:pPr>
              <w:pStyle w:val="NoSpacing"/>
              <w:rPr>
                <w:bCs/>
                <w:lang w:val="fr-FR"/>
              </w:rPr>
            </w:pPr>
            <w:r w:rsidRPr="00C30927">
              <w:rPr>
                <w:bCs/>
                <w:lang w:val="fr-FR"/>
              </w:rPr>
              <w:t>În mediul terestru, păsările și mamiferele pot fi expuse riscului otrăvirii secundare dacă se hrănesc cu organisme contaminate ale solului. Calculele teoretice, rezultatele experimentale și datele de monitorizare arată clar că difenacumul prezintă un risc de intoxicație secundară. Cu toate acestea, calculele teoretice pot supraestima reziduurile acumulate la prădători. Pentru a reduce riscul otrăvirii secundare, este foarte important să se respecte instrucțiunile de utilizare a momelilor rodenticide și să se țină seama cu atenție de măsurile de reducere a riscurilor.</w:t>
            </w:r>
          </w:p>
          <w:p w:rsidR="007F5394" w:rsidRPr="00C30927" w:rsidRDefault="007F5394" w:rsidP="00C30927">
            <w:pPr>
              <w:pStyle w:val="NoSpacing"/>
              <w:rPr>
                <w:lang w:val="fr-FR"/>
              </w:rPr>
            </w:pPr>
            <w:r w:rsidRPr="00C30927">
              <w:rPr>
                <w:lang w:val="fr-FR"/>
              </w:rPr>
              <w:t>Efecte adverse directe sau indirecte asupra animalelor:</w:t>
            </w:r>
          </w:p>
          <w:p w:rsidR="007F5394" w:rsidRPr="00C30927" w:rsidRDefault="007F5394" w:rsidP="00C30927">
            <w:pPr>
              <w:pStyle w:val="NoSpacing"/>
              <w:rPr>
                <w:lang w:val="fr-FR"/>
              </w:rPr>
            </w:pPr>
            <w:r w:rsidRPr="00C30927">
              <w:rPr>
                <w:lang w:val="fr-FR"/>
              </w:rPr>
              <w:t>Produsul este gustos pentru speciile nevizate în cantitate suficientă pentru a produce efecte toxice. Substanța activă va avea același efect toxic la speciile nevizate ca la speciile țintă.</w:t>
            </w:r>
          </w:p>
          <w:p w:rsidR="007F5394" w:rsidRPr="00C30927" w:rsidRDefault="007F5394" w:rsidP="00C30927">
            <w:pPr>
              <w:pStyle w:val="NoSpacing"/>
              <w:rPr>
                <w:lang w:val="fr-FR"/>
              </w:rPr>
            </w:pPr>
            <w:r w:rsidRPr="00C30927">
              <w:rPr>
                <w:lang w:val="fr-FR"/>
              </w:rPr>
              <w:t>Acest produs conține o substanță anticoagulantă. Dacă este înghițit, simptomele, care pot avea efect întârziat, pot include hemoragii nazale și sângerări gingivale ce derivă din efect antiprotrombinic – timp prelungit de protrombină – care apare în minim 24 de ore și maxim 72 de ore (un timp normal de protrombină la internare nu exclude diagnosticul).</w:t>
            </w:r>
          </w:p>
          <w:p w:rsidR="007F5394" w:rsidRPr="00C30927" w:rsidRDefault="007F5394" w:rsidP="00C30927">
            <w:pPr>
              <w:pStyle w:val="NoSpacing"/>
              <w:rPr>
                <w:lang w:val="fr-FR"/>
              </w:rPr>
            </w:pPr>
            <w:r w:rsidRPr="00C30927">
              <w:rPr>
                <w:lang w:val="fr-FR"/>
              </w:rPr>
              <w:t xml:space="preserve">În cazuri grave, pot apărea contuzii și pot exista urme </w:t>
            </w:r>
            <w:r w:rsidR="0065190E" w:rsidRPr="00C30927">
              <w:rPr>
                <w:lang w:val="fr-FR"/>
              </w:rPr>
              <w:t xml:space="preserve">de sânge în fecale sau urină.  </w:t>
            </w:r>
          </w:p>
          <w:p w:rsidR="007F5394" w:rsidRPr="00C30927" w:rsidRDefault="007F5394" w:rsidP="00C30927">
            <w:pPr>
              <w:pStyle w:val="NoSpacing"/>
              <w:rPr>
                <w:lang w:val="fr-FR"/>
              </w:rPr>
            </w:pPr>
            <w:r w:rsidRPr="00C30927">
              <w:rPr>
                <w:lang w:val="fr-FR"/>
              </w:rPr>
              <w:t xml:space="preserve">Nu se provoaca voma. În caz de înghițire de catre un animal de companie se va consulta imediat medicul veterinar arătand recipientul sau eticheta produsului. </w:t>
            </w:r>
          </w:p>
          <w:p w:rsidR="00DE5738" w:rsidRPr="00C30927" w:rsidRDefault="007F5394" w:rsidP="00C30927">
            <w:pPr>
              <w:pStyle w:val="NoSpacing"/>
              <w:rPr>
                <w:lang w:val="fr-FR"/>
              </w:rPr>
            </w:pPr>
            <w:r w:rsidRPr="00C30927">
              <w:rPr>
                <w:lang w:val="fr-FR"/>
              </w:rPr>
              <w:t xml:space="preserve">Antidot: Vitamina K1 administrată numai de personal medical / veterinar care va verifica timpul </w:t>
            </w:r>
            <w:r w:rsidRPr="00C30927">
              <w:rPr>
                <w:lang w:val="fr-FR"/>
              </w:rPr>
              <w:lastRenderedPageBreak/>
              <w:t>protrombinei si va aplica tratament simptomatic. Sunt contraindicate anticoagulantele.</w:t>
            </w:r>
          </w:p>
        </w:tc>
      </w:tr>
      <w:tr w:rsidR="00B66405" w:rsidRPr="00C30927" w:rsidTr="007F5394">
        <w:tc>
          <w:tcPr>
            <w:tcW w:w="9923" w:type="dxa"/>
          </w:tcPr>
          <w:p w:rsidR="00E17E3F" w:rsidRPr="00C30927" w:rsidRDefault="00B66405" w:rsidP="00C30927">
            <w:pPr>
              <w:pStyle w:val="NoSpacing"/>
              <w:rPr>
                <w:lang w:val="ro-RO"/>
              </w:rPr>
            </w:pPr>
            <w:r w:rsidRPr="00C30927">
              <w:rPr>
                <w:u w:val="single"/>
                <w:lang w:val="ro-RO"/>
              </w:rPr>
              <w:lastRenderedPageBreak/>
              <w:t>Asupra mediului</w:t>
            </w:r>
            <w:r w:rsidR="00400263" w:rsidRPr="00C30927">
              <w:rPr>
                <w:lang w:val="ro-RO"/>
              </w:rPr>
              <w:t xml:space="preserve">: </w:t>
            </w:r>
            <w:r w:rsidR="00E17E3F" w:rsidRPr="00C30927">
              <w:rPr>
                <w:lang w:val="ro-RO"/>
              </w:rPr>
              <w:t xml:space="preserve">Sol: Trebuie evitata cat mai mult expunerea solului la produsul formulat precum si evitarea patrunderii in sol, tinand cont de proprietatile PBT ale brodifacoumului. </w:t>
            </w:r>
          </w:p>
          <w:p w:rsidR="00E17E3F" w:rsidRPr="00C30927" w:rsidRDefault="00E17E3F" w:rsidP="00C30927">
            <w:pPr>
              <w:pStyle w:val="NoSpacing"/>
              <w:rPr>
                <w:lang w:val="ro-RO"/>
              </w:rPr>
            </w:pPr>
            <w:r w:rsidRPr="00C30927">
              <w:rPr>
                <w:lang w:val="ro-RO"/>
              </w:rPr>
              <w:t>Apa: Produsul nu prezinta risc neacceptabil pentru mediul acvatic atunci cand este utilizat conform instructiunilor.</w:t>
            </w:r>
          </w:p>
          <w:p w:rsidR="00E17E3F" w:rsidRPr="00C30927" w:rsidRDefault="00E17E3F" w:rsidP="00C30927">
            <w:pPr>
              <w:pStyle w:val="NoSpacing"/>
              <w:rPr>
                <w:lang w:val="ro-RO"/>
              </w:rPr>
            </w:pPr>
            <w:r w:rsidRPr="00C30927">
              <w:rPr>
                <w:lang w:val="ro-RO"/>
              </w:rPr>
              <w:t xml:space="preserve"> Aer: Nu este de asteptat sa apara pierderi , acumulari de substanta activa in aer in timpul utilizarii. </w:t>
            </w:r>
          </w:p>
          <w:p w:rsidR="00E17E3F" w:rsidRPr="00C30927" w:rsidRDefault="00E17E3F" w:rsidP="00C30927">
            <w:pPr>
              <w:pStyle w:val="NoSpacing"/>
              <w:rPr>
                <w:lang w:val="ro-RO"/>
              </w:rPr>
            </w:pPr>
            <w:r w:rsidRPr="00C30927">
              <w:rPr>
                <w:lang w:val="ro-RO"/>
              </w:rPr>
              <w:t xml:space="preserve">Organisme acvatice : Produsul prezinta un risc acceptabil considerand efectul acut si cronic de categoria I </w:t>
            </w:r>
          </w:p>
          <w:p w:rsidR="00076880" w:rsidRPr="00C30927" w:rsidRDefault="00E17E3F" w:rsidP="00C30927">
            <w:pPr>
              <w:pStyle w:val="NoSpacing"/>
              <w:rPr>
                <w:lang w:val="ro-RO"/>
              </w:rPr>
            </w:pPr>
            <w:r w:rsidRPr="00C30927">
              <w:rPr>
                <w:lang w:val="ro-RO"/>
              </w:rPr>
              <w:t>Alte organisme netinta: Produsul nu prezinta risc neacceptabil pentru organismele din mediul terestru cand este utilizat conform instructiunilor: utilizare in campanii cu durata limitata (maxim 35 zile), limitarea accesului organismelor netinta la cutiile pentru momeala precum si indepartarea rozatoarelor moarte si muribunde in timpul campaniei.</w:t>
            </w:r>
          </w:p>
        </w:tc>
      </w:tr>
    </w:tbl>
    <w:p w:rsidR="00FF3D0E" w:rsidRPr="00C30927" w:rsidRDefault="00FF3D0E" w:rsidP="00C30927">
      <w:pPr>
        <w:pStyle w:val="NoSpacing"/>
        <w:rPr>
          <w:b/>
          <w:lang w:val="ro-RO"/>
        </w:rPr>
      </w:pPr>
    </w:p>
    <w:p w:rsidR="00B66405" w:rsidRPr="00C30927" w:rsidRDefault="00B66405" w:rsidP="00C30927">
      <w:pPr>
        <w:pStyle w:val="NoSpacing"/>
        <w:rPr>
          <w:b/>
          <w:lang w:val="ro-RO"/>
        </w:rPr>
      </w:pPr>
      <w:r w:rsidRPr="00C30927">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346"/>
        <w:gridCol w:w="1788"/>
        <w:gridCol w:w="2100"/>
        <w:gridCol w:w="2345"/>
      </w:tblGrid>
      <w:tr w:rsidR="007F5394" w:rsidRPr="00C30927" w:rsidTr="007F5394">
        <w:tc>
          <w:tcPr>
            <w:tcW w:w="1344"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b/>
                <w:lang w:val="ro-RO"/>
              </w:rPr>
            </w:pPr>
            <w:r w:rsidRPr="00C30927">
              <w:rPr>
                <w:color w:val="000000"/>
                <w:lang w:val="ro-RO"/>
              </w:rPr>
              <w:t>Activitatea</w:t>
            </w:r>
          </w:p>
        </w:tc>
        <w:tc>
          <w:tcPr>
            <w:tcW w:w="2346"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b/>
                <w:lang w:val="ro-RO"/>
              </w:rPr>
            </w:pPr>
            <w:r w:rsidRPr="00C30927">
              <w:rPr>
                <w:color w:val="000000"/>
                <w:lang w:val="ro-RO"/>
              </w:rPr>
              <w:t>Metoda de testare / Protocolul de testare</w:t>
            </w:r>
          </w:p>
        </w:tc>
        <w:tc>
          <w:tcPr>
            <w:tcW w:w="1788"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b/>
                <w:lang w:val="ro-RO"/>
              </w:rPr>
            </w:pPr>
            <w:r w:rsidRPr="00C30927">
              <w:rPr>
                <w:color w:val="000000"/>
                <w:lang w:val="ro-RO"/>
              </w:rPr>
              <w:t xml:space="preserve">Specia/Tulpina </w:t>
            </w:r>
          </w:p>
        </w:tc>
        <w:tc>
          <w:tcPr>
            <w:tcW w:w="2100"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b/>
                <w:lang w:val="ro-RO"/>
              </w:rPr>
            </w:pPr>
            <w:r w:rsidRPr="00C30927">
              <w:rPr>
                <w:color w:val="000000"/>
                <w:lang w:val="ro-RO"/>
              </w:rPr>
              <w:t>Concentraţii</w:t>
            </w:r>
          </w:p>
        </w:tc>
        <w:tc>
          <w:tcPr>
            <w:tcW w:w="2345"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b/>
                <w:lang w:val="ro-RO"/>
              </w:rPr>
            </w:pPr>
            <w:r w:rsidRPr="00C30927">
              <w:rPr>
                <w:color w:val="000000"/>
                <w:lang w:val="ro-RO"/>
              </w:rPr>
              <w:t>Timpi de acţiune</w:t>
            </w:r>
          </w:p>
        </w:tc>
      </w:tr>
      <w:tr w:rsidR="007F5394" w:rsidRPr="00C30927" w:rsidTr="007F5394">
        <w:tc>
          <w:tcPr>
            <w:tcW w:w="1344"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lang w:val="ro-RO"/>
              </w:rPr>
              <w:t>(1) Evaluarea eficacitatii</w:t>
            </w:r>
          </w:p>
          <w:p w:rsidR="007F5394" w:rsidRPr="00C30927" w:rsidRDefault="007F5394" w:rsidP="00C30927">
            <w:pPr>
              <w:rPr>
                <w:lang w:val="ro-RO"/>
              </w:rPr>
            </w:pPr>
            <w:r w:rsidRPr="00C30927">
              <w:rPr>
                <w:lang w:val="ro-RO"/>
              </w:rPr>
              <w:t>biocide</w:t>
            </w:r>
          </w:p>
        </w:tc>
        <w:tc>
          <w:tcPr>
            <w:tcW w:w="2346" w:type="dxa"/>
            <w:tcBorders>
              <w:top w:val="single" w:sz="4" w:space="0" w:color="auto"/>
              <w:left w:val="single" w:sz="4" w:space="0" w:color="auto"/>
              <w:bottom w:val="single" w:sz="4" w:space="0" w:color="auto"/>
              <w:right w:val="single" w:sz="4" w:space="0" w:color="auto"/>
            </w:tcBorders>
          </w:tcPr>
          <w:p w:rsidR="007F5394" w:rsidRPr="00C30927" w:rsidRDefault="007F5394" w:rsidP="00C30927">
            <w:r w:rsidRPr="00C30927">
              <w:t>Test de hranire la alegere – in conditii de laborator, durata de hranire - 4 zile</w:t>
            </w:r>
          </w:p>
        </w:tc>
        <w:tc>
          <w:tcPr>
            <w:tcW w:w="1788"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it-IT"/>
              </w:rPr>
            </w:pPr>
            <w:r w:rsidRPr="00C30927">
              <w:rPr>
                <w:i/>
                <w:lang w:val="it-IT"/>
              </w:rPr>
              <w:t>Rattus norvegicus</w:t>
            </w:r>
            <w:r w:rsidRPr="00C30927">
              <w:rPr>
                <w:lang w:val="it-IT"/>
              </w:rPr>
              <w:t xml:space="preserve"> (sobolanul cenusiu) </w:t>
            </w:r>
          </w:p>
        </w:tc>
        <w:tc>
          <w:tcPr>
            <w:tcW w:w="210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84"/>
            </w:tblGrid>
            <w:tr w:rsidR="007F5394" w:rsidRPr="00C30927" w:rsidTr="007F5394">
              <w:trPr>
                <w:trHeight w:val="349"/>
              </w:trPr>
              <w:tc>
                <w:tcPr>
                  <w:tcW w:w="0" w:type="auto"/>
                  <w:tcBorders>
                    <w:top w:val="nil"/>
                    <w:left w:val="nil"/>
                    <w:bottom w:val="nil"/>
                    <w:right w:val="nil"/>
                  </w:tcBorders>
                  <w:hideMark/>
                </w:tcPr>
                <w:p w:rsidR="007F5394" w:rsidRPr="00C30927" w:rsidRDefault="007F5394" w:rsidP="00C30927">
                  <w:pPr>
                    <w:autoSpaceDE w:val="0"/>
                    <w:autoSpaceDN w:val="0"/>
                    <w:adjustRightInd w:val="0"/>
                    <w:rPr>
                      <w:lang w:val="ro-RO"/>
                    </w:rPr>
                  </w:pPr>
                  <w:r w:rsidRPr="00C30927">
                    <w:rPr>
                      <w:lang w:val="ro-RO"/>
                    </w:rPr>
                    <w:t xml:space="preserve">Masculi: Consum  momeala: 41,77% din consumul total. </w:t>
                  </w:r>
                </w:p>
                <w:p w:rsidR="007F5394" w:rsidRPr="00C30927" w:rsidRDefault="007F5394" w:rsidP="00C30927">
                  <w:pPr>
                    <w:autoSpaceDE w:val="0"/>
                    <w:autoSpaceDN w:val="0"/>
                    <w:adjustRightInd w:val="0"/>
                    <w:rPr>
                      <w:lang w:val="ro-RO"/>
                    </w:rPr>
                  </w:pPr>
                  <w:r w:rsidRPr="00C30927">
                    <w:rPr>
                      <w:lang w:val="ro-RO"/>
                    </w:rPr>
                    <w:t xml:space="preserve">Femele: </w:t>
                  </w:r>
                </w:p>
                <w:p w:rsidR="007F5394" w:rsidRPr="00C30927" w:rsidRDefault="007F5394" w:rsidP="00C30927">
                  <w:pPr>
                    <w:autoSpaceDE w:val="0"/>
                    <w:autoSpaceDN w:val="0"/>
                    <w:adjustRightInd w:val="0"/>
                    <w:rPr>
                      <w:rFonts w:eastAsia="Calibri"/>
                      <w:color w:val="000000"/>
                    </w:rPr>
                  </w:pPr>
                  <w:r w:rsidRPr="00C30927">
                    <w:rPr>
                      <w:lang w:val="ro-RO"/>
                    </w:rPr>
                    <w:t>Consum  momeala: 36,84% din consumul total.</w:t>
                  </w:r>
                </w:p>
              </w:tc>
            </w:tr>
          </w:tbl>
          <w:p w:rsidR="007F5394" w:rsidRPr="00C30927" w:rsidRDefault="007F5394" w:rsidP="00C30927">
            <w:pPr>
              <w:rPr>
                <w:rFonts w:eastAsia="Calibri"/>
              </w:rPr>
            </w:pPr>
          </w:p>
        </w:tc>
        <w:tc>
          <w:tcPr>
            <w:tcW w:w="2345"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lang w:val="ro-RO"/>
              </w:rPr>
              <w:t xml:space="preserve">Mortalitate  </w:t>
            </w:r>
          </w:p>
          <w:p w:rsidR="007F5394" w:rsidRPr="00C30927" w:rsidRDefault="007F5394" w:rsidP="00C30927">
            <w:pPr>
              <w:rPr>
                <w:lang w:val="ro-RO"/>
              </w:rPr>
            </w:pPr>
            <w:r w:rsidRPr="00C30927">
              <w:rPr>
                <w:lang w:val="ro-RO"/>
              </w:rPr>
              <w:t>100% in 12 zile – masculi si 8 zile - femele.</w:t>
            </w:r>
          </w:p>
        </w:tc>
      </w:tr>
      <w:tr w:rsidR="007F5394" w:rsidRPr="00C30927" w:rsidTr="007F5394">
        <w:tc>
          <w:tcPr>
            <w:tcW w:w="1344"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lang w:val="ro-RO"/>
              </w:rPr>
              <w:t>(2) Evaluarea eficacitatii</w:t>
            </w:r>
          </w:p>
          <w:p w:rsidR="007F5394" w:rsidRPr="00C30927" w:rsidRDefault="007F5394" w:rsidP="00C30927">
            <w:pPr>
              <w:rPr>
                <w:lang w:val="ro-RO"/>
              </w:rPr>
            </w:pPr>
            <w:r w:rsidRPr="00C30927">
              <w:rPr>
                <w:lang w:val="ro-RO"/>
              </w:rPr>
              <w:t>biocide</w:t>
            </w:r>
          </w:p>
        </w:tc>
        <w:tc>
          <w:tcPr>
            <w:tcW w:w="2346" w:type="dxa"/>
            <w:tcBorders>
              <w:top w:val="single" w:sz="4" w:space="0" w:color="auto"/>
              <w:left w:val="single" w:sz="4" w:space="0" w:color="auto"/>
              <w:bottom w:val="single" w:sz="4" w:space="0" w:color="auto"/>
              <w:right w:val="single" w:sz="4" w:space="0" w:color="auto"/>
            </w:tcBorders>
          </w:tcPr>
          <w:p w:rsidR="007F5394" w:rsidRPr="00C30927" w:rsidRDefault="007F5394" w:rsidP="00C30927">
            <w:r w:rsidRPr="00C30927">
              <w:t>Test de hranire la alegere cu momeala imbatranita 17 saptamani – in conditii de laborator, durata de hranire - 4 zile</w:t>
            </w:r>
          </w:p>
        </w:tc>
        <w:tc>
          <w:tcPr>
            <w:tcW w:w="1788"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i/>
                <w:lang w:val="it-IT"/>
              </w:rPr>
              <w:t>Rattus norvegicus</w:t>
            </w:r>
            <w:r w:rsidRPr="00C30927">
              <w:rPr>
                <w:lang w:val="it-IT"/>
              </w:rPr>
              <w:t xml:space="preserve"> (sobolanul cenusiu) CD</w:t>
            </w:r>
          </w:p>
        </w:tc>
        <w:tc>
          <w:tcPr>
            <w:tcW w:w="2100"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autoSpaceDE w:val="0"/>
              <w:autoSpaceDN w:val="0"/>
              <w:adjustRightInd w:val="0"/>
              <w:rPr>
                <w:lang w:val="ro-RO"/>
              </w:rPr>
            </w:pPr>
            <w:r w:rsidRPr="00C30927">
              <w:rPr>
                <w:lang w:val="ro-RO"/>
              </w:rPr>
              <w:t xml:space="preserve">Masculi: Consum  momeala: 39,83% din consumul total. </w:t>
            </w:r>
          </w:p>
          <w:p w:rsidR="007F5394" w:rsidRPr="00C30927" w:rsidRDefault="007F5394" w:rsidP="00C30927">
            <w:pPr>
              <w:autoSpaceDE w:val="0"/>
              <w:autoSpaceDN w:val="0"/>
              <w:adjustRightInd w:val="0"/>
              <w:rPr>
                <w:lang w:val="ro-RO"/>
              </w:rPr>
            </w:pPr>
            <w:r w:rsidRPr="00C30927">
              <w:rPr>
                <w:lang w:val="ro-RO"/>
              </w:rPr>
              <w:t xml:space="preserve">Femele: </w:t>
            </w:r>
          </w:p>
          <w:p w:rsidR="007F5394" w:rsidRPr="00C30927" w:rsidRDefault="007F5394" w:rsidP="00C30927">
            <w:pPr>
              <w:rPr>
                <w:lang w:val="ro-RO"/>
              </w:rPr>
            </w:pPr>
            <w:r w:rsidRPr="00C30927">
              <w:rPr>
                <w:lang w:val="ro-RO"/>
              </w:rPr>
              <w:t>Consum  momeala: 43,83% din consumul total.</w:t>
            </w:r>
          </w:p>
        </w:tc>
        <w:tc>
          <w:tcPr>
            <w:tcW w:w="2345"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lang w:val="ro-RO"/>
              </w:rPr>
              <w:t xml:space="preserve">Mortalitate  </w:t>
            </w:r>
          </w:p>
          <w:p w:rsidR="007F5394" w:rsidRPr="00C30927" w:rsidRDefault="007F5394" w:rsidP="00C30927">
            <w:pPr>
              <w:rPr>
                <w:lang w:val="ro-RO"/>
              </w:rPr>
            </w:pPr>
            <w:r w:rsidRPr="00C30927">
              <w:rPr>
                <w:lang w:val="ro-RO"/>
              </w:rPr>
              <w:t>100% in 9 zile – masculi si  femele.</w:t>
            </w:r>
          </w:p>
        </w:tc>
      </w:tr>
      <w:tr w:rsidR="007F5394" w:rsidRPr="00C30927" w:rsidTr="007F5394">
        <w:tc>
          <w:tcPr>
            <w:tcW w:w="1344"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lang w:val="ro-RO"/>
              </w:rPr>
              <w:t>(3) Evaluarea eficacitatii</w:t>
            </w:r>
          </w:p>
          <w:p w:rsidR="007F5394" w:rsidRPr="00C30927" w:rsidRDefault="007F5394" w:rsidP="00C30927">
            <w:pPr>
              <w:rPr>
                <w:lang w:val="ro-RO"/>
              </w:rPr>
            </w:pPr>
            <w:r w:rsidRPr="00C30927">
              <w:rPr>
                <w:lang w:val="ro-RO"/>
              </w:rPr>
              <w:t>biocide</w:t>
            </w:r>
          </w:p>
        </w:tc>
        <w:tc>
          <w:tcPr>
            <w:tcW w:w="2346"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t>Test de hranire la alegere – in conditii de laborator, durata de hranire - 4 zile</w:t>
            </w:r>
          </w:p>
        </w:tc>
        <w:tc>
          <w:tcPr>
            <w:tcW w:w="1788"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i/>
                <w:lang w:val="it-IT"/>
              </w:rPr>
              <w:t>Mus musculus</w:t>
            </w:r>
            <w:r w:rsidRPr="00C30927">
              <w:rPr>
                <w:lang w:val="it-IT"/>
              </w:rPr>
              <w:t xml:space="preserve"> (soarecele de casa) </w:t>
            </w:r>
          </w:p>
        </w:tc>
        <w:tc>
          <w:tcPr>
            <w:tcW w:w="2100"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autoSpaceDE w:val="0"/>
              <w:autoSpaceDN w:val="0"/>
              <w:adjustRightInd w:val="0"/>
              <w:rPr>
                <w:lang w:val="ro-RO"/>
              </w:rPr>
            </w:pPr>
            <w:r w:rsidRPr="00C30927">
              <w:rPr>
                <w:lang w:val="ro-RO"/>
              </w:rPr>
              <w:t xml:space="preserve">Masculi: Consum  momeala: 80,31% din consumul total. </w:t>
            </w:r>
          </w:p>
          <w:p w:rsidR="007F5394" w:rsidRPr="00C30927" w:rsidRDefault="007F5394" w:rsidP="00C30927">
            <w:pPr>
              <w:autoSpaceDE w:val="0"/>
              <w:autoSpaceDN w:val="0"/>
              <w:adjustRightInd w:val="0"/>
              <w:rPr>
                <w:lang w:val="ro-RO"/>
              </w:rPr>
            </w:pPr>
            <w:r w:rsidRPr="00C30927">
              <w:rPr>
                <w:lang w:val="ro-RO"/>
              </w:rPr>
              <w:t xml:space="preserve">Femele: </w:t>
            </w:r>
          </w:p>
          <w:p w:rsidR="007F5394" w:rsidRPr="00C30927" w:rsidRDefault="007F5394" w:rsidP="00C30927">
            <w:pPr>
              <w:rPr>
                <w:lang w:val="it-IT"/>
              </w:rPr>
            </w:pPr>
            <w:r w:rsidRPr="00C30927">
              <w:rPr>
                <w:lang w:val="ro-RO"/>
              </w:rPr>
              <w:t>Consum  momeala: 71,70% din consumul total.</w:t>
            </w:r>
          </w:p>
        </w:tc>
        <w:tc>
          <w:tcPr>
            <w:tcW w:w="2345"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lang w:val="ro-RO"/>
              </w:rPr>
              <w:t xml:space="preserve">Mortalitate  </w:t>
            </w:r>
          </w:p>
          <w:p w:rsidR="007F5394" w:rsidRPr="00C30927" w:rsidRDefault="007F5394" w:rsidP="00C30927">
            <w:pPr>
              <w:rPr>
                <w:lang w:val="ro-RO"/>
              </w:rPr>
            </w:pPr>
            <w:r w:rsidRPr="00C30927">
              <w:rPr>
                <w:lang w:val="ro-RO"/>
              </w:rPr>
              <w:t>100% in 8 zile – masculi si 11 zile - femele.</w:t>
            </w:r>
          </w:p>
        </w:tc>
      </w:tr>
      <w:tr w:rsidR="007F5394" w:rsidRPr="00C30927" w:rsidTr="007F5394">
        <w:tc>
          <w:tcPr>
            <w:tcW w:w="1344"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lang w:val="ro-RO"/>
              </w:rPr>
              <w:t xml:space="preserve">(4) Evaluarea </w:t>
            </w:r>
            <w:r w:rsidRPr="00C30927">
              <w:rPr>
                <w:lang w:val="ro-RO"/>
              </w:rPr>
              <w:lastRenderedPageBreak/>
              <w:t>eficacitatii</w:t>
            </w:r>
          </w:p>
          <w:p w:rsidR="007F5394" w:rsidRPr="00C30927" w:rsidRDefault="007F5394" w:rsidP="00C30927">
            <w:pPr>
              <w:rPr>
                <w:lang w:val="ro-RO"/>
              </w:rPr>
            </w:pPr>
            <w:r w:rsidRPr="00C30927">
              <w:rPr>
                <w:lang w:val="ro-RO"/>
              </w:rPr>
              <w:t>biocide</w:t>
            </w:r>
          </w:p>
        </w:tc>
        <w:tc>
          <w:tcPr>
            <w:tcW w:w="2346"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lastRenderedPageBreak/>
              <w:t xml:space="preserve">Test de hranire la alegere cu momeala </w:t>
            </w:r>
            <w:r w:rsidRPr="00C30927">
              <w:lastRenderedPageBreak/>
              <w:t>imbatranita 17 saptamani – in conditii de laborator, durata de hranire - 4 zile</w:t>
            </w:r>
          </w:p>
        </w:tc>
        <w:tc>
          <w:tcPr>
            <w:tcW w:w="1788"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i/>
                <w:lang w:val="it-IT"/>
              </w:rPr>
              <w:lastRenderedPageBreak/>
              <w:t>Mus musculus</w:t>
            </w:r>
            <w:r w:rsidRPr="00C30927">
              <w:rPr>
                <w:lang w:val="it-IT"/>
              </w:rPr>
              <w:t xml:space="preserve"> (soarecele de </w:t>
            </w:r>
            <w:r w:rsidRPr="00C30927">
              <w:rPr>
                <w:lang w:val="it-IT"/>
              </w:rPr>
              <w:lastRenderedPageBreak/>
              <w:t>casa)</w:t>
            </w:r>
          </w:p>
        </w:tc>
        <w:tc>
          <w:tcPr>
            <w:tcW w:w="2100"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autoSpaceDE w:val="0"/>
              <w:autoSpaceDN w:val="0"/>
              <w:adjustRightInd w:val="0"/>
              <w:rPr>
                <w:lang w:val="ro-RO"/>
              </w:rPr>
            </w:pPr>
            <w:r w:rsidRPr="00C30927">
              <w:rPr>
                <w:lang w:val="ro-RO"/>
              </w:rPr>
              <w:lastRenderedPageBreak/>
              <w:t xml:space="preserve">Masculi: Consum  momeala: 78,76% </w:t>
            </w:r>
            <w:r w:rsidRPr="00C30927">
              <w:rPr>
                <w:lang w:val="ro-RO"/>
              </w:rPr>
              <w:lastRenderedPageBreak/>
              <w:t xml:space="preserve">din consumul total. </w:t>
            </w:r>
          </w:p>
          <w:p w:rsidR="007F5394" w:rsidRPr="00C30927" w:rsidRDefault="007F5394" w:rsidP="00C30927">
            <w:pPr>
              <w:autoSpaceDE w:val="0"/>
              <w:autoSpaceDN w:val="0"/>
              <w:adjustRightInd w:val="0"/>
              <w:rPr>
                <w:lang w:val="ro-RO"/>
              </w:rPr>
            </w:pPr>
            <w:r w:rsidRPr="00C30927">
              <w:rPr>
                <w:lang w:val="ro-RO"/>
              </w:rPr>
              <w:t xml:space="preserve">Femele: </w:t>
            </w:r>
          </w:p>
          <w:p w:rsidR="007F5394" w:rsidRPr="00C30927" w:rsidRDefault="007F5394" w:rsidP="00C30927">
            <w:pPr>
              <w:rPr>
                <w:lang w:val="it-IT"/>
              </w:rPr>
            </w:pPr>
            <w:r w:rsidRPr="00C30927">
              <w:rPr>
                <w:lang w:val="ro-RO"/>
              </w:rPr>
              <w:t>Consum  momeala: 73,17% din consumul total.</w:t>
            </w:r>
          </w:p>
        </w:tc>
        <w:tc>
          <w:tcPr>
            <w:tcW w:w="2345" w:type="dxa"/>
            <w:tcBorders>
              <w:top w:val="single" w:sz="4" w:space="0" w:color="auto"/>
              <w:left w:val="single" w:sz="4" w:space="0" w:color="auto"/>
              <w:bottom w:val="single" w:sz="4" w:space="0" w:color="auto"/>
              <w:right w:val="single" w:sz="4" w:space="0" w:color="auto"/>
            </w:tcBorders>
            <w:hideMark/>
          </w:tcPr>
          <w:p w:rsidR="007F5394" w:rsidRPr="00C30927" w:rsidRDefault="007F5394" w:rsidP="00C30927">
            <w:pPr>
              <w:rPr>
                <w:lang w:val="ro-RO"/>
              </w:rPr>
            </w:pPr>
            <w:r w:rsidRPr="00C30927">
              <w:rPr>
                <w:lang w:val="ro-RO"/>
              </w:rPr>
              <w:lastRenderedPageBreak/>
              <w:t xml:space="preserve">Mortalitate  </w:t>
            </w:r>
          </w:p>
          <w:p w:rsidR="007F5394" w:rsidRPr="00C30927" w:rsidRDefault="007F5394" w:rsidP="00C30927">
            <w:pPr>
              <w:rPr>
                <w:lang w:val="ro-RO"/>
              </w:rPr>
            </w:pPr>
            <w:r w:rsidRPr="00C30927">
              <w:rPr>
                <w:lang w:val="ro-RO"/>
              </w:rPr>
              <w:t xml:space="preserve">100% in 12 zile – </w:t>
            </w:r>
            <w:r w:rsidRPr="00C30927">
              <w:rPr>
                <w:lang w:val="ro-RO"/>
              </w:rPr>
              <w:lastRenderedPageBreak/>
              <w:t>masculi si  femele.</w:t>
            </w:r>
          </w:p>
        </w:tc>
      </w:tr>
      <w:tr w:rsidR="007F5394" w:rsidRPr="00C30927" w:rsidTr="007F5394">
        <w:tc>
          <w:tcPr>
            <w:tcW w:w="1344"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ro-RO"/>
              </w:rPr>
            </w:pPr>
            <w:r w:rsidRPr="00C30927">
              <w:rPr>
                <w:lang w:val="ro-RO"/>
              </w:rPr>
              <w:lastRenderedPageBreak/>
              <w:t>(5) Evaluarea eficacitatii</w:t>
            </w:r>
          </w:p>
          <w:p w:rsidR="007F5394" w:rsidRPr="00C30927" w:rsidRDefault="007F5394" w:rsidP="00C30927">
            <w:pPr>
              <w:rPr>
                <w:lang w:val="ro-RO"/>
              </w:rPr>
            </w:pPr>
            <w:r w:rsidRPr="00C30927">
              <w:rPr>
                <w:lang w:val="ro-RO"/>
              </w:rPr>
              <w:t>biocide</w:t>
            </w:r>
          </w:p>
        </w:tc>
        <w:tc>
          <w:tcPr>
            <w:tcW w:w="2346" w:type="dxa"/>
            <w:tcBorders>
              <w:top w:val="single" w:sz="4" w:space="0" w:color="auto"/>
              <w:left w:val="single" w:sz="4" w:space="0" w:color="auto"/>
              <w:bottom w:val="single" w:sz="4" w:space="0" w:color="auto"/>
              <w:right w:val="single" w:sz="4" w:space="0" w:color="auto"/>
            </w:tcBorders>
          </w:tcPr>
          <w:p w:rsidR="007F5394" w:rsidRPr="00C30927" w:rsidRDefault="007F5394" w:rsidP="00C30927">
            <w:r w:rsidRPr="00C30927">
              <w:t xml:space="preserve">Test in teren (ferma agricola), durata de hranire - 12 zile </w:t>
            </w:r>
          </w:p>
        </w:tc>
        <w:tc>
          <w:tcPr>
            <w:tcW w:w="1788"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it-IT"/>
              </w:rPr>
            </w:pPr>
            <w:r w:rsidRPr="00C30927">
              <w:rPr>
                <w:i/>
                <w:lang w:val="it-IT"/>
              </w:rPr>
              <w:t>Rattus norvegicus</w:t>
            </w:r>
            <w:r w:rsidRPr="00C30927">
              <w:rPr>
                <w:lang w:val="it-IT"/>
              </w:rPr>
              <w:t xml:space="preserve"> (sobolanul cenusiu) – populatie estimata: 21 indivizi</w:t>
            </w:r>
          </w:p>
        </w:tc>
        <w:tc>
          <w:tcPr>
            <w:tcW w:w="2100"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it-IT"/>
              </w:rPr>
            </w:pPr>
            <w:r w:rsidRPr="00C30927">
              <w:rPr>
                <w:lang w:val="it-IT"/>
              </w:rPr>
              <w:t>7 statii de intoxicare cu 200 g momeala/ statie si 7 placi de urmarire.</w:t>
            </w:r>
          </w:p>
          <w:p w:rsidR="007F5394" w:rsidRPr="00C30927" w:rsidRDefault="007F5394" w:rsidP="00C30927">
            <w:pPr>
              <w:rPr>
                <w:lang w:val="it-IT"/>
              </w:rPr>
            </w:pPr>
            <w:r w:rsidRPr="00C30927">
              <w:rPr>
                <w:lang w:val="it-IT"/>
              </w:rPr>
              <w:t>Consum mediu pre-test: 1087,3 g/zi si urme de rozatoare.</w:t>
            </w:r>
          </w:p>
          <w:p w:rsidR="007F5394" w:rsidRPr="00C30927" w:rsidRDefault="007F5394" w:rsidP="00C30927">
            <w:pPr>
              <w:rPr>
                <w:lang w:val="ro-RO"/>
              </w:rPr>
            </w:pPr>
            <w:r w:rsidRPr="00C30927">
              <w:rPr>
                <w:lang w:val="it-IT"/>
              </w:rPr>
              <w:t>Consum mediu post-test: 0 g/zi si nu exista urme.</w:t>
            </w:r>
          </w:p>
        </w:tc>
        <w:tc>
          <w:tcPr>
            <w:tcW w:w="2345"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ro-RO"/>
              </w:rPr>
            </w:pPr>
            <w:r w:rsidRPr="00C30927">
              <w:rPr>
                <w:lang w:val="ro-RO"/>
              </w:rPr>
              <w:t xml:space="preserve">Mortalitate  </w:t>
            </w:r>
          </w:p>
          <w:p w:rsidR="007F5394" w:rsidRPr="00C30927" w:rsidRDefault="007F5394" w:rsidP="00C30927">
            <w:pPr>
              <w:rPr>
                <w:lang w:val="ro-RO"/>
              </w:rPr>
            </w:pPr>
            <w:r w:rsidRPr="00C30927">
              <w:rPr>
                <w:lang w:val="ro-RO"/>
              </w:rPr>
              <w:t>100% (4 indivizi morti dupa 5-7 zile).</w:t>
            </w:r>
          </w:p>
        </w:tc>
      </w:tr>
      <w:tr w:rsidR="007F5394" w:rsidRPr="00C30927" w:rsidTr="007F5394">
        <w:tc>
          <w:tcPr>
            <w:tcW w:w="1344"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ro-RO"/>
              </w:rPr>
            </w:pPr>
            <w:r w:rsidRPr="00C30927">
              <w:rPr>
                <w:lang w:val="ro-RO"/>
              </w:rPr>
              <w:t>(6) Evaluarea eficacitatii</w:t>
            </w:r>
          </w:p>
          <w:p w:rsidR="007F5394" w:rsidRPr="00C30927" w:rsidRDefault="007F5394" w:rsidP="00C30927">
            <w:pPr>
              <w:rPr>
                <w:lang w:val="ro-RO"/>
              </w:rPr>
            </w:pPr>
            <w:r w:rsidRPr="00C30927">
              <w:rPr>
                <w:lang w:val="ro-RO"/>
              </w:rPr>
              <w:t>biocide</w:t>
            </w:r>
          </w:p>
        </w:tc>
        <w:tc>
          <w:tcPr>
            <w:tcW w:w="2346" w:type="dxa"/>
            <w:tcBorders>
              <w:top w:val="single" w:sz="4" w:space="0" w:color="auto"/>
              <w:left w:val="single" w:sz="4" w:space="0" w:color="auto"/>
              <w:bottom w:val="single" w:sz="4" w:space="0" w:color="auto"/>
              <w:right w:val="single" w:sz="4" w:space="0" w:color="auto"/>
            </w:tcBorders>
          </w:tcPr>
          <w:p w:rsidR="007F5394" w:rsidRPr="00C30927" w:rsidRDefault="007F5394" w:rsidP="00C30927">
            <w:r w:rsidRPr="00C30927">
              <w:t>Test in teren (ferma agricola), durata de hranire - 14 zile</w:t>
            </w:r>
          </w:p>
        </w:tc>
        <w:tc>
          <w:tcPr>
            <w:tcW w:w="1788"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it-IT"/>
              </w:rPr>
            </w:pPr>
            <w:r w:rsidRPr="00C30927">
              <w:rPr>
                <w:i/>
                <w:lang w:val="it-IT"/>
              </w:rPr>
              <w:t>Rattus norvegicus</w:t>
            </w:r>
            <w:r w:rsidRPr="00C30927">
              <w:rPr>
                <w:lang w:val="it-IT"/>
              </w:rPr>
              <w:t xml:space="preserve"> (sobolanul cenusiu) – populatie estimata: 54 indivizi</w:t>
            </w:r>
          </w:p>
        </w:tc>
        <w:tc>
          <w:tcPr>
            <w:tcW w:w="2100"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it-IT"/>
              </w:rPr>
            </w:pPr>
            <w:r w:rsidRPr="00C30927">
              <w:rPr>
                <w:lang w:val="it-IT"/>
              </w:rPr>
              <w:t>8 statii de intoxicare cu 200 g momeala/ statie si 8 placi de urmarire.</w:t>
            </w:r>
          </w:p>
          <w:p w:rsidR="007F5394" w:rsidRPr="00C30927" w:rsidRDefault="007F5394" w:rsidP="00C30927">
            <w:pPr>
              <w:rPr>
                <w:lang w:val="it-IT"/>
              </w:rPr>
            </w:pPr>
            <w:r w:rsidRPr="00C30927">
              <w:rPr>
                <w:lang w:val="it-IT"/>
              </w:rPr>
              <w:t>Consum mediu pre-test: 485,5 g/zi si urme de rozatoare.</w:t>
            </w:r>
          </w:p>
          <w:p w:rsidR="007F5394" w:rsidRPr="00C30927" w:rsidRDefault="007F5394" w:rsidP="00C30927">
            <w:pPr>
              <w:rPr>
                <w:lang w:val="ro-RO"/>
              </w:rPr>
            </w:pPr>
            <w:r w:rsidRPr="00C30927">
              <w:rPr>
                <w:lang w:val="it-IT"/>
              </w:rPr>
              <w:t>Consum mediu post-test: 0 g/zi si nu exista urme.</w:t>
            </w:r>
          </w:p>
        </w:tc>
        <w:tc>
          <w:tcPr>
            <w:tcW w:w="2345"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ro-RO"/>
              </w:rPr>
            </w:pPr>
            <w:r w:rsidRPr="00C30927">
              <w:rPr>
                <w:lang w:val="ro-RO"/>
              </w:rPr>
              <w:t xml:space="preserve">Mortalitate  </w:t>
            </w:r>
          </w:p>
          <w:p w:rsidR="007F5394" w:rsidRPr="00C30927" w:rsidRDefault="007F5394" w:rsidP="00C30927">
            <w:pPr>
              <w:rPr>
                <w:lang w:val="ro-RO"/>
              </w:rPr>
            </w:pPr>
            <w:r w:rsidRPr="00C30927">
              <w:rPr>
                <w:lang w:val="ro-RO"/>
              </w:rPr>
              <w:t>100% (2 indivizi morti in a 9-a zi si 1 individ – ziua 13).</w:t>
            </w:r>
          </w:p>
        </w:tc>
      </w:tr>
      <w:tr w:rsidR="007F5394" w:rsidRPr="00C30927" w:rsidTr="007F5394">
        <w:tc>
          <w:tcPr>
            <w:tcW w:w="1344"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ro-RO"/>
              </w:rPr>
            </w:pPr>
            <w:r w:rsidRPr="00C30927">
              <w:rPr>
                <w:lang w:val="ro-RO"/>
              </w:rPr>
              <w:t>(7) Evaluarea eficacitatii</w:t>
            </w:r>
          </w:p>
          <w:p w:rsidR="007F5394" w:rsidRPr="00C30927" w:rsidRDefault="007F5394" w:rsidP="00C30927">
            <w:pPr>
              <w:rPr>
                <w:lang w:val="ro-RO"/>
              </w:rPr>
            </w:pPr>
            <w:r w:rsidRPr="00C30927">
              <w:rPr>
                <w:lang w:val="ro-RO"/>
              </w:rPr>
              <w:t>biocide</w:t>
            </w:r>
          </w:p>
        </w:tc>
        <w:tc>
          <w:tcPr>
            <w:tcW w:w="2346" w:type="dxa"/>
            <w:tcBorders>
              <w:top w:val="single" w:sz="4" w:space="0" w:color="auto"/>
              <w:left w:val="single" w:sz="4" w:space="0" w:color="auto"/>
              <w:bottom w:val="single" w:sz="4" w:space="0" w:color="auto"/>
              <w:right w:val="single" w:sz="4" w:space="0" w:color="auto"/>
            </w:tcBorders>
          </w:tcPr>
          <w:p w:rsidR="007F5394" w:rsidRPr="00C30927" w:rsidRDefault="007F5394" w:rsidP="00C30927">
            <w:r w:rsidRPr="00C30927">
              <w:t>Test in teren (ferma agricola), durata de hranire - 11 zile</w:t>
            </w:r>
          </w:p>
        </w:tc>
        <w:tc>
          <w:tcPr>
            <w:tcW w:w="1788"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it-IT"/>
              </w:rPr>
            </w:pPr>
            <w:r w:rsidRPr="00C30927">
              <w:rPr>
                <w:i/>
                <w:lang w:val="it-IT"/>
              </w:rPr>
              <w:t>Mus musculus</w:t>
            </w:r>
            <w:r w:rsidRPr="00C30927">
              <w:rPr>
                <w:lang w:val="it-IT"/>
              </w:rPr>
              <w:t xml:space="preserve"> (soarecele de casa) – populatie estimata: 8-11 indivizi</w:t>
            </w:r>
          </w:p>
        </w:tc>
        <w:tc>
          <w:tcPr>
            <w:tcW w:w="2100"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it-IT"/>
              </w:rPr>
            </w:pPr>
            <w:r w:rsidRPr="00C30927">
              <w:rPr>
                <w:lang w:val="it-IT"/>
              </w:rPr>
              <w:t>7 statii de intoxicare cu 200 g momeala/ statie si 7 placi de urmarire.</w:t>
            </w:r>
          </w:p>
          <w:p w:rsidR="007F5394" w:rsidRPr="00C30927" w:rsidRDefault="007F5394" w:rsidP="00C30927">
            <w:pPr>
              <w:rPr>
                <w:lang w:val="it-IT"/>
              </w:rPr>
            </w:pPr>
            <w:r w:rsidRPr="00C30927">
              <w:rPr>
                <w:lang w:val="it-IT"/>
              </w:rPr>
              <w:t>Consum mediu pre-test: 142,8 g/zi si urme de rozatoare.</w:t>
            </w:r>
          </w:p>
          <w:p w:rsidR="007F5394" w:rsidRPr="00C30927" w:rsidRDefault="007F5394" w:rsidP="00C30927">
            <w:pPr>
              <w:rPr>
                <w:lang w:val="it-IT"/>
              </w:rPr>
            </w:pPr>
            <w:r w:rsidRPr="00C30927">
              <w:rPr>
                <w:lang w:val="it-IT"/>
              </w:rPr>
              <w:t>Consum mediu post-test: 0 g/zi si nu exista urme.</w:t>
            </w:r>
          </w:p>
        </w:tc>
        <w:tc>
          <w:tcPr>
            <w:tcW w:w="2345" w:type="dxa"/>
            <w:tcBorders>
              <w:top w:val="single" w:sz="4" w:space="0" w:color="auto"/>
              <w:left w:val="single" w:sz="4" w:space="0" w:color="auto"/>
              <w:bottom w:val="single" w:sz="4" w:space="0" w:color="auto"/>
              <w:right w:val="single" w:sz="4" w:space="0" w:color="auto"/>
            </w:tcBorders>
          </w:tcPr>
          <w:p w:rsidR="007F5394" w:rsidRPr="00C30927" w:rsidRDefault="007F5394" w:rsidP="00C30927">
            <w:pPr>
              <w:rPr>
                <w:lang w:val="ro-RO"/>
              </w:rPr>
            </w:pPr>
            <w:r w:rsidRPr="00C30927">
              <w:rPr>
                <w:lang w:val="ro-RO"/>
              </w:rPr>
              <w:t xml:space="preserve">Mortalitate  </w:t>
            </w:r>
          </w:p>
          <w:p w:rsidR="007F5394" w:rsidRPr="00C30927" w:rsidRDefault="007F5394" w:rsidP="00C30927">
            <w:pPr>
              <w:rPr>
                <w:lang w:val="ro-RO"/>
              </w:rPr>
            </w:pPr>
            <w:r w:rsidRPr="00C30927">
              <w:rPr>
                <w:lang w:val="ro-RO"/>
              </w:rPr>
              <w:t>100%</w:t>
            </w:r>
          </w:p>
        </w:tc>
      </w:tr>
    </w:tbl>
    <w:p w:rsidR="00662EBA" w:rsidRPr="00C30927" w:rsidRDefault="00662EBA" w:rsidP="00C30927">
      <w:pPr>
        <w:pStyle w:val="NoSpacing"/>
        <w:rPr>
          <w:b/>
          <w:color w:val="000000"/>
          <w:lang w:val="ro-RO"/>
        </w:rPr>
      </w:pPr>
    </w:p>
    <w:p w:rsidR="00B66405" w:rsidRPr="00C30927" w:rsidRDefault="00B66405" w:rsidP="00C30927">
      <w:pPr>
        <w:pStyle w:val="NoSpacing"/>
        <w:rPr>
          <w:b/>
          <w:color w:val="000000"/>
          <w:lang w:val="ro-RO"/>
        </w:rPr>
      </w:pPr>
      <w:r w:rsidRPr="00C30927">
        <w:rPr>
          <w:b/>
          <w:color w:val="000000"/>
          <w:lang w:val="ro-RO"/>
        </w:rPr>
        <w:t xml:space="preserve">XIV. </w:t>
      </w:r>
      <w:r w:rsidR="004473D1" w:rsidRPr="00C30927">
        <w:rPr>
          <w:b/>
          <w:lang w:val="ro-RO"/>
        </w:rPr>
        <w:t>INSTRUCTIUNILE  SI DOZELE DE APLICARE</w:t>
      </w:r>
      <w:r w:rsidR="004473D1" w:rsidRPr="00C30927">
        <w:rPr>
          <w:lang w:val="ro-RO"/>
        </w:rPr>
        <w:t xml:space="preserve"> </w:t>
      </w:r>
      <w:r w:rsidR="00D60970" w:rsidRPr="00C30927">
        <w:rPr>
          <w:lang w:val="ro-RO"/>
        </w:rPr>
        <w:t>:</w:t>
      </w:r>
    </w:p>
    <w:tbl>
      <w:tblPr>
        <w:tblStyle w:val="TableGrid"/>
        <w:tblW w:w="0" w:type="auto"/>
        <w:tblInd w:w="108" w:type="dxa"/>
        <w:tblLook w:val="04A0" w:firstRow="1" w:lastRow="0" w:firstColumn="1" w:lastColumn="0" w:noHBand="0" w:noVBand="1"/>
      </w:tblPr>
      <w:tblGrid>
        <w:gridCol w:w="9923"/>
      </w:tblGrid>
      <w:tr w:rsidR="00393522" w:rsidRPr="00C30927" w:rsidTr="00393522">
        <w:tc>
          <w:tcPr>
            <w:tcW w:w="9923" w:type="dxa"/>
          </w:tcPr>
          <w:p w:rsidR="00C30927" w:rsidRDefault="00C30927" w:rsidP="00C30927">
            <w:pPr>
              <w:pStyle w:val="NoSpacing"/>
            </w:pPr>
            <w:r w:rsidRPr="00C30927">
              <w:rPr>
                <w:lang w:val="ro-RO"/>
              </w:rPr>
              <w:t xml:space="preserve">Combaterea </w:t>
            </w:r>
            <w:r w:rsidRPr="00C30927">
              <w:rPr>
                <w:lang w:val="ro-RO"/>
              </w:rPr>
              <w:t>soarecilor de casa (</w:t>
            </w:r>
            <w:r w:rsidRPr="00C30927">
              <w:rPr>
                <w:i/>
                <w:lang w:val="ro-RO"/>
              </w:rPr>
              <w:t>Mus musculus</w:t>
            </w:r>
            <w:r w:rsidRPr="00C30927">
              <w:rPr>
                <w:lang w:val="ro-RO"/>
              </w:rPr>
              <w:t>) si a sobolanilor (</w:t>
            </w:r>
            <w:r w:rsidRPr="00C30927">
              <w:rPr>
                <w:i/>
                <w:lang w:val="ro-RO"/>
              </w:rPr>
              <w:t>Rattus norvegicus</w:t>
            </w:r>
            <w:r w:rsidRPr="00C30927">
              <w:rPr>
                <w:lang w:val="ro-RO"/>
              </w:rPr>
              <w:t xml:space="preserve"> – sobolanul cenusiu) – juvenili si adulti, pentru utilizare de catre profesionisti si profesionisti instruiti.</w:t>
            </w:r>
          </w:p>
          <w:p w:rsidR="00AE1F8D" w:rsidRPr="00C30927" w:rsidRDefault="00AE1F8D" w:rsidP="00C30927">
            <w:pPr>
              <w:pStyle w:val="NoSpacing"/>
            </w:pPr>
            <w:r w:rsidRPr="00C30927">
              <w:lastRenderedPageBreak/>
              <w:t xml:space="preserve">- PENTRU UZ PROFESIONAL </w:t>
            </w:r>
          </w:p>
          <w:p w:rsidR="00AE1F8D" w:rsidRPr="00C30927" w:rsidRDefault="00AE1F8D" w:rsidP="00C30927">
            <w:pPr>
              <w:pStyle w:val="NoSpacing"/>
            </w:pPr>
            <w:r w:rsidRPr="00C30927">
              <w:t xml:space="preserve">Produsul </w:t>
            </w:r>
            <w:r w:rsidRPr="00C30927">
              <w:rPr>
                <w:bCs/>
              </w:rPr>
              <w:t>MURIBROM FRESH BAIT</w:t>
            </w:r>
            <w:r w:rsidRPr="00C30927">
              <w:rPr>
                <w:b/>
                <w:bCs/>
              </w:rPr>
              <w:t xml:space="preserve"> </w:t>
            </w:r>
            <w:r w:rsidRPr="00C30927">
              <w:t xml:space="preserve">aplicat de catre personal profesional se va folosi numai in interiorul cladirilor si instalatiilor fixe sau mobile, care sunt strans legate de fermele de animale, in capcane corect etichetate. </w:t>
            </w:r>
          </w:p>
          <w:p w:rsidR="00AE1F8D" w:rsidRPr="00C30927" w:rsidRDefault="00AE1F8D" w:rsidP="00C30927">
            <w:pPr>
              <w:pStyle w:val="NoSpacing"/>
            </w:pPr>
            <w:r w:rsidRPr="00C30927">
              <w:t xml:space="preserve">INSTRUCȚIUNI ȘI DOZE DE UTILIZARE: </w:t>
            </w:r>
          </w:p>
          <w:p w:rsidR="00AE1F8D" w:rsidRPr="00C30927" w:rsidRDefault="00AE1F8D" w:rsidP="00C30927">
            <w:pPr>
              <w:pStyle w:val="NoSpacing"/>
            </w:pPr>
            <w:r w:rsidRPr="00C30927">
              <w:t xml:space="preserve">Doze: - Soareci de casa (Mus musculus): capcane cu momeli cu 50 g produs la  </w:t>
            </w:r>
          </w:p>
          <w:p w:rsidR="00AE1F8D" w:rsidRPr="00C30927" w:rsidRDefault="00AE1F8D" w:rsidP="00C30927">
            <w:pPr>
              <w:pStyle w:val="NoSpacing"/>
            </w:pPr>
            <w:r w:rsidRPr="00C30927">
              <w:t xml:space="preserve">             fiecare 5-10m; </w:t>
            </w:r>
          </w:p>
          <w:p w:rsidR="00AE1F8D" w:rsidRPr="00C30927" w:rsidRDefault="00AE1F8D" w:rsidP="00C30927">
            <w:pPr>
              <w:pStyle w:val="NoSpacing"/>
            </w:pPr>
            <w:r w:rsidRPr="00C30927">
              <w:t xml:space="preserve">           - Sobolani maro (Rattus norvegicus): </w:t>
            </w:r>
          </w:p>
          <w:p w:rsidR="00AE1F8D" w:rsidRPr="00C30927" w:rsidRDefault="00AE1F8D" w:rsidP="00C30927">
            <w:pPr>
              <w:pStyle w:val="NoSpacing"/>
              <w:numPr>
                <w:ilvl w:val="0"/>
                <w:numId w:val="37"/>
              </w:numPr>
            </w:pPr>
            <w:r w:rsidRPr="00C30927">
              <w:t xml:space="preserve">capcane cu momeli cu pana la 200 g, umplute cu pungute de 20 g produs la fiecare 5-10m </w:t>
            </w:r>
          </w:p>
          <w:p w:rsidR="00AE1F8D" w:rsidRPr="00C30927" w:rsidRDefault="00AE1F8D" w:rsidP="00C30927">
            <w:pPr>
              <w:pStyle w:val="NoSpacing"/>
              <w:numPr>
                <w:ilvl w:val="0"/>
                <w:numId w:val="37"/>
              </w:numPr>
              <w:rPr>
                <w:lang w:val="ro-RO"/>
              </w:rPr>
            </w:pPr>
            <w:r w:rsidRPr="00C30927">
              <w:t>capcane cu momeli de pana la 100 g, umplute cu pungulite de 10,15 sau 20 g produs la fiecare 5-10 m.</w:t>
            </w:r>
          </w:p>
          <w:p w:rsidR="00AE1F8D" w:rsidRPr="00C30927" w:rsidRDefault="00AE1F8D" w:rsidP="00C30927">
            <w:pPr>
              <w:pStyle w:val="NoSpacing"/>
            </w:pPr>
            <w:r w:rsidRPr="00C30927">
              <w:t xml:space="preserve">Instructiuni de utilizare: </w:t>
            </w:r>
          </w:p>
          <w:p w:rsidR="00AE1F8D" w:rsidRPr="00C30927" w:rsidRDefault="00AE1F8D" w:rsidP="00C30927">
            <w:pPr>
              <w:pStyle w:val="NoSpacing"/>
            </w:pPr>
            <w:r w:rsidRPr="00C30927">
              <w:t xml:space="preserve">Inainte de utilizarea produsului, cititi cu atentie eticheta si respectati instructiunile propuse. </w:t>
            </w:r>
          </w:p>
          <w:p w:rsidR="00AE1F8D" w:rsidRPr="00C30927" w:rsidRDefault="00AE1F8D" w:rsidP="00C30927">
            <w:pPr>
              <w:pStyle w:val="NoSpacing"/>
            </w:pPr>
            <w:r w:rsidRPr="00C30927">
              <w:t xml:space="preserve">Pungutele cu momeala trebuiesc puse nedeschise in capcane. </w:t>
            </w:r>
          </w:p>
          <w:p w:rsidR="00AE1F8D" w:rsidRPr="00C30927" w:rsidRDefault="00AE1F8D" w:rsidP="00C30927">
            <w:pPr>
              <w:pStyle w:val="NoSpacing"/>
            </w:pPr>
            <w:r w:rsidRPr="00C30927">
              <w:t xml:space="preserve">Capcanele cu momeala trebuie să fie plasate în condiții de siguranță și situate în zone care sunt inaccesibile pentru copii, animale de companie și alte animale nevizate. </w:t>
            </w:r>
          </w:p>
          <w:p w:rsidR="00AE1F8D" w:rsidRPr="00C30927" w:rsidRDefault="00AE1F8D" w:rsidP="00C30927">
            <w:pPr>
              <w:pStyle w:val="NoSpacing"/>
            </w:pPr>
            <w:r w:rsidRPr="00C30927">
              <w:t xml:space="preserve">Nu trebuie aplicat în zonele în care se afla alimente/furaje, ustensile de gătit, suprafete de procesare a alimentelor, ce pot intra în contact cu produsul sau pot fi contaminate de acesta. </w:t>
            </w:r>
          </w:p>
          <w:p w:rsidR="00AE1F8D" w:rsidRPr="00C30927" w:rsidRDefault="00AE1F8D" w:rsidP="00C30927">
            <w:pPr>
              <w:pStyle w:val="NoSpacing"/>
            </w:pPr>
            <w:r w:rsidRPr="00C30927">
              <w:t xml:space="preserve">Trebuie realizate inspecții periodice ale capcanelor cu momeală (acest lucru este recomandat la fiecare 3 - 4 zile), si inlocuirea sau umplerea acelora unde produsul a fost consumat de rozătoare, deteriorat de apa sau contaminat de murdărie. </w:t>
            </w:r>
          </w:p>
          <w:p w:rsidR="00AE1F8D" w:rsidRPr="00C30927" w:rsidRDefault="00AE1F8D" w:rsidP="00C30927">
            <w:pPr>
              <w:pStyle w:val="NoSpacing"/>
              <w:rPr>
                <w:lang w:val="ro-RO"/>
              </w:rPr>
            </w:pPr>
            <w:r w:rsidRPr="00C30927">
              <w:t>Amblajele goale, rozătoarele moarte, resturile de momeală si capcanele, trebuie să fie depozitate la punctele de colectare, sau la locurile stabilite de către autoritatea locală, în conformitate cu legile respective.</w:t>
            </w:r>
          </w:p>
          <w:p w:rsidR="00AE1F8D" w:rsidRPr="00C30927" w:rsidRDefault="00AE1F8D" w:rsidP="00C30927">
            <w:pPr>
              <w:pStyle w:val="NoSpacing"/>
            </w:pPr>
            <w:r w:rsidRPr="00C30927">
              <w:t>- PENTRU PROFESIONISTI INSTRUITI</w:t>
            </w:r>
          </w:p>
          <w:p w:rsidR="00AE1F8D" w:rsidRPr="00C30927" w:rsidRDefault="00AE1F8D" w:rsidP="00C30927">
            <w:pPr>
              <w:pStyle w:val="NoSpacing"/>
            </w:pPr>
            <w:r w:rsidRPr="00C30927">
              <w:t xml:space="preserve">Produsul </w:t>
            </w:r>
            <w:r w:rsidRPr="00C30927">
              <w:rPr>
                <w:bCs/>
              </w:rPr>
              <w:t>MURIBROM FRESH BAIT</w:t>
            </w:r>
            <w:r w:rsidRPr="00C30927">
              <w:rPr>
                <w:b/>
                <w:bCs/>
              </w:rPr>
              <w:t xml:space="preserve"> </w:t>
            </w:r>
            <w:r w:rsidRPr="00C30927">
              <w:t xml:space="preserve">aplicat de catre personal profesional specializat se va folosi numai in interiorul cladirilor si instalatiilor fixe sau mobile, care sunt strans legate de fermele de animale, in capcane corect etichetate. </w:t>
            </w:r>
          </w:p>
          <w:p w:rsidR="00AE1F8D" w:rsidRPr="00C30927" w:rsidRDefault="00AE1F8D" w:rsidP="00C30927">
            <w:pPr>
              <w:pStyle w:val="NoSpacing"/>
            </w:pPr>
            <w:r w:rsidRPr="00C30927">
              <w:rPr>
                <w:b/>
                <w:bCs/>
                <w:i/>
                <w:iCs/>
              </w:rPr>
              <w:t>"Utilizarea exclusivă de către personalul profesionist specializat"</w:t>
            </w:r>
          </w:p>
          <w:p w:rsidR="00AE1F8D" w:rsidRPr="00C30927" w:rsidRDefault="00AE1F8D" w:rsidP="00C30927">
            <w:pPr>
              <w:pStyle w:val="NoSpacing"/>
            </w:pPr>
            <w:r w:rsidRPr="00C30927">
              <w:t xml:space="preserve">INSTRUCȚIUNI ȘI DOZE DE UTILIZARE: </w:t>
            </w:r>
          </w:p>
          <w:p w:rsidR="00AE1F8D" w:rsidRPr="00C30927" w:rsidRDefault="00AE1F8D" w:rsidP="00C30927">
            <w:pPr>
              <w:pStyle w:val="NoSpacing"/>
            </w:pPr>
            <w:r w:rsidRPr="00C30927">
              <w:t xml:space="preserve">Doze: - Soareci de casa (Mus musculus): capcane cu momeli cu 50 g produs la  </w:t>
            </w:r>
          </w:p>
          <w:p w:rsidR="00AE1F8D" w:rsidRPr="00C30927" w:rsidRDefault="00AE1F8D" w:rsidP="00C30927">
            <w:pPr>
              <w:pStyle w:val="NoSpacing"/>
            </w:pPr>
            <w:r w:rsidRPr="00C30927">
              <w:t xml:space="preserve">             fiecare 5-10m; </w:t>
            </w:r>
          </w:p>
          <w:p w:rsidR="00AE1F8D" w:rsidRPr="00C30927" w:rsidRDefault="00AE1F8D" w:rsidP="00C30927">
            <w:pPr>
              <w:pStyle w:val="NoSpacing"/>
            </w:pPr>
            <w:r w:rsidRPr="00C30927">
              <w:t xml:space="preserve">          - Sobolani maro (Rattus norvegicus):</w:t>
            </w:r>
          </w:p>
          <w:p w:rsidR="00AE1F8D" w:rsidRPr="00C30927" w:rsidRDefault="00AE1F8D" w:rsidP="00C30927">
            <w:pPr>
              <w:pStyle w:val="NoSpacing"/>
              <w:numPr>
                <w:ilvl w:val="0"/>
                <w:numId w:val="37"/>
              </w:numPr>
            </w:pPr>
            <w:r w:rsidRPr="00C30927">
              <w:t xml:space="preserve">capcane cu momeli cu pana la 200 g, umplute cu pungute de 20 g produs la fiecare 5-10m </w:t>
            </w:r>
          </w:p>
          <w:p w:rsidR="00AE1F8D" w:rsidRPr="00C30927" w:rsidRDefault="00AE1F8D" w:rsidP="00C30927">
            <w:pPr>
              <w:pStyle w:val="NoSpacing"/>
              <w:numPr>
                <w:ilvl w:val="0"/>
                <w:numId w:val="37"/>
              </w:numPr>
              <w:rPr>
                <w:lang w:val="ro-RO"/>
              </w:rPr>
            </w:pPr>
            <w:r w:rsidRPr="00C30927">
              <w:t>capcane cu momeli de pana la 100 g, umplute cu pungulite de 10,15 sau 20 gr produs la fiecare 5-10 m.</w:t>
            </w:r>
          </w:p>
          <w:p w:rsidR="00AE1F8D" w:rsidRPr="00C30927" w:rsidRDefault="00AE1F8D" w:rsidP="00C30927">
            <w:pPr>
              <w:pStyle w:val="NoSpacing"/>
            </w:pPr>
            <w:r w:rsidRPr="00C30927">
              <w:t xml:space="preserve">Instructiuni de utilizare: </w:t>
            </w:r>
          </w:p>
          <w:p w:rsidR="00AE1F8D" w:rsidRPr="00C30927" w:rsidRDefault="00AE1F8D" w:rsidP="00C30927">
            <w:pPr>
              <w:pStyle w:val="NoSpacing"/>
            </w:pPr>
            <w:r w:rsidRPr="00C30927">
              <w:t xml:space="preserve">Inainte de utilizarea produsului, cititi cu atentie eticheta si respectati instructiunile propuse. </w:t>
            </w:r>
          </w:p>
          <w:p w:rsidR="00AE1F8D" w:rsidRPr="00C30927" w:rsidRDefault="00AE1F8D" w:rsidP="00C30927">
            <w:pPr>
              <w:pStyle w:val="NoSpacing"/>
            </w:pPr>
            <w:r w:rsidRPr="00C30927">
              <w:t xml:space="preserve">Pungutele cu momeala trebuiesc puse nedeschise in capcane. </w:t>
            </w:r>
          </w:p>
          <w:p w:rsidR="00AE1F8D" w:rsidRPr="00C30927" w:rsidRDefault="00AE1F8D" w:rsidP="00C30927">
            <w:pPr>
              <w:pStyle w:val="NoSpacing"/>
            </w:pPr>
            <w:r w:rsidRPr="00C30927">
              <w:t xml:space="preserve">Capcanele cu momeala trebuie să fie plasate în condiții de siguranță și situate în zone care sunt </w:t>
            </w:r>
            <w:r w:rsidRPr="00C30927">
              <w:lastRenderedPageBreak/>
              <w:t xml:space="preserve">inaccesibile pentru copii, animale de companie și alte animale nevizate. </w:t>
            </w:r>
          </w:p>
          <w:p w:rsidR="00AE1F8D" w:rsidRPr="00C30927" w:rsidRDefault="00AE1F8D" w:rsidP="00C30927">
            <w:pPr>
              <w:pStyle w:val="NoSpacing"/>
            </w:pPr>
            <w:r w:rsidRPr="00C30927">
              <w:t xml:space="preserve">Nu trebuie aplicat în zonele în care se afla alimente/furaje, ustensile de gătit, suprafete de procesare a alimentelor, ce pot intra în contact cu produsul sau pot fi contaminate de acesta. </w:t>
            </w:r>
          </w:p>
          <w:p w:rsidR="00AE1F8D" w:rsidRPr="00C30927" w:rsidRDefault="00AE1F8D" w:rsidP="00C30927">
            <w:pPr>
              <w:pStyle w:val="NoSpacing"/>
            </w:pPr>
            <w:r w:rsidRPr="00C30927">
              <w:t xml:space="preserve">Trebuie realizate inspecții periodice ale capcanelor cu momeală (acest lucru este recomandat la fiecare 3 - 4 zile), si inlocuirea sau umplerea acelora unde produsul a fost consumat de rozătoare, deteriorat de apa sau contaminat de murdărie. </w:t>
            </w:r>
          </w:p>
          <w:p w:rsidR="00AE1F8D" w:rsidRPr="00C30927" w:rsidRDefault="00AE1F8D" w:rsidP="00C30927">
            <w:pPr>
              <w:pStyle w:val="NoSpacing"/>
            </w:pPr>
            <w:r w:rsidRPr="00C30927">
              <w:t>Amblajele goale, rozătoarele moarte, resturile de momeală si capcanele, trebuie să fie depozitate la punctele de colectare, sau la locurile stabilite de către autoritatea locală, în conformitate cu legile respective.</w:t>
            </w:r>
          </w:p>
          <w:p w:rsidR="00AE1F8D" w:rsidRPr="00C30927" w:rsidRDefault="00AE1F8D" w:rsidP="00C30927">
            <w:pPr>
              <w:pStyle w:val="NoSpacing"/>
              <w:rPr>
                <w:b/>
              </w:rPr>
            </w:pPr>
            <w:r w:rsidRPr="00C30927">
              <w:rPr>
                <w:b/>
              </w:rPr>
              <w:t xml:space="preserve">Instructiuni generale de utilizare: </w:t>
            </w:r>
          </w:p>
          <w:p w:rsidR="00AE1F8D" w:rsidRPr="00C30927" w:rsidRDefault="00AE1F8D" w:rsidP="00C30927">
            <w:pPr>
              <w:pStyle w:val="NoSpacing"/>
              <w:rPr>
                <w:b/>
              </w:rPr>
            </w:pPr>
            <w:r w:rsidRPr="00C30927">
              <w:rPr>
                <w:b/>
              </w:rPr>
              <w:t>Profesionisti:</w:t>
            </w:r>
          </w:p>
          <w:p w:rsidR="00AE1F8D" w:rsidRPr="00C30927" w:rsidRDefault="00AE1F8D" w:rsidP="00C30927">
            <w:pPr>
              <w:pStyle w:val="NoSpacing"/>
            </w:pPr>
            <w:r w:rsidRPr="00C30927">
              <w:rPr>
                <w:lang w:val="ro-RO"/>
              </w:rPr>
              <w:t>Citiți și urmați informațiile despre produs, precum și orice informații care însoțesc produsul sau care sunt furnizate la punctul de vânzare înainte de a-l utiliza.</w:t>
            </w:r>
          </w:p>
          <w:p w:rsidR="00AE1F8D" w:rsidRPr="00C30927" w:rsidRDefault="00AE1F8D" w:rsidP="00C30927">
            <w:pPr>
              <w:pStyle w:val="NoSpacing"/>
            </w:pPr>
            <w:r w:rsidRPr="00C30927">
              <w:rPr>
                <w:lang w:val="ro-RO"/>
              </w:rPr>
              <w:t>Efectuați un sondaj al zonei infestate premergator tratamentului și o evaluare la fața locului pentru a identifica speciile de rozătoare, locurile lor de activitate și pentru a determina cauza probabilă și amploarea infestării.</w:t>
            </w:r>
          </w:p>
          <w:p w:rsidR="00AE1F8D" w:rsidRPr="00C30927" w:rsidRDefault="00AE1F8D" w:rsidP="00C30927">
            <w:pPr>
              <w:pStyle w:val="NoSpacing"/>
            </w:pPr>
            <w:r w:rsidRPr="00C30927">
              <w:t>Îndepărtați alimentele ușor accesibile pentru rozătoare (de exemplu, boabe vărsate sau deșeuri alimentare). În afară de aceasta, nu curățați zona infestată chiar înainte de tratament, deoarece aceasta tulbura populația de rozătoare și face ca acceptarea momelii să fie mai dificil de realizat.</w:t>
            </w:r>
          </w:p>
          <w:p w:rsidR="00AE1F8D" w:rsidRPr="00C30927" w:rsidRDefault="00AE1F8D" w:rsidP="00C30927">
            <w:pPr>
              <w:pStyle w:val="NoSpacing"/>
            </w:pPr>
            <w:r w:rsidRPr="00C30927">
              <w:rPr>
                <w:lang w:val="ro-RO"/>
              </w:rPr>
              <w:t>Produsul ar trebui utilizat numai ca parte a unui sistem integrat de gestionare a dăunătorilor (IPM), care include, printre altele, măsuri de igienă și, dacă este posibil, metode fizice de control.</w:t>
            </w:r>
          </w:p>
          <w:p w:rsidR="00AE1F8D" w:rsidRPr="00C30927" w:rsidRDefault="00AE1F8D" w:rsidP="00C30927">
            <w:pPr>
              <w:pStyle w:val="NoSpacing"/>
            </w:pPr>
            <w:r w:rsidRPr="00C30927">
              <w:t xml:space="preserve">Luați în considerare măsurile preventive de control (de exemplu, găurile de pe langa prize, eliminați alimentele potențiale și băuturile cât mai mult posibil) pentru </w:t>
            </w:r>
            <w:proofErr w:type="gramStart"/>
            <w:r w:rsidRPr="00C30927">
              <w:t>a</w:t>
            </w:r>
            <w:proofErr w:type="gramEnd"/>
            <w:r w:rsidRPr="00C30927">
              <w:t xml:space="preserve"> îmbunătăți acceptarea produsului și pentru a reduce probabilitatea de reinfestare.</w:t>
            </w:r>
          </w:p>
          <w:p w:rsidR="00AE1F8D" w:rsidRPr="00C30927" w:rsidRDefault="00AE1F8D" w:rsidP="00C30927">
            <w:pPr>
              <w:pStyle w:val="NoSpacing"/>
            </w:pPr>
            <w:r w:rsidRPr="00C30927">
              <w:rPr>
                <w:lang w:val="ro-RO"/>
              </w:rPr>
              <w:t>Stațiile de intoxicare ar trebui amplasate în imediata vecinătate unde s-au observat activități ale rozătoarelor (de exemplu: trasee, locații de cuibărit, gauri, vizuini, etc.).</w:t>
            </w:r>
          </w:p>
          <w:p w:rsidR="00AE1F8D" w:rsidRPr="00C30927" w:rsidRDefault="00AE1F8D" w:rsidP="00C30927">
            <w:pPr>
              <w:pStyle w:val="NoSpacing"/>
            </w:pPr>
            <w:r w:rsidRPr="00C30927">
              <w:rPr>
                <w:lang w:val="ro-RO"/>
              </w:rPr>
              <w:t>Unde este posibil, stațiile de momeală trebuie fixate de sol sau alte structuri.</w:t>
            </w:r>
          </w:p>
          <w:p w:rsidR="00AE1F8D" w:rsidRPr="00C30927" w:rsidRDefault="00AE1F8D" w:rsidP="00C30927">
            <w:pPr>
              <w:pStyle w:val="NoSpacing"/>
            </w:pPr>
            <w:r w:rsidRPr="00C30927">
              <w:rPr>
                <w:lang w:val="ro-RO"/>
              </w:rPr>
              <w:t>Stațiile de intoxicare trebuie să fie etichetate în mod clar pentru a arăta că acestea conțin rodenticide și că nu trebuie mutate sau deschise</w:t>
            </w:r>
          </w:p>
          <w:p w:rsidR="00AE1F8D" w:rsidRPr="00C30927" w:rsidRDefault="00AE1F8D" w:rsidP="00C30927">
            <w:pPr>
              <w:pStyle w:val="NoSpacing"/>
              <w:rPr>
                <w:lang w:val="ro-RO"/>
              </w:rPr>
            </w:pPr>
            <w:r w:rsidRPr="00C30927">
              <w:t>Atunci când produsul este utilizat în zone publice, zonele tratate trebuie să fie marcate în timpul perioadei de tratament, iar un aviz care explică riscul otrăvirii primare sau secundare de către anticoagulant, precum și indicarea primelor măsuri care trebuie luate în caz de otrăvire trebuie să fie puse la dispoziție alături de momeli.</w:t>
            </w:r>
          </w:p>
          <w:p w:rsidR="00AE1F8D" w:rsidRPr="00C30927" w:rsidRDefault="00AE1F8D" w:rsidP="00C30927">
            <w:pPr>
              <w:pStyle w:val="NoSpacing"/>
            </w:pPr>
            <w:r w:rsidRPr="00C30927">
              <w:rPr>
                <w:lang w:val="ro-RO"/>
              </w:rPr>
              <w:t>Momeala trebuie să fie fixată astfel încât să nu poată fi trasă departe de stația de intoxicare.</w:t>
            </w:r>
          </w:p>
          <w:p w:rsidR="00AE1F8D" w:rsidRPr="00C30927" w:rsidRDefault="00AE1F8D" w:rsidP="00C30927">
            <w:pPr>
              <w:pStyle w:val="NoSpacing"/>
              <w:rPr>
                <w:lang w:val="ro-RO"/>
              </w:rPr>
            </w:pPr>
            <w:r w:rsidRPr="00C30927">
              <w:rPr>
                <w:lang w:val="ro-RO"/>
              </w:rPr>
              <w:t>Nu amplasați stațiile de intoxicare la îndemâna copiilor, a păsărilor, a animalelor de companie, a animalelor de fermă și a altor animale nețintă.</w:t>
            </w:r>
          </w:p>
          <w:p w:rsidR="00AE1F8D" w:rsidRPr="00C30927" w:rsidRDefault="00AE1F8D" w:rsidP="00C30927">
            <w:pPr>
              <w:pStyle w:val="NoSpacing"/>
            </w:pPr>
            <w:r w:rsidRPr="00C30927">
              <w:rPr>
                <w:lang w:val="ro-RO"/>
              </w:rPr>
              <w:t>Amplasați stațiile de intoxicare departe de alimente, băuturi și hrană pentru animale, precum și de ustensile sau suprafete care au contact cu acestea.</w:t>
            </w:r>
          </w:p>
          <w:p w:rsidR="00AE1F8D" w:rsidRPr="00C30927" w:rsidRDefault="00AE1F8D" w:rsidP="00C30927">
            <w:pPr>
              <w:pStyle w:val="NoSpacing"/>
              <w:rPr>
                <w:lang w:val="ro-RO"/>
              </w:rPr>
            </w:pPr>
            <w:r w:rsidRPr="00C30927">
              <w:rPr>
                <w:lang w:val="ro-RO"/>
              </w:rPr>
              <w:t>Atunci când utilizați produsul, nu mâncați, nu beți și nu fumați. După utilizarea produsului, spălați mâinile și pielea expusă direct.</w:t>
            </w:r>
          </w:p>
          <w:p w:rsidR="00AE1F8D" w:rsidRPr="00C30927" w:rsidRDefault="00AE1F8D" w:rsidP="00C30927">
            <w:pPr>
              <w:pStyle w:val="NoSpacing"/>
            </w:pPr>
            <w:r w:rsidRPr="00C30927">
              <w:rPr>
                <w:lang w:val="ro-RO"/>
              </w:rPr>
              <w:t>Dacă consumul de momeală este scăzut în raport cu infestarea estimata, luați în considerare reamplasarea stațiilor de momeală în alte locuri și posibilitatea de a schimba tipul de momela.</w:t>
            </w:r>
          </w:p>
          <w:p w:rsidR="00AE1F8D" w:rsidRPr="00C30927" w:rsidRDefault="00AE1F8D" w:rsidP="00C30927">
            <w:pPr>
              <w:pStyle w:val="NoSpacing"/>
              <w:rPr>
                <w:lang w:val="ro-RO"/>
              </w:rPr>
            </w:pPr>
            <w:r w:rsidRPr="00C30927">
              <w:lastRenderedPageBreak/>
              <w:t>În cazul în care, după o perioadă de tratament de 35 de zile, momelile continuă să fie consumate și nu se observă scăderea activității rozătoarelor, se determină cauza probabilă. În cazul în care au fost excluse alte elemente, este probabil că există rozătoare rezistente, deci luați în considerare utilizarea unui rodenticid non-anticoagulant, dacă este disponibil, sau un rodenticid anticoagulant mai puternic. De asemenea, luați în considerare utilizarea capcanelor ca măsură de combatere alternativă.</w:t>
            </w:r>
          </w:p>
          <w:p w:rsidR="00AE1F8D" w:rsidRPr="00C30927" w:rsidRDefault="00AE1F8D" w:rsidP="00C30927">
            <w:pPr>
              <w:pStyle w:val="NoSpacing"/>
            </w:pPr>
            <w:r w:rsidRPr="00C30927">
              <w:rPr>
                <w:lang w:val="ro-RO"/>
              </w:rPr>
              <w:t>Colectati momeala rămasă sau stațiile de intoxicare la sfârșitul perioadei de tratament.</w:t>
            </w:r>
          </w:p>
          <w:p w:rsidR="00AE1F8D" w:rsidRPr="00C30927" w:rsidRDefault="00AE1F8D" w:rsidP="00C30927">
            <w:pPr>
              <w:pStyle w:val="NoSpacing"/>
              <w:rPr>
                <w:lang w:val="ro-RO"/>
              </w:rPr>
            </w:pPr>
            <w:r w:rsidRPr="00C30927">
              <w:rPr>
                <w:lang w:val="ro-RO"/>
              </w:rPr>
              <w:t>Momeală în plicuri: Nu deschideți plicurile care conțin momeala.</w:t>
            </w:r>
          </w:p>
          <w:p w:rsidR="00AE1F8D" w:rsidRPr="00C30927" w:rsidRDefault="00AE1F8D" w:rsidP="00C30927">
            <w:pPr>
              <w:pStyle w:val="NoSpacing"/>
            </w:pPr>
            <w:r w:rsidRPr="00C30927">
              <w:rPr>
                <w:lang w:val="ro-RO"/>
              </w:rPr>
              <w:t>Cereale libere: Puneți momeala în punctul de momeală folosind un dispozitiv de dozare. Specificați metodele pentru a minimiza praful (de exemplu, ștergerea umedă).</w:t>
            </w:r>
          </w:p>
          <w:p w:rsidR="00AE1F8D" w:rsidRPr="00C30927" w:rsidRDefault="00AE1F8D" w:rsidP="00C30927">
            <w:pPr>
              <w:pStyle w:val="NoSpacing"/>
              <w:rPr>
                <w:b/>
              </w:rPr>
            </w:pPr>
            <w:r w:rsidRPr="00C30927">
              <w:rPr>
                <w:b/>
              </w:rPr>
              <w:t>Profesionisti instruiti:</w:t>
            </w:r>
          </w:p>
          <w:p w:rsidR="00AE1F8D" w:rsidRPr="00C30927" w:rsidRDefault="00AE1F8D" w:rsidP="00C30927">
            <w:pPr>
              <w:pStyle w:val="NoSpacing"/>
            </w:pPr>
            <w:r w:rsidRPr="00C30927">
              <w:rPr>
                <w:lang w:val="ro-RO"/>
              </w:rPr>
              <w:t>Citiți și urmați informațiile despre produs, precum și orice informații care însoțesc produsul sau care sunt furnizate la punctul de vânzare înainte de a-l utiliza.</w:t>
            </w:r>
          </w:p>
          <w:p w:rsidR="00AE1F8D" w:rsidRPr="00C30927" w:rsidRDefault="00AE1F8D" w:rsidP="00C30927">
            <w:pPr>
              <w:pStyle w:val="NoSpacing"/>
            </w:pPr>
            <w:r w:rsidRPr="00C30927">
              <w:rPr>
                <w:lang w:val="ro-RO"/>
              </w:rPr>
              <w:t>Efectuați un sondaj al zonei infestate premergator tratamentului și o evaluare la fața locului pentru a identifica speciile de rozătoare, locurile lor de activitate și pentru a determina cauza probabilă și amploarea infestării.</w:t>
            </w:r>
          </w:p>
          <w:p w:rsidR="00AE1F8D" w:rsidRPr="00C30927" w:rsidRDefault="00AE1F8D" w:rsidP="00C30927">
            <w:pPr>
              <w:pStyle w:val="NoSpacing"/>
            </w:pPr>
            <w:r w:rsidRPr="00C30927">
              <w:t>Îndepărtați alimentele ușor accesibile pentru rozătoare (de exemplu, boabe vărsate sau deșeuri alimentare). În afară de aceasta, nu curățați zona infestată chiar înainte de tratament, deoarece aceasta tulbura populația de rozătoare și face ca acceptarea momelii să fie mai dificil de realizat.</w:t>
            </w:r>
          </w:p>
          <w:p w:rsidR="00AE1F8D" w:rsidRPr="00C30927" w:rsidRDefault="00AE1F8D" w:rsidP="00C30927">
            <w:pPr>
              <w:pStyle w:val="NoSpacing"/>
            </w:pPr>
            <w:r w:rsidRPr="00C30927">
              <w:rPr>
                <w:lang w:val="ro-RO"/>
              </w:rPr>
              <w:t>Produsul ar trebui utilizat numai ca parte a unui sistem integrat de gestionare a dăunătorilor (IPM), care include, printre altele, măsuri de igienă și, dacă este posibil, metode fizice de control.</w:t>
            </w:r>
          </w:p>
          <w:p w:rsidR="00AE1F8D" w:rsidRPr="00C30927" w:rsidRDefault="00AE1F8D" w:rsidP="00C30927">
            <w:pPr>
              <w:pStyle w:val="NoSpacing"/>
            </w:pPr>
            <w:r w:rsidRPr="00C30927">
              <w:rPr>
                <w:lang w:val="ro-RO"/>
              </w:rPr>
              <w:t>Stațiile de intoxicare ar trebui amplasate în imediata vecinătate unde s-au observat activități ale rozătoarelor (de exemplu: trasee, locații de cuibărit, gauri, vizuini, etc.).</w:t>
            </w:r>
          </w:p>
          <w:p w:rsidR="00AE1F8D" w:rsidRPr="00C30927" w:rsidRDefault="00AE1F8D" w:rsidP="00C30927">
            <w:pPr>
              <w:pStyle w:val="NoSpacing"/>
            </w:pPr>
            <w:r w:rsidRPr="00C30927">
              <w:rPr>
                <w:lang w:val="ro-RO"/>
              </w:rPr>
              <w:t>Unde este posibil, stațiile de momeală trebuie fixate de sol sau alte structuri.</w:t>
            </w:r>
          </w:p>
          <w:p w:rsidR="00AE1F8D" w:rsidRPr="00C30927" w:rsidRDefault="00AE1F8D" w:rsidP="00C30927">
            <w:pPr>
              <w:pStyle w:val="NoSpacing"/>
            </w:pPr>
            <w:r w:rsidRPr="00C30927">
              <w:rPr>
                <w:lang w:val="ro-RO"/>
              </w:rPr>
              <w:t>Stațiile de intoxicare trebuie să fie etichetate în mod clar pentru a arăta că acestea conțin rodenticide și că nu trebuie mutate sau deschise</w:t>
            </w:r>
          </w:p>
          <w:p w:rsidR="00AE1F8D" w:rsidRPr="00C30927" w:rsidRDefault="00AE1F8D" w:rsidP="00C30927">
            <w:pPr>
              <w:pStyle w:val="NoSpacing"/>
              <w:rPr>
                <w:lang w:val="ro-RO"/>
              </w:rPr>
            </w:pPr>
            <w:r w:rsidRPr="00C30927">
              <w:t>Atunci când produsul este utilizat în zone publice, zonele tratate trebuie să fie marcate în timpul perioadei de tratament, iar un aviz care explică riscul otrăvirii primare sau secundare de către anticoagulant, precum și indicarea primelor măsuri care trebuie luate în caz de otrăvire trebuie să fie puse la dispoziție alături de momeli.</w:t>
            </w:r>
          </w:p>
          <w:p w:rsidR="00AE1F8D" w:rsidRPr="00C30927" w:rsidRDefault="00AE1F8D" w:rsidP="00C30927">
            <w:pPr>
              <w:pStyle w:val="NoSpacing"/>
            </w:pPr>
            <w:r w:rsidRPr="00C30927">
              <w:rPr>
                <w:lang w:val="ro-RO"/>
              </w:rPr>
              <w:t>Momeala trebuie să fie fixată astfel încât să nu poată fi trasă departe de stația de intoxicare.</w:t>
            </w:r>
          </w:p>
          <w:p w:rsidR="00AE1F8D" w:rsidRPr="00C30927" w:rsidRDefault="00AE1F8D" w:rsidP="00C30927">
            <w:pPr>
              <w:pStyle w:val="NoSpacing"/>
              <w:rPr>
                <w:lang w:val="ro-RO"/>
              </w:rPr>
            </w:pPr>
            <w:r w:rsidRPr="00C30927">
              <w:rPr>
                <w:lang w:val="ro-RO"/>
              </w:rPr>
              <w:t>Nu amplasați stațiile de intoxicare la îndemâna copiilor, a păsărilor, a animalelor de companie, a animalelor de fermă și a altor animale nețintă.</w:t>
            </w:r>
          </w:p>
          <w:p w:rsidR="00AE1F8D" w:rsidRPr="00C30927" w:rsidRDefault="00AE1F8D" w:rsidP="00C30927">
            <w:pPr>
              <w:pStyle w:val="NoSpacing"/>
              <w:rPr>
                <w:lang w:val="ro-RO"/>
              </w:rPr>
            </w:pPr>
            <w:r w:rsidRPr="00C30927">
              <w:rPr>
                <w:lang w:val="ro-RO"/>
              </w:rPr>
              <w:t>Amplasați stațiile de intoxicare departe de alimente, băuturi și hrană pentru animale, precum și de ustensile sau suprafete care au contact cu acestea.</w:t>
            </w:r>
          </w:p>
          <w:p w:rsidR="00AE1F8D" w:rsidRPr="00C30927" w:rsidRDefault="00AE1F8D" w:rsidP="00C30927">
            <w:pPr>
              <w:pStyle w:val="NoSpacing"/>
            </w:pPr>
            <w:r w:rsidRPr="00C30927">
              <w:rPr>
                <w:lang w:val="ro-RO"/>
              </w:rPr>
              <w:t>Purtați mănuși de protecție chimică în timpul fazei de manipulare a produsului (materialul pentru mănuși trebuie specificat de titularul autorizației în cadrul informațiilor despre produs).</w:t>
            </w:r>
          </w:p>
          <w:p w:rsidR="00AE1F8D" w:rsidRPr="00C30927" w:rsidRDefault="00AE1F8D" w:rsidP="00C30927">
            <w:pPr>
              <w:pStyle w:val="NoSpacing"/>
              <w:rPr>
                <w:lang w:val="ro-RO"/>
              </w:rPr>
            </w:pPr>
            <w:r w:rsidRPr="00C30927">
              <w:rPr>
                <w:lang w:val="ro-RO"/>
              </w:rPr>
              <w:t>Atunci când utilizați produsul, nu mâncați, nu beți și nu fumați. După utilizarea produsului, spălați mâinile și pielea expusă direct.</w:t>
            </w:r>
          </w:p>
          <w:p w:rsidR="00AE1F8D" w:rsidRPr="00C30927" w:rsidRDefault="00AE1F8D" w:rsidP="00C30927">
            <w:pPr>
              <w:pStyle w:val="NoSpacing"/>
            </w:pPr>
            <w:r w:rsidRPr="00C30927">
              <w:rPr>
                <w:lang w:val="ro-RO"/>
              </w:rPr>
              <w:t>Frecvența vizitelor la zona tratată ar trebui să fie la discreția operatorului, în lumina anchetei efectuate la începutul tratamentului. Această frecvență ar trebui să fie în concordanță cu recomandările.</w:t>
            </w:r>
          </w:p>
          <w:p w:rsidR="00AE1F8D" w:rsidRPr="00C30927" w:rsidRDefault="00AE1F8D" w:rsidP="00C30927">
            <w:pPr>
              <w:pStyle w:val="NoSpacing"/>
            </w:pPr>
            <w:r w:rsidRPr="00C30927">
              <w:rPr>
                <w:lang w:val="ro-RO"/>
              </w:rPr>
              <w:t xml:space="preserve">Dacă consumul de momeală este scăzut în raport cu infestarea estimata, luați în considerare </w:t>
            </w:r>
            <w:r w:rsidRPr="00C30927">
              <w:rPr>
                <w:lang w:val="ro-RO"/>
              </w:rPr>
              <w:lastRenderedPageBreak/>
              <w:t>reamplasarea stațiilor de momeală în alte locuri și posibilitatea de a schimba tipul de momela.</w:t>
            </w:r>
          </w:p>
          <w:p w:rsidR="00AE1F8D" w:rsidRPr="00C30927" w:rsidRDefault="00AE1F8D" w:rsidP="00C30927">
            <w:pPr>
              <w:pStyle w:val="NoSpacing"/>
              <w:rPr>
                <w:lang w:val="ro-RO"/>
              </w:rPr>
            </w:pPr>
            <w:r w:rsidRPr="00C30927">
              <w:t>În cazul în care, după o perioadă de tratament de 35 de zile, momelile continuă să fie consumate și nu se observă scăderea activității rozătoarelor, se determină cauza probabilă. În cazul în care au fost excluse alte elemente, este probabil că există rozătoare rezistente, deci luați în considerare utilizarea unui rodenticid non-anticoagulant, dacă este disponibil, sau un rodenticid anticoagulant mai puternic. De asemenea, luați în considerare utilizarea capcanelor ca măsură de combatere alternativă.</w:t>
            </w:r>
          </w:p>
          <w:p w:rsidR="00393522" w:rsidRPr="00C30927" w:rsidRDefault="00AE1F8D" w:rsidP="00C30927">
            <w:pPr>
              <w:pStyle w:val="NoSpacing"/>
              <w:rPr>
                <w:lang w:val="ro-RO"/>
              </w:rPr>
            </w:pPr>
            <w:r w:rsidRPr="00C30927">
              <w:rPr>
                <w:lang w:val="ro-RO"/>
              </w:rPr>
              <w:t>Nu deschideți plicurile care conțin momeala.</w:t>
            </w:r>
          </w:p>
        </w:tc>
      </w:tr>
    </w:tbl>
    <w:p w:rsidR="00FF3D0E" w:rsidRPr="00C30927" w:rsidRDefault="00FF3D0E" w:rsidP="00C30927">
      <w:pPr>
        <w:pStyle w:val="NoSpacing"/>
        <w:rPr>
          <w:b/>
          <w:lang w:val="ro-RO"/>
        </w:rPr>
      </w:pPr>
    </w:p>
    <w:p w:rsidR="00B66405" w:rsidRPr="00C30927" w:rsidRDefault="00B66405" w:rsidP="00C30927">
      <w:pPr>
        <w:pStyle w:val="NoSpacing"/>
        <w:rPr>
          <w:b/>
          <w:lang w:val="ro-RO"/>
        </w:rPr>
      </w:pPr>
      <w:r w:rsidRPr="00C30927">
        <w:rPr>
          <w:b/>
          <w:lang w:val="ro-RO"/>
        </w:rPr>
        <w:t>XV. INSTRUC</w:t>
      </w:r>
      <w:r w:rsidR="00EF1059" w:rsidRPr="00C30927">
        <w:rPr>
          <w:b/>
          <w:lang w:val="ro-RO"/>
        </w:rPr>
        <w:t>T</w:t>
      </w:r>
      <w:r w:rsidRPr="00C30927">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C30927" w:rsidTr="007F5394">
        <w:tc>
          <w:tcPr>
            <w:tcW w:w="9923" w:type="dxa"/>
          </w:tcPr>
          <w:p w:rsidR="00153D67" w:rsidRPr="00C30927" w:rsidRDefault="00153D67" w:rsidP="00C30927">
            <w:pPr>
              <w:pStyle w:val="NoSpacing"/>
              <w:rPr>
                <w:lang w:val="ro-RO"/>
              </w:rPr>
            </w:pPr>
            <w:r w:rsidRPr="00C30927">
              <w:rPr>
                <w:u w:val="single"/>
                <w:lang w:val="ro-RO"/>
              </w:rPr>
              <w:t>Indicatii generale:</w:t>
            </w:r>
            <w:r w:rsidRPr="00C30927">
              <w:rPr>
                <w:lang w:val="ro-RO"/>
              </w:rPr>
              <w:t xml:space="preserve"> In caz de accident, expunere suspectata sau daca va simtiti rau, cereti imediat sfatul medicului. Daca persoana este inconstienta, asezati-o cu fata in jos cu capul mai jos decat restul corpului. Controlati respiratia, daca este necesar, faceti respiratie artificiala. Solicitati asistenta medicala, aratati ambalajul sau eticheta daca este posibil. Nu lasati singura persoana intoxicata.</w:t>
            </w:r>
          </w:p>
          <w:p w:rsidR="00153D67" w:rsidRPr="00C30927" w:rsidRDefault="00153D67" w:rsidP="00C30927">
            <w:pPr>
              <w:pStyle w:val="NoSpacing"/>
              <w:rPr>
                <w:lang w:val="ro-RO"/>
              </w:rPr>
            </w:pPr>
            <w:r w:rsidRPr="00C30927">
              <w:rPr>
                <w:lang w:val="ro-RO"/>
              </w:rPr>
              <w:t>Masuri de prim ajutor</w:t>
            </w:r>
          </w:p>
          <w:p w:rsidR="00153D67" w:rsidRPr="00C30927" w:rsidRDefault="00153D67" w:rsidP="00C30927">
            <w:pPr>
              <w:pStyle w:val="NoSpacing"/>
              <w:rPr>
                <w:lang w:val="ro-RO"/>
              </w:rPr>
            </w:pPr>
            <w:r w:rsidRPr="00C30927">
              <w:rPr>
                <w:lang w:val="ro-RO"/>
              </w:rPr>
              <w:t>In caz de inhalare: indepartati persoana afectata din zona contaminata, transportati la aer liber si cereti sfatul medicului.</w:t>
            </w:r>
          </w:p>
          <w:p w:rsidR="00153D67" w:rsidRPr="00C30927" w:rsidRDefault="00153D67" w:rsidP="00C30927">
            <w:pPr>
              <w:pStyle w:val="NoSpacing"/>
              <w:rPr>
                <w:lang w:val="ro-RO"/>
              </w:rPr>
            </w:pPr>
            <w:r w:rsidRPr="00C30927">
              <w:rPr>
                <w:lang w:val="ro-RO"/>
              </w:rPr>
              <w:t>In caz de contact cu pielea: Spalati pielea contaminata cu sapun si multa apa. Indepartati imbracamintea contaminata.</w:t>
            </w:r>
          </w:p>
          <w:p w:rsidR="00153D67" w:rsidRPr="00C30927" w:rsidRDefault="00153D67" w:rsidP="00C30927">
            <w:pPr>
              <w:pStyle w:val="NoSpacing"/>
              <w:rPr>
                <w:lang w:val="ro-RO"/>
              </w:rPr>
            </w:pPr>
            <w:r w:rsidRPr="00C30927">
              <w:rPr>
                <w:lang w:val="ro-RO"/>
              </w:rPr>
              <w:t>In caz de contact cu ochii: Spalati ochii 15-20 minute cu apa curgatoare, tinand pleoapele complet deschise. Cereti sfatul medicului.</w:t>
            </w:r>
          </w:p>
          <w:p w:rsidR="00153D67" w:rsidRPr="00C30927" w:rsidRDefault="00153D67" w:rsidP="00C30927">
            <w:pPr>
              <w:pStyle w:val="NoSpacing"/>
              <w:rPr>
                <w:lang w:val="ro-RO"/>
              </w:rPr>
            </w:pPr>
            <w:r w:rsidRPr="00C30927">
              <w:rPr>
                <w:lang w:val="ro-RO"/>
              </w:rPr>
              <w:t>In caz de ingestie: In caz de ingestie recenta (&lt;3 h) si persoana este constienta, provocati varsaturi, spalati gura cu multa apa, administrati carbune activ. Cereti sfatul medicului, si aratati recipientul si eticheta.</w:t>
            </w:r>
          </w:p>
          <w:p w:rsidR="00153D67" w:rsidRPr="00C30927" w:rsidRDefault="00153D67" w:rsidP="00C30927">
            <w:pPr>
              <w:pStyle w:val="NoSpacing"/>
              <w:rPr>
                <w:lang w:val="ro-RO"/>
              </w:rPr>
            </w:pPr>
            <w:r w:rsidRPr="00C30927">
              <w:rPr>
                <w:u w:val="single"/>
                <w:lang w:val="ro-RO"/>
              </w:rPr>
              <w:t>Informatii pentru medic</w:t>
            </w:r>
            <w:r w:rsidRPr="00C30927">
              <w:rPr>
                <w:lang w:val="ro-RO"/>
              </w:rPr>
              <w:t>: Substanta activa Brodifacoum este un anticoagulant de lunga durata, de generatia a II-a, este un antagonist al vitaminei K, afecteaza sistemul de coagulare a sangelui prin reducerea sintezei hepatice de vitamina K. Are efecte cumulative importante, ceea ce duce la hemoragii externe si interne si apoi la moarte.</w:t>
            </w:r>
          </w:p>
          <w:p w:rsidR="00153D67" w:rsidRPr="00C30927" w:rsidRDefault="00153D67" w:rsidP="00C30927">
            <w:pPr>
              <w:pStyle w:val="NoSpacing"/>
              <w:rPr>
                <w:u w:val="single"/>
                <w:lang w:val="ro-RO"/>
              </w:rPr>
            </w:pPr>
            <w:r w:rsidRPr="00C30927">
              <w:rPr>
                <w:u w:val="single"/>
                <w:lang w:val="ro-RO"/>
              </w:rPr>
              <w:t>Tratament:</w:t>
            </w:r>
          </w:p>
          <w:p w:rsidR="00153D67" w:rsidRPr="00C30927" w:rsidRDefault="00153D67" w:rsidP="00C30927">
            <w:pPr>
              <w:pStyle w:val="NoSpacing"/>
              <w:rPr>
                <w:lang w:val="ro-RO"/>
              </w:rPr>
            </w:pPr>
            <w:r w:rsidRPr="00C30927">
              <w:rPr>
                <w:lang w:val="ro-RO"/>
              </w:rPr>
              <w:t>Daca nu exista sangerare, timpul de protrombina (INR) trebuie determinat la prezentare, la cel putin 18 ore de la ingestie si la 48-72 ore dupa expunere. Daca INR este mai mare de 4, administrati vitamina K1, 5-10 mg prin injectare intravenoasa lenta (100µg/kg greutate corporala pentru un copil), pana cand timpul de protrombina revine la normal. Tratamentul cu fitomenadiona (oral sau intravenos) poate fi necesar cateva saptamani. Continuati determinarea timpului de protrombina timp de doua saptamani de la renuntarea la antidot si reluati tratamentul daca in acest timp se produce cresterea acestuia. Pentru sfaturi suplimentare, in special, in cazul sangerarii active, contactati cel mai apropiat serviciu de informare toxicologica sau contactati Biroul RSI Informare Toxicologica, tel. 021.318.36.06.</w:t>
            </w:r>
          </w:p>
          <w:p w:rsidR="00153D67" w:rsidRPr="00C30927" w:rsidRDefault="00153D67" w:rsidP="00C30927">
            <w:pPr>
              <w:pStyle w:val="NoSpacing"/>
              <w:rPr>
                <w:lang w:val="ro-RO"/>
              </w:rPr>
            </w:pPr>
            <w:r w:rsidRPr="00C30927">
              <w:rPr>
                <w:u w:val="single"/>
                <w:lang w:val="ro-RO"/>
              </w:rPr>
              <w:t>Informatii pentru orice fel de asistenta medicala imediata si tratamentele speciale necesar</w:t>
            </w:r>
            <w:r w:rsidRPr="00C30927">
              <w:rPr>
                <w:lang w:val="ro-RO"/>
              </w:rPr>
              <w:t>e: In cazul ingerarii de cantitati mari din acest produs, provocati varsaturi la persoana constienta, efectuati spalaturi gastrice daca nu sunt observatesimptome hemoragice sau administrati carbune activ. Administrati tratament simptomatic pentru compensarea efectelor observate.  Urmati protocolul medical adecvat conform indicatiilor Centrului toxicologic.</w:t>
            </w:r>
          </w:p>
          <w:p w:rsidR="00153D67" w:rsidRPr="00C30927" w:rsidRDefault="00153D67" w:rsidP="00C30927">
            <w:pPr>
              <w:pStyle w:val="NoSpacing"/>
              <w:rPr>
                <w:lang w:val="ro-RO"/>
              </w:rPr>
            </w:pPr>
            <w:r w:rsidRPr="00C30927">
              <w:rPr>
                <w:u w:val="single"/>
                <w:lang w:val="ro-RO"/>
              </w:rPr>
              <w:lastRenderedPageBreak/>
              <w:t>Antidot:</w:t>
            </w:r>
            <w:r w:rsidRPr="00C30927">
              <w:rPr>
                <w:lang w:val="ro-RO"/>
              </w:rPr>
              <w:t xml:space="preserve"> Vitamina K1 (Fitomenadiona) sub supraveghere medicala.</w:t>
            </w:r>
          </w:p>
          <w:p w:rsidR="00153D67" w:rsidRPr="00C30927" w:rsidRDefault="00153D67" w:rsidP="00C30927">
            <w:pPr>
              <w:pStyle w:val="NoSpacing"/>
              <w:rPr>
                <w:lang w:val="ro-RO"/>
              </w:rPr>
            </w:pPr>
            <w:r w:rsidRPr="00C30927">
              <w:rPr>
                <w:u w:val="single"/>
                <w:lang w:val="ro-RO"/>
              </w:rPr>
              <w:t>Contraindicatii:</w:t>
            </w:r>
            <w:r w:rsidRPr="00C30927">
              <w:rPr>
                <w:lang w:val="ro-RO"/>
              </w:rPr>
              <w:t xml:space="preserve"> tratamentul cu anticoagulante</w:t>
            </w:r>
          </w:p>
          <w:p w:rsidR="007E7969" w:rsidRPr="00C30927" w:rsidRDefault="00153D67" w:rsidP="00C30927">
            <w:pPr>
              <w:pStyle w:val="NoSpacing"/>
              <w:rPr>
                <w:lang w:val="ro-RO"/>
              </w:rPr>
            </w:pPr>
            <w:r w:rsidRPr="00C30927">
              <w:rPr>
                <w:lang w:val="ro-RO"/>
              </w:rPr>
              <w:t>Contactați medicul veterinar în cazul ingestiei produsului de catre un animal de companie</w:t>
            </w:r>
          </w:p>
        </w:tc>
      </w:tr>
    </w:tbl>
    <w:p w:rsidR="00393522" w:rsidRPr="00C30927" w:rsidRDefault="00393522" w:rsidP="00C30927">
      <w:pPr>
        <w:pStyle w:val="NoSpacing"/>
        <w:rPr>
          <w:b/>
          <w:lang w:val="ro-RO"/>
        </w:rPr>
      </w:pPr>
    </w:p>
    <w:p w:rsidR="00B66405" w:rsidRPr="00C30927" w:rsidRDefault="00B66405" w:rsidP="00C30927">
      <w:pPr>
        <w:pStyle w:val="NoSpacing"/>
        <w:rPr>
          <w:b/>
          <w:lang w:val="ro-RO"/>
        </w:rPr>
      </w:pPr>
      <w:r w:rsidRPr="00C30927">
        <w:rPr>
          <w:b/>
          <w:lang w:val="ro-RO"/>
        </w:rPr>
        <w:t>XVI. MĂSURI PENTRU PROTEC</w:t>
      </w:r>
      <w:r w:rsidR="00400263" w:rsidRPr="00C30927">
        <w:rPr>
          <w:b/>
          <w:lang w:val="ro-RO"/>
        </w:rPr>
        <w:t>T</w:t>
      </w:r>
      <w:r w:rsidRPr="00C30927">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C30927" w:rsidTr="007F5394">
        <w:tc>
          <w:tcPr>
            <w:tcW w:w="9923" w:type="dxa"/>
          </w:tcPr>
          <w:p w:rsidR="00B62392" w:rsidRPr="00C30927" w:rsidRDefault="00B62392" w:rsidP="00C30927">
            <w:pPr>
              <w:pStyle w:val="NoSpacing"/>
              <w:rPr>
                <w:u w:val="single"/>
                <w:lang w:val="ro-RO"/>
              </w:rPr>
            </w:pPr>
            <w:r w:rsidRPr="00C30927">
              <w:rPr>
                <w:u w:val="single"/>
                <w:lang w:val="ro-RO"/>
              </w:rPr>
              <w:t>Restrictii pentru utilizarea produsului biocid</w:t>
            </w:r>
          </w:p>
          <w:p w:rsidR="00B62392" w:rsidRPr="00C30927" w:rsidRDefault="00B62392" w:rsidP="00C30927">
            <w:pPr>
              <w:pStyle w:val="NoSpacing"/>
              <w:rPr>
                <w:lang w:val="ro-RO"/>
              </w:rPr>
            </w:pPr>
            <w:r w:rsidRPr="00C30927">
              <w:rPr>
                <w:lang w:val="ro-RO"/>
              </w:rPr>
              <w:t>Se va impiedica patrunderea in sol, in apele de suprafata, in sistemele de canalizare sau in apele din panza freatica . Se aplica numai in statiile de momeala rezistente la manipulare, marcate in mod corespunzator. Nu aplicati direct in vizuina .</w:t>
            </w:r>
          </w:p>
          <w:p w:rsidR="00B62392" w:rsidRPr="00C30927" w:rsidRDefault="00B62392" w:rsidP="00C30927">
            <w:pPr>
              <w:pStyle w:val="NoSpacing"/>
              <w:rPr>
                <w:u w:val="single"/>
                <w:lang w:val="ro-RO"/>
              </w:rPr>
            </w:pPr>
            <w:r w:rsidRPr="00C30927">
              <w:rPr>
                <w:u w:val="single"/>
                <w:lang w:val="ro-RO"/>
              </w:rPr>
              <w:t xml:space="preserve">Masuri in caz de dispersie accidentala </w:t>
            </w:r>
          </w:p>
          <w:p w:rsidR="00B62392" w:rsidRPr="00C30927" w:rsidRDefault="00B62392" w:rsidP="00C30927">
            <w:pPr>
              <w:pStyle w:val="NoSpacing"/>
              <w:rPr>
                <w:lang w:val="ro-RO"/>
              </w:rPr>
            </w:pPr>
            <w:r w:rsidRPr="00C30927">
              <w:rPr>
                <w:lang w:val="ro-RO"/>
              </w:rPr>
              <w:t>Pe baza informatiilor disponibile nu este de asteptat ca produsul sa induca efecte adverse in mediu cand este utilizat conform instructiunilor . Cu toate acestea trebuie evitata cat mai mult expunerea solului la produsul formulat precum si patrunderea acestuia in sol. Nu este de asteptat sa rezulte pierderi, acumulari de substanta activa in aer in timpul utilizarii.</w:t>
            </w:r>
          </w:p>
          <w:p w:rsidR="00B66405" w:rsidRPr="00C30927" w:rsidRDefault="00B62392" w:rsidP="00C30927">
            <w:pPr>
              <w:pStyle w:val="NoSpacing"/>
              <w:rPr>
                <w:lang w:val="ro-RO"/>
              </w:rPr>
            </w:pPr>
            <w:r w:rsidRPr="00C30927">
              <w:rPr>
                <w:u w:val="single"/>
                <w:lang w:val="ro-RO"/>
              </w:rPr>
              <w:t>Metode de decontaminare</w:t>
            </w:r>
            <w:r w:rsidRPr="00C30927">
              <w:rPr>
                <w:lang w:val="ro-RO"/>
              </w:rPr>
              <w:t xml:space="preserve"> : In cazul  dispersiei accidentale colectati macanic si/sau cu echipamente corespunzatoare si plasati in recipiente inchise , adecvate pentru eliminare .</w:t>
            </w:r>
          </w:p>
        </w:tc>
      </w:tr>
    </w:tbl>
    <w:p w:rsidR="00FF3D0E" w:rsidRPr="00C30927" w:rsidRDefault="00FF3D0E" w:rsidP="00C30927">
      <w:pPr>
        <w:pStyle w:val="NoSpacing"/>
        <w:rPr>
          <w:b/>
          <w:lang w:val="fr-FR"/>
        </w:rPr>
      </w:pPr>
    </w:p>
    <w:p w:rsidR="00B66405" w:rsidRPr="00C30927" w:rsidRDefault="00B66405" w:rsidP="00C30927">
      <w:pPr>
        <w:pStyle w:val="NoSpacing"/>
        <w:rPr>
          <w:b/>
          <w:lang w:val="fr-FR"/>
        </w:rPr>
      </w:pPr>
      <w:r w:rsidRPr="00C30927">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C30927" w:rsidTr="00393522">
        <w:tc>
          <w:tcPr>
            <w:tcW w:w="9923" w:type="dxa"/>
          </w:tcPr>
          <w:p w:rsidR="007F5394" w:rsidRPr="00C30927" w:rsidRDefault="007F5394" w:rsidP="00C30927">
            <w:pPr>
              <w:pStyle w:val="NoSpacing"/>
            </w:pPr>
            <w:r w:rsidRPr="00C30927">
              <w:t>Produsul conține un agent de gust amar și vopsea.</w:t>
            </w:r>
          </w:p>
          <w:p w:rsidR="007F5394" w:rsidRPr="00C30927" w:rsidRDefault="007F5394" w:rsidP="00C30927">
            <w:pPr>
              <w:pStyle w:val="NoSpacing"/>
            </w:pPr>
            <w:r w:rsidRPr="00C30927">
              <w:t>Produsul trebuie utilizat numai ca parte a unui sistem integrat de gestionare a dăunătorilor (IPM), incluzând, printre altele, măsuri de igienă și, acolo unde este posibil, metode fizice de control.</w:t>
            </w:r>
          </w:p>
          <w:p w:rsidR="007F5394" w:rsidRPr="00C30927" w:rsidRDefault="007F5394" w:rsidP="00C30927">
            <w:pPr>
              <w:pStyle w:val="NoSpacing"/>
            </w:pPr>
            <w:r w:rsidRPr="00C30927">
              <w:t>Dacă este posibil, înainte de tratament, se vor informa eventualii spectatori (de exemplu, utilizatorii zonei tratate și împrejurimile acestora) despre campania de control al rozătoarelor.</w:t>
            </w:r>
          </w:p>
          <w:p w:rsidR="007F5394" w:rsidRPr="00C30927" w:rsidRDefault="007F5394" w:rsidP="00C30927">
            <w:pPr>
              <w:pStyle w:val="NoSpacing"/>
            </w:pPr>
            <w:r w:rsidRPr="00C30927">
              <w:t>Pentru a reduce riscul de otrăvire secundară, se vor căuta și elimina rozătoarele moarte la intervale frecvente în timpul tratamentului (de exemplu, cel puțin de două ori pe săptămână).</w:t>
            </w:r>
          </w:p>
          <w:p w:rsidR="007F5394" w:rsidRPr="00C30927" w:rsidRDefault="007F5394" w:rsidP="00C30927">
            <w:pPr>
              <w:pStyle w:val="NoSpacing"/>
            </w:pPr>
            <w:r w:rsidRPr="00C30927">
              <w:t xml:space="preserve">Se vor lua în considerare măsuri preventive de control (de exemplu, umplerea gaurilor, îndepărtarea alimentelor potențiale și băuturile cât mai mult posibil) pentru </w:t>
            </w:r>
            <w:proofErr w:type="gramStart"/>
            <w:r w:rsidRPr="00C30927">
              <w:t>a</w:t>
            </w:r>
            <w:proofErr w:type="gramEnd"/>
            <w:r w:rsidRPr="00C30927">
              <w:t xml:space="preserve"> îmbunătăți aportul de produse și pentru a reduce probabilitatea de reinvesiune.</w:t>
            </w:r>
          </w:p>
          <w:p w:rsidR="007F5394" w:rsidRPr="00C30927" w:rsidRDefault="007F5394" w:rsidP="00C30927">
            <w:pPr>
              <w:pStyle w:val="NoSpacing"/>
            </w:pPr>
            <w:r w:rsidRPr="00C30927">
              <w:t>Dacă este posibil, stațiile de momeli trebuie fixate la pământ sau la alte structuri.</w:t>
            </w:r>
          </w:p>
          <w:p w:rsidR="007F5394" w:rsidRPr="00C30927" w:rsidRDefault="007F5394" w:rsidP="00C30927">
            <w:pPr>
              <w:pStyle w:val="NoSpacing"/>
            </w:pPr>
            <w:r w:rsidRPr="00C30927">
              <w:t xml:space="preserve">Produsele nu trebuie utilizate mai mult de 35 de zile fără o evaluare a stării de infestare și </w:t>
            </w:r>
            <w:proofErr w:type="gramStart"/>
            <w:r w:rsidRPr="00C30927">
              <w:t>a</w:t>
            </w:r>
            <w:proofErr w:type="gramEnd"/>
            <w:r w:rsidRPr="00C30927">
              <w:t xml:space="preserve"> eficacității tratamentului.</w:t>
            </w:r>
          </w:p>
          <w:p w:rsidR="007F5394" w:rsidRPr="00C30927" w:rsidRDefault="007F5394" w:rsidP="00C30927">
            <w:pPr>
              <w:pStyle w:val="NoSpacing"/>
            </w:pPr>
            <w:r w:rsidRPr="00C30927">
              <w:t xml:space="preserve">Nu se folosesc momeli care conțin substanțe active anticoagulante ca momeli permanente pentru prevenirea infestării cu rozătoare sau monitorizarea activităților rozătoarelor. Pentru </w:t>
            </w:r>
            <w:proofErr w:type="gramStart"/>
            <w:r w:rsidRPr="00C30927">
              <w:t>a</w:t>
            </w:r>
            <w:proofErr w:type="gramEnd"/>
            <w:r w:rsidRPr="00C30927">
              <w:t xml:space="preserve"> evita rezistența, se vor alterna momelile care conțin diferite substanțe active anticoagulante.</w:t>
            </w:r>
          </w:p>
          <w:p w:rsidR="007F5394" w:rsidRPr="00C30927" w:rsidRDefault="007F5394" w:rsidP="00C30927">
            <w:pPr>
              <w:pStyle w:val="NoSpacing"/>
            </w:pPr>
            <w:r w:rsidRPr="00C30927">
              <w:t>Informațiile privind produsul (adică eticheta și / sau prospectul) trebuie să demonstreze în mod clar că:</w:t>
            </w:r>
          </w:p>
          <w:p w:rsidR="007F5394" w:rsidRPr="00C30927" w:rsidRDefault="007F5394" w:rsidP="00C30927">
            <w:pPr>
              <w:pStyle w:val="NoSpacing"/>
            </w:pPr>
            <w:r w:rsidRPr="00C30927">
              <w:t xml:space="preserve">• </w:t>
            </w:r>
            <w:proofErr w:type="gramStart"/>
            <w:r w:rsidRPr="00C30927">
              <w:t>produsul</w:t>
            </w:r>
            <w:proofErr w:type="gramEnd"/>
            <w:r w:rsidRPr="00C30927">
              <w:t xml:space="preserve"> nu trebuie furnizat publicului larg (de ex. "Numai pentru profesioniști").</w:t>
            </w:r>
          </w:p>
          <w:p w:rsidR="007F5394" w:rsidRPr="00C30927" w:rsidRDefault="007F5394" w:rsidP="00C30927">
            <w:pPr>
              <w:pStyle w:val="NoSpacing"/>
            </w:pPr>
            <w:r w:rsidRPr="00C30927">
              <w:t xml:space="preserve">• </w:t>
            </w:r>
            <w:proofErr w:type="gramStart"/>
            <w:r w:rsidRPr="00C30927">
              <w:t>produsul</w:t>
            </w:r>
            <w:proofErr w:type="gramEnd"/>
            <w:r w:rsidRPr="00C30927">
              <w:t xml:space="preserve"> trebuie utilizat în stații de momeală rezistente la manipulare (de ex. "Utilizarea în stațiile de momeală rezistente la manipulare").</w:t>
            </w:r>
          </w:p>
          <w:p w:rsidR="007F5394" w:rsidRPr="00C30927" w:rsidRDefault="007F5394" w:rsidP="00C30927">
            <w:pPr>
              <w:pStyle w:val="NoSpacing"/>
            </w:pPr>
            <w:r w:rsidRPr="00C30927">
              <w:t>•utilizatorii trebuie să eticheteze corespunzător stațiile de momeală cu informațiile menționate în secțiunea 5.3 a SPC (de exemplu, stațiile de momeală pentru etichete conform recomandărilor produsului).</w:t>
            </w:r>
          </w:p>
          <w:p w:rsidR="007F5394" w:rsidRPr="00C30927" w:rsidRDefault="007F5394" w:rsidP="00C30927">
            <w:pPr>
              <w:pStyle w:val="NoSpacing"/>
            </w:pPr>
            <w:r w:rsidRPr="00C30927">
              <w:lastRenderedPageBreak/>
              <w:t xml:space="preserve">•stațiile de momeli trebuie să fie etichetate în mod clar pentru </w:t>
            </w:r>
            <w:proofErr w:type="gramStart"/>
            <w:r w:rsidRPr="00C30927">
              <w:t>a</w:t>
            </w:r>
            <w:proofErr w:type="gramEnd"/>
            <w:r w:rsidRPr="00C30927">
              <w:t xml:space="preserve"> arăta că acestea conțin rodenticide și că nu trebuie mutate sau deschise (a se vedea secțiunea "Particularități ale efectelor directe sau indirecte probabile, instrucțiuni de prim ajutor și măsuri de urgență pentru protecția mediului" pe etichetă).</w:t>
            </w:r>
          </w:p>
          <w:p w:rsidR="007F5394" w:rsidRPr="00C30927" w:rsidRDefault="007F5394" w:rsidP="00C30927">
            <w:pPr>
              <w:pStyle w:val="NoSpacing"/>
            </w:pPr>
            <w:r w:rsidRPr="00C30927">
              <w:t>•stațiile de momeală trebuie să poarte eticheta cu următoarele informații: "nu se mișcă sau nu se deschide"; "conține un rodenticid"; "numele produsului sau numărul autorizației"; "substanță activă (e)" și "în caz de incident, apelați un centru de otrăvire sau numarul de urgenta 112.</w:t>
            </w:r>
          </w:p>
          <w:p w:rsidR="007F5394" w:rsidRPr="00C30927" w:rsidRDefault="007F5394" w:rsidP="00C30927">
            <w:pPr>
              <w:pStyle w:val="NoSpacing"/>
            </w:pPr>
            <w:r w:rsidRPr="00C30927">
              <w:t>Atunci când produsul este utilizat în zone publice, zonele tratate trebuie marcate în timpul perioadei de tratament și un aviz care explică riscul otrăvirii primare sau secundare de către anticoagulant, precum și indicarea primelor măsuri care trebuie luate în caz de otrăvire trebuie să fie să fie puse la dispoziție alături de momeli.</w:t>
            </w:r>
          </w:p>
          <w:p w:rsidR="007F5394" w:rsidRPr="00C30927" w:rsidRDefault="007F5394" w:rsidP="00C30927">
            <w:pPr>
              <w:pStyle w:val="NoSpacing"/>
            </w:pPr>
            <w:r w:rsidRPr="00C30927">
              <w:t>Momeala ar trebui să fie asigurată astfel încât să nu poată fi trasă departe de stația de momeală.</w:t>
            </w:r>
          </w:p>
          <w:p w:rsidR="007F5394" w:rsidRPr="00C30927" w:rsidRDefault="007F5394" w:rsidP="00C30927">
            <w:pPr>
              <w:pStyle w:val="NoSpacing"/>
            </w:pPr>
            <w:r w:rsidRPr="00C30927">
              <w:t>Nu se spala stațiile de momeală cu apă între aplicații.</w:t>
            </w:r>
          </w:p>
          <w:p w:rsidR="00393522" w:rsidRPr="00C30927" w:rsidRDefault="007F5394" w:rsidP="00C30927">
            <w:pPr>
              <w:pStyle w:val="NoSpacing"/>
            </w:pPr>
            <w:r w:rsidRPr="00C30927">
              <w:t>Rozătoarele moarte se vor elimina în conformitate cu cerințele locale.</w:t>
            </w:r>
          </w:p>
        </w:tc>
      </w:tr>
    </w:tbl>
    <w:p w:rsidR="00FF3D0E" w:rsidRPr="00C30927" w:rsidRDefault="00FF3D0E" w:rsidP="00C30927">
      <w:pPr>
        <w:pStyle w:val="NoSpacing"/>
        <w:rPr>
          <w:b/>
          <w:lang w:val="ro-RO"/>
        </w:rPr>
      </w:pPr>
    </w:p>
    <w:p w:rsidR="00B66405" w:rsidRPr="00C30927" w:rsidRDefault="00B66405" w:rsidP="00C30927">
      <w:pPr>
        <w:pStyle w:val="NoSpacing"/>
        <w:rPr>
          <w:b/>
          <w:lang w:val="ro-RO"/>
        </w:rPr>
      </w:pPr>
      <w:r w:rsidRPr="00C30927">
        <w:rPr>
          <w:b/>
          <w:lang w:val="ro-RO"/>
        </w:rPr>
        <w:t>XVIII.</w:t>
      </w:r>
      <w:r w:rsidR="00EF1059" w:rsidRPr="00C30927">
        <w:rPr>
          <w:b/>
          <w:lang w:val="ro-RO"/>
        </w:rPr>
        <w:t xml:space="preserve"> INSTRUCT</w:t>
      </w:r>
      <w:r w:rsidRPr="00C30927">
        <w:rPr>
          <w:b/>
          <w:lang w:val="ro-RO"/>
        </w:rPr>
        <w:t>IUNI PENTRU ELIMINAREA ÎN SIGURAN</w:t>
      </w:r>
      <w:r w:rsidR="00EF1059" w:rsidRPr="00C30927">
        <w:rPr>
          <w:b/>
          <w:lang w:val="ro-RO"/>
        </w:rPr>
        <w:t>T</w:t>
      </w:r>
      <w:r w:rsidRPr="00C30927">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C30927" w:rsidTr="007F5394">
        <w:tc>
          <w:tcPr>
            <w:tcW w:w="9923" w:type="dxa"/>
          </w:tcPr>
          <w:p w:rsidR="007707AC" w:rsidRPr="00C30927" w:rsidRDefault="003E3953" w:rsidP="00C30927">
            <w:pPr>
              <w:pStyle w:val="NoSpacing"/>
              <w:rPr>
                <w:lang w:val="ro-RO"/>
              </w:rPr>
            </w:pPr>
            <w:r w:rsidRPr="00C30927">
              <w:rPr>
                <w:lang w:val="ro-RO"/>
              </w:rPr>
              <w:t>Eliminarea deseurilor de produs si a ambalajelor acestuia se face in conformitate cu prevederile Legii 211/2011 privind regimul deseurilor , de catre operatorii autorizati.</w:t>
            </w:r>
            <w:r w:rsidR="00BB2027" w:rsidRPr="00C30927">
              <w:rPr>
                <w:lang w:val="ro-RO"/>
              </w:rPr>
              <w:t xml:space="preserve"> Recipientele goale, cu urme de produs, trebuie eliminate ca deseuri periculoase.</w:t>
            </w:r>
          </w:p>
        </w:tc>
      </w:tr>
      <w:tr w:rsidR="007707AC" w:rsidRPr="00C30927" w:rsidTr="007F5394">
        <w:tc>
          <w:tcPr>
            <w:tcW w:w="9923" w:type="dxa"/>
          </w:tcPr>
          <w:p w:rsidR="007707AC" w:rsidRPr="00C30927" w:rsidRDefault="007707AC" w:rsidP="00C30927">
            <w:pPr>
              <w:pStyle w:val="NoSpacing"/>
              <w:rPr>
                <w:lang w:val="ro-RO"/>
              </w:rPr>
            </w:pPr>
            <w:r w:rsidRPr="00C30927">
              <w:rPr>
                <w:lang w:val="ro-RO"/>
              </w:rPr>
              <w:t>Ambalaj:</w:t>
            </w:r>
            <w:r w:rsidRPr="00C30927">
              <w:rPr>
                <w:i/>
                <w:lang w:val="ro-RO"/>
              </w:rPr>
              <w:t xml:space="preserve"> </w:t>
            </w:r>
            <w:r w:rsidRPr="00C30927">
              <w:rPr>
                <w:lang w:val="ro-RO"/>
              </w:rPr>
              <w:t>Nu se reutilizează ambalajul și nu se eliberează în mediu produsul biocid</w:t>
            </w:r>
          </w:p>
        </w:tc>
      </w:tr>
    </w:tbl>
    <w:p w:rsidR="00FF3D0E" w:rsidRPr="00C30927" w:rsidRDefault="00FF3D0E" w:rsidP="00C30927">
      <w:pPr>
        <w:rPr>
          <w:b/>
          <w:color w:val="000000"/>
          <w:lang w:val="ro-RO"/>
        </w:rPr>
      </w:pPr>
    </w:p>
    <w:p w:rsidR="007F5394" w:rsidRPr="00C30927" w:rsidRDefault="00B66405" w:rsidP="00C30927">
      <w:pPr>
        <w:pStyle w:val="NoSpacing"/>
      </w:pPr>
      <w:r w:rsidRPr="00C30927">
        <w:rPr>
          <w:b/>
          <w:lang w:val="ro-RO"/>
        </w:rPr>
        <w:t>XIX.</w:t>
      </w:r>
      <w:r w:rsidRPr="00C30927">
        <w:rPr>
          <w:lang w:val="ro-RO"/>
        </w:rPr>
        <w:t xml:space="preserve"> </w:t>
      </w:r>
      <w:r w:rsidRPr="00C30927">
        <w:rPr>
          <w:b/>
          <w:lang w:val="ro-RO"/>
        </w:rPr>
        <w:t>CONDI</w:t>
      </w:r>
      <w:r w:rsidR="00EF1059" w:rsidRPr="00C30927">
        <w:rPr>
          <w:b/>
          <w:lang w:val="ro-RO"/>
        </w:rPr>
        <w:t>T</w:t>
      </w:r>
      <w:r w:rsidRPr="00C30927">
        <w:rPr>
          <w:b/>
          <w:lang w:val="ro-RO"/>
        </w:rPr>
        <w:t>IILE DE DEPOZITARE</w:t>
      </w:r>
      <w:r w:rsidRPr="00C30927">
        <w:rPr>
          <w:lang w:val="ro-RO"/>
        </w:rPr>
        <w:t xml:space="preserve"> </w:t>
      </w:r>
      <w:r w:rsidR="006E4D8B" w:rsidRPr="00C30927">
        <w:rPr>
          <w:lang w:val="ro-RO"/>
        </w:rPr>
        <w:t>:</w:t>
      </w:r>
      <w:r w:rsidR="001521AD" w:rsidRPr="00C30927">
        <w:rPr>
          <w:lang w:val="it-IT"/>
        </w:rPr>
        <w:t xml:space="preserve"> </w:t>
      </w:r>
      <w:r w:rsidR="007F5394" w:rsidRPr="00C30927">
        <w:t>Produsul se va depozita în containerul original, la loc răcoros, uscat și bine ventilat.</w:t>
      </w:r>
      <w:r w:rsidR="00BB2027" w:rsidRPr="00C30927">
        <w:t>Temperatura de depozitare intre 5 si 35</w:t>
      </w:r>
      <w:r w:rsidR="00BB2027" w:rsidRPr="00C30927">
        <w:rPr>
          <w:vertAlign w:val="superscript"/>
        </w:rPr>
        <w:t xml:space="preserve"> o</w:t>
      </w:r>
      <w:r w:rsidR="00BB2027" w:rsidRPr="00C30927">
        <w:t>C.</w:t>
      </w:r>
      <w:r w:rsidR="007F5394" w:rsidRPr="00C30927">
        <w:t>Se tine la distanță de radiațiile solare și de alte surse de căldură.</w:t>
      </w:r>
    </w:p>
    <w:p w:rsidR="007F5394" w:rsidRPr="00C30927" w:rsidRDefault="007F5394" w:rsidP="00C30927">
      <w:pPr>
        <w:pStyle w:val="NoSpacing"/>
      </w:pPr>
      <w:r w:rsidRPr="00C30927">
        <w:t xml:space="preserve">Se </w:t>
      </w:r>
      <w:proofErr w:type="gramStart"/>
      <w:r w:rsidRPr="00C30927">
        <w:t>va</w:t>
      </w:r>
      <w:proofErr w:type="gramEnd"/>
      <w:r w:rsidRPr="00C30927">
        <w:t xml:space="preserve"> proteja împotriva înghețului.Se tine la distanță de sursele de miros puternic</w:t>
      </w:r>
    </w:p>
    <w:p w:rsidR="007F5394" w:rsidRPr="00C30927" w:rsidRDefault="007F5394" w:rsidP="00C30927">
      <w:pPr>
        <w:pStyle w:val="NoSpacing"/>
      </w:pPr>
      <w:r w:rsidRPr="00C30927">
        <w:t xml:space="preserve">Se va depozita în locuri care nu sunt la îndemâna copiilor, a păsărilor, a animalelor de </w:t>
      </w:r>
      <w:proofErr w:type="gramStart"/>
      <w:r w:rsidRPr="00C30927">
        <w:t xml:space="preserve">companie </w:t>
      </w:r>
      <w:r w:rsidR="0033290B" w:rsidRPr="00C30927">
        <w:t>,</w:t>
      </w:r>
      <w:proofErr w:type="gramEnd"/>
      <w:r w:rsidR="0033290B" w:rsidRPr="00C30927">
        <w:t xml:space="preserve"> a animalelor de fermă si a celor ne-tinta . </w:t>
      </w:r>
      <w:r w:rsidRPr="00C30927">
        <w:t>A se păstra / depozita departe de alimente, băuturi ș</w:t>
      </w:r>
      <w:r w:rsidR="0033290B" w:rsidRPr="00C30927">
        <w:t xml:space="preserve">i hrană pentru animale </w:t>
      </w:r>
    </w:p>
    <w:p w:rsidR="00EA12B3" w:rsidRPr="00C30927" w:rsidRDefault="00EA12B3" w:rsidP="00C30927">
      <w:pPr>
        <w:rPr>
          <w:rFonts w:eastAsiaTheme="minorHAnsi"/>
        </w:rPr>
      </w:pPr>
    </w:p>
    <w:p w:rsidR="001D43BA" w:rsidRPr="00C30927" w:rsidRDefault="00B66405" w:rsidP="00C30927">
      <w:pPr>
        <w:rPr>
          <w:b/>
          <w:lang w:val="ro-RO"/>
        </w:rPr>
      </w:pPr>
      <w:r w:rsidRPr="00C30927">
        <w:rPr>
          <w:lang w:val="ro-RO"/>
        </w:rPr>
        <w:t>DURATA DE CONSERVARE A PRODUSELOR BIOCIDE ÎN CONDI</w:t>
      </w:r>
      <w:r w:rsidR="00EF1059" w:rsidRPr="00C30927">
        <w:rPr>
          <w:lang w:val="ro-RO"/>
        </w:rPr>
        <w:t>T</w:t>
      </w:r>
      <w:r w:rsidRPr="00C30927">
        <w:rPr>
          <w:lang w:val="ro-RO"/>
        </w:rPr>
        <w:t xml:space="preserve">II NORMALE DE DEPOZITARE </w:t>
      </w:r>
      <w:r w:rsidR="007406C6" w:rsidRPr="00C30927">
        <w:rPr>
          <w:b/>
          <w:lang w:val="ro-RO"/>
        </w:rPr>
        <w:t xml:space="preserve">: </w:t>
      </w:r>
      <w:r w:rsidR="0033290B" w:rsidRPr="00C30927">
        <w:rPr>
          <w:b/>
          <w:lang w:val="ro-RO"/>
        </w:rPr>
        <w:t>2 ani</w:t>
      </w:r>
    </w:p>
    <w:p w:rsidR="00C30927" w:rsidRDefault="00C30927" w:rsidP="00C30927">
      <w:pPr>
        <w:pStyle w:val="NoSpacing"/>
        <w:rPr>
          <w:b/>
          <w:lang w:val="ro-RO"/>
        </w:rPr>
      </w:pPr>
    </w:p>
    <w:p w:rsidR="001521AD" w:rsidRPr="00C30927" w:rsidRDefault="0003534F" w:rsidP="00C30927">
      <w:pPr>
        <w:pStyle w:val="NoSpacing"/>
        <w:rPr>
          <w:lang w:val="ro-RO"/>
        </w:rPr>
      </w:pPr>
      <w:r w:rsidRPr="00C30927">
        <w:rPr>
          <w:b/>
          <w:lang w:val="ro-RO"/>
        </w:rPr>
        <w:t>XX.</w:t>
      </w:r>
      <w:r w:rsidR="00D60970" w:rsidRPr="00C30927">
        <w:rPr>
          <w:b/>
          <w:lang w:val="ro-RO"/>
        </w:rPr>
        <w:t xml:space="preserve"> </w:t>
      </w:r>
      <w:r w:rsidR="00B66405" w:rsidRPr="00C30927">
        <w:rPr>
          <w:b/>
          <w:lang w:val="ro-RO"/>
        </w:rPr>
        <w:t>ALTE INFORMA</w:t>
      </w:r>
      <w:r w:rsidR="00EF1059" w:rsidRPr="00C30927">
        <w:rPr>
          <w:b/>
          <w:lang w:val="ro-RO"/>
        </w:rPr>
        <w:t>T</w:t>
      </w:r>
      <w:r w:rsidR="004D1157" w:rsidRPr="00C30927">
        <w:rPr>
          <w:b/>
          <w:lang w:val="ro-RO"/>
        </w:rPr>
        <w:t xml:space="preserve">II: </w:t>
      </w:r>
    </w:p>
    <w:p w:rsidR="00153D67" w:rsidRPr="00C30927" w:rsidRDefault="00153D67" w:rsidP="00C30927">
      <w:pPr>
        <w:pStyle w:val="NoSpacing"/>
        <w:rPr>
          <w:lang w:val="ro-RO"/>
        </w:rPr>
      </w:pPr>
      <w:r w:rsidRPr="00C30927">
        <w:rPr>
          <w:lang w:val="ro-RO"/>
        </w:rPr>
        <w:t>Datorită acțiunii întârziate, rodenticidele cu anticoagulant sunt eficiente la 4 până la 10 zile de la consumarea momelii. </w:t>
      </w:r>
    </w:p>
    <w:p w:rsidR="00153D67" w:rsidRPr="00C30927" w:rsidRDefault="00153D67" w:rsidP="00C30927">
      <w:pPr>
        <w:pStyle w:val="NoSpacing"/>
        <w:rPr>
          <w:lang w:val="ro-RO"/>
        </w:rPr>
      </w:pPr>
      <w:r w:rsidRPr="00C30927">
        <w:rPr>
          <w:lang w:val="ro-RO"/>
        </w:rPr>
        <w:t>Rozătoarele pot fi purtătoare de boli. Nu atingeți rozătoarele moarte cu mâinile neprotejate, utilizați mănuși sau instrumente cum ar fi cleștii pentru preluarea acestora.</w:t>
      </w:r>
    </w:p>
    <w:p w:rsidR="00153D67" w:rsidRPr="00C30927" w:rsidRDefault="00153D67" w:rsidP="00C30927">
      <w:pPr>
        <w:pStyle w:val="NoSpacing"/>
        <w:rPr>
          <w:lang w:val="ro-RO"/>
        </w:rPr>
      </w:pPr>
      <w:r w:rsidRPr="00C30927">
        <w:rPr>
          <w:lang w:val="ro-RO"/>
        </w:rPr>
        <w:t>Acest produs conține un agent amar și un colorant.</w:t>
      </w:r>
    </w:p>
    <w:p w:rsidR="00153D67" w:rsidRPr="00C30927" w:rsidRDefault="00153D67" w:rsidP="00C30927">
      <w:pPr>
        <w:pStyle w:val="NoSpacing"/>
        <w:rPr>
          <w:lang w:val="ro-RO"/>
        </w:rPr>
      </w:pPr>
      <w:r w:rsidRPr="00C30927">
        <w:rPr>
          <w:lang w:val="ro-RO"/>
        </w:rPr>
        <w:t>Cutiile pentru momeală trebuie etichetate cu următoarele informații: "nu mutați și nu deschideți"; "conține rodenticid"; "denumire comercială sau număr autorizație"; " substanță/ e activă/ e" și "în caz de accident, contactați un centru toxicologic +40 - 021 318 36 06".</w:t>
      </w:r>
    </w:p>
    <w:p w:rsidR="00153D67" w:rsidRPr="00C30927" w:rsidRDefault="00153D67" w:rsidP="00C30927">
      <w:pPr>
        <w:pStyle w:val="NoSpacing"/>
        <w:rPr>
          <w:lang w:val="ro-RO"/>
        </w:rPr>
      </w:pPr>
      <w:r w:rsidRPr="00C30927">
        <w:rPr>
          <w:lang w:val="ro-RO"/>
        </w:rPr>
        <w:lastRenderedPageBreak/>
        <w:t>Avand in vedere efectele potentiale pentru sanatatea umana , se recomanda citirea cu mare atentie a instructiunilor de pe eticheta si respectarea lor.</w:t>
      </w:r>
    </w:p>
    <w:p w:rsidR="00C15D60" w:rsidRPr="00C30927" w:rsidRDefault="00C15D60" w:rsidP="00C30927">
      <w:pPr>
        <w:pStyle w:val="NoSpacing"/>
        <w:rPr>
          <w:lang w:val="ro-RO"/>
        </w:rPr>
      </w:pPr>
    </w:p>
    <w:p w:rsidR="00737914" w:rsidRPr="00C30927" w:rsidRDefault="00737914" w:rsidP="00C30927">
      <w:pPr>
        <w:pStyle w:val="NoSpacing"/>
        <w:rPr>
          <w:u w:val="single"/>
          <w:lang w:val="ro-RO"/>
        </w:rPr>
      </w:pPr>
      <w:r w:rsidRPr="00C30927">
        <w:rPr>
          <w:u w:val="single"/>
          <w:lang w:val="ro-RO"/>
        </w:rPr>
        <w:t>Respectati restrictiile pentru utilizarea produsului biocid</w:t>
      </w:r>
    </w:p>
    <w:p w:rsidR="00737914" w:rsidRPr="00C30927" w:rsidRDefault="00737914" w:rsidP="00C30927">
      <w:pPr>
        <w:pStyle w:val="NoSpacing"/>
        <w:rPr>
          <w:lang w:val="ro-RO"/>
        </w:rPr>
      </w:pPr>
      <w:r w:rsidRPr="00C30927">
        <w:rPr>
          <w:lang w:val="ro-RO"/>
        </w:rPr>
        <w:t>Se va impiedica patrunderea in sol, in apele de suprafata, in sistemele de canalizare sau in apele din panza freatica . Se aplica numai in statiile de momeala rezistente la manipulare, marcate in mod corespunzator. Nu aplicati direct in vizuina .</w:t>
      </w:r>
    </w:p>
    <w:p w:rsidR="00C15D60" w:rsidRPr="00C30927" w:rsidRDefault="00C15D60" w:rsidP="00C30927">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C30927" w:rsidTr="007F5394">
        <w:tc>
          <w:tcPr>
            <w:tcW w:w="9923" w:type="dxa"/>
          </w:tcPr>
          <w:p w:rsidR="00B66405" w:rsidRPr="00C30927" w:rsidRDefault="00B66405" w:rsidP="00C30927">
            <w:pPr>
              <w:pStyle w:val="NoSpacing"/>
              <w:rPr>
                <w:lang w:val="ro-RO"/>
              </w:rPr>
            </w:pPr>
            <w:r w:rsidRPr="00C30927">
              <w:rPr>
                <w:lang w:val="ro-RO"/>
              </w:rPr>
              <w:t>Prezenta autoriza</w:t>
            </w:r>
            <w:r w:rsidR="007707AC" w:rsidRPr="00C30927">
              <w:rPr>
                <w:lang w:val="ro-RO"/>
              </w:rPr>
              <w:t>t</w:t>
            </w:r>
            <w:r w:rsidRPr="00C30927">
              <w:rPr>
                <w:lang w:val="ro-RO"/>
              </w:rPr>
              <w:t>ie este înso</w:t>
            </w:r>
            <w:r w:rsidR="007707AC" w:rsidRPr="00C30927">
              <w:rPr>
                <w:lang w:val="ro-RO"/>
              </w:rPr>
              <w:t>t</w:t>
            </w:r>
            <w:r w:rsidRPr="00C30927">
              <w:rPr>
                <w:lang w:val="ro-RO"/>
              </w:rPr>
              <w:t>ită de următoarele documente :</w:t>
            </w:r>
          </w:p>
          <w:p w:rsidR="00B66405" w:rsidRPr="00C30927" w:rsidRDefault="0089407B" w:rsidP="00C30927">
            <w:pPr>
              <w:pStyle w:val="NoSpacing"/>
              <w:rPr>
                <w:lang w:val="ro-RO"/>
              </w:rPr>
            </w:pPr>
            <w:r w:rsidRPr="00C30927">
              <w:rPr>
                <w:lang w:val="ro-RO"/>
              </w:rPr>
              <w:t>-</w:t>
            </w:r>
            <w:r w:rsidR="00B66405" w:rsidRPr="00C30927">
              <w:rPr>
                <w:lang w:val="ro-RO"/>
              </w:rPr>
              <w:t>proiect de etichetă a produsului biocid</w:t>
            </w:r>
          </w:p>
          <w:p w:rsidR="00B66405" w:rsidRPr="00C30927" w:rsidRDefault="0089407B" w:rsidP="00C30927">
            <w:pPr>
              <w:pStyle w:val="NoSpacing"/>
              <w:rPr>
                <w:lang w:val="ro-RO"/>
              </w:rPr>
            </w:pPr>
            <w:r w:rsidRPr="00C30927">
              <w:rPr>
                <w:lang w:val="ro-RO"/>
              </w:rPr>
              <w:t>-</w:t>
            </w:r>
            <w:r w:rsidR="00B66405" w:rsidRPr="00C30927">
              <w:rPr>
                <w:lang w:val="ro-RO"/>
              </w:rPr>
              <w:t>fi</w:t>
            </w:r>
            <w:r w:rsidR="007707AC" w:rsidRPr="00C30927">
              <w:rPr>
                <w:lang w:val="ro-RO"/>
              </w:rPr>
              <w:t>s</w:t>
            </w:r>
            <w:r w:rsidR="00B66405" w:rsidRPr="00C30927">
              <w:rPr>
                <w:lang w:val="ro-RO"/>
              </w:rPr>
              <w:t>a cu date de securitate a produsului biocid</w:t>
            </w:r>
          </w:p>
          <w:p w:rsidR="00B66405" w:rsidRPr="00C30927" w:rsidRDefault="0089407B" w:rsidP="00C30927">
            <w:pPr>
              <w:pStyle w:val="NoSpacing"/>
              <w:rPr>
                <w:lang w:val="ro-RO"/>
              </w:rPr>
            </w:pPr>
            <w:r w:rsidRPr="00C30927">
              <w:rPr>
                <w:lang w:val="ro-RO"/>
              </w:rPr>
              <w:t>-</w:t>
            </w:r>
            <w:r w:rsidR="00B66405" w:rsidRPr="00C30927">
              <w:rPr>
                <w:lang w:val="ro-RO"/>
              </w:rPr>
              <w:t xml:space="preserve">rezumatul caracteristicilor produsului biocid </w:t>
            </w:r>
          </w:p>
        </w:tc>
      </w:tr>
    </w:tbl>
    <w:p w:rsidR="00B66405" w:rsidRPr="00C30927" w:rsidRDefault="00B66405" w:rsidP="00C30927">
      <w:pPr>
        <w:numPr>
          <w:ilvl w:val="0"/>
          <w:numId w:val="7"/>
        </w:numPr>
        <w:ind w:left="709"/>
        <w:rPr>
          <w:lang w:val="ro-RO"/>
        </w:rPr>
      </w:pPr>
      <w:r w:rsidRPr="00C30927">
        <w:rPr>
          <w:lang w:val="ro-RO"/>
        </w:rPr>
        <w:t>Este obligatorie transmiterea de către de</w:t>
      </w:r>
      <w:r w:rsidR="007707AC" w:rsidRPr="00C30927">
        <w:rPr>
          <w:lang w:val="ro-RO"/>
        </w:rPr>
        <w:t>tinătorul autorizatiei a fis</w:t>
      </w:r>
      <w:r w:rsidRPr="00C30927">
        <w:rPr>
          <w:lang w:val="ro-RO"/>
        </w:rPr>
        <w:t>ei cu date de</w:t>
      </w:r>
      <w:r w:rsidR="007707AC" w:rsidRPr="00C30927">
        <w:rPr>
          <w:lang w:val="ro-RO"/>
        </w:rPr>
        <w:t xml:space="preserve"> securitate către Institutul Nat</w:t>
      </w:r>
      <w:r w:rsidRPr="00C30927">
        <w:rPr>
          <w:lang w:val="ro-RO"/>
        </w:rPr>
        <w:t xml:space="preserve">ional de Sănătate Publică </w:t>
      </w:r>
      <w:r w:rsidR="007707AC" w:rsidRPr="00C30927">
        <w:rPr>
          <w:lang w:val="ro-RO"/>
        </w:rPr>
        <w:t>– Biroul RSI s</w:t>
      </w:r>
      <w:r w:rsidRPr="00C30927">
        <w:rPr>
          <w:lang w:val="ro-RO"/>
        </w:rPr>
        <w:t>i Informare Toxicologică</w:t>
      </w:r>
    </w:p>
    <w:p w:rsidR="00B66405" w:rsidRPr="00C30927" w:rsidRDefault="00B66405" w:rsidP="00C30927">
      <w:pPr>
        <w:numPr>
          <w:ilvl w:val="0"/>
          <w:numId w:val="7"/>
        </w:numPr>
        <w:ind w:left="709"/>
        <w:rPr>
          <w:lang w:val="ro-RO"/>
        </w:rPr>
      </w:pPr>
      <w:r w:rsidRPr="00C30927">
        <w:rPr>
          <w:lang w:val="ro-RO"/>
        </w:rPr>
        <w:t>P</w:t>
      </w:r>
      <w:r w:rsidR="007707AC" w:rsidRPr="00C30927">
        <w:rPr>
          <w:lang w:val="ro-RO"/>
        </w:rPr>
        <w:t>rezentul document poate fi însot</w:t>
      </w:r>
      <w:r w:rsidRPr="00C30927">
        <w:rPr>
          <w:lang w:val="ro-RO"/>
        </w:rPr>
        <w:t>it de anexă în cazul modificărilor administrative</w:t>
      </w:r>
    </w:p>
    <w:p w:rsidR="00B66405" w:rsidRPr="00C30927" w:rsidRDefault="00B66405" w:rsidP="00C30927">
      <w:pPr>
        <w:rPr>
          <w:lang w:val="ro-RO"/>
        </w:rPr>
      </w:pPr>
    </w:p>
    <w:p w:rsidR="00CC4F8E" w:rsidRPr="00C30927" w:rsidRDefault="00CC4F8E" w:rsidP="00C30927">
      <w:pPr>
        <w:ind w:firstLine="709"/>
        <w:jc w:val="both"/>
        <w:rPr>
          <w:lang w:val="ro-RO"/>
        </w:rPr>
      </w:pPr>
      <w:r w:rsidRPr="00C30927">
        <w:rPr>
          <w:lang w:val="ro-RO"/>
        </w:rPr>
        <w:t xml:space="preserve">Acest certificat reprezinta reinnoirea certificatului pentru autorizarea produsului biocid nr. </w:t>
      </w:r>
      <w:r w:rsidR="00C30927" w:rsidRPr="00C30927">
        <w:rPr>
          <w:lang w:val="ro-RO"/>
        </w:rPr>
        <w:t>RO/2017/0189/MRA/IT/2012/00005/AUT</w:t>
      </w:r>
    </w:p>
    <w:p w:rsidR="00CC4F8E" w:rsidRPr="00C30927" w:rsidRDefault="00CC4F8E" w:rsidP="00C30927">
      <w:pPr>
        <w:rPr>
          <w:lang w:val="ro-RO"/>
        </w:rPr>
      </w:pPr>
    </w:p>
    <w:p w:rsidR="007F5394" w:rsidRPr="00C30927" w:rsidRDefault="00B66405" w:rsidP="00C30927">
      <w:pPr>
        <w:pStyle w:val="NoSpacing"/>
        <w:rPr>
          <w:lang w:val="ro-RO"/>
        </w:rPr>
      </w:pPr>
      <w:r w:rsidRPr="00C30927">
        <w:rPr>
          <w:color w:val="FF0000"/>
          <w:lang w:val="ro-RO"/>
        </w:rPr>
        <w:tab/>
      </w:r>
      <w:r w:rsidRPr="00C30927">
        <w:rPr>
          <w:color w:val="FF0000"/>
          <w:lang w:val="ro-RO"/>
        </w:rPr>
        <w:tab/>
      </w:r>
      <w:r w:rsidRPr="00C30927">
        <w:rPr>
          <w:color w:val="FF0000"/>
          <w:lang w:val="ro-RO"/>
        </w:rPr>
        <w:tab/>
      </w:r>
      <w:r w:rsidRPr="00C30927">
        <w:rPr>
          <w:color w:val="FF0000"/>
          <w:lang w:val="ro-RO"/>
        </w:rPr>
        <w:tab/>
      </w:r>
      <w:r w:rsidRPr="00C30927">
        <w:rPr>
          <w:color w:val="FF0000"/>
          <w:lang w:val="ro-RO"/>
        </w:rPr>
        <w:tab/>
      </w:r>
      <w:r w:rsidRPr="00C30927">
        <w:rPr>
          <w:color w:val="FF0000"/>
          <w:lang w:val="ro-RO"/>
        </w:rPr>
        <w:tab/>
      </w:r>
      <w:r w:rsidRPr="00C30927">
        <w:rPr>
          <w:color w:val="FF0000"/>
          <w:lang w:val="ro-RO"/>
        </w:rPr>
        <w:tab/>
      </w:r>
      <w:r w:rsidRPr="00C30927">
        <w:rPr>
          <w:color w:val="FF0000"/>
          <w:lang w:val="ro-RO"/>
        </w:rPr>
        <w:tab/>
      </w:r>
      <w:r w:rsidRPr="00C30927">
        <w:rPr>
          <w:lang w:val="ro-RO"/>
        </w:rPr>
        <w:t>PRE</w:t>
      </w:r>
      <w:r w:rsidR="00A616BE" w:rsidRPr="00C30927">
        <w:rPr>
          <w:lang w:val="ro-RO"/>
        </w:rPr>
        <w:t>S</w:t>
      </w:r>
      <w:r w:rsidRPr="00C30927">
        <w:rPr>
          <w:lang w:val="ro-RO"/>
        </w:rPr>
        <w:t>EDINTE,</w:t>
      </w:r>
    </w:p>
    <w:p w:rsidR="00A04268" w:rsidRPr="00C30927" w:rsidRDefault="00A04268" w:rsidP="00C30927">
      <w:pPr>
        <w:pStyle w:val="NoSpacing"/>
        <w:rPr>
          <w:lang w:val="ro-RO"/>
        </w:rPr>
      </w:pPr>
      <w:r w:rsidRPr="00C30927">
        <w:rPr>
          <w:lang w:val="ro-RO"/>
        </w:rPr>
        <w:tab/>
      </w:r>
      <w:r w:rsidRPr="00C30927">
        <w:rPr>
          <w:lang w:val="ro-RO"/>
        </w:rPr>
        <w:tab/>
      </w:r>
      <w:r w:rsidRPr="00C30927">
        <w:rPr>
          <w:lang w:val="ro-RO"/>
        </w:rPr>
        <w:tab/>
      </w:r>
      <w:r w:rsidRPr="00C30927">
        <w:rPr>
          <w:lang w:val="ro-RO"/>
        </w:rPr>
        <w:tab/>
      </w:r>
      <w:r w:rsidRPr="00C30927">
        <w:rPr>
          <w:lang w:val="ro-RO"/>
        </w:rPr>
        <w:tab/>
      </w:r>
      <w:r w:rsidRPr="00C30927">
        <w:rPr>
          <w:lang w:val="ro-RO"/>
        </w:rPr>
        <w:tab/>
      </w:r>
      <w:r w:rsidRPr="00C30927">
        <w:rPr>
          <w:lang w:val="ro-RO"/>
        </w:rPr>
        <w:tab/>
      </w:r>
      <w:r w:rsidRPr="00C30927">
        <w:rPr>
          <w:lang w:val="ro-RO"/>
        </w:rPr>
        <w:tab/>
        <w:t>Dr. Chim. Gabriela Cilinca</w:t>
      </w:r>
    </w:p>
    <w:p w:rsidR="00016938" w:rsidRPr="007707AC" w:rsidRDefault="00016938" w:rsidP="00C30927">
      <w:r w:rsidRPr="00C30927">
        <w:rPr>
          <w:lang w:val="ro-RO"/>
        </w:rPr>
        <w:tab/>
      </w:r>
      <w:r w:rsidRPr="00C30927">
        <w:rPr>
          <w:lang w:val="ro-RO"/>
        </w:rPr>
        <w:tab/>
      </w:r>
      <w:r w:rsidRPr="00C30927">
        <w:rPr>
          <w:lang w:val="ro-RO"/>
        </w:rPr>
        <w:tab/>
      </w:r>
      <w:r w:rsidRPr="00C30927">
        <w:rPr>
          <w:lang w:val="ro-RO"/>
        </w:rPr>
        <w:tab/>
      </w:r>
      <w:r w:rsidRPr="00C30927">
        <w:rPr>
          <w:lang w:val="ro-RO"/>
        </w:rPr>
        <w:tab/>
      </w:r>
      <w:r w:rsidRPr="00C30927">
        <w:rPr>
          <w:lang w:val="ro-RO"/>
        </w:rPr>
        <w:tab/>
      </w:r>
      <w:r w:rsidRPr="00C30927">
        <w:rPr>
          <w:lang w:val="ro-RO"/>
        </w:rPr>
        <w:tab/>
      </w:r>
      <w:r>
        <w:rPr>
          <w:lang w:val="ro-RO"/>
        </w:rPr>
        <w:tab/>
      </w:r>
    </w:p>
    <w:sectPr w:rsidR="00016938" w:rsidRPr="007707AC" w:rsidSect="007F5394">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E7" w:rsidRDefault="009C21E7">
      <w:r>
        <w:separator/>
      </w:r>
    </w:p>
  </w:endnote>
  <w:endnote w:type="continuationSeparator" w:id="0">
    <w:p w:rsidR="009C21E7" w:rsidRDefault="009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94" w:rsidRDefault="007F5394"/>
  <w:p w:rsidR="007F5394" w:rsidRDefault="007F5394"/>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7F5394" w:rsidRPr="007A1CBD">
      <w:trPr>
        <w:cantSplit/>
      </w:trPr>
      <w:tc>
        <w:tcPr>
          <w:tcW w:w="1701" w:type="dxa"/>
          <w:shd w:val="clear" w:color="auto" w:fill="auto"/>
        </w:tcPr>
        <w:p w:rsidR="007F5394" w:rsidRPr="007A1CBD" w:rsidRDefault="007F5394" w:rsidP="007F5394">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AF5531">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AF5531">
            <w:rPr>
              <w:rFonts w:ascii="Arial" w:hAnsi="Arial"/>
              <w:noProof/>
              <w:sz w:val="18"/>
            </w:rPr>
            <w:t>16</w:t>
          </w:r>
          <w:r w:rsidRPr="00EA2CC9">
            <w:rPr>
              <w:rFonts w:ascii="Arial" w:hAnsi="Arial"/>
              <w:sz w:val="18"/>
            </w:rPr>
            <w:fldChar w:fldCharType="end"/>
          </w:r>
        </w:p>
      </w:tc>
      <w:tc>
        <w:tcPr>
          <w:tcW w:w="8222" w:type="dxa"/>
          <w:shd w:val="clear" w:color="auto" w:fill="auto"/>
        </w:tcPr>
        <w:p w:rsidR="007F5394" w:rsidRPr="007A1CBD" w:rsidRDefault="007F5394" w:rsidP="007F5394">
          <w:pPr>
            <w:pStyle w:val="Header"/>
            <w:jc w:val="center"/>
            <w:rPr>
              <w:rFonts w:ascii="Arial" w:hAnsi="Arial"/>
              <w:sz w:val="6"/>
            </w:rPr>
          </w:pPr>
        </w:p>
        <w:p w:rsidR="007F5394" w:rsidRPr="00C30927" w:rsidRDefault="007F5394" w:rsidP="00E65F9D">
          <w:pPr>
            <w:pStyle w:val="Header"/>
          </w:pPr>
          <w:r>
            <w:t xml:space="preserve">            </w:t>
          </w:r>
          <w:r w:rsidRPr="00C30927">
            <w:t>Autorizatie nr.</w:t>
          </w:r>
          <w:r w:rsidRPr="00C30927">
            <w:rPr>
              <w:lang w:val="it-IT"/>
            </w:rPr>
            <w:t xml:space="preserve"> </w:t>
          </w:r>
          <w:r w:rsidR="00C30927" w:rsidRPr="00C30927">
            <w:rPr>
              <w:lang w:val="it-IT"/>
            </w:rPr>
            <w:t>RO/2019/0189/MRA/IT/2012/00005 AUT</w:t>
          </w:r>
        </w:p>
      </w:tc>
    </w:tr>
  </w:tbl>
  <w:p w:rsidR="007F5394" w:rsidRDefault="007F5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E7" w:rsidRDefault="009C21E7">
      <w:r>
        <w:separator/>
      </w:r>
    </w:p>
  </w:footnote>
  <w:footnote w:type="continuationSeparator" w:id="0">
    <w:p w:rsidR="009C21E7" w:rsidRDefault="009C2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7F5394" w:rsidRPr="007A1CBD" w:rsidTr="007F5394">
      <w:trPr>
        <w:trHeight w:val="1080"/>
      </w:trPr>
      <w:tc>
        <w:tcPr>
          <w:tcW w:w="1622" w:type="dxa"/>
          <w:shd w:val="clear" w:color="auto" w:fill="auto"/>
          <w:vAlign w:val="center"/>
        </w:tcPr>
        <w:p w:rsidR="007F5394" w:rsidRPr="007A1CBD" w:rsidRDefault="007F5394" w:rsidP="007F5394">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7F5394" w:rsidRPr="00B66405" w:rsidRDefault="007F5394" w:rsidP="007F5394">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7F5394" w:rsidRPr="00B66405" w:rsidRDefault="007F5394" w:rsidP="007F5394">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7F5394" w:rsidRPr="0075172A" w:rsidRDefault="007F5394" w:rsidP="007F5394">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7F5394" w:rsidRPr="007A1CBD" w:rsidRDefault="007F5394" w:rsidP="007F5394">
          <w:pPr>
            <w:pStyle w:val="Header"/>
            <w:jc w:val="center"/>
          </w:pPr>
          <w:r w:rsidRPr="0075172A">
            <w:rPr>
              <w:rFonts w:ascii="Arial" w:hAnsi="Arial"/>
              <w:sz w:val="16"/>
              <w:szCs w:val="16"/>
            </w:rPr>
            <w:t>Tel: *(+40 21) 318 36 20, Secretariat tehnic: (+40 21) 311 86 20; Fax: (+40 21) 311 86 22</w:t>
          </w:r>
        </w:p>
      </w:tc>
    </w:tr>
  </w:tbl>
  <w:p w:rsidR="007F5394" w:rsidRDefault="007F5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0B247E5"/>
    <w:multiLevelType w:val="hybridMultilevel"/>
    <w:tmpl w:val="D194ACB6"/>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29">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1"/>
  </w:num>
  <w:num w:numId="4">
    <w:abstractNumId w:val="23"/>
  </w:num>
  <w:num w:numId="5">
    <w:abstractNumId w:val="0"/>
  </w:num>
  <w:num w:numId="6">
    <w:abstractNumId w:val="30"/>
  </w:num>
  <w:num w:numId="7">
    <w:abstractNumId w:val="7"/>
  </w:num>
  <w:num w:numId="8">
    <w:abstractNumId w:val="35"/>
  </w:num>
  <w:num w:numId="9">
    <w:abstractNumId w:val="24"/>
  </w:num>
  <w:num w:numId="10">
    <w:abstractNumId w:val="15"/>
  </w:num>
  <w:num w:numId="11">
    <w:abstractNumId w:val="34"/>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2"/>
  </w:num>
  <w:num w:numId="21">
    <w:abstractNumId w:val="14"/>
  </w:num>
  <w:num w:numId="22">
    <w:abstractNumId w:val="5"/>
  </w:num>
  <w:num w:numId="23">
    <w:abstractNumId w:val="8"/>
  </w:num>
  <w:num w:numId="24">
    <w:abstractNumId w:val="3"/>
  </w:num>
  <w:num w:numId="25">
    <w:abstractNumId w:val="36"/>
  </w:num>
  <w:num w:numId="26">
    <w:abstractNumId w:val="18"/>
  </w:num>
  <w:num w:numId="27">
    <w:abstractNumId w:val="17"/>
  </w:num>
  <w:num w:numId="28">
    <w:abstractNumId w:val="29"/>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3"/>
  </w:num>
  <w:num w:numId="36">
    <w:abstractNumId w:val="2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1285"/>
    <w:rsid w:val="0003534F"/>
    <w:rsid w:val="000368AE"/>
    <w:rsid w:val="00037CA8"/>
    <w:rsid w:val="00041494"/>
    <w:rsid w:val="00041A9D"/>
    <w:rsid w:val="00044538"/>
    <w:rsid w:val="0004550C"/>
    <w:rsid w:val="00050B00"/>
    <w:rsid w:val="00056AD7"/>
    <w:rsid w:val="00056E50"/>
    <w:rsid w:val="000624BD"/>
    <w:rsid w:val="00076880"/>
    <w:rsid w:val="000863C7"/>
    <w:rsid w:val="00086646"/>
    <w:rsid w:val="00094ED4"/>
    <w:rsid w:val="000A2270"/>
    <w:rsid w:val="000E652C"/>
    <w:rsid w:val="000F0086"/>
    <w:rsid w:val="00104B8B"/>
    <w:rsid w:val="00111292"/>
    <w:rsid w:val="00111DB4"/>
    <w:rsid w:val="00113112"/>
    <w:rsid w:val="001247DF"/>
    <w:rsid w:val="0013656B"/>
    <w:rsid w:val="001416A2"/>
    <w:rsid w:val="00141EB5"/>
    <w:rsid w:val="001521AD"/>
    <w:rsid w:val="00153D67"/>
    <w:rsid w:val="001546AC"/>
    <w:rsid w:val="00160E12"/>
    <w:rsid w:val="00160E50"/>
    <w:rsid w:val="00161F7B"/>
    <w:rsid w:val="00173022"/>
    <w:rsid w:val="001801D2"/>
    <w:rsid w:val="001859C3"/>
    <w:rsid w:val="00193653"/>
    <w:rsid w:val="00196CB8"/>
    <w:rsid w:val="001A096C"/>
    <w:rsid w:val="001A29C7"/>
    <w:rsid w:val="001A55AF"/>
    <w:rsid w:val="001B1762"/>
    <w:rsid w:val="001B19C6"/>
    <w:rsid w:val="001B1AC4"/>
    <w:rsid w:val="001B6A97"/>
    <w:rsid w:val="001C5D0F"/>
    <w:rsid w:val="001D43BA"/>
    <w:rsid w:val="001D551C"/>
    <w:rsid w:val="001E1025"/>
    <w:rsid w:val="001E1B75"/>
    <w:rsid w:val="001F586A"/>
    <w:rsid w:val="001F7047"/>
    <w:rsid w:val="00201651"/>
    <w:rsid w:val="00203F73"/>
    <w:rsid w:val="00205548"/>
    <w:rsid w:val="002069AB"/>
    <w:rsid w:val="002069D8"/>
    <w:rsid w:val="00207796"/>
    <w:rsid w:val="002155D9"/>
    <w:rsid w:val="0021755C"/>
    <w:rsid w:val="002215F4"/>
    <w:rsid w:val="00232E95"/>
    <w:rsid w:val="00236B13"/>
    <w:rsid w:val="002610E0"/>
    <w:rsid w:val="00261BB3"/>
    <w:rsid w:val="00262400"/>
    <w:rsid w:val="00267338"/>
    <w:rsid w:val="00267B5C"/>
    <w:rsid w:val="00270F95"/>
    <w:rsid w:val="00276845"/>
    <w:rsid w:val="00285749"/>
    <w:rsid w:val="002877F4"/>
    <w:rsid w:val="00293EA8"/>
    <w:rsid w:val="00294AB3"/>
    <w:rsid w:val="00296FE8"/>
    <w:rsid w:val="002A6BEB"/>
    <w:rsid w:val="002B09E0"/>
    <w:rsid w:val="002C1F65"/>
    <w:rsid w:val="002D3684"/>
    <w:rsid w:val="002D65DA"/>
    <w:rsid w:val="002E67AA"/>
    <w:rsid w:val="002F1B8A"/>
    <w:rsid w:val="002F1B9A"/>
    <w:rsid w:val="002F2D46"/>
    <w:rsid w:val="002F6B33"/>
    <w:rsid w:val="002F6F5D"/>
    <w:rsid w:val="00312270"/>
    <w:rsid w:val="0031250E"/>
    <w:rsid w:val="003141DD"/>
    <w:rsid w:val="00315635"/>
    <w:rsid w:val="00322856"/>
    <w:rsid w:val="0032380A"/>
    <w:rsid w:val="00326B6A"/>
    <w:rsid w:val="0033290B"/>
    <w:rsid w:val="00340FC3"/>
    <w:rsid w:val="00343AE3"/>
    <w:rsid w:val="00346AEE"/>
    <w:rsid w:val="00350A1C"/>
    <w:rsid w:val="00353583"/>
    <w:rsid w:val="003711FA"/>
    <w:rsid w:val="00383BA6"/>
    <w:rsid w:val="00385365"/>
    <w:rsid w:val="0039240C"/>
    <w:rsid w:val="00393522"/>
    <w:rsid w:val="003A20AE"/>
    <w:rsid w:val="003A21DF"/>
    <w:rsid w:val="003A3556"/>
    <w:rsid w:val="003A4CA3"/>
    <w:rsid w:val="003B017B"/>
    <w:rsid w:val="003B0EBF"/>
    <w:rsid w:val="003B38F7"/>
    <w:rsid w:val="003B5AAB"/>
    <w:rsid w:val="003C4685"/>
    <w:rsid w:val="003C57BD"/>
    <w:rsid w:val="003E0582"/>
    <w:rsid w:val="003E25B6"/>
    <w:rsid w:val="003E3953"/>
    <w:rsid w:val="003E4CCE"/>
    <w:rsid w:val="003E5741"/>
    <w:rsid w:val="003F01C7"/>
    <w:rsid w:val="00400263"/>
    <w:rsid w:val="004020CE"/>
    <w:rsid w:val="004058F7"/>
    <w:rsid w:val="00407CD5"/>
    <w:rsid w:val="00410C1A"/>
    <w:rsid w:val="00412F16"/>
    <w:rsid w:val="00414655"/>
    <w:rsid w:val="00420EED"/>
    <w:rsid w:val="00427601"/>
    <w:rsid w:val="004473D1"/>
    <w:rsid w:val="0045414D"/>
    <w:rsid w:val="004678F9"/>
    <w:rsid w:val="00467F1E"/>
    <w:rsid w:val="004878B2"/>
    <w:rsid w:val="00491026"/>
    <w:rsid w:val="004A208E"/>
    <w:rsid w:val="004A7633"/>
    <w:rsid w:val="004B68C6"/>
    <w:rsid w:val="004D1157"/>
    <w:rsid w:val="004D276B"/>
    <w:rsid w:val="004E17C7"/>
    <w:rsid w:val="004E26F2"/>
    <w:rsid w:val="004E5659"/>
    <w:rsid w:val="004F11D6"/>
    <w:rsid w:val="004F30E7"/>
    <w:rsid w:val="004F4E7B"/>
    <w:rsid w:val="004F60DD"/>
    <w:rsid w:val="00501039"/>
    <w:rsid w:val="005118EB"/>
    <w:rsid w:val="00513FBB"/>
    <w:rsid w:val="00523724"/>
    <w:rsid w:val="0054192A"/>
    <w:rsid w:val="0054365D"/>
    <w:rsid w:val="005452F0"/>
    <w:rsid w:val="00550188"/>
    <w:rsid w:val="00554E3A"/>
    <w:rsid w:val="00556592"/>
    <w:rsid w:val="0055665A"/>
    <w:rsid w:val="005603AD"/>
    <w:rsid w:val="00561B6F"/>
    <w:rsid w:val="00563B04"/>
    <w:rsid w:val="00564DC0"/>
    <w:rsid w:val="00565D4E"/>
    <w:rsid w:val="00571122"/>
    <w:rsid w:val="00582B30"/>
    <w:rsid w:val="00586D5F"/>
    <w:rsid w:val="00591001"/>
    <w:rsid w:val="00591A7B"/>
    <w:rsid w:val="0059478D"/>
    <w:rsid w:val="00595C61"/>
    <w:rsid w:val="005A2AC9"/>
    <w:rsid w:val="005B16D6"/>
    <w:rsid w:val="005B7030"/>
    <w:rsid w:val="005C2BCF"/>
    <w:rsid w:val="005D143E"/>
    <w:rsid w:val="005D1DDF"/>
    <w:rsid w:val="005D755B"/>
    <w:rsid w:val="005D7610"/>
    <w:rsid w:val="005F17DF"/>
    <w:rsid w:val="006034D2"/>
    <w:rsid w:val="0060460B"/>
    <w:rsid w:val="00616F38"/>
    <w:rsid w:val="006172D3"/>
    <w:rsid w:val="006250D7"/>
    <w:rsid w:val="00631E8B"/>
    <w:rsid w:val="0063607B"/>
    <w:rsid w:val="00640A10"/>
    <w:rsid w:val="00645617"/>
    <w:rsid w:val="0065190E"/>
    <w:rsid w:val="00651F9B"/>
    <w:rsid w:val="00656221"/>
    <w:rsid w:val="0066180E"/>
    <w:rsid w:val="00662EBA"/>
    <w:rsid w:val="00665A11"/>
    <w:rsid w:val="006746BB"/>
    <w:rsid w:val="0068059F"/>
    <w:rsid w:val="0068479C"/>
    <w:rsid w:val="00687379"/>
    <w:rsid w:val="00687B1A"/>
    <w:rsid w:val="006927E4"/>
    <w:rsid w:val="00697846"/>
    <w:rsid w:val="006A185A"/>
    <w:rsid w:val="006A3624"/>
    <w:rsid w:val="006A485C"/>
    <w:rsid w:val="006A6021"/>
    <w:rsid w:val="006B1D76"/>
    <w:rsid w:val="006C4927"/>
    <w:rsid w:val="006C6B0C"/>
    <w:rsid w:val="006D08EB"/>
    <w:rsid w:val="006E4D8B"/>
    <w:rsid w:val="006E52A8"/>
    <w:rsid w:val="006E6A04"/>
    <w:rsid w:val="006F18CA"/>
    <w:rsid w:val="00703B00"/>
    <w:rsid w:val="00712714"/>
    <w:rsid w:val="0072471C"/>
    <w:rsid w:val="00725906"/>
    <w:rsid w:val="00726A7F"/>
    <w:rsid w:val="00737914"/>
    <w:rsid w:val="007406C6"/>
    <w:rsid w:val="0074080B"/>
    <w:rsid w:val="00754F13"/>
    <w:rsid w:val="00761B4C"/>
    <w:rsid w:val="00764CB3"/>
    <w:rsid w:val="00764EC2"/>
    <w:rsid w:val="007677C7"/>
    <w:rsid w:val="007707AC"/>
    <w:rsid w:val="00774E2B"/>
    <w:rsid w:val="007831EA"/>
    <w:rsid w:val="00784FE0"/>
    <w:rsid w:val="007909E4"/>
    <w:rsid w:val="00793687"/>
    <w:rsid w:val="00795524"/>
    <w:rsid w:val="007A05A1"/>
    <w:rsid w:val="007A5F68"/>
    <w:rsid w:val="007B3C7D"/>
    <w:rsid w:val="007B7E80"/>
    <w:rsid w:val="007D4897"/>
    <w:rsid w:val="007D4F10"/>
    <w:rsid w:val="007D7B63"/>
    <w:rsid w:val="007E0A6D"/>
    <w:rsid w:val="007E5444"/>
    <w:rsid w:val="007E5F0B"/>
    <w:rsid w:val="007E7969"/>
    <w:rsid w:val="007E7C3C"/>
    <w:rsid w:val="007F5394"/>
    <w:rsid w:val="0080257F"/>
    <w:rsid w:val="008050E7"/>
    <w:rsid w:val="00810522"/>
    <w:rsid w:val="00813EA6"/>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A59A7"/>
    <w:rsid w:val="008B2B1D"/>
    <w:rsid w:val="008B76F1"/>
    <w:rsid w:val="008C0E3D"/>
    <w:rsid w:val="008C1CAA"/>
    <w:rsid w:val="008C5688"/>
    <w:rsid w:val="008D09E1"/>
    <w:rsid w:val="008E57E0"/>
    <w:rsid w:val="008F17F8"/>
    <w:rsid w:val="008F2A5C"/>
    <w:rsid w:val="00904C82"/>
    <w:rsid w:val="009172F1"/>
    <w:rsid w:val="0093642C"/>
    <w:rsid w:val="0094744F"/>
    <w:rsid w:val="00950AA5"/>
    <w:rsid w:val="00952E7F"/>
    <w:rsid w:val="00953C09"/>
    <w:rsid w:val="00954B28"/>
    <w:rsid w:val="00956949"/>
    <w:rsid w:val="00960C98"/>
    <w:rsid w:val="0097595E"/>
    <w:rsid w:val="0097717D"/>
    <w:rsid w:val="00977F69"/>
    <w:rsid w:val="009847DB"/>
    <w:rsid w:val="00986B8D"/>
    <w:rsid w:val="009958C8"/>
    <w:rsid w:val="009A6C9D"/>
    <w:rsid w:val="009A76C1"/>
    <w:rsid w:val="009B1754"/>
    <w:rsid w:val="009B471E"/>
    <w:rsid w:val="009B7F38"/>
    <w:rsid w:val="009C21E7"/>
    <w:rsid w:val="009C4090"/>
    <w:rsid w:val="009C6F3A"/>
    <w:rsid w:val="009D3AAA"/>
    <w:rsid w:val="009D3F40"/>
    <w:rsid w:val="009E0B2A"/>
    <w:rsid w:val="009E5DDE"/>
    <w:rsid w:val="00A04268"/>
    <w:rsid w:val="00A05E99"/>
    <w:rsid w:val="00A0615A"/>
    <w:rsid w:val="00A14B5E"/>
    <w:rsid w:val="00A15604"/>
    <w:rsid w:val="00A2139A"/>
    <w:rsid w:val="00A24682"/>
    <w:rsid w:val="00A33127"/>
    <w:rsid w:val="00A376F3"/>
    <w:rsid w:val="00A4754C"/>
    <w:rsid w:val="00A50DBB"/>
    <w:rsid w:val="00A54726"/>
    <w:rsid w:val="00A56AB3"/>
    <w:rsid w:val="00A56AE6"/>
    <w:rsid w:val="00A57FC5"/>
    <w:rsid w:val="00A616BE"/>
    <w:rsid w:val="00A64BFA"/>
    <w:rsid w:val="00A67E22"/>
    <w:rsid w:val="00A754FC"/>
    <w:rsid w:val="00A9153B"/>
    <w:rsid w:val="00A95A75"/>
    <w:rsid w:val="00AA29A6"/>
    <w:rsid w:val="00AA5493"/>
    <w:rsid w:val="00AA7DB0"/>
    <w:rsid w:val="00AB2496"/>
    <w:rsid w:val="00AB6076"/>
    <w:rsid w:val="00AB7FC3"/>
    <w:rsid w:val="00AC7CA9"/>
    <w:rsid w:val="00AD58C1"/>
    <w:rsid w:val="00AE1F8D"/>
    <w:rsid w:val="00AE2645"/>
    <w:rsid w:val="00AF0B6E"/>
    <w:rsid w:val="00AF0C71"/>
    <w:rsid w:val="00AF5531"/>
    <w:rsid w:val="00B01816"/>
    <w:rsid w:val="00B03652"/>
    <w:rsid w:val="00B12538"/>
    <w:rsid w:val="00B260D2"/>
    <w:rsid w:val="00B27767"/>
    <w:rsid w:val="00B34D0B"/>
    <w:rsid w:val="00B40D04"/>
    <w:rsid w:val="00B434F4"/>
    <w:rsid w:val="00B47EFD"/>
    <w:rsid w:val="00B5490B"/>
    <w:rsid w:val="00B60E65"/>
    <w:rsid w:val="00B62212"/>
    <w:rsid w:val="00B62392"/>
    <w:rsid w:val="00B6475A"/>
    <w:rsid w:val="00B66405"/>
    <w:rsid w:val="00B7542D"/>
    <w:rsid w:val="00B75A0D"/>
    <w:rsid w:val="00B91E9D"/>
    <w:rsid w:val="00B960E3"/>
    <w:rsid w:val="00B97015"/>
    <w:rsid w:val="00BB062A"/>
    <w:rsid w:val="00BB10E8"/>
    <w:rsid w:val="00BB139A"/>
    <w:rsid w:val="00BB2027"/>
    <w:rsid w:val="00BB3589"/>
    <w:rsid w:val="00BC43F9"/>
    <w:rsid w:val="00BD1D48"/>
    <w:rsid w:val="00BD5D56"/>
    <w:rsid w:val="00BD65B9"/>
    <w:rsid w:val="00BE2CE9"/>
    <w:rsid w:val="00BF0448"/>
    <w:rsid w:val="00BF55F1"/>
    <w:rsid w:val="00BF5AF5"/>
    <w:rsid w:val="00C02372"/>
    <w:rsid w:val="00C0568B"/>
    <w:rsid w:val="00C15379"/>
    <w:rsid w:val="00C15D4A"/>
    <w:rsid w:val="00C15D60"/>
    <w:rsid w:val="00C22081"/>
    <w:rsid w:val="00C307B1"/>
    <w:rsid w:val="00C30927"/>
    <w:rsid w:val="00C37571"/>
    <w:rsid w:val="00C40F69"/>
    <w:rsid w:val="00C43A97"/>
    <w:rsid w:val="00C44986"/>
    <w:rsid w:val="00C5247F"/>
    <w:rsid w:val="00C531B2"/>
    <w:rsid w:val="00C548E1"/>
    <w:rsid w:val="00C56F91"/>
    <w:rsid w:val="00C7109B"/>
    <w:rsid w:val="00C81370"/>
    <w:rsid w:val="00CA160E"/>
    <w:rsid w:val="00CA3BC4"/>
    <w:rsid w:val="00CC4F8E"/>
    <w:rsid w:val="00CD094E"/>
    <w:rsid w:val="00CD1608"/>
    <w:rsid w:val="00CD47B0"/>
    <w:rsid w:val="00CE2819"/>
    <w:rsid w:val="00CE3311"/>
    <w:rsid w:val="00CE47C0"/>
    <w:rsid w:val="00CE4F92"/>
    <w:rsid w:val="00CE732B"/>
    <w:rsid w:val="00CF3B18"/>
    <w:rsid w:val="00CF4C68"/>
    <w:rsid w:val="00D00B86"/>
    <w:rsid w:val="00D0182F"/>
    <w:rsid w:val="00D06D68"/>
    <w:rsid w:val="00D143A7"/>
    <w:rsid w:val="00D21BA6"/>
    <w:rsid w:val="00D24AE0"/>
    <w:rsid w:val="00D27580"/>
    <w:rsid w:val="00D30533"/>
    <w:rsid w:val="00D35682"/>
    <w:rsid w:val="00D4004C"/>
    <w:rsid w:val="00D421CF"/>
    <w:rsid w:val="00D46D66"/>
    <w:rsid w:val="00D51815"/>
    <w:rsid w:val="00D52338"/>
    <w:rsid w:val="00D56D02"/>
    <w:rsid w:val="00D60970"/>
    <w:rsid w:val="00D61AFE"/>
    <w:rsid w:val="00D87EFC"/>
    <w:rsid w:val="00D925BC"/>
    <w:rsid w:val="00DA6D2A"/>
    <w:rsid w:val="00DA7192"/>
    <w:rsid w:val="00DB46C9"/>
    <w:rsid w:val="00DB4F8D"/>
    <w:rsid w:val="00DB5D89"/>
    <w:rsid w:val="00DC0CDA"/>
    <w:rsid w:val="00DC2451"/>
    <w:rsid w:val="00DC79DE"/>
    <w:rsid w:val="00DD76ED"/>
    <w:rsid w:val="00DE1A54"/>
    <w:rsid w:val="00DE5738"/>
    <w:rsid w:val="00DE67DB"/>
    <w:rsid w:val="00DF7DF2"/>
    <w:rsid w:val="00E061E6"/>
    <w:rsid w:val="00E10648"/>
    <w:rsid w:val="00E17E3F"/>
    <w:rsid w:val="00E23831"/>
    <w:rsid w:val="00E301E6"/>
    <w:rsid w:val="00E30214"/>
    <w:rsid w:val="00E30465"/>
    <w:rsid w:val="00E443E2"/>
    <w:rsid w:val="00E45F51"/>
    <w:rsid w:val="00E61B4D"/>
    <w:rsid w:val="00E6478C"/>
    <w:rsid w:val="00E64EE3"/>
    <w:rsid w:val="00E65F9D"/>
    <w:rsid w:val="00E81B0E"/>
    <w:rsid w:val="00E906CC"/>
    <w:rsid w:val="00E95131"/>
    <w:rsid w:val="00E95505"/>
    <w:rsid w:val="00EA12B3"/>
    <w:rsid w:val="00EA18ED"/>
    <w:rsid w:val="00EA38F3"/>
    <w:rsid w:val="00EB3F6A"/>
    <w:rsid w:val="00EC4992"/>
    <w:rsid w:val="00ED4708"/>
    <w:rsid w:val="00EE55ED"/>
    <w:rsid w:val="00EF1059"/>
    <w:rsid w:val="00EF6AEA"/>
    <w:rsid w:val="00EF6F11"/>
    <w:rsid w:val="00F0527E"/>
    <w:rsid w:val="00F07B10"/>
    <w:rsid w:val="00F10393"/>
    <w:rsid w:val="00F1361B"/>
    <w:rsid w:val="00F20DAC"/>
    <w:rsid w:val="00F235BB"/>
    <w:rsid w:val="00F46279"/>
    <w:rsid w:val="00F5743E"/>
    <w:rsid w:val="00F65548"/>
    <w:rsid w:val="00F65CFA"/>
    <w:rsid w:val="00F91279"/>
    <w:rsid w:val="00F95FA0"/>
    <w:rsid w:val="00F9731B"/>
    <w:rsid w:val="00FA2FAC"/>
    <w:rsid w:val="00FA434A"/>
    <w:rsid w:val="00FB3760"/>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080900-F1FC-4350-92BD-25675910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Pages>
  <Words>5958</Words>
  <Characters>33966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328</cp:revision>
  <cp:lastPrinted>2019-08-05T11:21:00Z</cp:lastPrinted>
  <dcterms:created xsi:type="dcterms:W3CDTF">2014-10-24T09:12:00Z</dcterms:created>
  <dcterms:modified xsi:type="dcterms:W3CDTF">2019-08-05T11:22:00Z</dcterms:modified>
</cp:coreProperties>
</file>