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EC299A" w:rsidP="00B66405">
      <w:pPr>
        <w:jc w:val="center"/>
        <w:rPr>
          <w:b/>
          <w:sz w:val="28"/>
          <w:szCs w:val="28"/>
          <w:lang w:val="ro-RO"/>
        </w:rPr>
      </w:pPr>
      <w:r>
        <w:rPr>
          <w:b/>
          <w:sz w:val="28"/>
          <w:szCs w:val="28"/>
          <w:lang w:val="ro-RO"/>
        </w:rPr>
        <w:t xml:space="preserve">  </w:t>
      </w:r>
      <w:r w:rsidR="00B66405"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2305E6">
        <w:rPr>
          <w:b/>
          <w:sz w:val="28"/>
          <w:szCs w:val="28"/>
          <w:lang w:val="it-IT"/>
        </w:rPr>
        <w:t>0252</w:t>
      </w:r>
      <w:r w:rsidRPr="00631E8B">
        <w:rPr>
          <w:b/>
          <w:sz w:val="28"/>
          <w:szCs w:val="28"/>
          <w:lang w:val="it-IT"/>
        </w:rPr>
        <w:t>/MRA/</w:t>
      </w:r>
      <w:r w:rsidR="001B2EA8">
        <w:rPr>
          <w:b/>
          <w:sz w:val="28"/>
          <w:szCs w:val="28"/>
          <w:lang w:val="it-IT"/>
        </w:rPr>
        <w:t>IT/2014/0020</w:t>
      </w:r>
      <w:r w:rsidR="00E61B4D">
        <w:rPr>
          <w:b/>
          <w:sz w:val="28"/>
          <w:szCs w:val="28"/>
          <w:lang w:val="it-IT"/>
        </w:rPr>
        <w:t>8</w:t>
      </w:r>
      <w:r w:rsidR="00A56AB3">
        <w:rPr>
          <w:b/>
          <w:sz w:val="28"/>
          <w:szCs w:val="28"/>
          <w:lang w:val="it-IT"/>
        </w:rPr>
        <w:t>/AUT</w:t>
      </w:r>
    </w:p>
    <w:p w:rsidR="00B66405" w:rsidRPr="007707AC" w:rsidRDefault="00B66405" w:rsidP="00B66405">
      <w:pPr>
        <w:jc w:val="center"/>
        <w:rPr>
          <w:sz w:val="28"/>
          <w:szCs w:val="28"/>
          <w:lang w:val="ro-RO"/>
        </w:rPr>
      </w:pPr>
    </w:p>
    <w:p w:rsidR="00B66405" w:rsidRPr="002305E6" w:rsidRDefault="00B66405" w:rsidP="002305E6">
      <w:pPr>
        <w:pStyle w:val="Default"/>
        <w:ind w:right="49" w:firstLine="567"/>
        <w:jc w:val="both"/>
        <w:rPr>
          <w:rFonts w:ascii="Times New Roman" w:hAnsi="Times New Roman" w:cs="Times New Roman"/>
          <w:lang w:val="ro-RO"/>
        </w:rPr>
      </w:pPr>
      <w:r w:rsidRPr="002305E6">
        <w:rPr>
          <w:rFonts w:ascii="Times New Roman" w:hAnsi="Times New Roman" w:cs="Times New Roman"/>
          <w:lang w:val="ro-RO"/>
        </w:rPr>
        <w:t xml:space="preserve">In conformitate cu prevederilor </w:t>
      </w:r>
      <w:r w:rsidRPr="002305E6">
        <w:rPr>
          <w:rFonts w:ascii="Times New Roman" w:hAnsi="Times New Roman" w:cs="Times New Roman"/>
          <w:bCs/>
          <w:lang w:val="ro-RO"/>
        </w:rPr>
        <w:t>REGULAMENTULUI (UE) NR. 528/2012 al Parlamentului European si al Consiliului privind punerea la dispoziție pe piață și utilizarea produselor biocide</w:t>
      </w:r>
      <w:r w:rsidRPr="002305E6">
        <w:rPr>
          <w:rFonts w:ascii="Times New Roman" w:hAnsi="Times New Roman" w:cs="Times New Roman"/>
          <w:b/>
          <w:bCs/>
          <w:lang w:val="ro-RO"/>
        </w:rPr>
        <w:t xml:space="preserve"> </w:t>
      </w:r>
      <w:r w:rsidRPr="002305E6">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2305E6">
        <w:rPr>
          <w:rFonts w:ascii="Times New Roman" w:hAnsi="Times New Roman" w:cs="Times New Roman"/>
          <w:lang w:val="ro-RO"/>
        </w:rPr>
        <w:t>e Biocide, în şedinţa din data</w:t>
      </w:r>
      <w:r w:rsidR="00C15379" w:rsidRPr="002305E6">
        <w:rPr>
          <w:rFonts w:ascii="Times New Roman" w:hAnsi="Times New Roman" w:cs="Times New Roman"/>
          <w:lang w:val="ro-RO"/>
        </w:rPr>
        <w:t xml:space="preserve"> </w:t>
      </w:r>
      <w:r w:rsidR="000F5914" w:rsidRPr="002305E6">
        <w:rPr>
          <w:rFonts w:ascii="Times New Roman" w:hAnsi="Times New Roman" w:cs="Times New Roman"/>
          <w:lang w:val="ro-RO"/>
        </w:rPr>
        <w:t>03</w:t>
      </w:r>
      <w:r w:rsidR="000F5914" w:rsidRPr="002305E6">
        <w:rPr>
          <w:rFonts w:ascii="Times New Roman" w:hAnsi="Times New Roman" w:cs="Times New Roman"/>
          <w:color w:val="auto"/>
          <w:lang w:val="ro-RO"/>
        </w:rPr>
        <w:t>.06</w:t>
      </w:r>
      <w:r w:rsidR="00A56AB3" w:rsidRPr="002305E6">
        <w:rPr>
          <w:rFonts w:ascii="Times New Roman" w:hAnsi="Times New Roman" w:cs="Times New Roman"/>
          <w:color w:val="auto"/>
          <w:lang w:val="ro-RO"/>
        </w:rPr>
        <w:t>.2019</w:t>
      </w:r>
      <w:r w:rsidRPr="002305E6">
        <w:rPr>
          <w:rFonts w:ascii="Times New Roman" w:hAnsi="Times New Roman" w:cs="Times New Roman"/>
          <w:color w:val="auto"/>
          <w:lang w:val="ro-RO"/>
        </w:rPr>
        <w:t xml:space="preserve">, </w:t>
      </w:r>
      <w:r w:rsidRPr="002305E6">
        <w:rPr>
          <w:rFonts w:ascii="Times New Roman" w:hAnsi="Times New Roman" w:cs="Times New Roman"/>
          <w:lang w:val="ro-RO"/>
        </w:rPr>
        <w:t>a decis că produsul biocid poate fi plasat pe piaţă în România, conform prevederilor legale în vigoare.</w:t>
      </w:r>
      <w:bookmarkStart w:id="0" w:name="_GoBack"/>
      <w:bookmarkEnd w:id="0"/>
    </w:p>
    <w:p w:rsidR="000F5914" w:rsidRPr="002305E6" w:rsidRDefault="000F5914" w:rsidP="002305E6">
      <w:pPr>
        <w:pStyle w:val="Default"/>
        <w:ind w:right="49" w:firstLine="567"/>
        <w:jc w:val="both"/>
        <w:rPr>
          <w:rFonts w:ascii="Times New Roman" w:hAnsi="Times New Roman" w:cs="Times New Roman"/>
          <w:lang w:val="ro-RO"/>
        </w:rPr>
      </w:pPr>
    </w:p>
    <w:p w:rsidR="00B66405" w:rsidRPr="002305E6" w:rsidRDefault="00B66405" w:rsidP="002305E6">
      <w:pPr>
        <w:rPr>
          <w:b/>
          <w:lang w:val="ro-RO"/>
        </w:rPr>
      </w:pPr>
      <w:r w:rsidRPr="002305E6">
        <w:rPr>
          <w:b/>
          <w:lang w:val="ro-RO"/>
        </w:rPr>
        <w:t>I. TIPUL AUTORIZA</w:t>
      </w:r>
      <w:r w:rsidR="002D65DA" w:rsidRPr="002305E6">
        <w:rPr>
          <w:b/>
          <w:lang w:val="ro-RO"/>
        </w:rPr>
        <w:t>T</w:t>
      </w:r>
      <w:r w:rsidRPr="002305E6">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6B235A">
        <w:tc>
          <w:tcPr>
            <w:tcW w:w="9923" w:type="dxa"/>
          </w:tcPr>
          <w:p w:rsidR="00B66405" w:rsidRPr="002305E6" w:rsidRDefault="00B66405" w:rsidP="002305E6">
            <w:pPr>
              <w:rPr>
                <w:bCs/>
                <w:lang w:val="ro-RO"/>
              </w:rPr>
            </w:pPr>
            <w:r w:rsidRPr="002305E6">
              <w:rPr>
                <w:b/>
                <w:i/>
                <w:lang w:val="ro-RO"/>
              </w:rPr>
              <w:t>autorizaţia prin recunoaşterea reciprocă succesiva</w:t>
            </w:r>
            <w:r w:rsidRPr="002305E6">
              <w:rPr>
                <w:lang w:val="ro-RO"/>
              </w:rPr>
              <w:t xml:space="preserve"> eliberată în conformitate cu prevederile art. 33 din </w:t>
            </w:r>
            <w:r w:rsidRPr="002305E6">
              <w:rPr>
                <w:bCs/>
                <w:lang w:val="ro-RO"/>
              </w:rPr>
              <w:t>Regulamentul (UE) nr. 528/2012;</w:t>
            </w:r>
          </w:p>
          <w:p w:rsidR="00DA7192" w:rsidRPr="002305E6" w:rsidRDefault="002D65DA" w:rsidP="002305E6">
            <w:pPr>
              <w:numPr>
                <w:ilvl w:val="0"/>
                <w:numId w:val="1"/>
              </w:numPr>
              <w:rPr>
                <w:bCs/>
                <w:lang w:val="ro-RO"/>
              </w:rPr>
            </w:pPr>
            <w:r w:rsidRPr="002305E6">
              <w:rPr>
                <w:lang w:val="ro-RO"/>
              </w:rPr>
              <w:t>Statul membru al Uniunii Europene emitent:</w:t>
            </w:r>
            <w:r w:rsidR="00DA7192" w:rsidRPr="002305E6">
              <w:rPr>
                <w:bCs/>
                <w:lang w:val="pt-BR"/>
              </w:rPr>
              <w:t xml:space="preserve"> </w:t>
            </w:r>
            <w:r w:rsidR="00A56AB3" w:rsidRPr="002305E6">
              <w:rPr>
                <w:bCs/>
                <w:lang w:val="pt-BR"/>
              </w:rPr>
              <w:t>ITALIA</w:t>
            </w:r>
          </w:p>
          <w:p w:rsidR="00B66405" w:rsidRPr="002305E6" w:rsidRDefault="002D65DA" w:rsidP="002305E6">
            <w:pPr>
              <w:pStyle w:val="ListParagraph"/>
              <w:numPr>
                <w:ilvl w:val="0"/>
                <w:numId w:val="1"/>
              </w:numPr>
              <w:rPr>
                <w:b/>
                <w:lang w:val="pt-BR"/>
              </w:rPr>
            </w:pPr>
            <w:r w:rsidRPr="002305E6">
              <w:rPr>
                <w:lang w:val="ro-RO"/>
              </w:rPr>
              <w:t xml:space="preserve">Nr. Autorizației din statul membru emitent </w:t>
            </w:r>
            <w:r w:rsidR="00DA7192" w:rsidRPr="002305E6">
              <w:rPr>
                <w:lang w:val="ro-RO"/>
              </w:rPr>
              <w:t>Nr.</w:t>
            </w:r>
            <w:r w:rsidR="00DA7192" w:rsidRPr="002305E6">
              <w:rPr>
                <w:b/>
                <w:lang w:val="pt-BR"/>
              </w:rPr>
              <w:t>:</w:t>
            </w:r>
            <w:r w:rsidR="009B471E" w:rsidRPr="002305E6">
              <w:rPr>
                <w:b/>
                <w:lang w:val="pt-BR"/>
              </w:rPr>
              <w:t xml:space="preserve"> </w:t>
            </w:r>
            <w:r w:rsidR="001B2EA8" w:rsidRPr="002305E6">
              <w:rPr>
                <w:b/>
                <w:lang w:val="it-IT"/>
              </w:rPr>
              <w:t>IT/2014/0020</w:t>
            </w:r>
            <w:r w:rsidR="00E61B4D" w:rsidRPr="002305E6">
              <w:rPr>
                <w:b/>
                <w:lang w:val="it-IT"/>
              </w:rPr>
              <w:t>8</w:t>
            </w:r>
            <w:r w:rsidR="00A56AB3" w:rsidRPr="002305E6">
              <w:rPr>
                <w:b/>
                <w:lang w:val="it-IT"/>
              </w:rPr>
              <w:t>/AUT</w:t>
            </w:r>
          </w:p>
        </w:tc>
      </w:tr>
    </w:tbl>
    <w:p w:rsidR="00B66405" w:rsidRPr="002305E6" w:rsidRDefault="00B66405" w:rsidP="002305E6">
      <w:pPr>
        <w:rPr>
          <w:b/>
          <w:color w:val="000000"/>
          <w:lang w:val="ro-RO"/>
        </w:rPr>
      </w:pPr>
      <w:r w:rsidRPr="002305E6">
        <w:rPr>
          <w:b/>
          <w:color w:val="000000"/>
          <w:lang w:val="ro-RO"/>
        </w:rPr>
        <w:t>I</w:t>
      </w:r>
      <w:r w:rsidR="002D65DA" w:rsidRPr="002305E6">
        <w:rPr>
          <w:b/>
          <w:color w:val="000000"/>
          <w:lang w:val="ro-RO"/>
        </w:rPr>
        <w:t>I. Data emiterii autorizat</w:t>
      </w:r>
      <w:r w:rsidRPr="002305E6">
        <w:rPr>
          <w:b/>
          <w:color w:val="000000"/>
          <w:lang w:val="ro-RO"/>
        </w:rPr>
        <w:t>iei</w:t>
      </w:r>
      <w:r w:rsidR="00C43A97" w:rsidRPr="002305E6">
        <w:rPr>
          <w:b/>
          <w:color w:val="000000"/>
          <w:lang w:val="ro-RO"/>
        </w:rPr>
        <w:t xml:space="preserve">: </w:t>
      </w:r>
      <w:r w:rsidR="002305E6">
        <w:rPr>
          <w:b/>
          <w:color w:val="000000"/>
          <w:lang w:val="ro-RO"/>
        </w:rPr>
        <w:t>28.06.2019</w:t>
      </w:r>
    </w:p>
    <w:p w:rsidR="000F5914" w:rsidRPr="002305E6" w:rsidRDefault="00B66405" w:rsidP="002305E6">
      <w:pPr>
        <w:rPr>
          <w:b/>
          <w:color w:val="000000"/>
          <w:lang w:val="it-IT"/>
        </w:rPr>
      </w:pPr>
      <w:r w:rsidRPr="002305E6">
        <w:rPr>
          <w:b/>
          <w:color w:val="000000"/>
          <w:lang w:val="ro-RO"/>
        </w:rPr>
        <w:t>III. Data expirării autoriza</w:t>
      </w:r>
      <w:r w:rsidR="00DA7192" w:rsidRPr="002305E6">
        <w:rPr>
          <w:b/>
          <w:color w:val="000000"/>
          <w:lang w:val="ro-RO"/>
        </w:rPr>
        <w:t>t</w:t>
      </w:r>
      <w:r w:rsidR="00A56AB3" w:rsidRPr="002305E6">
        <w:rPr>
          <w:b/>
          <w:color w:val="000000"/>
          <w:lang w:val="ro-RO"/>
        </w:rPr>
        <w:t>ie: 31.12.2022</w:t>
      </w:r>
      <w:r w:rsidR="00A64BFA" w:rsidRPr="002305E6">
        <w:rPr>
          <w:b/>
          <w:color w:val="000000"/>
          <w:lang w:val="it-IT"/>
        </w:rPr>
        <w:t xml:space="preserve">       </w:t>
      </w:r>
    </w:p>
    <w:p w:rsidR="00B66405" w:rsidRPr="002305E6" w:rsidRDefault="00A64BFA" w:rsidP="002305E6">
      <w:pPr>
        <w:rPr>
          <w:b/>
          <w:color w:val="000000"/>
          <w:lang w:val="ro-RO"/>
        </w:rPr>
      </w:pPr>
      <w:r w:rsidRPr="002305E6">
        <w:rPr>
          <w:b/>
          <w:color w:val="000000"/>
          <w:lang w:val="it-IT"/>
        </w:rPr>
        <w:t xml:space="preserve">                                                                                                                                                                                                                                                                                                                                                                                                                                            </w:t>
      </w:r>
    </w:p>
    <w:p w:rsidR="00B66405" w:rsidRPr="002305E6" w:rsidRDefault="00B66405" w:rsidP="002305E6">
      <w:pPr>
        <w:pStyle w:val="NoSpacing"/>
        <w:rPr>
          <w:b/>
          <w:color w:val="FF0000"/>
          <w:lang w:val="ro-RO"/>
        </w:rPr>
      </w:pPr>
      <w:r w:rsidRPr="002305E6">
        <w:rPr>
          <w:b/>
          <w:lang w:val="ro-RO"/>
        </w:rPr>
        <w:t>IV</w:t>
      </w:r>
      <w:r w:rsidRPr="002305E6">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6B235A">
        <w:tc>
          <w:tcPr>
            <w:tcW w:w="9923" w:type="dxa"/>
          </w:tcPr>
          <w:p w:rsidR="00B66405" w:rsidRPr="002305E6" w:rsidRDefault="00385365" w:rsidP="002305E6">
            <w:pPr>
              <w:pStyle w:val="NoSpacing"/>
              <w:rPr>
                <w:b/>
                <w:lang w:val="it-IT"/>
              </w:rPr>
            </w:pPr>
            <w:r w:rsidRPr="002305E6">
              <w:rPr>
                <w:b/>
                <w:lang w:val="ro-RO"/>
              </w:rPr>
              <w:t>DENUMIREA COMERCIALĂ A PRODUSULUI BIOCID</w:t>
            </w:r>
            <w:r w:rsidRPr="002305E6">
              <w:rPr>
                <w:b/>
                <w:lang w:val="it-IT"/>
              </w:rPr>
              <w:t xml:space="preserve">: </w:t>
            </w:r>
            <w:r w:rsidR="001B2EA8" w:rsidRPr="002305E6">
              <w:rPr>
                <w:b/>
                <w:lang w:val="it-IT"/>
              </w:rPr>
              <w:t>STARKORAT PASTA PRO</w:t>
            </w:r>
          </w:p>
          <w:p w:rsidR="00E212A3" w:rsidRPr="002305E6" w:rsidRDefault="00E212A3" w:rsidP="002305E6">
            <w:pPr>
              <w:pStyle w:val="NoSpacing"/>
              <w:rPr>
                <w:b/>
                <w:lang w:val="it-IT"/>
              </w:rPr>
            </w:pPr>
            <w:r w:rsidRPr="002305E6">
              <w:rPr>
                <w:b/>
                <w:lang w:val="it-IT"/>
              </w:rPr>
              <w:t>Alte denumiri alternative: IKURAT PASTA PRO, APTIRAT PASTA PRO, FIGHTER PASTA PRO, ENDERAT PASTA PRO, BRODIFAST PASTA PRO</w:t>
            </w:r>
            <w:r w:rsidR="00597215" w:rsidRPr="002305E6">
              <w:rPr>
                <w:b/>
                <w:lang w:val="it-IT"/>
              </w:rPr>
              <w:t xml:space="preserve"> </w:t>
            </w:r>
          </w:p>
        </w:tc>
      </w:tr>
    </w:tbl>
    <w:p w:rsidR="000F5914" w:rsidRPr="002305E6" w:rsidRDefault="000F5914" w:rsidP="002305E6">
      <w:pPr>
        <w:pStyle w:val="Default"/>
        <w:rPr>
          <w:rFonts w:ascii="Times New Roman" w:hAnsi="Times New Roman" w:cs="Times New Roman"/>
          <w:b/>
          <w:lang w:val="ro-RO"/>
        </w:rPr>
      </w:pPr>
    </w:p>
    <w:p w:rsidR="00B66405" w:rsidRPr="002305E6" w:rsidRDefault="00B66405" w:rsidP="002305E6">
      <w:pPr>
        <w:pStyle w:val="Default"/>
        <w:rPr>
          <w:rFonts w:ascii="Times New Roman" w:hAnsi="Times New Roman" w:cs="Times New Roman"/>
          <w:b/>
          <w:lang w:val="ro-RO"/>
        </w:rPr>
      </w:pPr>
      <w:r w:rsidRPr="002305E6">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8D09E1">
        <w:trPr>
          <w:trHeight w:val="327"/>
        </w:trPr>
        <w:tc>
          <w:tcPr>
            <w:tcW w:w="9923" w:type="dxa"/>
          </w:tcPr>
          <w:p w:rsidR="00591001" w:rsidRPr="002305E6" w:rsidRDefault="00B66405" w:rsidP="002305E6">
            <w:pPr>
              <w:rPr>
                <w:b/>
                <w:lang w:val="ro-RO"/>
              </w:rPr>
            </w:pPr>
            <w:r w:rsidRPr="002305E6">
              <w:rPr>
                <w:b/>
                <w:lang w:val="ro-RO"/>
              </w:rPr>
              <w:t>NUMELE TITULARULUI AUTORIZA</w:t>
            </w:r>
            <w:r w:rsidR="002D65DA" w:rsidRPr="002305E6">
              <w:rPr>
                <w:b/>
                <w:lang w:val="ro-RO"/>
              </w:rPr>
              <w:t>T</w:t>
            </w:r>
            <w:r w:rsidRPr="002305E6">
              <w:rPr>
                <w:b/>
                <w:lang w:val="ro-RO"/>
              </w:rPr>
              <w:t>IEI</w:t>
            </w:r>
            <w:r w:rsidRPr="002305E6">
              <w:rPr>
                <w:lang w:val="ro-RO"/>
              </w:rPr>
              <w:t xml:space="preserve"> </w:t>
            </w:r>
            <w:r w:rsidR="00CE732B" w:rsidRPr="002305E6">
              <w:rPr>
                <w:lang w:val="ro-RO"/>
              </w:rPr>
              <w:t xml:space="preserve">: </w:t>
            </w:r>
            <w:r w:rsidR="00475130" w:rsidRPr="002305E6">
              <w:rPr>
                <w:b/>
                <w:lang w:val="ro-RO"/>
              </w:rPr>
              <w:t>Ferbi S</w:t>
            </w:r>
            <w:r w:rsidR="00A56AB3" w:rsidRPr="002305E6">
              <w:rPr>
                <w:b/>
                <w:lang w:val="ro-RO"/>
              </w:rPr>
              <w:t>.r.l.</w:t>
            </w:r>
          </w:p>
          <w:p w:rsidR="00A56AB3" w:rsidRPr="002305E6" w:rsidRDefault="00AC7CA9" w:rsidP="002305E6">
            <w:pPr>
              <w:rPr>
                <w:lang w:val="ro-RO"/>
              </w:rPr>
            </w:pPr>
            <w:r w:rsidRPr="002305E6">
              <w:rPr>
                <w:lang w:val="ro-RO"/>
              </w:rPr>
              <w:t>Adresa:</w:t>
            </w:r>
            <w:r w:rsidRPr="002305E6">
              <w:rPr>
                <w:b/>
                <w:lang w:val="ro-RO"/>
              </w:rPr>
              <w:t xml:space="preserve"> </w:t>
            </w:r>
            <w:r w:rsidR="00591001" w:rsidRPr="002305E6">
              <w:rPr>
                <w:lang w:val="ro-RO"/>
              </w:rPr>
              <w:t xml:space="preserve">Via </w:t>
            </w:r>
            <w:r w:rsidR="00475130" w:rsidRPr="002305E6">
              <w:rPr>
                <w:lang w:val="ro-RO"/>
              </w:rPr>
              <w:t>I Maggio-64023- Mosciano, Sant’Angelo (TE), Italia</w:t>
            </w:r>
          </w:p>
        </w:tc>
      </w:tr>
    </w:tbl>
    <w:p w:rsidR="00B66405" w:rsidRPr="002305E6" w:rsidRDefault="00B66405" w:rsidP="002305E6">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6A3624">
        <w:trPr>
          <w:trHeight w:val="323"/>
        </w:trPr>
        <w:tc>
          <w:tcPr>
            <w:tcW w:w="9923" w:type="dxa"/>
          </w:tcPr>
          <w:p w:rsidR="00475130" w:rsidRPr="002305E6" w:rsidRDefault="00385365" w:rsidP="002305E6">
            <w:pPr>
              <w:rPr>
                <w:rFonts w:eastAsiaTheme="minorHAnsi"/>
                <w:b/>
                <w:lang w:val="ro-RO"/>
              </w:rPr>
            </w:pPr>
            <w:r w:rsidRPr="002305E6">
              <w:rPr>
                <w:b/>
                <w:lang w:val="ro-RO"/>
              </w:rPr>
              <w:t>NUMELE TITULARULUI AUTORIZATIEI</w:t>
            </w:r>
            <w:r w:rsidRPr="002305E6">
              <w:rPr>
                <w:lang w:val="ro-RO"/>
              </w:rPr>
              <w:t xml:space="preserve"> recunoscută reciproc:</w:t>
            </w:r>
            <w:r w:rsidR="00834908" w:rsidRPr="002305E6">
              <w:rPr>
                <w:rFonts w:eastAsiaTheme="minorHAnsi"/>
              </w:rPr>
              <w:t xml:space="preserve"> </w:t>
            </w:r>
            <w:r w:rsidR="00475130" w:rsidRPr="002305E6">
              <w:rPr>
                <w:rFonts w:eastAsiaTheme="minorHAnsi"/>
                <w:b/>
                <w:lang w:val="ro-RO"/>
              </w:rPr>
              <w:t>Ferbi S.r.l.</w:t>
            </w:r>
          </w:p>
          <w:p w:rsidR="006A3624" w:rsidRPr="002305E6" w:rsidRDefault="00475130" w:rsidP="002305E6">
            <w:pPr>
              <w:rPr>
                <w:lang w:val="ro-RO"/>
              </w:rPr>
            </w:pPr>
            <w:r w:rsidRPr="002305E6">
              <w:rPr>
                <w:rFonts w:eastAsiaTheme="minorHAnsi"/>
                <w:lang w:val="ro-RO"/>
              </w:rPr>
              <w:t>Adresa:</w:t>
            </w:r>
            <w:r w:rsidRPr="002305E6">
              <w:rPr>
                <w:rFonts w:eastAsiaTheme="minorHAnsi"/>
                <w:b/>
                <w:lang w:val="ro-RO"/>
              </w:rPr>
              <w:t xml:space="preserve"> </w:t>
            </w:r>
            <w:r w:rsidRPr="002305E6">
              <w:rPr>
                <w:rFonts w:eastAsiaTheme="minorHAnsi"/>
                <w:lang w:val="ro-RO"/>
              </w:rPr>
              <w:t>Via I Maggio-64023- Mosciano, Sant’Angelo (TE), Italia</w:t>
            </w:r>
          </w:p>
        </w:tc>
      </w:tr>
    </w:tbl>
    <w:p w:rsidR="00B66405" w:rsidRPr="002305E6" w:rsidRDefault="00B66405" w:rsidP="002305E6">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6B235A">
        <w:tc>
          <w:tcPr>
            <w:tcW w:w="9923" w:type="dxa"/>
          </w:tcPr>
          <w:p w:rsidR="00475130" w:rsidRPr="002305E6" w:rsidRDefault="00385365" w:rsidP="002305E6">
            <w:pPr>
              <w:rPr>
                <w:b/>
                <w:lang w:val="ro-RO"/>
              </w:rPr>
            </w:pPr>
            <w:r w:rsidRPr="002305E6">
              <w:rPr>
                <w:b/>
                <w:lang w:val="ro-RO"/>
              </w:rPr>
              <w:t>NUMELE FABRICANTULUI  PRODUSULUI BIOCID</w:t>
            </w:r>
            <w:r w:rsidRPr="002305E6">
              <w:rPr>
                <w:lang w:val="ro-RO"/>
              </w:rPr>
              <w:t xml:space="preserve"> : </w:t>
            </w:r>
            <w:r w:rsidR="00475130" w:rsidRPr="002305E6">
              <w:rPr>
                <w:b/>
                <w:lang w:val="ro-RO"/>
              </w:rPr>
              <w:t>Ferbi S.r.l.</w:t>
            </w:r>
          </w:p>
          <w:p w:rsidR="00475130" w:rsidRPr="002305E6" w:rsidRDefault="00475130" w:rsidP="002305E6">
            <w:pPr>
              <w:rPr>
                <w:lang w:val="ro-RO"/>
              </w:rPr>
            </w:pPr>
            <w:r w:rsidRPr="002305E6">
              <w:rPr>
                <w:lang w:val="ro-RO"/>
              </w:rPr>
              <w:t>Adresa:</w:t>
            </w:r>
            <w:r w:rsidRPr="002305E6">
              <w:rPr>
                <w:b/>
                <w:lang w:val="ro-RO"/>
              </w:rPr>
              <w:t xml:space="preserve"> </w:t>
            </w:r>
            <w:r w:rsidRPr="002305E6">
              <w:rPr>
                <w:lang w:val="ro-RO"/>
              </w:rPr>
              <w:t>Via I Maggio-64023- Mosciano, Sant’Angelo (TE), Italia</w:t>
            </w:r>
          </w:p>
          <w:p w:rsidR="009172F1" w:rsidRPr="002305E6" w:rsidRDefault="00475130" w:rsidP="002305E6">
            <w:pPr>
              <w:rPr>
                <w:lang w:val="ro-RO"/>
              </w:rPr>
            </w:pPr>
            <w:r w:rsidRPr="002305E6">
              <w:rPr>
                <w:lang w:val="ro-RO"/>
              </w:rPr>
              <w:t>Loc de productie : Via I Maggio-64023- Mosciano, Sant’Angelo (TE), Italia</w:t>
            </w:r>
          </w:p>
        </w:tc>
      </w:tr>
    </w:tbl>
    <w:p w:rsidR="007A05A1" w:rsidRPr="002305E6" w:rsidRDefault="007A05A1" w:rsidP="002305E6">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6B235A">
        <w:tc>
          <w:tcPr>
            <w:tcW w:w="9923" w:type="dxa"/>
          </w:tcPr>
          <w:p w:rsidR="00393522" w:rsidRPr="002305E6" w:rsidRDefault="00385365" w:rsidP="002305E6">
            <w:pPr>
              <w:rPr>
                <w:b/>
                <w:lang w:val="ro-RO"/>
              </w:rPr>
            </w:pPr>
            <w:r w:rsidRPr="002305E6">
              <w:rPr>
                <w:b/>
                <w:lang w:val="ro-RO"/>
              </w:rPr>
              <w:t>NUMELE FABRICANTULUI  SUBSTANTEI ACTIVE:</w:t>
            </w:r>
            <w:r w:rsidR="00EC4992" w:rsidRPr="002305E6">
              <w:rPr>
                <w:b/>
                <w:lang w:val="ro-RO"/>
              </w:rPr>
              <w:t xml:space="preserve"> </w:t>
            </w:r>
            <w:r w:rsidR="00393522" w:rsidRPr="002305E6">
              <w:rPr>
                <w:b/>
                <w:lang w:val="ro-RO"/>
              </w:rPr>
              <w:t>Activa s.r.l.</w:t>
            </w:r>
          </w:p>
          <w:p w:rsidR="00393522" w:rsidRPr="002305E6" w:rsidRDefault="00393522" w:rsidP="002305E6">
            <w:pPr>
              <w:rPr>
                <w:lang w:val="ro-RO"/>
              </w:rPr>
            </w:pPr>
            <w:r w:rsidRPr="002305E6">
              <w:rPr>
                <w:lang w:val="ro-RO"/>
              </w:rPr>
              <w:t>Adresa: Via Feltre 32, 20132, Milano, Italia</w:t>
            </w:r>
          </w:p>
          <w:p w:rsidR="00DE1A54" w:rsidRPr="002305E6" w:rsidRDefault="00393522" w:rsidP="002305E6">
            <w:r w:rsidRPr="002305E6">
              <w:t>Loc de productie : Tezza S.r.l., via Tre Ponti 22 37050 S. Maria di Zevio (VR), Italia</w:t>
            </w:r>
          </w:p>
        </w:tc>
      </w:tr>
    </w:tbl>
    <w:p w:rsidR="00F20DAC" w:rsidRDefault="00F20DAC" w:rsidP="002305E6">
      <w:pPr>
        <w:pStyle w:val="Default"/>
        <w:rPr>
          <w:rFonts w:ascii="Times New Roman" w:hAnsi="Times New Roman" w:cs="Times New Roman"/>
          <w:lang w:val="ro-RO"/>
        </w:rPr>
      </w:pPr>
    </w:p>
    <w:p w:rsidR="002305E6" w:rsidRPr="002305E6" w:rsidRDefault="002305E6" w:rsidP="002305E6">
      <w:pPr>
        <w:pStyle w:val="Default"/>
        <w:rPr>
          <w:rFonts w:ascii="Times New Roman" w:hAnsi="Times New Roman" w:cs="Times New Roman"/>
          <w:lang w:val="ro-RO"/>
        </w:rPr>
      </w:pPr>
    </w:p>
    <w:p w:rsidR="003B38F7" w:rsidRPr="002305E6" w:rsidRDefault="003B38F7" w:rsidP="002305E6">
      <w:pPr>
        <w:pStyle w:val="NoSpacing"/>
        <w:rPr>
          <w:b/>
          <w:lang w:val="ro-RO"/>
        </w:rPr>
      </w:pPr>
      <w:r w:rsidRPr="002305E6">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2305E6" w:rsidTr="00266D58">
        <w:tc>
          <w:tcPr>
            <w:tcW w:w="9923" w:type="dxa"/>
          </w:tcPr>
          <w:p w:rsidR="003B38F7" w:rsidRPr="002305E6" w:rsidRDefault="003B38F7" w:rsidP="002305E6">
            <w:pPr>
              <w:pStyle w:val="NoSpacing"/>
              <w:rPr>
                <w:lang w:val="ro-RO"/>
              </w:rPr>
            </w:pPr>
            <w:r w:rsidRPr="002305E6">
              <w:rPr>
                <w:b/>
                <w:lang w:val="ro-RO"/>
              </w:rPr>
              <w:t>TIPUL DE PRODUS</w:t>
            </w:r>
            <w:r w:rsidRPr="002305E6">
              <w:rPr>
                <w:lang w:val="ro-RO"/>
              </w:rPr>
              <w:t> </w:t>
            </w:r>
            <w:r w:rsidRPr="002305E6">
              <w:rPr>
                <w:lang w:val="fr-FR"/>
              </w:rPr>
              <w:t>:</w:t>
            </w:r>
            <w:r w:rsidR="00DC79DE" w:rsidRPr="002305E6">
              <w:t xml:space="preserve"> </w:t>
            </w:r>
            <w:r w:rsidRPr="002305E6">
              <w:t>TP 14 Rodenticide</w:t>
            </w:r>
          </w:p>
        </w:tc>
      </w:tr>
    </w:tbl>
    <w:p w:rsidR="002305E6" w:rsidRDefault="002305E6" w:rsidP="002305E6">
      <w:pPr>
        <w:pStyle w:val="Default"/>
        <w:rPr>
          <w:rFonts w:ascii="Times New Roman" w:hAnsi="Times New Roman" w:cs="Times New Roman"/>
          <w:b/>
          <w:lang w:val="ro-RO"/>
        </w:rPr>
      </w:pPr>
    </w:p>
    <w:p w:rsidR="00B66405" w:rsidRPr="002305E6" w:rsidRDefault="00AB2496" w:rsidP="002305E6">
      <w:pPr>
        <w:pStyle w:val="Default"/>
        <w:rPr>
          <w:rFonts w:ascii="Times New Roman" w:hAnsi="Times New Roman" w:cs="Times New Roman"/>
          <w:b/>
          <w:lang w:val="ro-RO"/>
        </w:rPr>
      </w:pPr>
      <w:r w:rsidRPr="002305E6">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6B235A">
        <w:tc>
          <w:tcPr>
            <w:tcW w:w="9923" w:type="dxa"/>
          </w:tcPr>
          <w:p w:rsidR="00B66405" w:rsidRPr="002305E6" w:rsidRDefault="00467F1E" w:rsidP="002305E6">
            <w:pPr>
              <w:rPr>
                <w:lang w:val="ro-RO"/>
              </w:rPr>
            </w:pPr>
            <w:r w:rsidRPr="002305E6">
              <w:rPr>
                <w:b/>
                <w:lang w:val="ro-RO"/>
              </w:rPr>
              <w:t>CATEGORIILE DE UTILIZATORI</w:t>
            </w:r>
            <w:r w:rsidRPr="002305E6">
              <w:rPr>
                <w:lang w:val="ro-RO"/>
              </w:rPr>
              <w:t xml:space="preserve"> </w:t>
            </w:r>
            <w:r w:rsidR="00AF0C71" w:rsidRPr="002305E6">
              <w:rPr>
                <w:lang w:val="ro-RO"/>
              </w:rPr>
              <w:t>:</w:t>
            </w:r>
            <w:r w:rsidR="005B7030" w:rsidRPr="002305E6">
              <w:rPr>
                <w:rFonts w:eastAsiaTheme="minorHAnsi"/>
              </w:rPr>
              <w:t xml:space="preserve"> </w:t>
            </w:r>
            <w:r w:rsidR="007847BD" w:rsidRPr="002305E6">
              <w:rPr>
                <w:lang w:val="ro-RO"/>
              </w:rPr>
              <w:t xml:space="preserve">profesionisti  şi non-profesionisti </w:t>
            </w:r>
          </w:p>
        </w:tc>
      </w:tr>
    </w:tbl>
    <w:p w:rsidR="00FF3D0E" w:rsidRPr="002305E6" w:rsidRDefault="00FF3D0E" w:rsidP="002305E6">
      <w:pPr>
        <w:pStyle w:val="Default"/>
        <w:rPr>
          <w:rFonts w:ascii="Times New Roman" w:hAnsi="Times New Roman" w:cs="Times New Roman"/>
          <w:b/>
          <w:lang w:val="ro-RO"/>
        </w:rPr>
      </w:pPr>
    </w:p>
    <w:p w:rsidR="00B66405" w:rsidRPr="002305E6" w:rsidRDefault="00AB2496" w:rsidP="002305E6">
      <w:pPr>
        <w:pStyle w:val="Default"/>
        <w:rPr>
          <w:rFonts w:ascii="Times New Roman" w:hAnsi="Times New Roman" w:cs="Times New Roman"/>
          <w:b/>
          <w:lang w:val="ro-RO"/>
        </w:rPr>
      </w:pPr>
      <w:r w:rsidRPr="002305E6">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AB2496">
        <w:trPr>
          <w:trHeight w:val="188"/>
        </w:trPr>
        <w:tc>
          <w:tcPr>
            <w:tcW w:w="9923" w:type="dxa"/>
          </w:tcPr>
          <w:p w:rsidR="00D27580" w:rsidRPr="002305E6" w:rsidRDefault="00467F1E" w:rsidP="002305E6">
            <w:pPr>
              <w:pStyle w:val="NoSpacing"/>
              <w:rPr>
                <w:lang w:val="ro-RO"/>
              </w:rPr>
            </w:pPr>
            <w:r w:rsidRPr="002305E6">
              <w:rPr>
                <w:b/>
                <w:lang w:val="ro-RO"/>
              </w:rPr>
              <w:t>TIPUL PREPARATULUI</w:t>
            </w:r>
            <w:r w:rsidR="00816917" w:rsidRPr="002305E6">
              <w:rPr>
                <w:b/>
                <w:lang w:val="ro-RO"/>
              </w:rPr>
              <w:t>:</w:t>
            </w:r>
            <w:r w:rsidR="00816917" w:rsidRPr="002305E6">
              <w:rPr>
                <w:lang w:val="it-IT"/>
              </w:rPr>
              <w:t xml:space="preserve"> </w:t>
            </w:r>
            <w:r w:rsidR="00AD1399" w:rsidRPr="002305E6">
              <w:rPr>
                <w:lang w:val="ro-RO"/>
              </w:rPr>
              <w:t>Produsul este momeală rodenticidă sub f</w:t>
            </w:r>
            <w:r w:rsidR="008C2537" w:rsidRPr="002305E6">
              <w:rPr>
                <w:lang w:val="ro-RO"/>
              </w:rPr>
              <w:t>ormă de pastă gata de utilizare.</w:t>
            </w:r>
          </w:p>
        </w:tc>
      </w:tr>
    </w:tbl>
    <w:p w:rsidR="00FF3D0E" w:rsidRPr="002305E6" w:rsidRDefault="00FF3D0E" w:rsidP="002305E6">
      <w:pPr>
        <w:pStyle w:val="NoSpacing"/>
        <w:rPr>
          <w:b/>
          <w:lang w:val="ro-RO"/>
        </w:rPr>
      </w:pPr>
    </w:p>
    <w:p w:rsidR="00B66405" w:rsidRPr="002305E6" w:rsidRDefault="00B66405" w:rsidP="002305E6">
      <w:pPr>
        <w:pStyle w:val="NoSpacing"/>
        <w:rPr>
          <w:b/>
          <w:lang w:val="ro-RO"/>
        </w:rPr>
      </w:pPr>
      <w:r w:rsidRPr="002305E6">
        <w:rPr>
          <w:b/>
          <w:lang w:val="ro-RO"/>
        </w:rPr>
        <w:t>IX</w:t>
      </w:r>
      <w:r w:rsidR="00203F73" w:rsidRPr="002305E6">
        <w:rPr>
          <w:b/>
          <w:lang w:val="ro-RO"/>
        </w:rPr>
        <w:t>.</w:t>
      </w:r>
      <w:r w:rsidRPr="002305E6">
        <w:rPr>
          <w:b/>
          <w:lang w:val="ro-RO"/>
        </w:rPr>
        <w:t xml:space="preserve"> </w:t>
      </w:r>
      <w:r w:rsidR="00774E2B" w:rsidRPr="002305E6">
        <w:rPr>
          <w:b/>
          <w:lang w:val="ro-RO"/>
        </w:rPr>
        <w:t xml:space="preserve">COMPOZITIA CALITATIVĂ </w:t>
      </w:r>
      <w:r w:rsidR="00C43A97" w:rsidRPr="002305E6">
        <w:rPr>
          <w:b/>
          <w:lang w:val="ro-RO"/>
        </w:rPr>
        <w:t xml:space="preserve">SI CANTITATIVĂ </w:t>
      </w:r>
    </w:p>
    <w:p w:rsidR="00B66405" w:rsidRPr="002305E6" w:rsidRDefault="00B66405" w:rsidP="002305E6">
      <w:pPr>
        <w:pStyle w:val="NoSpacing"/>
        <w:numPr>
          <w:ilvl w:val="0"/>
          <w:numId w:val="33"/>
        </w:numPr>
        <w:rPr>
          <w:b/>
          <w:i/>
          <w:lang w:val="ro-RO"/>
        </w:rPr>
      </w:pPr>
      <w:r w:rsidRPr="002305E6">
        <w:rPr>
          <w:b/>
          <w:lang w:val="ro-RO"/>
        </w:rPr>
        <w:t>Substan</w:t>
      </w:r>
      <w:r w:rsidR="00D27580" w:rsidRPr="002305E6">
        <w:rPr>
          <w:b/>
          <w:lang w:val="ro-RO"/>
        </w:rPr>
        <w:t>t</w:t>
      </w:r>
      <w:r w:rsidR="005D143E" w:rsidRPr="002305E6">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8F7FF0" w:rsidRPr="002305E6" w:rsidTr="00925338">
        <w:tc>
          <w:tcPr>
            <w:tcW w:w="2977" w:type="dxa"/>
            <w:shd w:val="clear" w:color="auto" w:fill="auto"/>
          </w:tcPr>
          <w:p w:rsidR="008F7FF0" w:rsidRPr="002305E6" w:rsidRDefault="008F7FF0" w:rsidP="002305E6">
            <w:pPr>
              <w:rPr>
                <w:lang w:val="ro-RO"/>
              </w:rPr>
            </w:pPr>
            <w:r w:rsidRPr="002305E6">
              <w:rPr>
                <w:lang w:val="ro-RO"/>
              </w:rPr>
              <w:t>Denumirea comună</w:t>
            </w:r>
          </w:p>
        </w:tc>
        <w:tc>
          <w:tcPr>
            <w:tcW w:w="6946" w:type="dxa"/>
            <w:shd w:val="clear" w:color="auto" w:fill="auto"/>
          </w:tcPr>
          <w:p w:rsidR="008F7FF0" w:rsidRPr="002305E6" w:rsidRDefault="008F7FF0" w:rsidP="002305E6">
            <w:pPr>
              <w:rPr>
                <w:lang w:val="ro-RO"/>
              </w:rPr>
            </w:pPr>
            <w:r w:rsidRPr="002305E6">
              <w:rPr>
                <w:lang w:val="ro-RO"/>
              </w:rPr>
              <w:t>Brodifacum</w:t>
            </w:r>
          </w:p>
        </w:tc>
      </w:tr>
      <w:tr w:rsidR="008F7FF0" w:rsidRPr="002305E6" w:rsidTr="00925338">
        <w:tc>
          <w:tcPr>
            <w:tcW w:w="2977" w:type="dxa"/>
            <w:shd w:val="clear" w:color="auto" w:fill="auto"/>
          </w:tcPr>
          <w:p w:rsidR="008F7FF0" w:rsidRPr="002305E6" w:rsidRDefault="008F7FF0" w:rsidP="002305E6">
            <w:pPr>
              <w:rPr>
                <w:lang w:val="ro-RO"/>
              </w:rPr>
            </w:pPr>
            <w:r w:rsidRPr="002305E6">
              <w:rPr>
                <w:lang w:val="ro-RO"/>
              </w:rPr>
              <w:t>Denumirea IUPAC</w:t>
            </w:r>
          </w:p>
        </w:tc>
        <w:tc>
          <w:tcPr>
            <w:tcW w:w="6946" w:type="dxa"/>
            <w:shd w:val="clear" w:color="auto" w:fill="auto"/>
          </w:tcPr>
          <w:p w:rsidR="008F7FF0" w:rsidRPr="002305E6" w:rsidRDefault="008F7FF0" w:rsidP="002305E6">
            <w:pPr>
              <w:rPr>
                <w:lang w:val="ro-RO"/>
              </w:rPr>
            </w:pPr>
            <w:r w:rsidRPr="002305E6">
              <w:rPr>
                <w:lang w:val="ro-RO"/>
              </w:rPr>
              <w:t>[3-(4’-bromobiphenyl-4-yl)-1,2,3,4-tetrahydro-1-naphthyl]-4-hydroxycoumarin</w:t>
            </w:r>
          </w:p>
        </w:tc>
      </w:tr>
      <w:tr w:rsidR="008F7FF0" w:rsidRPr="002305E6" w:rsidTr="00925338">
        <w:tc>
          <w:tcPr>
            <w:tcW w:w="2977" w:type="dxa"/>
            <w:shd w:val="clear" w:color="auto" w:fill="auto"/>
          </w:tcPr>
          <w:p w:rsidR="008F7FF0" w:rsidRPr="002305E6" w:rsidRDefault="008F7FF0" w:rsidP="002305E6">
            <w:pPr>
              <w:rPr>
                <w:lang w:val="ro-RO"/>
              </w:rPr>
            </w:pPr>
            <w:r w:rsidRPr="002305E6">
              <w:rPr>
                <w:lang w:val="ro-RO"/>
              </w:rPr>
              <w:t>Numar CAS</w:t>
            </w:r>
          </w:p>
        </w:tc>
        <w:tc>
          <w:tcPr>
            <w:tcW w:w="6946" w:type="dxa"/>
            <w:shd w:val="clear" w:color="auto" w:fill="auto"/>
          </w:tcPr>
          <w:p w:rsidR="008F7FF0" w:rsidRPr="002305E6" w:rsidRDefault="008F7FF0" w:rsidP="002305E6">
            <w:pPr>
              <w:rPr>
                <w:lang w:val="ro-RO"/>
              </w:rPr>
            </w:pPr>
            <w:r w:rsidRPr="002305E6">
              <w:rPr>
                <w:lang w:val="ro-RO"/>
              </w:rPr>
              <w:t>56073-10-0</w:t>
            </w:r>
          </w:p>
        </w:tc>
      </w:tr>
      <w:tr w:rsidR="008F7FF0" w:rsidRPr="002305E6" w:rsidTr="00925338">
        <w:tc>
          <w:tcPr>
            <w:tcW w:w="2977" w:type="dxa"/>
            <w:shd w:val="clear" w:color="auto" w:fill="auto"/>
          </w:tcPr>
          <w:p w:rsidR="008F7FF0" w:rsidRPr="002305E6" w:rsidRDefault="008F7FF0" w:rsidP="002305E6">
            <w:pPr>
              <w:rPr>
                <w:lang w:val="ro-RO"/>
              </w:rPr>
            </w:pPr>
            <w:r w:rsidRPr="002305E6">
              <w:rPr>
                <w:lang w:val="ro-RO"/>
              </w:rPr>
              <w:t>Numar CE</w:t>
            </w:r>
          </w:p>
        </w:tc>
        <w:tc>
          <w:tcPr>
            <w:tcW w:w="6946" w:type="dxa"/>
            <w:shd w:val="clear" w:color="auto" w:fill="auto"/>
          </w:tcPr>
          <w:p w:rsidR="008F7FF0" w:rsidRPr="002305E6" w:rsidRDefault="008F7FF0" w:rsidP="002305E6">
            <w:pPr>
              <w:rPr>
                <w:lang w:val="ro-RO"/>
              </w:rPr>
            </w:pPr>
            <w:r w:rsidRPr="002305E6">
              <w:rPr>
                <w:lang w:val="ro-RO"/>
              </w:rPr>
              <w:t>259-980-5</w:t>
            </w:r>
          </w:p>
        </w:tc>
      </w:tr>
      <w:tr w:rsidR="008F7FF0" w:rsidRPr="002305E6" w:rsidTr="00925338">
        <w:tc>
          <w:tcPr>
            <w:tcW w:w="2977" w:type="dxa"/>
            <w:shd w:val="clear" w:color="auto" w:fill="auto"/>
          </w:tcPr>
          <w:p w:rsidR="008F7FF0" w:rsidRPr="002305E6" w:rsidRDefault="008F7FF0" w:rsidP="002305E6">
            <w:pPr>
              <w:rPr>
                <w:lang w:val="ro-RO"/>
              </w:rPr>
            </w:pPr>
            <w:r w:rsidRPr="002305E6">
              <w:rPr>
                <w:lang w:val="ro-RO"/>
              </w:rPr>
              <w:t>Continut de substantă activă</w:t>
            </w:r>
          </w:p>
        </w:tc>
        <w:tc>
          <w:tcPr>
            <w:tcW w:w="6946" w:type="dxa"/>
            <w:shd w:val="clear" w:color="auto" w:fill="auto"/>
          </w:tcPr>
          <w:p w:rsidR="008F7FF0" w:rsidRPr="002305E6" w:rsidRDefault="008F7FF0" w:rsidP="002305E6">
            <w:pPr>
              <w:rPr>
                <w:lang w:val="ro-RO"/>
              </w:rPr>
            </w:pPr>
            <w:r w:rsidRPr="002305E6">
              <w:rPr>
                <w:lang w:val="ro-RO"/>
              </w:rPr>
              <w:t>0,005%</w:t>
            </w:r>
          </w:p>
        </w:tc>
      </w:tr>
    </w:tbl>
    <w:p w:rsidR="00B66405" w:rsidRPr="002305E6" w:rsidRDefault="00B66405" w:rsidP="002305E6">
      <w:pPr>
        <w:pStyle w:val="ListParagraph"/>
        <w:numPr>
          <w:ilvl w:val="0"/>
          <w:numId w:val="33"/>
        </w:numPr>
        <w:rPr>
          <w:b/>
          <w:lang w:val="ro-RO"/>
        </w:rPr>
      </w:pPr>
      <w:r w:rsidRPr="002305E6">
        <w:rPr>
          <w:b/>
          <w:lang w:val="ro-RO"/>
        </w:rPr>
        <w:t>Substan</w:t>
      </w:r>
      <w:r w:rsidR="003E25B6" w:rsidRPr="002305E6">
        <w:rPr>
          <w:b/>
          <w:lang w:val="ro-RO"/>
        </w:rPr>
        <w:t>t</w:t>
      </w:r>
      <w:r w:rsidRPr="002305E6">
        <w:rPr>
          <w:b/>
          <w:lang w:val="ro-RO"/>
        </w:rPr>
        <w:t>a inactivă/nonactivă</w:t>
      </w:r>
      <w:r w:rsidR="00385365" w:rsidRPr="002305E6">
        <w:rPr>
          <w:b/>
          <w:lang w:val="ro-RO"/>
        </w:rPr>
        <w:t xml:space="preserve"> – nu se specifica</w:t>
      </w:r>
    </w:p>
    <w:p w:rsidR="000F5914" w:rsidRPr="002305E6" w:rsidRDefault="000F5914" w:rsidP="002305E6">
      <w:pPr>
        <w:ind w:left="720"/>
        <w:rPr>
          <w:b/>
          <w:lang w:val="ro-RO"/>
        </w:rPr>
      </w:pPr>
    </w:p>
    <w:p w:rsidR="00B66405" w:rsidRPr="002305E6" w:rsidRDefault="00203F73" w:rsidP="002305E6">
      <w:pPr>
        <w:pStyle w:val="NoSpacing"/>
        <w:rPr>
          <w:b/>
          <w:lang w:val="ro-RO"/>
        </w:rPr>
      </w:pPr>
      <w:r w:rsidRPr="002305E6">
        <w:rPr>
          <w:b/>
          <w:lang w:val="ro-RO"/>
        </w:rPr>
        <w:t xml:space="preserve">X. </w:t>
      </w:r>
      <w:r w:rsidR="00B66405" w:rsidRPr="002305E6">
        <w:rPr>
          <w:b/>
          <w:lang w:val="ro-RO"/>
        </w:rPr>
        <w:t>CLASIFICAREA SI ETICHETAREA PRODUSULUI</w:t>
      </w:r>
    </w:p>
    <w:p w:rsidR="00B66405" w:rsidRPr="002305E6" w:rsidRDefault="00B66405" w:rsidP="002305E6">
      <w:pPr>
        <w:pStyle w:val="NoSpacing"/>
        <w:ind w:firstLine="360"/>
        <w:rPr>
          <w:b/>
          <w:lang w:val="ro-RO"/>
        </w:rPr>
      </w:pPr>
      <w:r w:rsidRPr="002305E6">
        <w:rPr>
          <w:b/>
          <w:lang w:val="ro-RO"/>
        </w:rPr>
        <w:t xml:space="preserve">Produs biocid cu substanţe active - </w:t>
      </w:r>
      <w:r w:rsidRPr="002305E6">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2305E6" w:rsidTr="007707AC">
        <w:tc>
          <w:tcPr>
            <w:tcW w:w="3402" w:type="dxa"/>
          </w:tcPr>
          <w:p w:rsidR="00B66405" w:rsidRPr="002305E6" w:rsidRDefault="0080257F" w:rsidP="002305E6">
            <w:pPr>
              <w:pStyle w:val="NoSpacing"/>
              <w:rPr>
                <w:lang w:val="ro-RO"/>
              </w:rPr>
            </w:pPr>
            <w:r w:rsidRPr="002305E6">
              <w:rPr>
                <w:lang w:val="ro-RO"/>
              </w:rPr>
              <w:t>S</w:t>
            </w:r>
            <w:r w:rsidR="00B66405" w:rsidRPr="002305E6">
              <w:rPr>
                <w:lang w:val="ro-RO"/>
              </w:rPr>
              <w:t xml:space="preserve">imboluri </w:t>
            </w:r>
          </w:p>
        </w:tc>
        <w:tc>
          <w:tcPr>
            <w:tcW w:w="6521" w:type="dxa"/>
          </w:tcPr>
          <w:p w:rsidR="00400263" w:rsidRPr="002305E6" w:rsidRDefault="006E2498" w:rsidP="002305E6">
            <w:pPr>
              <w:pStyle w:val="NoSpacing"/>
              <w:rPr>
                <w:color w:val="FF0000"/>
                <w:lang w:val="ro-RO"/>
              </w:rPr>
            </w:pPr>
            <w:r w:rsidRPr="002305E6">
              <w:rPr>
                <w:bCs/>
              </w:rPr>
              <w:t>GHS08</w:t>
            </w:r>
            <w:r w:rsidRPr="002305E6">
              <w:rPr>
                <w:lang w:val="ro-RO"/>
              </w:rPr>
              <w:t xml:space="preserve">          Atentie</w:t>
            </w:r>
          </w:p>
        </w:tc>
      </w:tr>
      <w:tr w:rsidR="00346AEE" w:rsidRPr="002305E6" w:rsidTr="007707AC">
        <w:tc>
          <w:tcPr>
            <w:tcW w:w="3402" w:type="dxa"/>
          </w:tcPr>
          <w:p w:rsidR="00346AEE" w:rsidRPr="002305E6" w:rsidRDefault="0080257F" w:rsidP="002305E6">
            <w:pPr>
              <w:pStyle w:val="NoSpacing"/>
              <w:rPr>
                <w:lang w:val="ro-RO"/>
              </w:rPr>
            </w:pPr>
            <w:r w:rsidRPr="002305E6">
              <w:rPr>
                <w:lang w:val="ro-RO"/>
              </w:rPr>
              <w:t>Fraze de pericol (H)</w:t>
            </w:r>
          </w:p>
        </w:tc>
        <w:tc>
          <w:tcPr>
            <w:tcW w:w="6521" w:type="dxa"/>
          </w:tcPr>
          <w:p w:rsidR="006E2498" w:rsidRPr="002305E6" w:rsidRDefault="006E2498" w:rsidP="002305E6">
            <w:pPr>
              <w:pStyle w:val="NoSpacing"/>
            </w:pPr>
            <w:r w:rsidRPr="002305E6">
              <w:t xml:space="preserve">H360D -Poate dăuna copilului nenăscut. </w:t>
            </w:r>
          </w:p>
          <w:p w:rsidR="006E2498" w:rsidRPr="002305E6" w:rsidRDefault="006E2498" w:rsidP="002305E6">
            <w:pPr>
              <w:pStyle w:val="NoSpacing"/>
            </w:pPr>
            <w:r w:rsidRPr="002305E6">
              <w:t xml:space="preserve">H373- Poate provoca leziuni ale organelor (sanguine) prin expunere prelungită sau repetată. </w:t>
            </w:r>
          </w:p>
          <w:p w:rsidR="00346AEE" w:rsidRPr="002305E6" w:rsidRDefault="006E2498" w:rsidP="002305E6">
            <w:pPr>
              <w:pStyle w:val="NoSpacing"/>
              <w:rPr>
                <w:lang w:val="ro-RO"/>
              </w:rPr>
            </w:pPr>
            <w:r w:rsidRPr="002305E6">
              <w:t>Limitat la utilizatorii profesioniști</w:t>
            </w:r>
          </w:p>
        </w:tc>
      </w:tr>
      <w:tr w:rsidR="00E061E6" w:rsidRPr="002305E6" w:rsidTr="00E061E6">
        <w:trPr>
          <w:trHeight w:val="267"/>
        </w:trPr>
        <w:tc>
          <w:tcPr>
            <w:tcW w:w="3402" w:type="dxa"/>
          </w:tcPr>
          <w:p w:rsidR="00E061E6" w:rsidRPr="002305E6" w:rsidRDefault="00E061E6" w:rsidP="002305E6">
            <w:pPr>
              <w:pStyle w:val="NoSpacing"/>
              <w:rPr>
                <w:lang w:val="ro-RO"/>
              </w:rPr>
            </w:pPr>
            <w:r w:rsidRPr="002305E6">
              <w:rPr>
                <w:lang w:val="ro-RO"/>
              </w:rPr>
              <w:t>Fraze de prudenta (P)</w:t>
            </w:r>
          </w:p>
        </w:tc>
        <w:tc>
          <w:tcPr>
            <w:tcW w:w="6521" w:type="dxa"/>
          </w:tcPr>
          <w:p w:rsidR="006E2498" w:rsidRPr="002305E6" w:rsidRDefault="006E2498" w:rsidP="002305E6">
            <w:pPr>
              <w:pStyle w:val="NoSpacing"/>
            </w:pPr>
            <w:r w:rsidRPr="002305E6">
              <w:t xml:space="preserve">P102- A nu se lăsa la îndemâna copiilor. </w:t>
            </w:r>
          </w:p>
          <w:p w:rsidR="006E2498" w:rsidRPr="002305E6" w:rsidRDefault="006E2498" w:rsidP="002305E6">
            <w:pPr>
              <w:pStyle w:val="NoSpacing"/>
            </w:pPr>
            <w:r w:rsidRPr="002305E6">
              <w:t>P201- Procurati instructiuni speciale inainte de utilizare.</w:t>
            </w:r>
          </w:p>
          <w:p w:rsidR="006E2498" w:rsidRPr="002305E6" w:rsidRDefault="006E2498" w:rsidP="002305E6">
            <w:pPr>
              <w:pStyle w:val="NoSpacing"/>
            </w:pPr>
            <w:r w:rsidRPr="002305E6">
              <w:t xml:space="preserve">P202- A nu se manipula decat dupa ce au fost citite si intelese toate masurile de securitate. </w:t>
            </w:r>
          </w:p>
          <w:p w:rsidR="006E2498" w:rsidRPr="002305E6" w:rsidRDefault="006E2498" w:rsidP="002305E6">
            <w:pPr>
              <w:pStyle w:val="NoSpacing"/>
            </w:pPr>
            <w:r w:rsidRPr="002305E6">
              <w:t xml:space="preserve">P270- A nu manca, bea sau fuma in timpul utilizarii produsului. </w:t>
            </w:r>
          </w:p>
          <w:p w:rsidR="006E2498" w:rsidRPr="002305E6" w:rsidRDefault="006E2498" w:rsidP="002305E6">
            <w:pPr>
              <w:pStyle w:val="NoSpacing"/>
            </w:pPr>
            <w:r w:rsidRPr="002305E6">
              <w:t xml:space="preserve">P280 Purtati manusi de protectie. </w:t>
            </w:r>
          </w:p>
          <w:p w:rsidR="006E2498" w:rsidRPr="002305E6" w:rsidRDefault="006E2498" w:rsidP="002305E6">
            <w:pPr>
              <w:pStyle w:val="NoSpacing"/>
            </w:pPr>
            <w:r w:rsidRPr="002305E6">
              <w:t xml:space="preserve">P301+P310     ÎN CAZ DE INGHITIRE: Apelați imediat la un CENTRU TOXICOLOGIC sau la un medic. </w:t>
            </w:r>
          </w:p>
          <w:p w:rsidR="006E2498" w:rsidRPr="002305E6" w:rsidRDefault="006E2498" w:rsidP="002305E6">
            <w:pPr>
              <w:pStyle w:val="NoSpacing"/>
            </w:pPr>
            <w:r w:rsidRPr="002305E6">
              <w:t>P 308 + P311- IN CAZ DE expunere sau posibila expunere: Sunati la un CENTRU DE INFORMARE TOXICOLOGICA sau un medic.</w:t>
            </w:r>
          </w:p>
          <w:p w:rsidR="006E2498" w:rsidRPr="002305E6" w:rsidRDefault="006E2498" w:rsidP="002305E6">
            <w:pPr>
              <w:pStyle w:val="NoSpacing"/>
            </w:pPr>
            <w:r w:rsidRPr="002305E6">
              <w:t>P405- A se depozita sub cheie</w:t>
            </w:r>
          </w:p>
          <w:p w:rsidR="00E061E6" w:rsidRPr="002305E6" w:rsidRDefault="006E2498" w:rsidP="002305E6">
            <w:pPr>
              <w:pStyle w:val="NoSpacing"/>
            </w:pPr>
            <w:r w:rsidRPr="002305E6">
              <w:t>P501- Aruncati recipientul/continutul in conformitate cu legislatia nationala in vigoare.</w:t>
            </w:r>
          </w:p>
        </w:tc>
      </w:tr>
      <w:tr w:rsidR="0080257F" w:rsidRPr="002305E6" w:rsidTr="007707AC">
        <w:tc>
          <w:tcPr>
            <w:tcW w:w="3402" w:type="dxa"/>
          </w:tcPr>
          <w:p w:rsidR="0080257F" w:rsidRPr="002305E6" w:rsidRDefault="0080257F" w:rsidP="002305E6">
            <w:pPr>
              <w:pStyle w:val="NoSpacing"/>
              <w:rPr>
                <w:lang w:val="ro-RO"/>
              </w:rPr>
            </w:pPr>
            <w:r w:rsidRPr="002305E6">
              <w:rPr>
                <w:lang w:val="ro-RO"/>
              </w:rPr>
              <w:lastRenderedPageBreak/>
              <w:t>Pictograma(e)</w:t>
            </w:r>
          </w:p>
        </w:tc>
        <w:tc>
          <w:tcPr>
            <w:tcW w:w="6521" w:type="dxa"/>
          </w:tcPr>
          <w:p w:rsidR="0080257F" w:rsidRPr="002305E6" w:rsidRDefault="006E2498" w:rsidP="002305E6">
            <w:pPr>
              <w:pStyle w:val="NoSpacing"/>
              <w:rPr>
                <w:lang w:val="ro-RO"/>
              </w:rPr>
            </w:pPr>
            <w:r w:rsidRPr="002305E6">
              <w:rPr>
                <w:noProof/>
              </w:rPr>
              <w:drawing>
                <wp:inline distT="0" distB="0" distL="0" distR="0" wp14:anchorId="090E35B7" wp14:editId="012F4FF4">
                  <wp:extent cx="3810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p>
        </w:tc>
      </w:tr>
    </w:tbl>
    <w:p w:rsidR="002305E6" w:rsidRDefault="002305E6" w:rsidP="002305E6">
      <w:pPr>
        <w:rPr>
          <w:b/>
          <w:lang w:val="ro-RO"/>
        </w:rPr>
      </w:pPr>
    </w:p>
    <w:p w:rsidR="00954B28" w:rsidRPr="002305E6" w:rsidRDefault="00203F73" w:rsidP="002305E6">
      <w:pPr>
        <w:rPr>
          <w:b/>
          <w:lang w:val="ro-RO"/>
        </w:rPr>
      </w:pPr>
      <w:r w:rsidRPr="002305E6">
        <w:rPr>
          <w:b/>
          <w:lang w:val="ro-RO"/>
        </w:rPr>
        <w:t xml:space="preserve">XI. </w:t>
      </w:r>
      <w:r w:rsidR="00B66405" w:rsidRPr="002305E6">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F1361B">
        <w:tc>
          <w:tcPr>
            <w:tcW w:w="9923" w:type="dxa"/>
            <w:shd w:val="clear" w:color="auto" w:fill="FFFFFF" w:themeFill="background1"/>
          </w:tcPr>
          <w:p w:rsidR="00D46C2A" w:rsidRPr="002305E6" w:rsidRDefault="00D46C2A" w:rsidP="002305E6">
            <w:pPr>
              <w:pStyle w:val="NoSpacing"/>
              <w:rPr>
                <w:lang w:val="ro-RO"/>
              </w:rPr>
            </w:pPr>
            <w:bookmarkStart w:id="1" w:name="_Hlk528924581"/>
            <w:r w:rsidRPr="002305E6">
              <w:rPr>
                <w:u w:val="single"/>
                <w:lang w:val="ro-RO"/>
              </w:rPr>
              <w:t>Pentru uz profesional</w:t>
            </w:r>
            <w:r w:rsidRPr="002305E6">
              <w:rPr>
                <w:lang w:val="ro-RO"/>
              </w:rPr>
              <w:t>: Produs de momeală de 20g .</w:t>
            </w:r>
            <w:bookmarkEnd w:id="1"/>
          </w:p>
          <w:p w:rsidR="00D46C2A" w:rsidRPr="002305E6" w:rsidRDefault="00D46C2A" w:rsidP="002305E6">
            <w:pPr>
              <w:pStyle w:val="NoSpacing"/>
              <w:rPr>
                <w:lang w:val="ro-RO"/>
              </w:rPr>
            </w:pPr>
            <w:bookmarkStart w:id="2" w:name="_Hlk528924734"/>
            <w:r w:rsidRPr="002305E6">
              <w:rPr>
                <w:lang w:val="ro-RO"/>
              </w:rPr>
              <w:t>Flacon etichetat sau tiparit cu dimensiunea minimă a pachetului de 1,5 kg până la maxim 25 kg.</w:t>
            </w:r>
          </w:p>
          <w:p w:rsidR="00D46C2A" w:rsidRPr="002305E6" w:rsidRDefault="00D46C2A" w:rsidP="002305E6">
            <w:pPr>
              <w:pStyle w:val="NoSpacing"/>
              <w:rPr>
                <w:lang w:val="ro-RO"/>
              </w:rPr>
            </w:pPr>
            <w:r w:rsidRPr="002305E6">
              <w:rPr>
                <w:lang w:val="ro-RO"/>
              </w:rPr>
              <w:t>Dacă este cazul, ambalajul este limitat la pungi ambalate separat, cu o cantitate maximă de 10 kg.</w:t>
            </w:r>
          </w:p>
          <w:p w:rsidR="00D46C2A" w:rsidRPr="002305E6" w:rsidRDefault="00D46C2A" w:rsidP="002305E6">
            <w:pPr>
              <w:pStyle w:val="NoSpacing"/>
              <w:numPr>
                <w:ilvl w:val="0"/>
                <w:numId w:val="37"/>
              </w:numPr>
              <w:rPr>
                <w:lang w:val="ro-RO"/>
              </w:rPr>
            </w:pPr>
            <w:r w:rsidRPr="002305E6">
              <w:rPr>
                <w:lang w:val="ro-RO"/>
              </w:rPr>
              <w:t>Flacon etichetat sau tipărit de la 1,5 kg pana la 5 kg.</w:t>
            </w:r>
          </w:p>
          <w:p w:rsidR="00D46C2A" w:rsidRPr="002305E6" w:rsidRDefault="00D46C2A" w:rsidP="002305E6">
            <w:pPr>
              <w:pStyle w:val="NoSpacing"/>
              <w:numPr>
                <w:ilvl w:val="0"/>
                <w:numId w:val="37"/>
              </w:numPr>
              <w:rPr>
                <w:lang w:val="ro-RO"/>
              </w:rPr>
            </w:pPr>
            <w:r w:rsidRPr="002305E6">
              <w:rPr>
                <w:lang w:val="ro-RO"/>
              </w:rPr>
              <w:t>Cutie sau sac tipărită sau imprimată de la 1,5 kg la 25 kg.</w:t>
            </w:r>
          </w:p>
          <w:p w:rsidR="00D46C2A" w:rsidRPr="002305E6" w:rsidRDefault="00D46C2A" w:rsidP="002305E6">
            <w:pPr>
              <w:pStyle w:val="NoSpacing"/>
              <w:numPr>
                <w:ilvl w:val="0"/>
                <w:numId w:val="37"/>
              </w:numPr>
              <w:rPr>
                <w:lang w:val="ro-RO"/>
              </w:rPr>
            </w:pPr>
            <w:r w:rsidRPr="002305E6">
              <w:rPr>
                <w:lang w:val="ro-RO"/>
              </w:rPr>
              <w:t>Cutie / sac tipărită sau imprimată - cu căptușeală interioară din material plastic</w:t>
            </w:r>
            <w:r w:rsidRPr="002305E6">
              <w:t xml:space="preserve"> </w:t>
            </w:r>
            <w:r w:rsidRPr="002305E6">
              <w:rPr>
                <w:lang w:val="ro-RO"/>
              </w:rPr>
              <w:t>de la 1,5 kg - până la 10 kg - înveliș interior maxim de 10 kg.</w:t>
            </w:r>
          </w:p>
          <w:p w:rsidR="00D46C2A" w:rsidRPr="002305E6" w:rsidRDefault="00D46C2A" w:rsidP="002305E6">
            <w:pPr>
              <w:pStyle w:val="NoSpacing"/>
              <w:numPr>
                <w:ilvl w:val="0"/>
                <w:numId w:val="37"/>
              </w:numPr>
              <w:rPr>
                <w:lang w:val="ro-RO"/>
              </w:rPr>
            </w:pPr>
            <w:r w:rsidRPr="002305E6">
              <w:rPr>
                <w:lang w:val="ro-RO"/>
              </w:rPr>
              <w:t>Galeata de plastic cu etichetă de la 1,5 kg la 25 kg.</w:t>
            </w:r>
          </w:p>
          <w:p w:rsidR="00D46C2A" w:rsidRPr="002305E6" w:rsidRDefault="00D46C2A" w:rsidP="002305E6">
            <w:pPr>
              <w:pStyle w:val="NoSpacing"/>
              <w:numPr>
                <w:ilvl w:val="0"/>
                <w:numId w:val="37"/>
              </w:numPr>
              <w:rPr>
                <w:lang w:val="ro-RO"/>
              </w:rPr>
            </w:pPr>
            <w:r w:rsidRPr="002305E6">
              <w:rPr>
                <w:lang w:val="ro-RO"/>
              </w:rPr>
              <w:t>Galeata de plastic cu etichetă - cu căptușeală interioară din plastic de la 1,5 la 10 kg - dimensiune maximă a căptușelii interioare de 10 kg.</w:t>
            </w:r>
          </w:p>
          <w:p w:rsidR="00D46C2A" w:rsidRPr="002305E6" w:rsidRDefault="00D46C2A" w:rsidP="002305E6">
            <w:pPr>
              <w:pStyle w:val="NoSpacing"/>
              <w:numPr>
                <w:ilvl w:val="0"/>
                <w:numId w:val="37"/>
              </w:numPr>
              <w:rPr>
                <w:lang w:val="ro-RO"/>
              </w:rPr>
            </w:pPr>
            <w:r w:rsidRPr="002305E6">
              <w:rPr>
                <w:lang w:val="ro-RO"/>
              </w:rPr>
              <w:t>Cutie de carton sigilată sau tipărită cu căptușeală interioară din plastic de la 1,5 la 10 kg cu pungi de plastic in interior de până la 10 kg fiecare.</w:t>
            </w:r>
          </w:p>
          <w:p w:rsidR="00D46C2A" w:rsidRPr="002305E6" w:rsidRDefault="00D46C2A" w:rsidP="002305E6">
            <w:pPr>
              <w:pStyle w:val="NoSpacing"/>
              <w:numPr>
                <w:ilvl w:val="0"/>
                <w:numId w:val="37"/>
              </w:numPr>
              <w:rPr>
                <w:lang w:val="ro-RO"/>
              </w:rPr>
            </w:pPr>
            <w:r w:rsidRPr="002305E6">
              <w:rPr>
                <w:lang w:val="ro-RO"/>
              </w:rPr>
              <w:t>Cutie de carton etichetat sau imprimat cu garnitură interioară din plastic 1,5-10 kg pungi de plastic unice interioare de până la 10 kg fiecare.</w:t>
            </w:r>
          </w:p>
          <w:p w:rsidR="00D46C2A" w:rsidRPr="002305E6" w:rsidRDefault="00D46C2A" w:rsidP="002305E6">
            <w:pPr>
              <w:pStyle w:val="NoSpacing"/>
              <w:rPr>
                <w:lang w:val="ro-RO"/>
              </w:rPr>
            </w:pPr>
            <w:bookmarkStart w:id="3" w:name="_Hlk528242016"/>
            <w:r w:rsidRPr="002305E6">
              <w:rPr>
                <w:lang w:val="ro-RO"/>
              </w:rPr>
              <w:t xml:space="preserve">Materialul de ambalare: </w:t>
            </w:r>
            <w:bookmarkStart w:id="4" w:name="_Hlk527100377"/>
            <w:r w:rsidRPr="002305E6">
              <w:rPr>
                <w:lang w:val="ro-RO"/>
              </w:rPr>
              <w:t>plastic compozit</w:t>
            </w:r>
            <w:bookmarkEnd w:id="4"/>
            <w:r w:rsidRPr="002305E6">
              <w:rPr>
                <w:lang w:val="ro-RO"/>
              </w:rPr>
              <w:t xml:space="preserve"> (HDPE), carton.</w:t>
            </w:r>
          </w:p>
          <w:bookmarkEnd w:id="3"/>
          <w:p w:rsidR="00D46C2A" w:rsidRPr="002305E6" w:rsidRDefault="00D46C2A" w:rsidP="002305E6">
            <w:pPr>
              <w:pStyle w:val="NoSpacing"/>
              <w:rPr>
                <w:lang w:val="ro-RO"/>
              </w:rPr>
            </w:pPr>
            <w:r w:rsidRPr="002305E6">
              <w:rPr>
                <w:lang w:val="ro-RO"/>
              </w:rPr>
              <w:t xml:space="preserve">Tip de ambalaj: </w:t>
            </w:r>
            <w:bookmarkStart w:id="5" w:name="_Hlk528925042"/>
            <w:r w:rsidRPr="002305E6">
              <w:rPr>
                <w:lang w:val="ro-RO"/>
              </w:rPr>
              <w:t>flacon sigilat, etichetat sau tiparit, cutie / sac tipărită sau imprimată - cu căptușeală interioară din material plastic, pungi prefabricate sau pungi de producție în serie termoizolate, galeata de plastic cu etichetă, găleata din material plastic (HDPE), galeti dreptunghiulare sau conice sigilate, galeata din plastic etichetata - cu căptușeală interioară din plastic, cutie de carton sigilată sau tipărită cu căptușeală interioară din plastic, cutie de carton etichetat sau imprimat cu garnitură interioară din plastic,</w:t>
            </w:r>
            <w:r w:rsidRPr="002305E6">
              <w:t xml:space="preserve"> </w:t>
            </w:r>
            <w:r w:rsidRPr="002305E6">
              <w:rPr>
                <w:lang w:val="ro-RO"/>
              </w:rPr>
              <w:t xml:space="preserve">carton prefabricat. </w:t>
            </w:r>
            <w:bookmarkEnd w:id="5"/>
          </w:p>
          <w:bookmarkEnd w:id="2"/>
          <w:p w:rsidR="00D46C2A" w:rsidRPr="002305E6" w:rsidRDefault="00D46C2A" w:rsidP="002305E6">
            <w:pPr>
              <w:pStyle w:val="NoSpacing"/>
              <w:rPr>
                <w:lang w:val="ro-RO"/>
              </w:rPr>
            </w:pPr>
            <w:r w:rsidRPr="002305E6">
              <w:rPr>
                <w:u w:val="single"/>
                <w:lang w:val="ro-RO"/>
              </w:rPr>
              <w:t>Pentru uz profesional specializat</w:t>
            </w:r>
            <w:r w:rsidRPr="002305E6">
              <w:rPr>
                <w:lang w:val="ro-RO"/>
              </w:rPr>
              <w:t>: Produs de momeală de 20g .</w:t>
            </w:r>
          </w:p>
          <w:p w:rsidR="00D46C2A" w:rsidRPr="002305E6" w:rsidRDefault="00D46C2A" w:rsidP="002305E6">
            <w:pPr>
              <w:pStyle w:val="NoSpacing"/>
              <w:rPr>
                <w:lang w:val="ro-RO"/>
              </w:rPr>
            </w:pPr>
            <w:r w:rsidRPr="002305E6">
              <w:rPr>
                <w:lang w:val="ro-RO"/>
              </w:rPr>
              <w:t>Dimensiunea minimă a pachetului de 1,5 kg până la maxim 25 kg.</w:t>
            </w:r>
          </w:p>
          <w:p w:rsidR="00D46C2A" w:rsidRPr="002305E6" w:rsidRDefault="00D46C2A" w:rsidP="002305E6">
            <w:pPr>
              <w:pStyle w:val="NoSpacing"/>
              <w:rPr>
                <w:lang w:val="ro-RO"/>
              </w:rPr>
            </w:pPr>
            <w:r w:rsidRPr="002305E6">
              <w:rPr>
                <w:lang w:val="ro-RO"/>
              </w:rPr>
              <w:t>Dacă este cazul, ambalajul este limitat la pungi ambalate separat, cu o cantitate maximă de 10 kg.</w:t>
            </w:r>
          </w:p>
          <w:p w:rsidR="00D46C2A" w:rsidRPr="002305E6" w:rsidRDefault="00D46C2A" w:rsidP="002305E6">
            <w:pPr>
              <w:pStyle w:val="NoSpacing"/>
              <w:numPr>
                <w:ilvl w:val="0"/>
                <w:numId w:val="37"/>
              </w:numPr>
              <w:rPr>
                <w:lang w:val="ro-RO"/>
              </w:rPr>
            </w:pPr>
            <w:r w:rsidRPr="002305E6">
              <w:rPr>
                <w:lang w:val="ro-RO"/>
              </w:rPr>
              <w:t>Flacon etichetat sau tipărit de la 1,5 kg pana la 5 kg.</w:t>
            </w:r>
          </w:p>
          <w:p w:rsidR="00D46C2A" w:rsidRPr="002305E6" w:rsidRDefault="00D46C2A" w:rsidP="002305E6">
            <w:pPr>
              <w:pStyle w:val="NoSpacing"/>
              <w:numPr>
                <w:ilvl w:val="0"/>
                <w:numId w:val="37"/>
              </w:numPr>
              <w:rPr>
                <w:lang w:val="ro-RO"/>
              </w:rPr>
            </w:pPr>
            <w:r w:rsidRPr="002305E6">
              <w:rPr>
                <w:lang w:val="ro-RO"/>
              </w:rPr>
              <w:t>Cutie sau sac tipărită sau imprimată de la 1,5 kg la 25 kg.</w:t>
            </w:r>
          </w:p>
          <w:p w:rsidR="00D46C2A" w:rsidRPr="002305E6" w:rsidRDefault="00D46C2A" w:rsidP="002305E6">
            <w:pPr>
              <w:pStyle w:val="NoSpacing"/>
              <w:numPr>
                <w:ilvl w:val="0"/>
                <w:numId w:val="37"/>
              </w:numPr>
              <w:rPr>
                <w:lang w:val="ro-RO"/>
              </w:rPr>
            </w:pPr>
            <w:r w:rsidRPr="002305E6">
              <w:rPr>
                <w:lang w:val="ro-RO"/>
              </w:rPr>
              <w:t>Cutie / sac tipărită sau imprimată - cu căptușeală interioară din material plastic</w:t>
            </w:r>
            <w:r w:rsidRPr="002305E6">
              <w:t xml:space="preserve"> </w:t>
            </w:r>
            <w:r w:rsidRPr="002305E6">
              <w:rPr>
                <w:lang w:val="ro-RO"/>
              </w:rPr>
              <w:t>de la 1,5 kg - până la 10 kg - înveliș interior maxim de 10 kg.</w:t>
            </w:r>
          </w:p>
          <w:p w:rsidR="00D46C2A" w:rsidRPr="002305E6" w:rsidRDefault="00D46C2A" w:rsidP="002305E6">
            <w:pPr>
              <w:pStyle w:val="NoSpacing"/>
              <w:numPr>
                <w:ilvl w:val="0"/>
                <w:numId w:val="37"/>
              </w:numPr>
              <w:rPr>
                <w:lang w:val="ro-RO"/>
              </w:rPr>
            </w:pPr>
            <w:r w:rsidRPr="002305E6">
              <w:rPr>
                <w:lang w:val="ro-RO"/>
              </w:rPr>
              <w:t>Galeata de plastic cu etichetă de la 1,5 kg la 25 kg.</w:t>
            </w:r>
          </w:p>
          <w:p w:rsidR="00D46C2A" w:rsidRPr="002305E6" w:rsidRDefault="00D46C2A" w:rsidP="002305E6">
            <w:pPr>
              <w:pStyle w:val="NoSpacing"/>
              <w:numPr>
                <w:ilvl w:val="0"/>
                <w:numId w:val="37"/>
              </w:numPr>
              <w:rPr>
                <w:lang w:val="ro-RO"/>
              </w:rPr>
            </w:pPr>
            <w:r w:rsidRPr="002305E6">
              <w:rPr>
                <w:lang w:val="ro-RO"/>
              </w:rPr>
              <w:t>Galeata de plastic cu etichetă - cu căptușeală interioară din plastic de la 1,5 la 10 kg - dimensiune maximă a căptușelii interioare de 10 kg.</w:t>
            </w:r>
          </w:p>
          <w:p w:rsidR="00D46C2A" w:rsidRPr="002305E6" w:rsidRDefault="00D46C2A" w:rsidP="002305E6">
            <w:pPr>
              <w:pStyle w:val="NoSpacing"/>
              <w:numPr>
                <w:ilvl w:val="0"/>
                <w:numId w:val="37"/>
              </w:numPr>
              <w:rPr>
                <w:lang w:val="ro-RO"/>
              </w:rPr>
            </w:pPr>
            <w:r w:rsidRPr="002305E6">
              <w:rPr>
                <w:lang w:val="ro-RO"/>
              </w:rPr>
              <w:t>Cutie de carton sigilată sau tipărită cu căptușeală interioară din plastic de la 1,5 la 10 kg cu pungi de plastic in interior de până la 10 kg fiecare.</w:t>
            </w:r>
          </w:p>
          <w:p w:rsidR="00A33127" w:rsidRPr="002305E6" w:rsidRDefault="00D46C2A" w:rsidP="002305E6">
            <w:pPr>
              <w:pStyle w:val="NoSpacing"/>
              <w:numPr>
                <w:ilvl w:val="0"/>
                <w:numId w:val="37"/>
              </w:numPr>
              <w:rPr>
                <w:lang w:val="ro-RO"/>
              </w:rPr>
            </w:pPr>
            <w:r w:rsidRPr="002305E6">
              <w:rPr>
                <w:lang w:val="ro-RO"/>
              </w:rPr>
              <w:t>Cutie de carton etichetat sau imprimat cu garnitură interioară din plastic 1,5-10 kg pungi de plastic unice interioare de până la 10 kg fiecare.</w:t>
            </w:r>
          </w:p>
          <w:p w:rsidR="00D46C2A" w:rsidRPr="002305E6" w:rsidRDefault="00D46C2A" w:rsidP="002305E6">
            <w:pPr>
              <w:pStyle w:val="NoSpacing"/>
              <w:rPr>
                <w:lang w:val="ro-RO"/>
              </w:rPr>
            </w:pPr>
            <w:r w:rsidRPr="002305E6">
              <w:rPr>
                <w:lang w:val="ro-RO"/>
              </w:rPr>
              <w:t>Materialul de ambalare: plastic compozit (triplu strat (polyester/ PET met/polyethylene)), carton.</w:t>
            </w:r>
          </w:p>
          <w:p w:rsidR="00D46C2A" w:rsidRPr="002305E6" w:rsidRDefault="00D46C2A" w:rsidP="002305E6">
            <w:pPr>
              <w:pStyle w:val="NoSpacing"/>
              <w:rPr>
                <w:lang w:val="ro-RO"/>
              </w:rPr>
            </w:pPr>
            <w:r w:rsidRPr="002305E6">
              <w:rPr>
                <w:lang w:val="ro-RO"/>
              </w:rPr>
              <w:t xml:space="preserve">Tip de ambalaj: flacon sigilat, etichetat sau tiparit, cutie / sac tipărită sau imprimată - cu căptușeală interioară din material plastic, pungi prefabricate sau pungi de producție în serie termoizolate, </w:t>
            </w:r>
            <w:r w:rsidRPr="002305E6">
              <w:rPr>
                <w:lang w:val="ro-RO"/>
              </w:rPr>
              <w:lastRenderedPageBreak/>
              <w:t xml:space="preserve">galeata de plastic cu etichetă, găleata din material plastic (HDPE), galeti dreptunghiulare sau conic sigilate, galeata din plastic etichetata - cu căptușeală interioară din plastic, cutie de carton sigilată sau tipărită cu căptușeală interioară din plastic, cutie de carton etichetat sau imprimat cu garnitură interioară din plastic, carton prefabricat.  </w:t>
            </w:r>
          </w:p>
        </w:tc>
      </w:tr>
    </w:tbl>
    <w:p w:rsidR="00FF3D0E" w:rsidRPr="002305E6" w:rsidRDefault="00FF3D0E" w:rsidP="002305E6">
      <w:pPr>
        <w:pStyle w:val="NoSpacing"/>
        <w:rPr>
          <w:b/>
          <w:lang w:val="ro-RO"/>
        </w:rPr>
      </w:pPr>
    </w:p>
    <w:p w:rsidR="00B66405" w:rsidRPr="002305E6" w:rsidRDefault="00B66405" w:rsidP="002305E6">
      <w:pPr>
        <w:pStyle w:val="NoSpacing"/>
        <w:rPr>
          <w:b/>
          <w:lang w:val="ro-RO"/>
        </w:rPr>
      </w:pPr>
      <w:r w:rsidRPr="002305E6">
        <w:rPr>
          <w:b/>
          <w:lang w:val="ro-RO"/>
        </w:rPr>
        <w:t xml:space="preserve">XII. POSIBILE EFECTE ADVERSE </w:t>
      </w:r>
      <w:r w:rsidR="00B03652" w:rsidRPr="002305E6">
        <w:rPr>
          <w:b/>
          <w:lang w:val="ro-RO"/>
        </w:rPr>
        <w:t xml:space="preserve"> </w:t>
      </w:r>
      <w:r w:rsidRPr="002305E6">
        <w:rPr>
          <w:b/>
          <w:lang w:val="ro-RO"/>
        </w:rPr>
        <w:t xml:space="preserve">DIRECTE </w:t>
      </w:r>
      <w:r w:rsidR="00B03652" w:rsidRPr="002305E6">
        <w:rPr>
          <w:b/>
          <w:lang w:val="ro-RO"/>
        </w:rPr>
        <w:t xml:space="preserve"> </w:t>
      </w:r>
      <w:r w:rsidRPr="002305E6">
        <w:rPr>
          <w:b/>
          <w:lang w:val="ro-RO"/>
        </w:rPr>
        <w:t xml:space="preserve">SAU </w:t>
      </w:r>
      <w:r w:rsidR="00B03652" w:rsidRPr="002305E6">
        <w:rPr>
          <w:b/>
          <w:lang w:val="ro-RO"/>
        </w:rPr>
        <w:t xml:space="preserve"> </w:t>
      </w:r>
      <w:r w:rsidRPr="002305E6">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305E6" w:rsidTr="006B235A">
        <w:tc>
          <w:tcPr>
            <w:tcW w:w="9923" w:type="dxa"/>
          </w:tcPr>
          <w:p w:rsidR="00B46210" w:rsidRPr="002305E6" w:rsidRDefault="00B66405" w:rsidP="002305E6">
            <w:pPr>
              <w:pStyle w:val="NoSpacing"/>
            </w:pPr>
            <w:r w:rsidRPr="002305E6">
              <w:rPr>
                <w:u w:val="single"/>
                <w:lang w:val="ro-RO"/>
              </w:rPr>
              <w:t>Asupra sănăt</w:t>
            </w:r>
            <w:r w:rsidR="003711FA" w:rsidRPr="002305E6">
              <w:rPr>
                <w:u w:val="single"/>
                <w:lang w:val="ro-RO"/>
              </w:rPr>
              <w:t>ăt</w:t>
            </w:r>
            <w:r w:rsidRPr="002305E6">
              <w:rPr>
                <w:u w:val="single"/>
                <w:lang w:val="ro-RO"/>
              </w:rPr>
              <w:t>ii umane</w:t>
            </w:r>
            <w:r w:rsidR="00A616BE" w:rsidRPr="002305E6">
              <w:rPr>
                <w:lang w:val="ro-RO"/>
              </w:rPr>
              <w:t xml:space="preserve">: </w:t>
            </w:r>
            <w:r w:rsidR="00B46210" w:rsidRPr="002305E6">
              <w:t xml:space="preserve">Brodifacumul este un rodenticid anticoagulant de a doua generație, ca și alți derivați de cumarină, un antagonist al vitaminei K, stopând mecanismele normale de coagulare a sângelui, rezultând sângerări interne și moarte profundă. </w:t>
            </w:r>
          </w:p>
          <w:p w:rsidR="00B46210" w:rsidRPr="002305E6" w:rsidRDefault="00B46210" w:rsidP="002305E6">
            <w:pPr>
              <w:pStyle w:val="NoSpacing"/>
            </w:pPr>
            <w:r w:rsidRPr="002305E6">
              <w:t xml:space="preserve">Nociv în caz de contact cu pielea, poate fi absorbit și poate provoca hemoragie internă. </w:t>
            </w:r>
          </w:p>
          <w:p w:rsidR="00B46210" w:rsidRPr="002305E6" w:rsidRDefault="00B46210" w:rsidP="002305E6">
            <w:pPr>
              <w:pStyle w:val="NoSpacing"/>
            </w:pPr>
            <w:r w:rsidRPr="002305E6">
              <w:t xml:space="preserve">Nociv dacă este ingerat; există un risc grav de hemoragie internă. </w:t>
            </w:r>
          </w:p>
          <w:p w:rsidR="00B46210" w:rsidRPr="002305E6" w:rsidRDefault="00B46210" w:rsidP="002305E6">
            <w:pPr>
              <w:pStyle w:val="NoSpacing"/>
            </w:pPr>
            <w:r w:rsidRPr="002305E6">
              <w:t xml:space="preserve">Letal dacă este ingerat; există un risc serios de hemoragie internă. </w:t>
            </w:r>
          </w:p>
          <w:p w:rsidR="00B66405" w:rsidRPr="002305E6" w:rsidRDefault="00B46210" w:rsidP="002305E6">
            <w:pPr>
              <w:pStyle w:val="NoSpacing"/>
              <w:rPr>
                <w:lang w:val="ro-RO"/>
              </w:rPr>
            </w:pPr>
            <w:r w:rsidRPr="002305E6">
              <w:t>Simptomele pot fi asociate cu o tendință crescută de sângerare.</w:t>
            </w:r>
          </w:p>
        </w:tc>
      </w:tr>
      <w:tr w:rsidR="00B66405" w:rsidRPr="002305E6" w:rsidTr="006B235A">
        <w:tc>
          <w:tcPr>
            <w:tcW w:w="9923" w:type="dxa"/>
          </w:tcPr>
          <w:p w:rsidR="00D46C2A" w:rsidRPr="002305E6" w:rsidRDefault="00B66405" w:rsidP="002305E6">
            <w:pPr>
              <w:pStyle w:val="NoSpacing"/>
              <w:rPr>
                <w:b/>
                <w:lang w:val="fr-CA"/>
              </w:rPr>
            </w:pPr>
            <w:r w:rsidRPr="002305E6">
              <w:rPr>
                <w:u w:val="single"/>
                <w:lang w:val="ro-RO"/>
              </w:rPr>
              <w:t>Asupra sănăt</w:t>
            </w:r>
            <w:r w:rsidR="00DE5738" w:rsidRPr="002305E6">
              <w:rPr>
                <w:u w:val="single"/>
                <w:lang w:val="ro-RO"/>
              </w:rPr>
              <w:t>ăt</w:t>
            </w:r>
            <w:r w:rsidRPr="002305E6">
              <w:rPr>
                <w:u w:val="single"/>
                <w:lang w:val="ro-RO"/>
              </w:rPr>
              <w:t>ii animalelor</w:t>
            </w:r>
            <w:r w:rsidRPr="002305E6">
              <w:rPr>
                <w:i/>
                <w:u w:val="single"/>
                <w:lang w:val="ro-RO"/>
              </w:rPr>
              <w:t xml:space="preserve"> </w:t>
            </w:r>
            <w:r w:rsidR="00D46C2A" w:rsidRPr="002305E6">
              <w:rPr>
                <w:lang w:val="fr-CA"/>
              </w:rPr>
              <w:t>Identificarea pericolelor:</w:t>
            </w:r>
          </w:p>
          <w:p w:rsidR="00D46C2A" w:rsidRPr="002305E6" w:rsidRDefault="00D46C2A" w:rsidP="002305E6">
            <w:pPr>
              <w:pStyle w:val="NoSpacing"/>
              <w:rPr>
                <w:lang w:val="fr-CA"/>
              </w:rPr>
            </w:pPr>
            <w:bookmarkStart w:id="6" w:name="_Hlk529452581"/>
            <w:r w:rsidRPr="002305E6">
              <w:rPr>
                <w:lang w:val="fr-CA"/>
              </w:rPr>
              <w:t>PERICULOS PENTRU FAUNA SĂLBATICĂ.</w:t>
            </w:r>
          </w:p>
          <w:p w:rsidR="00D46C2A" w:rsidRPr="002305E6" w:rsidRDefault="00D46C2A" w:rsidP="002305E6">
            <w:pPr>
              <w:pStyle w:val="NoSpacing"/>
              <w:rPr>
                <w:lang w:val="fr-CA"/>
              </w:rPr>
            </w:pPr>
            <w:r w:rsidRPr="002305E6">
              <w:rPr>
                <w:lang w:val="fr-CA"/>
              </w:rPr>
              <w:t xml:space="preserve">Din cauza modalității de acțiune întârziată, rodenticidele anticoagulante necesită 4 până la 10 zile de la administrarea momelii pentru a fi eficiente. </w:t>
            </w:r>
          </w:p>
          <w:p w:rsidR="00D46C2A" w:rsidRPr="002305E6" w:rsidRDefault="00D46C2A" w:rsidP="002305E6">
            <w:pPr>
              <w:pStyle w:val="NoSpacing"/>
              <w:rPr>
                <w:lang w:val="fr-CA"/>
              </w:rPr>
            </w:pPr>
            <w:r w:rsidRPr="002305E6">
              <w:rPr>
                <w:lang w:val="fr-CA"/>
              </w:rPr>
              <w:t>Rozătoarele sunt purtătoare de boli. De aceea, nu se recomandă atingerea rozătoarelor decedate cu mâinile neprotejate, se vor utiliza mănuși de protecție sau instrumente, precum cleștii.</w:t>
            </w:r>
          </w:p>
          <w:p w:rsidR="00D46C2A" w:rsidRPr="002305E6" w:rsidRDefault="00D46C2A" w:rsidP="002305E6">
            <w:pPr>
              <w:pStyle w:val="NoSpacing"/>
              <w:rPr>
                <w:lang w:val="fr-CA"/>
              </w:rPr>
            </w:pPr>
            <w:r w:rsidRPr="002305E6">
              <w:rPr>
                <w:lang w:val="fr-CA"/>
              </w:rPr>
              <w:t>Acest produs conține o substanță anticoagulantă. Prin ingerare, simptomele, care pot apărea ulterior, pot include sângerarea nazală sau a gingiilor. În cazuri grave, se pot manifesta hematoame și prezența de sânge în fecale și urină.</w:t>
            </w:r>
          </w:p>
          <w:p w:rsidR="00D46C2A" w:rsidRPr="002305E6" w:rsidRDefault="00D46C2A" w:rsidP="002305E6">
            <w:pPr>
              <w:pStyle w:val="NoSpacing"/>
              <w:rPr>
                <w:lang w:val="fr-CA"/>
              </w:rPr>
            </w:pPr>
            <w:r w:rsidRPr="002305E6">
              <w:rPr>
                <w:lang w:val="fr-CA"/>
              </w:rPr>
              <w:t>Antidot: Vitamina K1 administrată numai de personal medical / veterinar.</w:t>
            </w:r>
          </w:p>
          <w:p w:rsidR="00DE5738" w:rsidRPr="002305E6" w:rsidRDefault="00D46C2A" w:rsidP="002305E6">
            <w:pPr>
              <w:pStyle w:val="NoSpacing"/>
              <w:rPr>
                <w:lang w:val="fr-CA"/>
              </w:rPr>
            </w:pPr>
            <w:r w:rsidRPr="002305E6">
              <w:rPr>
                <w:lang w:val="fr-CA"/>
              </w:rPr>
              <w:t>La expunerea orală, nu se provoaca vărsături. În caz de înghițire, se consulta imediat medicul și arătați recipientul sau eticheta produsului. Se contacteaza un medic veterinar în caz de ingestie de către un animal de companie.</w:t>
            </w:r>
            <w:bookmarkEnd w:id="6"/>
          </w:p>
        </w:tc>
      </w:tr>
      <w:tr w:rsidR="00B66405" w:rsidRPr="002305E6" w:rsidTr="006B235A">
        <w:tc>
          <w:tcPr>
            <w:tcW w:w="9923" w:type="dxa"/>
          </w:tcPr>
          <w:p w:rsidR="00E57330" w:rsidRPr="002305E6" w:rsidRDefault="00B66405" w:rsidP="002305E6">
            <w:pPr>
              <w:pStyle w:val="NoSpacing"/>
              <w:rPr>
                <w:lang w:val="ro-RO"/>
              </w:rPr>
            </w:pPr>
            <w:r w:rsidRPr="002305E6">
              <w:rPr>
                <w:u w:val="single"/>
                <w:lang w:val="ro-RO"/>
              </w:rPr>
              <w:t>Asupra mediului</w:t>
            </w:r>
            <w:r w:rsidR="00400263" w:rsidRPr="002305E6">
              <w:rPr>
                <w:lang w:val="ro-RO"/>
              </w:rPr>
              <w:t xml:space="preserve">: </w:t>
            </w:r>
            <w:r w:rsidR="00E57330" w:rsidRPr="002305E6">
              <w:rPr>
                <w:u w:val="single"/>
                <w:lang w:val="ro-RO"/>
              </w:rPr>
              <w:t>Sol</w:t>
            </w:r>
            <w:r w:rsidR="00E57330" w:rsidRPr="002305E6">
              <w:rPr>
                <w:lang w:val="ro-RO"/>
              </w:rPr>
              <w:t>: Trebuie evitata cat mai mult expunerea solului la produsul formulat precum si evitarea patrunderii in sol, tinand cont de proprietatile PBT  ale brodifacoumului.Pe baza informatiilor disponibile nu este de asteptat ca produsul sa induca efecte adverse in mediu cand este utilizat conform instructiunilor.</w:t>
            </w:r>
          </w:p>
          <w:p w:rsidR="00E57330" w:rsidRPr="002305E6" w:rsidRDefault="00E57330" w:rsidP="002305E6">
            <w:pPr>
              <w:pStyle w:val="NoSpacing"/>
              <w:rPr>
                <w:lang w:val="ro-RO"/>
              </w:rPr>
            </w:pPr>
            <w:r w:rsidRPr="002305E6">
              <w:rPr>
                <w:u w:val="single"/>
                <w:lang w:val="ro-RO"/>
              </w:rPr>
              <w:t>Apa</w:t>
            </w:r>
            <w:r w:rsidRPr="002305E6">
              <w:rPr>
                <w:lang w:val="ro-RO"/>
              </w:rPr>
              <w:t xml:space="preserve"> : Substanta activa indeplineste criteriile de PBT ; este persistenta in apa, cu tendinte de bioacumulare in organisme si foarte toxica .</w:t>
            </w:r>
          </w:p>
          <w:p w:rsidR="00E57330" w:rsidRPr="002305E6" w:rsidRDefault="00E57330" w:rsidP="002305E6">
            <w:pPr>
              <w:pStyle w:val="NoSpacing"/>
              <w:rPr>
                <w:lang w:val="ro-RO"/>
              </w:rPr>
            </w:pPr>
            <w:r w:rsidRPr="002305E6">
              <w:rPr>
                <w:u w:val="single"/>
                <w:lang w:val="ro-RO"/>
              </w:rPr>
              <w:t>Aer</w:t>
            </w:r>
            <w:r w:rsidRPr="002305E6">
              <w:rPr>
                <w:lang w:val="ro-RO"/>
              </w:rPr>
              <w:t>: Nu este de asteptat sa rezulte pierderi, acumulari de substanta activa in aer in timpul utilizarii.</w:t>
            </w:r>
          </w:p>
          <w:p w:rsidR="00E57330" w:rsidRPr="002305E6" w:rsidRDefault="00E57330" w:rsidP="002305E6">
            <w:pPr>
              <w:pStyle w:val="NoSpacing"/>
              <w:rPr>
                <w:lang w:val="ro-RO"/>
              </w:rPr>
            </w:pPr>
            <w:r w:rsidRPr="002305E6">
              <w:rPr>
                <w:u w:val="single"/>
                <w:lang w:val="ro-RO"/>
              </w:rPr>
              <w:t>Organismele acvatice</w:t>
            </w:r>
            <w:r w:rsidRPr="002305E6">
              <w:rPr>
                <w:lang w:val="ro-RO"/>
              </w:rPr>
              <w:t xml:space="preserve"> : Produsul prezinta un risc acceptabil pentru organismele acvatice .</w:t>
            </w:r>
          </w:p>
          <w:p w:rsidR="00E57330" w:rsidRPr="002305E6" w:rsidRDefault="00E57330" w:rsidP="002305E6">
            <w:pPr>
              <w:pStyle w:val="NoSpacing"/>
              <w:rPr>
                <w:lang w:val="ro-RO"/>
              </w:rPr>
            </w:pPr>
            <w:r w:rsidRPr="002305E6">
              <w:rPr>
                <w:u w:val="single"/>
                <w:lang w:val="ro-RO"/>
              </w:rPr>
              <w:t>Alte organisme netinta</w:t>
            </w:r>
            <w:r w:rsidRPr="002305E6">
              <w:rPr>
                <w:lang w:val="ro-RO"/>
              </w:rPr>
              <w:t xml:space="preserve"> : Produsul nu prezinta risc neacceptabil pentru organismele din mediul terestru. Fara efecte semnificative asupra proceselor de respiratie/nitrificare din sol.</w:t>
            </w:r>
          </w:p>
          <w:p w:rsidR="00E57330" w:rsidRPr="002305E6" w:rsidRDefault="00E57330" w:rsidP="002305E6">
            <w:pPr>
              <w:pStyle w:val="NoSpacing"/>
              <w:rPr>
                <w:lang w:val="ro-RO"/>
              </w:rPr>
            </w:pPr>
            <w:r w:rsidRPr="002305E6">
              <w:rPr>
                <w:lang w:val="ro-RO"/>
              </w:rPr>
              <w:t>Produsul nu prezinta risc neacceptabil pentru organismele din mediul terestru. Fara efecte semnificative asupra proceselor de respiratie/nitrificare din sol.</w:t>
            </w:r>
          </w:p>
          <w:p w:rsidR="00076880" w:rsidRPr="002305E6" w:rsidRDefault="00E57330" w:rsidP="002305E6">
            <w:pPr>
              <w:pStyle w:val="NoSpacing"/>
              <w:rPr>
                <w:lang w:val="ro-RO"/>
              </w:rPr>
            </w:pPr>
            <w:r w:rsidRPr="002305E6">
              <w:rPr>
                <w:lang w:val="ro-RO"/>
              </w:rPr>
              <w:t>Produsul nu prezinta risc neacceptabil pentru organismele din mediul terestru. Fara efecte semnificative asupra proceselor de respiratie/nitrificare din sol.</w:t>
            </w:r>
          </w:p>
        </w:tc>
      </w:tr>
    </w:tbl>
    <w:p w:rsidR="00FF3D0E" w:rsidRDefault="00FF3D0E" w:rsidP="002305E6">
      <w:pPr>
        <w:pStyle w:val="NoSpacing"/>
        <w:rPr>
          <w:b/>
          <w:lang w:val="ro-RO"/>
        </w:rPr>
      </w:pPr>
    </w:p>
    <w:p w:rsidR="002305E6" w:rsidRPr="002305E6" w:rsidRDefault="002305E6" w:rsidP="002305E6">
      <w:pPr>
        <w:pStyle w:val="NoSpacing"/>
        <w:rPr>
          <w:b/>
          <w:lang w:val="ro-RO"/>
        </w:rPr>
      </w:pPr>
    </w:p>
    <w:p w:rsidR="00B66405" w:rsidRPr="002305E6" w:rsidRDefault="00B66405" w:rsidP="002305E6">
      <w:pPr>
        <w:pStyle w:val="NoSpacing"/>
        <w:rPr>
          <w:b/>
          <w:lang w:val="ro-RO"/>
        </w:rPr>
      </w:pPr>
      <w:r w:rsidRPr="002305E6">
        <w:rPr>
          <w:b/>
          <w:lang w:val="ro-RO"/>
        </w:rPr>
        <w:lastRenderedPageBreak/>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1701"/>
        <w:gridCol w:w="2126"/>
        <w:gridCol w:w="2320"/>
      </w:tblGrid>
      <w:tr w:rsidR="0051661B" w:rsidRPr="002305E6" w:rsidTr="00925338">
        <w:tc>
          <w:tcPr>
            <w:tcW w:w="1418" w:type="dxa"/>
            <w:shd w:val="clear" w:color="auto" w:fill="auto"/>
          </w:tcPr>
          <w:p w:rsidR="0051661B" w:rsidRPr="002305E6" w:rsidRDefault="0051661B" w:rsidP="002305E6">
            <w:pPr>
              <w:rPr>
                <w:lang w:val="ro-RO"/>
              </w:rPr>
            </w:pPr>
            <w:r w:rsidRPr="002305E6">
              <w:rPr>
                <w:color w:val="000000"/>
                <w:lang w:val="ro-RO"/>
              </w:rPr>
              <w:t>Activitatea</w:t>
            </w:r>
          </w:p>
        </w:tc>
        <w:tc>
          <w:tcPr>
            <w:tcW w:w="2410" w:type="dxa"/>
            <w:shd w:val="clear" w:color="auto" w:fill="auto"/>
          </w:tcPr>
          <w:p w:rsidR="0051661B" w:rsidRPr="002305E6" w:rsidRDefault="0051661B" w:rsidP="002305E6">
            <w:pPr>
              <w:rPr>
                <w:lang w:val="ro-RO"/>
              </w:rPr>
            </w:pPr>
            <w:r w:rsidRPr="002305E6">
              <w:rPr>
                <w:color w:val="000000"/>
                <w:lang w:val="ro-RO"/>
              </w:rPr>
              <w:t>Metoda de testare / Protocolul de testare</w:t>
            </w:r>
          </w:p>
        </w:tc>
        <w:tc>
          <w:tcPr>
            <w:tcW w:w="1701" w:type="dxa"/>
            <w:shd w:val="clear" w:color="auto" w:fill="auto"/>
          </w:tcPr>
          <w:p w:rsidR="0051661B" w:rsidRPr="002305E6" w:rsidRDefault="0051661B" w:rsidP="002305E6">
            <w:pPr>
              <w:rPr>
                <w:lang w:val="ro-RO"/>
              </w:rPr>
            </w:pPr>
            <w:r w:rsidRPr="002305E6">
              <w:rPr>
                <w:color w:val="000000"/>
                <w:lang w:val="ro-RO"/>
              </w:rPr>
              <w:t>Specia/Tulpina</w:t>
            </w:r>
          </w:p>
        </w:tc>
        <w:tc>
          <w:tcPr>
            <w:tcW w:w="2126" w:type="dxa"/>
            <w:shd w:val="clear" w:color="auto" w:fill="auto"/>
          </w:tcPr>
          <w:p w:rsidR="0051661B" w:rsidRPr="002305E6" w:rsidRDefault="0051661B" w:rsidP="002305E6">
            <w:pPr>
              <w:rPr>
                <w:lang w:val="ro-RO"/>
              </w:rPr>
            </w:pPr>
            <w:r w:rsidRPr="002305E6">
              <w:rPr>
                <w:color w:val="000000"/>
                <w:lang w:val="ro-RO"/>
              </w:rPr>
              <w:t>Concentraţii</w:t>
            </w:r>
          </w:p>
        </w:tc>
        <w:tc>
          <w:tcPr>
            <w:tcW w:w="2320" w:type="dxa"/>
            <w:shd w:val="clear" w:color="auto" w:fill="auto"/>
          </w:tcPr>
          <w:p w:rsidR="0051661B" w:rsidRPr="002305E6" w:rsidRDefault="0051661B" w:rsidP="002305E6">
            <w:pPr>
              <w:rPr>
                <w:lang w:val="ro-RO"/>
              </w:rPr>
            </w:pPr>
            <w:r w:rsidRPr="002305E6">
              <w:rPr>
                <w:color w:val="000000"/>
                <w:lang w:val="ro-RO"/>
              </w:rPr>
              <w:t>Timpi de acţiune</w:t>
            </w:r>
          </w:p>
        </w:tc>
      </w:tr>
      <w:tr w:rsidR="0051661B" w:rsidRPr="002305E6" w:rsidTr="00925338">
        <w:tc>
          <w:tcPr>
            <w:tcW w:w="1418" w:type="dxa"/>
            <w:shd w:val="clear" w:color="auto" w:fill="auto"/>
          </w:tcPr>
          <w:p w:rsidR="0051661B" w:rsidRPr="002305E6" w:rsidRDefault="0051661B" w:rsidP="002305E6">
            <w:pPr>
              <w:rPr>
                <w:lang w:val="ro-RO"/>
              </w:rPr>
            </w:pPr>
            <w:r w:rsidRPr="002305E6">
              <w:rPr>
                <w:lang w:val="ro-RO"/>
              </w:rPr>
              <w:t xml:space="preserve">produs TP 14 – rodenticid anticoagulant </w:t>
            </w:r>
          </w:p>
        </w:tc>
        <w:tc>
          <w:tcPr>
            <w:tcW w:w="2410" w:type="dxa"/>
            <w:shd w:val="clear" w:color="auto" w:fill="auto"/>
          </w:tcPr>
          <w:p w:rsidR="0051661B" w:rsidRPr="002305E6" w:rsidRDefault="0051661B" w:rsidP="002305E6">
            <w:pPr>
              <w:rPr>
                <w:i/>
                <w:lang w:val="ro-RO"/>
              </w:rPr>
            </w:pPr>
            <w:r w:rsidRPr="002305E6">
              <w:rPr>
                <w:u w:val="single"/>
                <w:lang w:val="ro-RO"/>
              </w:rPr>
              <w:t>Test de laborator</w:t>
            </w:r>
            <w:r w:rsidRPr="002305E6">
              <w:rPr>
                <w:lang w:val="ro-RO"/>
              </w:rPr>
              <w:t xml:space="preserve"> - 4 zile momeală la alegere vs. hrană de bază şi apă </w:t>
            </w:r>
            <w:r w:rsidRPr="002305E6">
              <w:rPr>
                <w:i/>
                <w:lang w:val="ro-RO"/>
              </w:rPr>
              <w:t>ad libitum</w:t>
            </w:r>
          </w:p>
          <w:p w:rsidR="0051661B" w:rsidRPr="002305E6" w:rsidRDefault="0051661B" w:rsidP="002305E6">
            <w:pPr>
              <w:rPr>
                <w:lang w:val="ro-RO"/>
              </w:rPr>
            </w:pPr>
            <w:r w:rsidRPr="002305E6">
              <w:rPr>
                <w:lang w:val="ro-RO"/>
              </w:rPr>
              <w:t>Prescott,2011a VPU-10-062 (Doc IIIB5.10.2/01)</w:t>
            </w:r>
          </w:p>
        </w:tc>
        <w:tc>
          <w:tcPr>
            <w:tcW w:w="1701" w:type="dxa"/>
            <w:shd w:val="clear" w:color="auto" w:fill="auto"/>
          </w:tcPr>
          <w:p w:rsidR="0051661B" w:rsidRPr="002305E6" w:rsidRDefault="0051661B" w:rsidP="002305E6">
            <w:pPr>
              <w:rPr>
                <w:lang w:val="ro-RO"/>
              </w:rPr>
            </w:pPr>
            <w:r w:rsidRPr="002305E6">
              <w:rPr>
                <w:lang w:val="ro-RO"/>
              </w:rPr>
              <w:t>Şobolan cenuşiu</w:t>
            </w:r>
          </w:p>
          <w:p w:rsidR="0051661B" w:rsidRPr="002305E6" w:rsidRDefault="0051661B" w:rsidP="002305E6">
            <w:pPr>
              <w:rPr>
                <w:lang w:val="ro-RO"/>
              </w:rPr>
            </w:pPr>
            <w:r w:rsidRPr="002305E6">
              <w:rPr>
                <w:i/>
                <w:lang w:val="ro-RO"/>
              </w:rPr>
              <w:t>Rattus Norvegicus</w:t>
            </w:r>
          </w:p>
          <w:p w:rsidR="0051661B" w:rsidRPr="002305E6" w:rsidRDefault="0051661B" w:rsidP="002305E6">
            <w:pPr>
              <w:rPr>
                <w:lang w:val="ro-RO"/>
              </w:rPr>
            </w:pPr>
            <w:r w:rsidRPr="002305E6">
              <w:rPr>
                <w:lang w:val="ro-RO"/>
              </w:rPr>
              <w:t xml:space="preserve">   5 f </w:t>
            </w:r>
            <w:r w:rsidRPr="002305E6">
              <w:rPr>
                <w:lang w:val="fr-FR"/>
              </w:rPr>
              <w:t xml:space="preserve">, </w:t>
            </w:r>
            <w:r w:rsidRPr="002305E6">
              <w:rPr>
                <w:lang w:val="ro-RO"/>
              </w:rPr>
              <w:t>5 m</w:t>
            </w:r>
          </w:p>
        </w:tc>
        <w:tc>
          <w:tcPr>
            <w:tcW w:w="2126" w:type="dxa"/>
            <w:shd w:val="clear" w:color="auto" w:fill="auto"/>
          </w:tcPr>
          <w:p w:rsidR="0051661B" w:rsidRPr="002305E6" w:rsidRDefault="0051661B" w:rsidP="002305E6">
            <w:pPr>
              <w:rPr>
                <w:lang w:val="ro-RO"/>
              </w:rPr>
            </w:pPr>
            <w:r w:rsidRPr="002305E6">
              <w:rPr>
                <w:lang w:val="ro-RO"/>
              </w:rPr>
              <w:t xml:space="preserve">Brodifacum 0,005%, momeală pastă gata de utilizare </w:t>
            </w:r>
          </w:p>
          <w:p w:rsidR="0051661B" w:rsidRPr="002305E6" w:rsidRDefault="0051661B" w:rsidP="002305E6">
            <w:pPr>
              <w:rPr>
                <w:lang w:val="ro-RO"/>
              </w:rPr>
            </w:pPr>
            <w:r w:rsidRPr="002305E6">
              <w:rPr>
                <w:lang w:val="ro-RO"/>
              </w:rPr>
              <w:t>Actipasta-Brod</w:t>
            </w:r>
          </w:p>
        </w:tc>
        <w:tc>
          <w:tcPr>
            <w:tcW w:w="2320" w:type="dxa"/>
            <w:shd w:val="clear" w:color="auto" w:fill="auto"/>
          </w:tcPr>
          <w:p w:rsidR="0051661B" w:rsidRPr="002305E6" w:rsidRDefault="0051661B" w:rsidP="002305E6">
            <w:pPr>
              <w:rPr>
                <w:lang w:val="ro-RO"/>
              </w:rPr>
            </w:pPr>
            <w:r w:rsidRPr="002305E6">
              <w:rPr>
                <w:lang w:val="ro-RO"/>
              </w:rPr>
              <w:t xml:space="preserve">Mortalitate 100% - în 5,1zile. </w:t>
            </w:r>
          </w:p>
          <w:p w:rsidR="0051661B" w:rsidRPr="002305E6" w:rsidRDefault="0051661B" w:rsidP="002305E6">
            <w:pPr>
              <w:rPr>
                <w:color w:val="FF0000"/>
                <w:lang w:val="ro-RO"/>
              </w:rPr>
            </w:pPr>
            <w:r w:rsidRPr="002305E6">
              <w:rPr>
                <w:color w:val="000000" w:themeColor="text1"/>
                <w:lang w:val="ro-RO"/>
              </w:rPr>
              <w:t>Palatabilitate 34,0% (≥ 20% )</w:t>
            </w:r>
            <w:r w:rsidRPr="002305E6">
              <w:rPr>
                <w:color w:val="FF0000"/>
                <w:lang w:val="ro-RO"/>
              </w:rPr>
              <w:t xml:space="preserve"> </w:t>
            </w:r>
            <w:r w:rsidRPr="002305E6">
              <w:rPr>
                <w:color w:val="000000" w:themeColor="text1"/>
                <w:lang w:val="ro-RO"/>
              </w:rPr>
              <w:t>În conformitate cu TNsG - CE 2009.</w:t>
            </w:r>
          </w:p>
        </w:tc>
      </w:tr>
      <w:tr w:rsidR="0051661B" w:rsidRPr="002305E6" w:rsidTr="00925338">
        <w:tc>
          <w:tcPr>
            <w:tcW w:w="1418" w:type="dxa"/>
            <w:shd w:val="clear" w:color="auto" w:fill="auto"/>
          </w:tcPr>
          <w:p w:rsidR="0051661B" w:rsidRPr="002305E6" w:rsidRDefault="0051661B" w:rsidP="002305E6">
            <w:pPr>
              <w:rPr>
                <w:lang w:val="ro-RO"/>
              </w:rPr>
            </w:pPr>
            <w:r w:rsidRPr="002305E6">
              <w:rPr>
                <w:lang w:val="ro-RO"/>
              </w:rPr>
              <w:t>rodenticidă</w:t>
            </w:r>
          </w:p>
          <w:p w:rsidR="0051661B" w:rsidRPr="002305E6" w:rsidRDefault="0051661B" w:rsidP="002305E6">
            <w:pPr>
              <w:rPr>
                <w:lang w:val="ro-RO"/>
              </w:rPr>
            </w:pPr>
          </w:p>
        </w:tc>
        <w:tc>
          <w:tcPr>
            <w:tcW w:w="2410" w:type="dxa"/>
            <w:shd w:val="clear" w:color="auto" w:fill="auto"/>
          </w:tcPr>
          <w:p w:rsidR="0051661B" w:rsidRPr="002305E6" w:rsidRDefault="0051661B" w:rsidP="002305E6">
            <w:pPr>
              <w:rPr>
                <w:i/>
                <w:lang w:val="ro-RO"/>
              </w:rPr>
            </w:pPr>
            <w:r w:rsidRPr="002305E6">
              <w:rPr>
                <w:u w:val="single"/>
                <w:lang w:val="ro-RO"/>
              </w:rPr>
              <w:t>Test de laborator</w:t>
            </w:r>
            <w:r w:rsidRPr="002305E6">
              <w:rPr>
                <w:lang w:val="ro-RO"/>
              </w:rPr>
              <w:t xml:space="preserve"> - 4 zile momeala la alegere  vs. hrană de bază şi apă </w:t>
            </w:r>
            <w:r w:rsidRPr="002305E6">
              <w:rPr>
                <w:i/>
                <w:lang w:val="ro-RO"/>
              </w:rPr>
              <w:t>ad libitum</w:t>
            </w:r>
          </w:p>
          <w:p w:rsidR="0051661B" w:rsidRPr="002305E6" w:rsidRDefault="0051661B" w:rsidP="002305E6">
            <w:r w:rsidRPr="002305E6">
              <w:rPr>
                <w:lang w:val="ro-RO"/>
              </w:rPr>
              <w:t>Prescott, 2011b VPU-10-061</w:t>
            </w:r>
            <w:r w:rsidRPr="002305E6">
              <w:t xml:space="preserve"> </w:t>
            </w:r>
            <w:r w:rsidRPr="002305E6">
              <w:rPr>
                <w:lang w:val="ro-RO"/>
              </w:rPr>
              <w:t>(Doc IIIB5.10.2</w:t>
            </w:r>
            <w:r w:rsidRPr="002305E6">
              <w:t>/</w:t>
            </w:r>
            <w:r w:rsidRPr="002305E6">
              <w:rPr>
                <w:lang w:val="ro-RO"/>
              </w:rPr>
              <w:t>02)</w:t>
            </w:r>
          </w:p>
        </w:tc>
        <w:tc>
          <w:tcPr>
            <w:tcW w:w="1701" w:type="dxa"/>
            <w:shd w:val="clear" w:color="auto" w:fill="auto"/>
          </w:tcPr>
          <w:p w:rsidR="0051661B" w:rsidRPr="002305E6" w:rsidRDefault="0051661B" w:rsidP="002305E6">
            <w:pPr>
              <w:rPr>
                <w:lang w:val="ro-RO"/>
              </w:rPr>
            </w:pPr>
            <w:r w:rsidRPr="002305E6">
              <w:rPr>
                <w:lang w:val="ro-RO"/>
              </w:rPr>
              <w:t>Şoarece de casă</w:t>
            </w:r>
          </w:p>
          <w:p w:rsidR="0051661B" w:rsidRPr="002305E6" w:rsidRDefault="0051661B" w:rsidP="002305E6">
            <w:pPr>
              <w:rPr>
                <w:lang w:val="ro-RO"/>
              </w:rPr>
            </w:pPr>
            <w:r w:rsidRPr="002305E6">
              <w:rPr>
                <w:i/>
                <w:lang w:val="ro-RO"/>
              </w:rPr>
              <w:t>Mus musculus</w:t>
            </w:r>
            <w:r w:rsidRPr="002305E6">
              <w:rPr>
                <w:lang w:val="ro-RO"/>
              </w:rPr>
              <w:t xml:space="preserve"> </w:t>
            </w:r>
          </w:p>
          <w:p w:rsidR="0051661B" w:rsidRPr="002305E6" w:rsidRDefault="0051661B" w:rsidP="002305E6">
            <w:pPr>
              <w:rPr>
                <w:lang w:val="ro-RO"/>
              </w:rPr>
            </w:pPr>
            <w:r w:rsidRPr="002305E6">
              <w:rPr>
                <w:lang w:val="ro-RO"/>
              </w:rPr>
              <w:t xml:space="preserve">  5 f </w:t>
            </w:r>
            <w:r w:rsidRPr="002305E6">
              <w:rPr>
                <w:lang w:val="fr-FR"/>
              </w:rPr>
              <w:t xml:space="preserve">, </w:t>
            </w:r>
            <w:r w:rsidRPr="002305E6">
              <w:rPr>
                <w:lang w:val="ro-RO"/>
              </w:rPr>
              <w:t>5 m</w:t>
            </w:r>
          </w:p>
        </w:tc>
        <w:tc>
          <w:tcPr>
            <w:tcW w:w="2126" w:type="dxa"/>
            <w:shd w:val="clear" w:color="auto" w:fill="auto"/>
          </w:tcPr>
          <w:p w:rsidR="0051661B" w:rsidRPr="002305E6" w:rsidRDefault="0051661B" w:rsidP="002305E6">
            <w:pPr>
              <w:rPr>
                <w:lang w:val="ro-RO"/>
              </w:rPr>
            </w:pPr>
            <w:r w:rsidRPr="002305E6">
              <w:rPr>
                <w:lang w:val="ro-RO"/>
              </w:rPr>
              <w:t xml:space="preserve">Brodifacum 0,005%, momeală pastă gata de utilizare </w:t>
            </w:r>
          </w:p>
          <w:p w:rsidR="0051661B" w:rsidRPr="002305E6" w:rsidRDefault="0051661B" w:rsidP="002305E6">
            <w:pPr>
              <w:rPr>
                <w:lang w:val="ro-RO"/>
              </w:rPr>
            </w:pPr>
            <w:r w:rsidRPr="002305E6">
              <w:rPr>
                <w:lang w:val="ro-RO"/>
              </w:rPr>
              <w:t>Actipasta-Brod</w:t>
            </w:r>
          </w:p>
        </w:tc>
        <w:tc>
          <w:tcPr>
            <w:tcW w:w="2320" w:type="dxa"/>
            <w:shd w:val="clear" w:color="auto" w:fill="auto"/>
          </w:tcPr>
          <w:p w:rsidR="0051661B" w:rsidRPr="002305E6" w:rsidRDefault="0051661B" w:rsidP="002305E6">
            <w:pPr>
              <w:rPr>
                <w:lang w:val="ro-RO"/>
              </w:rPr>
            </w:pPr>
            <w:r w:rsidRPr="002305E6">
              <w:rPr>
                <w:lang w:val="ro-RO"/>
              </w:rPr>
              <w:t xml:space="preserve">Mortalitate 100% - în 5,7 zile. </w:t>
            </w:r>
          </w:p>
          <w:p w:rsidR="0051661B" w:rsidRPr="002305E6" w:rsidRDefault="0051661B" w:rsidP="002305E6">
            <w:pPr>
              <w:rPr>
                <w:color w:val="000000" w:themeColor="text1"/>
                <w:lang w:val="ro-RO"/>
              </w:rPr>
            </w:pPr>
            <w:r w:rsidRPr="002305E6">
              <w:rPr>
                <w:color w:val="000000" w:themeColor="text1"/>
                <w:lang w:val="ro-RO"/>
              </w:rPr>
              <w:t>Palatabilitate 67,0% (≥ 20% ) - în conformitate cu TNsG -CE 2009.</w:t>
            </w:r>
          </w:p>
        </w:tc>
      </w:tr>
      <w:tr w:rsidR="0051661B" w:rsidRPr="002305E6" w:rsidTr="00925338">
        <w:tc>
          <w:tcPr>
            <w:tcW w:w="1418" w:type="dxa"/>
            <w:shd w:val="clear" w:color="auto" w:fill="auto"/>
          </w:tcPr>
          <w:p w:rsidR="0051661B" w:rsidRPr="002305E6" w:rsidRDefault="0051661B" w:rsidP="002305E6">
            <w:pPr>
              <w:rPr>
                <w:lang w:val="ro-RO"/>
              </w:rPr>
            </w:pPr>
            <w:r w:rsidRPr="002305E6">
              <w:rPr>
                <w:lang w:val="ro-RO"/>
              </w:rPr>
              <w:t>Rodenticidă</w:t>
            </w:r>
          </w:p>
          <w:p w:rsidR="0051661B" w:rsidRPr="002305E6" w:rsidRDefault="0051661B" w:rsidP="002305E6">
            <w:pPr>
              <w:rPr>
                <w:lang w:val="ro-RO"/>
              </w:rPr>
            </w:pPr>
          </w:p>
        </w:tc>
        <w:tc>
          <w:tcPr>
            <w:tcW w:w="2410" w:type="dxa"/>
            <w:shd w:val="clear" w:color="auto" w:fill="auto"/>
          </w:tcPr>
          <w:p w:rsidR="0051661B" w:rsidRPr="002305E6" w:rsidRDefault="0051661B" w:rsidP="002305E6">
            <w:pPr>
              <w:rPr>
                <w:lang w:val="ro-RO"/>
              </w:rPr>
            </w:pPr>
            <w:r w:rsidRPr="002305E6">
              <w:rPr>
                <w:u w:val="single"/>
                <w:lang w:val="ro-RO"/>
              </w:rPr>
              <w:t>Test de teren</w:t>
            </w:r>
            <w:r w:rsidRPr="002305E6">
              <w:rPr>
                <w:lang w:val="ro-RO"/>
              </w:rPr>
              <w:t xml:space="preserve"> – în fermă;</w:t>
            </w:r>
          </w:p>
          <w:p w:rsidR="0051661B" w:rsidRPr="002305E6" w:rsidRDefault="0051661B" w:rsidP="002305E6">
            <w:pPr>
              <w:rPr>
                <w:u w:val="single"/>
                <w:lang w:val="ro-RO"/>
              </w:rPr>
            </w:pPr>
            <w:r w:rsidRPr="002305E6">
              <w:rPr>
                <w:lang w:val="ro-RO"/>
              </w:rPr>
              <w:t xml:space="preserve">momeala în cutii de </w:t>
            </w:r>
            <w:r w:rsidRPr="002305E6">
              <w:rPr>
                <w:u w:val="single"/>
                <w:lang w:val="ro-RO"/>
              </w:rPr>
              <w:t>intoxicare, 10 zile</w:t>
            </w:r>
          </w:p>
          <w:p w:rsidR="0051661B" w:rsidRPr="002305E6" w:rsidRDefault="0051661B" w:rsidP="002305E6">
            <w:pPr>
              <w:rPr>
                <w:lang w:val="ro-RO"/>
              </w:rPr>
            </w:pPr>
            <w:r w:rsidRPr="002305E6">
              <w:rPr>
                <w:lang w:val="ro-RO"/>
              </w:rPr>
              <w:t>Rovetto, 2011a</w:t>
            </w:r>
          </w:p>
          <w:p w:rsidR="0051661B" w:rsidRPr="002305E6" w:rsidRDefault="0051661B" w:rsidP="002305E6">
            <w:pPr>
              <w:rPr>
                <w:lang w:val="ro-RO"/>
              </w:rPr>
            </w:pPr>
            <w:r w:rsidRPr="002305E6">
              <w:rPr>
                <w:lang w:val="ro-RO"/>
              </w:rPr>
              <w:t>1034.BCD.SAG10</w:t>
            </w:r>
          </w:p>
          <w:p w:rsidR="0051661B" w:rsidRPr="002305E6" w:rsidRDefault="0051661B" w:rsidP="002305E6">
            <w:pPr>
              <w:rPr>
                <w:u w:val="single"/>
                <w:lang w:val="ro-RO"/>
              </w:rPr>
            </w:pPr>
            <w:r w:rsidRPr="002305E6">
              <w:rPr>
                <w:lang w:val="ro-RO"/>
              </w:rPr>
              <w:t>(DocIIIB5.10.2</w:t>
            </w:r>
            <w:r w:rsidRPr="002305E6">
              <w:t>/</w:t>
            </w:r>
            <w:r w:rsidRPr="002305E6">
              <w:rPr>
                <w:lang w:val="ro-RO"/>
              </w:rPr>
              <w:t>03)</w:t>
            </w:r>
          </w:p>
        </w:tc>
        <w:tc>
          <w:tcPr>
            <w:tcW w:w="1701" w:type="dxa"/>
            <w:shd w:val="clear" w:color="auto" w:fill="auto"/>
          </w:tcPr>
          <w:p w:rsidR="0051661B" w:rsidRPr="002305E6" w:rsidRDefault="0051661B" w:rsidP="002305E6">
            <w:pPr>
              <w:rPr>
                <w:lang w:val="ro-RO"/>
              </w:rPr>
            </w:pPr>
            <w:r w:rsidRPr="002305E6">
              <w:rPr>
                <w:lang w:val="ro-RO"/>
              </w:rPr>
              <w:t xml:space="preserve">Şobolan negru </w:t>
            </w:r>
          </w:p>
          <w:p w:rsidR="0051661B" w:rsidRPr="002305E6" w:rsidRDefault="0051661B" w:rsidP="002305E6">
            <w:pPr>
              <w:rPr>
                <w:lang w:val="ro-RO"/>
              </w:rPr>
            </w:pPr>
            <w:r w:rsidRPr="002305E6">
              <w:rPr>
                <w:i/>
                <w:lang w:val="ro-RO"/>
              </w:rPr>
              <w:t>Rattus rattus</w:t>
            </w:r>
          </w:p>
          <w:p w:rsidR="0051661B" w:rsidRPr="002305E6" w:rsidRDefault="0051661B" w:rsidP="002305E6">
            <w:pPr>
              <w:rPr>
                <w:color w:val="000000" w:themeColor="text1"/>
                <w:lang w:val="ro-RO"/>
              </w:rPr>
            </w:pPr>
            <w:r w:rsidRPr="002305E6">
              <w:rPr>
                <w:color w:val="000000" w:themeColor="text1"/>
                <w:lang w:val="ro-RO"/>
              </w:rPr>
              <w:t>specii sălbatice</w:t>
            </w:r>
          </w:p>
          <w:p w:rsidR="0051661B" w:rsidRPr="002305E6" w:rsidRDefault="0051661B" w:rsidP="002305E6">
            <w:pPr>
              <w:rPr>
                <w:lang w:val="ro-RO"/>
              </w:rPr>
            </w:pPr>
          </w:p>
        </w:tc>
        <w:tc>
          <w:tcPr>
            <w:tcW w:w="2126" w:type="dxa"/>
            <w:shd w:val="clear" w:color="auto" w:fill="auto"/>
          </w:tcPr>
          <w:p w:rsidR="0051661B" w:rsidRPr="002305E6" w:rsidRDefault="0051661B" w:rsidP="002305E6">
            <w:pPr>
              <w:rPr>
                <w:lang w:val="ro-RO"/>
              </w:rPr>
            </w:pPr>
            <w:r w:rsidRPr="002305E6">
              <w:rPr>
                <w:lang w:val="ro-RO"/>
              </w:rPr>
              <w:t xml:space="preserve">Brodifacum 0,005%, momeală pastă gata de utilizare </w:t>
            </w:r>
          </w:p>
          <w:p w:rsidR="0051661B" w:rsidRPr="002305E6" w:rsidRDefault="0051661B" w:rsidP="002305E6">
            <w:pPr>
              <w:rPr>
                <w:lang w:val="ro-RO"/>
              </w:rPr>
            </w:pPr>
            <w:r w:rsidRPr="002305E6">
              <w:rPr>
                <w:lang w:val="ro-RO"/>
              </w:rPr>
              <w:t xml:space="preserve">Actipasta-Brod </w:t>
            </w:r>
          </w:p>
        </w:tc>
        <w:tc>
          <w:tcPr>
            <w:tcW w:w="2320" w:type="dxa"/>
            <w:shd w:val="clear" w:color="auto" w:fill="auto"/>
          </w:tcPr>
          <w:p w:rsidR="0051661B" w:rsidRPr="002305E6" w:rsidRDefault="0051661B" w:rsidP="002305E6">
            <w:pPr>
              <w:rPr>
                <w:lang w:val="ro-RO"/>
              </w:rPr>
            </w:pPr>
            <w:r w:rsidRPr="002305E6">
              <w:rPr>
                <w:lang w:val="ro-RO"/>
              </w:rPr>
              <w:t xml:space="preserve">Eficacitate 100% </w:t>
            </w:r>
          </w:p>
          <w:p w:rsidR="0051661B" w:rsidRPr="002305E6" w:rsidRDefault="0051661B" w:rsidP="002305E6">
            <w:pPr>
              <w:rPr>
                <w:lang w:val="ro-RO"/>
              </w:rPr>
            </w:pPr>
          </w:p>
          <w:p w:rsidR="0051661B" w:rsidRPr="002305E6" w:rsidRDefault="0051661B" w:rsidP="002305E6">
            <w:pPr>
              <w:rPr>
                <w:lang w:val="ro-RO"/>
              </w:rPr>
            </w:pPr>
          </w:p>
        </w:tc>
      </w:tr>
      <w:tr w:rsidR="0051661B" w:rsidRPr="002305E6" w:rsidTr="00925338">
        <w:tc>
          <w:tcPr>
            <w:tcW w:w="1418" w:type="dxa"/>
            <w:shd w:val="clear" w:color="auto" w:fill="auto"/>
          </w:tcPr>
          <w:p w:rsidR="0051661B" w:rsidRPr="002305E6" w:rsidRDefault="0051661B" w:rsidP="002305E6">
            <w:pPr>
              <w:rPr>
                <w:lang w:val="ro-RO"/>
              </w:rPr>
            </w:pPr>
            <w:r w:rsidRPr="002305E6">
              <w:rPr>
                <w:lang w:val="ro-RO"/>
              </w:rPr>
              <w:t>Rodenticidă</w:t>
            </w:r>
          </w:p>
          <w:p w:rsidR="0051661B" w:rsidRPr="002305E6" w:rsidRDefault="0051661B" w:rsidP="002305E6">
            <w:pPr>
              <w:rPr>
                <w:lang w:val="ro-RO"/>
              </w:rPr>
            </w:pPr>
          </w:p>
        </w:tc>
        <w:tc>
          <w:tcPr>
            <w:tcW w:w="2410" w:type="dxa"/>
            <w:shd w:val="clear" w:color="auto" w:fill="auto"/>
          </w:tcPr>
          <w:p w:rsidR="0051661B" w:rsidRPr="002305E6" w:rsidRDefault="0051661B" w:rsidP="002305E6">
            <w:pPr>
              <w:rPr>
                <w:lang w:val="ro-RO"/>
              </w:rPr>
            </w:pPr>
            <w:r w:rsidRPr="002305E6">
              <w:rPr>
                <w:u w:val="single"/>
                <w:lang w:val="ro-RO"/>
              </w:rPr>
              <w:t>Test de teren</w:t>
            </w:r>
            <w:r w:rsidRPr="002305E6">
              <w:rPr>
                <w:lang w:val="ro-RO"/>
              </w:rPr>
              <w:t xml:space="preserve"> – în fermă; </w:t>
            </w:r>
          </w:p>
          <w:p w:rsidR="0051661B" w:rsidRPr="002305E6" w:rsidRDefault="0051661B" w:rsidP="002305E6">
            <w:pPr>
              <w:rPr>
                <w:lang w:val="ro-RO"/>
              </w:rPr>
            </w:pPr>
            <w:r w:rsidRPr="002305E6">
              <w:rPr>
                <w:lang w:val="ro-RO"/>
              </w:rPr>
              <w:t xml:space="preserve">momeala în cutii de </w:t>
            </w:r>
            <w:r w:rsidRPr="002305E6">
              <w:rPr>
                <w:u w:val="single"/>
                <w:lang w:val="ro-RO"/>
              </w:rPr>
              <w:t>intoxicare, 9 zile</w:t>
            </w:r>
            <w:r w:rsidRPr="002305E6">
              <w:rPr>
                <w:lang w:val="ro-RO"/>
              </w:rPr>
              <w:t xml:space="preserve">. </w:t>
            </w:r>
          </w:p>
          <w:p w:rsidR="0051661B" w:rsidRPr="002305E6" w:rsidRDefault="0051661B" w:rsidP="002305E6">
            <w:pPr>
              <w:rPr>
                <w:lang w:val="ro-RO"/>
              </w:rPr>
            </w:pPr>
            <w:r w:rsidRPr="002305E6">
              <w:rPr>
                <w:lang w:val="ro-RO"/>
              </w:rPr>
              <w:t>Rovetto, 2011b</w:t>
            </w:r>
          </w:p>
          <w:p w:rsidR="0051661B" w:rsidRPr="002305E6" w:rsidRDefault="0051661B" w:rsidP="002305E6">
            <w:pPr>
              <w:rPr>
                <w:lang w:val="ro-RO"/>
              </w:rPr>
            </w:pPr>
            <w:r w:rsidRPr="002305E6">
              <w:rPr>
                <w:lang w:val="ro-RO"/>
              </w:rPr>
              <w:t>2007.BCD.SAG11</w:t>
            </w:r>
          </w:p>
          <w:p w:rsidR="0051661B" w:rsidRPr="002305E6" w:rsidRDefault="0051661B" w:rsidP="002305E6">
            <w:pPr>
              <w:rPr>
                <w:lang w:val="ro-RO"/>
              </w:rPr>
            </w:pPr>
            <w:r w:rsidRPr="002305E6">
              <w:rPr>
                <w:lang w:val="ro-RO"/>
              </w:rPr>
              <w:t>(DocIIIB5.10.2/04)</w:t>
            </w:r>
          </w:p>
        </w:tc>
        <w:tc>
          <w:tcPr>
            <w:tcW w:w="1701" w:type="dxa"/>
            <w:shd w:val="clear" w:color="auto" w:fill="auto"/>
          </w:tcPr>
          <w:p w:rsidR="0051661B" w:rsidRPr="002305E6" w:rsidRDefault="0051661B" w:rsidP="002305E6">
            <w:pPr>
              <w:rPr>
                <w:lang w:val="ro-RO"/>
              </w:rPr>
            </w:pPr>
            <w:r w:rsidRPr="002305E6">
              <w:rPr>
                <w:lang w:val="ro-RO"/>
              </w:rPr>
              <w:t xml:space="preserve">Şobolan negru </w:t>
            </w:r>
          </w:p>
          <w:p w:rsidR="0051661B" w:rsidRPr="002305E6" w:rsidRDefault="0051661B" w:rsidP="002305E6">
            <w:pPr>
              <w:rPr>
                <w:lang w:val="ro-RO"/>
              </w:rPr>
            </w:pPr>
            <w:r w:rsidRPr="002305E6">
              <w:rPr>
                <w:lang w:val="ro-RO"/>
              </w:rPr>
              <w:t xml:space="preserve"> </w:t>
            </w:r>
            <w:r w:rsidRPr="002305E6">
              <w:rPr>
                <w:i/>
                <w:lang w:val="ro-RO"/>
              </w:rPr>
              <w:t>Rattus rattus</w:t>
            </w:r>
          </w:p>
          <w:p w:rsidR="0051661B" w:rsidRPr="002305E6" w:rsidRDefault="0051661B" w:rsidP="002305E6">
            <w:pPr>
              <w:rPr>
                <w:color w:val="000000" w:themeColor="text1"/>
                <w:lang w:val="ro-RO"/>
              </w:rPr>
            </w:pPr>
            <w:r w:rsidRPr="002305E6">
              <w:rPr>
                <w:color w:val="000000" w:themeColor="text1"/>
                <w:lang w:val="ro-RO"/>
              </w:rPr>
              <w:t>specii sălbatice</w:t>
            </w:r>
          </w:p>
          <w:p w:rsidR="0051661B" w:rsidRPr="002305E6" w:rsidRDefault="0051661B" w:rsidP="002305E6">
            <w:pPr>
              <w:rPr>
                <w:lang w:val="ro-RO"/>
              </w:rPr>
            </w:pPr>
          </w:p>
        </w:tc>
        <w:tc>
          <w:tcPr>
            <w:tcW w:w="2126" w:type="dxa"/>
            <w:shd w:val="clear" w:color="auto" w:fill="auto"/>
          </w:tcPr>
          <w:p w:rsidR="0051661B" w:rsidRPr="002305E6" w:rsidRDefault="0051661B" w:rsidP="002305E6">
            <w:pPr>
              <w:rPr>
                <w:lang w:val="ro-RO"/>
              </w:rPr>
            </w:pPr>
            <w:r w:rsidRPr="002305E6">
              <w:rPr>
                <w:lang w:val="ro-RO"/>
              </w:rPr>
              <w:t xml:space="preserve">Brodifacum 0,005%, momeală pastă, gata preparată (îmbătrânită) Actipasta-Brod </w:t>
            </w:r>
          </w:p>
        </w:tc>
        <w:tc>
          <w:tcPr>
            <w:tcW w:w="2320" w:type="dxa"/>
            <w:shd w:val="clear" w:color="auto" w:fill="auto"/>
          </w:tcPr>
          <w:p w:rsidR="0051661B" w:rsidRPr="002305E6" w:rsidRDefault="0051661B" w:rsidP="002305E6">
            <w:pPr>
              <w:rPr>
                <w:lang w:val="ro-RO"/>
              </w:rPr>
            </w:pPr>
            <w:r w:rsidRPr="002305E6">
              <w:rPr>
                <w:lang w:val="ro-RO"/>
              </w:rPr>
              <w:t>Eficacitate 100%</w:t>
            </w:r>
          </w:p>
        </w:tc>
      </w:tr>
      <w:tr w:rsidR="0051661B" w:rsidRPr="002305E6" w:rsidTr="00925338">
        <w:tc>
          <w:tcPr>
            <w:tcW w:w="1418" w:type="dxa"/>
            <w:shd w:val="clear" w:color="auto" w:fill="auto"/>
          </w:tcPr>
          <w:p w:rsidR="0051661B" w:rsidRPr="002305E6" w:rsidRDefault="0051661B" w:rsidP="002305E6">
            <w:pPr>
              <w:rPr>
                <w:lang w:val="ro-RO"/>
              </w:rPr>
            </w:pPr>
            <w:r w:rsidRPr="002305E6">
              <w:rPr>
                <w:lang w:val="ro-RO"/>
              </w:rPr>
              <w:t>Rodenticidă</w:t>
            </w:r>
          </w:p>
          <w:p w:rsidR="0051661B" w:rsidRPr="002305E6" w:rsidRDefault="0051661B" w:rsidP="002305E6">
            <w:pPr>
              <w:rPr>
                <w:lang w:val="ro-RO"/>
              </w:rPr>
            </w:pPr>
          </w:p>
        </w:tc>
        <w:tc>
          <w:tcPr>
            <w:tcW w:w="2410" w:type="dxa"/>
            <w:shd w:val="clear" w:color="auto" w:fill="auto"/>
          </w:tcPr>
          <w:p w:rsidR="0051661B" w:rsidRPr="002305E6" w:rsidRDefault="0051661B" w:rsidP="002305E6">
            <w:pPr>
              <w:rPr>
                <w:lang w:val="ro-RO"/>
              </w:rPr>
            </w:pPr>
            <w:r w:rsidRPr="002305E6">
              <w:rPr>
                <w:u w:val="single"/>
                <w:lang w:val="ro-RO"/>
              </w:rPr>
              <w:t>Test de teren</w:t>
            </w:r>
            <w:r w:rsidRPr="002305E6">
              <w:rPr>
                <w:lang w:val="ro-RO"/>
              </w:rPr>
              <w:t xml:space="preserve"> – în fermă; </w:t>
            </w:r>
          </w:p>
          <w:p w:rsidR="0051661B" w:rsidRPr="002305E6" w:rsidRDefault="0051661B" w:rsidP="002305E6">
            <w:pPr>
              <w:rPr>
                <w:lang w:val="ro-RO"/>
              </w:rPr>
            </w:pPr>
            <w:r w:rsidRPr="002305E6">
              <w:rPr>
                <w:lang w:val="ro-RO"/>
              </w:rPr>
              <w:t xml:space="preserve">cu momeala în cutii de </w:t>
            </w:r>
            <w:r w:rsidRPr="002305E6">
              <w:rPr>
                <w:u w:val="single"/>
                <w:lang w:val="ro-RO"/>
              </w:rPr>
              <w:t>intoxicare, 12 zile</w:t>
            </w:r>
            <w:r w:rsidRPr="002305E6">
              <w:rPr>
                <w:lang w:val="ro-RO"/>
              </w:rPr>
              <w:t xml:space="preserve">. </w:t>
            </w:r>
          </w:p>
          <w:p w:rsidR="0051661B" w:rsidRPr="002305E6" w:rsidRDefault="0051661B" w:rsidP="002305E6">
            <w:pPr>
              <w:rPr>
                <w:lang w:val="ro-RO"/>
              </w:rPr>
            </w:pPr>
            <w:r w:rsidRPr="002305E6">
              <w:rPr>
                <w:lang w:val="ro-RO"/>
              </w:rPr>
              <w:t>Rovetto, 2011c</w:t>
            </w:r>
          </w:p>
          <w:p w:rsidR="0051661B" w:rsidRPr="002305E6" w:rsidRDefault="0051661B" w:rsidP="002305E6">
            <w:pPr>
              <w:rPr>
                <w:lang w:val="ro-RO"/>
              </w:rPr>
            </w:pPr>
            <w:r w:rsidRPr="002305E6">
              <w:rPr>
                <w:lang w:val="ro-RO"/>
              </w:rPr>
              <w:t>1033.BCD.SAG10</w:t>
            </w:r>
          </w:p>
          <w:p w:rsidR="0051661B" w:rsidRPr="002305E6" w:rsidRDefault="0051661B" w:rsidP="002305E6">
            <w:pPr>
              <w:rPr>
                <w:lang w:val="ro-RO"/>
              </w:rPr>
            </w:pPr>
            <w:r w:rsidRPr="002305E6">
              <w:rPr>
                <w:lang w:val="ro-RO"/>
              </w:rPr>
              <w:t>(DocIIIB5.10.2/05)</w:t>
            </w:r>
          </w:p>
        </w:tc>
        <w:tc>
          <w:tcPr>
            <w:tcW w:w="1701" w:type="dxa"/>
            <w:shd w:val="clear" w:color="auto" w:fill="auto"/>
          </w:tcPr>
          <w:p w:rsidR="0051661B" w:rsidRPr="002305E6" w:rsidRDefault="0051661B" w:rsidP="002305E6">
            <w:pPr>
              <w:rPr>
                <w:lang w:val="ro-RO"/>
              </w:rPr>
            </w:pPr>
            <w:r w:rsidRPr="002305E6">
              <w:rPr>
                <w:lang w:val="ro-RO"/>
              </w:rPr>
              <w:t xml:space="preserve">Şobolan negru </w:t>
            </w:r>
          </w:p>
          <w:p w:rsidR="0051661B" w:rsidRPr="002305E6" w:rsidRDefault="0051661B" w:rsidP="002305E6">
            <w:pPr>
              <w:rPr>
                <w:lang w:val="ro-RO"/>
              </w:rPr>
            </w:pPr>
            <w:r w:rsidRPr="002305E6">
              <w:rPr>
                <w:lang w:val="ro-RO"/>
              </w:rPr>
              <w:t xml:space="preserve"> </w:t>
            </w:r>
            <w:r w:rsidRPr="002305E6">
              <w:rPr>
                <w:i/>
                <w:lang w:val="ro-RO"/>
              </w:rPr>
              <w:t>Rattus rattus</w:t>
            </w:r>
          </w:p>
          <w:p w:rsidR="0051661B" w:rsidRPr="002305E6" w:rsidRDefault="0051661B" w:rsidP="002305E6">
            <w:pPr>
              <w:rPr>
                <w:color w:val="000000" w:themeColor="text1"/>
                <w:lang w:val="ro-RO"/>
              </w:rPr>
            </w:pPr>
            <w:r w:rsidRPr="002305E6">
              <w:rPr>
                <w:color w:val="000000" w:themeColor="text1"/>
                <w:lang w:val="ro-RO"/>
              </w:rPr>
              <w:t>specii sălbatice</w:t>
            </w:r>
          </w:p>
          <w:p w:rsidR="0051661B" w:rsidRPr="002305E6" w:rsidRDefault="0051661B" w:rsidP="002305E6">
            <w:pPr>
              <w:rPr>
                <w:lang w:val="ro-RO"/>
              </w:rPr>
            </w:pPr>
          </w:p>
        </w:tc>
        <w:tc>
          <w:tcPr>
            <w:tcW w:w="2126" w:type="dxa"/>
            <w:shd w:val="clear" w:color="auto" w:fill="auto"/>
          </w:tcPr>
          <w:p w:rsidR="0051661B" w:rsidRPr="002305E6" w:rsidRDefault="0051661B" w:rsidP="002305E6">
            <w:pPr>
              <w:rPr>
                <w:lang w:val="ro-RO"/>
              </w:rPr>
            </w:pPr>
            <w:r w:rsidRPr="002305E6">
              <w:rPr>
                <w:lang w:val="ro-RO"/>
              </w:rPr>
              <w:t xml:space="preserve">Brodifacum 0,005%, momeală, gata preparată </w:t>
            </w:r>
          </w:p>
          <w:p w:rsidR="0051661B" w:rsidRPr="002305E6" w:rsidRDefault="0051661B" w:rsidP="002305E6">
            <w:pPr>
              <w:rPr>
                <w:lang w:val="ro-RO"/>
              </w:rPr>
            </w:pPr>
            <w:r w:rsidRPr="002305E6">
              <w:rPr>
                <w:lang w:val="ro-RO"/>
              </w:rPr>
              <w:t xml:space="preserve">Actipasta-Brod– (formulare </w:t>
            </w:r>
            <w:r w:rsidRPr="002305E6">
              <w:rPr>
                <w:color w:val="000000" w:themeColor="text1"/>
                <w:lang w:val="ro-RO"/>
              </w:rPr>
              <w:t>block)</w:t>
            </w:r>
          </w:p>
        </w:tc>
        <w:tc>
          <w:tcPr>
            <w:tcW w:w="2320" w:type="dxa"/>
            <w:shd w:val="clear" w:color="auto" w:fill="auto"/>
          </w:tcPr>
          <w:p w:rsidR="0051661B" w:rsidRPr="002305E6" w:rsidRDefault="0051661B" w:rsidP="002305E6">
            <w:pPr>
              <w:rPr>
                <w:lang w:val="ro-RO"/>
              </w:rPr>
            </w:pPr>
            <w:r w:rsidRPr="002305E6">
              <w:rPr>
                <w:lang w:val="ro-RO"/>
              </w:rPr>
              <w:t>Eficacitate 100%</w:t>
            </w:r>
          </w:p>
        </w:tc>
      </w:tr>
      <w:tr w:rsidR="0051661B" w:rsidRPr="002305E6" w:rsidTr="00925338">
        <w:tc>
          <w:tcPr>
            <w:tcW w:w="1418" w:type="dxa"/>
            <w:shd w:val="clear" w:color="auto" w:fill="auto"/>
          </w:tcPr>
          <w:p w:rsidR="0051661B" w:rsidRPr="002305E6" w:rsidRDefault="0051661B" w:rsidP="002305E6">
            <w:pPr>
              <w:rPr>
                <w:lang w:val="ro-RO"/>
              </w:rPr>
            </w:pPr>
            <w:r w:rsidRPr="002305E6">
              <w:rPr>
                <w:lang w:val="ro-RO"/>
              </w:rPr>
              <w:t>Rodenticidă</w:t>
            </w:r>
          </w:p>
          <w:p w:rsidR="0051661B" w:rsidRPr="002305E6" w:rsidRDefault="0051661B" w:rsidP="002305E6">
            <w:pPr>
              <w:rPr>
                <w:lang w:val="ro-RO"/>
              </w:rPr>
            </w:pPr>
          </w:p>
        </w:tc>
        <w:tc>
          <w:tcPr>
            <w:tcW w:w="2410" w:type="dxa"/>
            <w:shd w:val="clear" w:color="auto" w:fill="auto"/>
          </w:tcPr>
          <w:p w:rsidR="0051661B" w:rsidRPr="002305E6" w:rsidRDefault="0051661B" w:rsidP="002305E6">
            <w:pPr>
              <w:rPr>
                <w:lang w:val="ro-RO"/>
              </w:rPr>
            </w:pPr>
            <w:r w:rsidRPr="002305E6">
              <w:rPr>
                <w:u w:val="single"/>
                <w:lang w:val="ro-RO"/>
              </w:rPr>
              <w:t>Test de teren</w:t>
            </w:r>
            <w:r w:rsidRPr="002305E6">
              <w:rPr>
                <w:lang w:val="ro-RO"/>
              </w:rPr>
              <w:t xml:space="preserve"> – în fermă; </w:t>
            </w:r>
          </w:p>
          <w:p w:rsidR="0051661B" w:rsidRPr="002305E6" w:rsidRDefault="0051661B" w:rsidP="002305E6">
            <w:pPr>
              <w:rPr>
                <w:lang w:val="ro-RO"/>
              </w:rPr>
            </w:pPr>
            <w:r w:rsidRPr="002305E6">
              <w:rPr>
                <w:lang w:val="ro-RO"/>
              </w:rPr>
              <w:t xml:space="preserve">momeala în cutii de </w:t>
            </w:r>
            <w:r w:rsidRPr="002305E6">
              <w:rPr>
                <w:u w:val="single"/>
                <w:lang w:val="ro-RO"/>
              </w:rPr>
              <w:t>intoxicare, 10 zile</w:t>
            </w:r>
            <w:r w:rsidRPr="002305E6">
              <w:rPr>
                <w:lang w:val="ro-RO"/>
              </w:rPr>
              <w:t xml:space="preserve">. </w:t>
            </w:r>
          </w:p>
          <w:p w:rsidR="0051661B" w:rsidRPr="002305E6" w:rsidRDefault="0051661B" w:rsidP="002305E6">
            <w:pPr>
              <w:rPr>
                <w:lang w:val="ro-RO"/>
              </w:rPr>
            </w:pPr>
            <w:r w:rsidRPr="002305E6">
              <w:rPr>
                <w:lang w:val="ro-RO"/>
              </w:rPr>
              <w:lastRenderedPageBreak/>
              <w:t>Rovetto, 2011d</w:t>
            </w:r>
          </w:p>
          <w:p w:rsidR="0051661B" w:rsidRPr="002305E6" w:rsidRDefault="0051661B" w:rsidP="002305E6">
            <w:pPr>
              <w:rPr>
                <w:lang w:val="ro-RO"/>
              </w:rPr>
            </w:pPr>
            <w:r w:rsidRPr="002305E6">
              <w:rPr>
                <w:lang w:val="ro-RO"/>
              </w:rPr>
              <w:t>1032.BCD.SAG10</w:t>
            </w:r>
          </w:p>
          <w:p w:rsidR="0051661B" w:rsidRPr="002305E6" w:rsidRDefault="0051661B" w:rsidP="002305E6">
            <w:pPr>
              <w:rPr>
                <w:lang w:val="ro-RO"/>
              </w:rPr>
            </w:pPr>
            <w:r w:rsidRPr="002305E6">
              <w:rPr>
                <w:lang w:val="ro-RO"/>
              </w:rPr>
              <w:t>(DocIIIB5.10.2/06)</w:t>
            </w:r>
          </w:p>
        </w:tc>
        <w:tc>
          <w:tcPr>
            <w:tcW w:w="1701" w:type="dxa"/>
            <w:shd w:val="clear" w:color="auto" w:fill="auto"/>
          </w:tcPr>
          <w:p w:rsidR="0051661B" w:rsidRPr="002305E6" w:rsidRDefault="0051661B" w:rsidP="002305E6">
            <w:pPr>
              <w:rPr>
                <w:lang w:val="ro-RO"/>
              </w:rPr>
            </w:pPr>
            <w:r w:rsidRPr="002305E6">
              <w:rPr>
                <w:lang w:val="ro-RO"/>
              </w:rPr>
              <w:lastRenderedPageBreak/>
              <w:t xml:space="preserve">Şobolan negru </w:t>
            </w:r>
          </w:p>
          <w:p w:rsidR="0051661B" w:rsidRPr="002305E6" w:rsidRDefault="0051661B" w:rsidP="002305E6">
            <w:pPr>
              <w:rPr>
                <w:lang w:val="ro-RO"/>
              </w:rPr>
            </w:pPr>
            <w:r w:rsidRPr="002305E6">
              <w:rPr>
                <w:lang w:val="ro-RO"/>
              </w:rPr>
              <w:t xml:space="preserve"> </w:t>
            </w:r>
            <w:r w:rsidRPr="002305E6">
              <w:rPr>
                <w:i/>
                <w:lang w:val="ro-RO"/>
              </w:rPr>
              <w:t>Rattus rattus</w:t>
            </w:r>
          </w:p>
          <w:p w:rsidR="0051661B" w:rsidRPr="002305E6" w:rsidRDefault="0051661B" w:rsidP="002305E6">
            <w:pPr>
              <w:rPr>
                <w:color w:val="000000" w:themeColor="text1"/>
                <w:lang w:val="ro-RO"/>
              </w:rPr>
            </w:pPr>
            <w:r w:rsidRPr="002305E6">
              <w:rPr>
                <w:color w:val="000000" w:themeColor="text1"/>
                <w:lang w:val="ro-RO"/>
              </w:rPr>
              <w:t>specii sălbatice</w:t>
            </w:r>
          </w:p>
          <w:p w:rsidR="0051661B" w:rsidRPr="002305E6" w:rsidRDefault="0051661B" w:rsidP="002305E6">
            <w:pPr>
              <w:rPr>
                <w:lang w:val="ro-RO"/>
              </w:rPr>
            </w:pPr>
          </w:p>
        </w:tc>
        <w:tc>
          <w:tcPr>
            <w:tcW w:w="2126" w:type="dxa"/>
            <w:shd w:val="clear" w:color="auto" w:fill="auto"/>
          </w:tcPr>
          <w:p w:rsidR="0051661B" w:rsidRPr="002305E6" w:rsidRDefault="0051661B" w:rsidP="002305E6">
            <w:pPr>
              <w:rPr>
                <w:lang w:val="ro-RO"/>
              </w:rPr>
            </w:pPr>
            <w:r w:rsidRPr="002305E6">
              <w:rPr>
                <w:lang w:val="ro-RO"/>
              </w:rPr>
              <w:t xml:space="preserve">Brodifacum 0,005%, momeală, gata preparată </w:t>
            </w:r>
          </w:p>
          <w:p w:rsidR="0051661B" w:rsidRPr="002305E6" w:rsidRDefault="0051661B" w:rsidP="002305E6">
            <w:pPr>
              <w:rPr>
                <w:lang w:val="ro-RO"/>
              </w:rPr>
            </w:pPr>
            <w:r w:rsidRPr="002305E6">
              <w:rPr>
                <w:lang w:val="ro-RO"/>
              </w:rPr>
              <w:t xml:space="preserve">Actipasta-Brod </w:t>
            </w:r>
            <w:r w:rsidRPr="002305E6">
              <w:rPr>
                <w:lang w:val="ro-RO"/>
              </w:rPr>
              <w:lastRenderedPageBreak/>
              <w:t>(formulare</w:t>
            </w:r>
            <w:r w:rsidRPr="002305E6">
              <w:rPr>
                <w:color w:val="000000" w:themeColor="text1"/>
                <w:lang w:val="ro-RO"/>
              </w:rPr>
              <w:t xml:space="preserve"> peleţi)</w:t>
            </w:r>
            <w:r w:rsidRPr="002305E6">
              <w:rPr>
                <w:color w:val="00B050"/>
                <w:lang w:val="ro-RO"/>
              </w:rPr>
              <w:t xml:space="preserve"> </w:t>
            </w:r>
          </w:p>
        </w:tc>
        <w:tc>
          <w:tcPr>
            <w:tcW w:w="2320" w:type="dxa"/>
            <w:shd w:val="clear" w:color="auto" w:fill="auto"/>
          </w:tcPr>
          <w:p w:rsidR="0051661B" w:rsidRPr="002305E6" w:rsidRDefault="0051661B" w:rsidP="002305E6">
            <w:pPr>
              <w:rPr>
                <w:lang w:val="ro-RO"/>
              </w:rPr>
            </w:pPr>
            <w:r w:rsidRPr="002305E6">
              <w:rPr>
                <w:lang w:val="ro-RO"/>
              </w:rPr>
              <w:lastRenderedPageBreak/>
              <w:t>Eficacitate 100%</w:t>
            </w:r>
          </w:p>
        </w:tc>
      </w:tr>
    </w:tbl>
    <w:p w:rsidR="00795524" w:rsidRPr="002305E6" w:rsidRDefault="00795524" w:rsidP="002305E6">
      <w:pPr>
        <w:pStyle w:val="NoSpacing"/>
        <w:rPr>
          <w:b/>
          <w:color w:val="000000"/>
          <w:lang w:val="ro-RO"/>
        </w:rPr>
      </w:pPr>
    </w:p>
    <w:p w:rsidR="00B66405" w:rsidRPr="002305E6" w:rsidRDefault="00B66405" w:rsidP="002305E6">
      <w:pPr>
        <w:pStyle w:val="NoSpacing"/>
        <w:rPr>
          <w:b/>
          <w:color w:val="000000"/>
          <w:lang w:val="ro-RO"/>
        </w:rPr>
      </w:pPr>
      <w:r w:rsidRPr="002305E6">
        <w:rPr>
          <w:b/>
          <w:color w:val="000000"/>
          <w:lang w:val="ro-RO"/>
        </w:rPr>
        <w:t xml:space="preserve">XIV. </w:t>
      </w:r>
      <w:r w:rsidR="004473D1" w:rsidRPr="002305E6">
        <w:rPr>
          <w:b/>
          <w:lang w:val="ro-RO"/>
        </w:rPr>
        <w:t>INSTRUCTIUNILE  SI DOZELE DE APLICARE</w:t>
      </w:r>
      <w:r w:rsidR="004473D1" w:rsidRPr="002305E6">
        <w:rPr>
          <w:lang w:val="ro-RO"/>
        </w:rPr>
        <w:t xml:space="preserve"> </w:t>
      </w:r>
      <w:r w:rsidR="00D60970" w:rsidRPr="002305E6">
        <w:rPr>
          <w:lang w:val="ro-RO"/>
        </w:rPr>
        <w:t>:</w:t>
      </w:r>
    </w:p>
    <w:tbl>
      <w:tblPr>
        <w:tblStyle w:val="TableGrid"/>
        <w:tblW w:w="0" w:type="auto"/>
        <w:tblInd w:w="108" w:type="dxa"/>
        <w:tblLook w:val="04A0" w:firstRow="1" w:lastRow="0" w:firstColumn="1" w:lastColumn="0" w:noHBand="0" w:noVBand="1"/>
      </w:tblPr>
      <w:tblGrid>
        <w:gridCol w:w="9923"/>
      </w:tblGrid>
      <w:tr w:rsidR="00393522" w:rsidRPr="002305E6" w:rsidTr="00393522">
        <w:tc>
          <w:tcPr>
            <w:tcW w:w="9923" w:type="dxa"/>
          </w:tcPr>
          <w:p w:rsidR="007847BD" w:rsidRPr="002305E6" w:rsidRDefault="007847BD" w:rsidP="002305E6">
            <w:pPr>
              <w:pStyle w:val="NoSpacing"/>
              <w:rPr>
                <w:lang w:val="ro-RO"/>
              </w:rPr>
            </w:pPr>
            <w:r w:rsidRPr="002305E6">
              <w:rPr>
                <w:u w:val="single"/>
                <w:lang w:val="ro-RO"/>
              </w:rPr>
              <w:t>Aria de utilizare</w:t>
            </w:r>
            <w:r w:rsidRPr="002305E6">
              <w:rPr>
                <w:lang w:val="ro-RO"/>
              </w:rPr>
              <w:t>: în interiorul şi în jurul clădirilor industriale (inclusiv depozite, hale, carenele navelor), clădiri civile, locuinţe, anexe gospodăreşti, beciuri, garaje, dulapuri, grădini şi arii exterioare relevante.</w:t>
            </w:r>
          </w:p>
          <w:p w:rsidR="0051661B" w:rsidRPr="002305E6" w:rsidRDefault="0051661B" w:rsidP="002305E6">
            <w:pPr>
              <w:pStyle w:val="NoSpacing"/>
              <w:rPr>
                <w:lang w:val="ro-RO"/>
              </w:rPr>
            </w:pPr>
            <w:r w:rsidRPr="002305E6">
              <w:rPr>
                <w:lang w:val="ro-RO"/>
              </w:rPr>
              <w:t xml:space="preserve">STARKORAT PASTA PRO este momeală gata de utilizare - pentru utilizare numai în staţii de momeală rezistente la deschidere şi marcate corespunzător, departe de accesul persoanelor neautorizate, în locuri protejate de condiţiile atmosferice, de ingerarea speciilor care nu sunt vizate şi de dispersia în mediul înconjurător. </w:t>
            </w:r>
            <w:r w:rsidRPr="002305E6">
              <w:rPr>
                <w:u w:val="single"/>
                <w:lang w:val="ro-RO"/>
              </w:rPr>
              <w:t>Dozele recomandate</w:t>
            </w:r>
            <w:r w:rsidRPr="002305E6">
              <w:rPr>
                <w:lang w:val="ro-RO"/>
              </w:rPr>
              <w:t xml:space="preserve">: </w:t>
            </w:r>
          </w:p>
          <w:p w:rsidR="0051661B" w:rsidRPr="002305E6" w:rsidRDefault="0051661B" w:rsidP="002305E6">
            <w:pPr>
              <w:pStyle w:val="NoSpacing"/>
              <w:rPr>
                <w:lang w:val="ro-RO"/>
              </w:rPr>
            </w:pPr>
            <w:r w:rsidRPr="002305E6">
              <w:rPr>
                <w:lang w:val="ro-RO"/>
              </w:rPr>
              <w:t xml:space="preserve">Pentru şoareci: 40 g per staţie de intoxicare (2 momeli pastă proaspătă gata de utilizare de 20 g fiecare). Pentru şobolani: 60-100 g (3-5 momeli pastă proaspătă de 20g fiecare). </w:t>
            </w:r>
          </w:p>
          <w:p w:rsidR="0051661B" w:rsidRPr="002305E6" w:rsidRDefault="0051661B" w:rsidP="002305E6">
            <w:pPr>
              <w:pStyle w:val="NoSpacing"/>
              <w:rPr>
                <w:lang w:val="fr-FR"/>
              </w:rPr>
            </w:pPr>
            <w:r w:rsidRPr="002305E6">
              <w:rPr>
                <w:lang w:val="fr-FR"/>
              </w:rPr>
              <w:t>În cazul că sunt necesare mai multe staţii, acestea se vor amplasa la o distanţă de circa 5-10 metri distan</w:t>
            </w:r>
            <w:r w:rsidRPr="002305E6">
              <w:rPr>
                <w:lang w:val="ro-RO"/>
              </w:rPr>
              <w:t>ţă între ele</w:t>
            </w:r>
            <w:r w:rsidRPr="002305E6">
              <w:rPr>
                <w:lang w:val="fr-FR"/>
              </w:rPr>
              <w:t xml:space="preserve">. </w:t>
            </w:r>
            <w:r w:rsidRPr="002305E6">
              <w:rPr>
                <w:lang w:val="ro-RO"/>
              </w:rPr>
              <w:t xml:space="preserve">Momeala se va recompleta dacă este necesar până când consumul încetează. </w:t>
            </w:r>
          </w:p>
          <w:p w:rsidR="0051661B" w:rsidRPr="002305E6" w:rsidRDefault="0051661B" w:rsidP="002305E6">
            <w:pPr>
              <w:pStyle w:val="NoSpacing"/>
              <w:rPr>
                <w:lang w:val="ro-RO"/>
              </w:rPr>
            </w:pPr>
            <w:r w:rsidRPr="002305E6">
              <w:rPr>
                <w:lang w:val="ro-RO"/>
              </w:rPr>
              <w:t xml:space="preserve">Staţiile cu momeală trebuie să fie plasate în apropierea locurilor unde a fost observată activitatea rozătoarelor anterior. În exterior, staţiile de intoxicare trebuie să fie poziţionate în zone care nu sunt expuse inundaţiilor. Staţiile trebuie verificate la fiecare 2-3 zile de la începerea tratamentului în cazul şoarecilor, şi după 5-7 zile în cazul şobolanilor, şi apoi săptămânal, pentru a verifica acceptarea momelii, dacă staţiile sunt intacte, pentru a recompleta momeala mâncată şi a le înlocui pe cele roase ori deteriorate de apă şi murdărie, şi eventual pentru eliminarea rozătoarelor moarte. Frecvenţa controalelor zonei tratate trebuie să fie la discreţia operatorului, în funcţie de evaluarea efectuată la începutul tratamentului. </w:t>
            </w:r>
            <w:r w:rsidRPr="002305E6">
              <w:rPr>
                <w:lang w:val="fr-FR"/>
              </w:rPr>
              <w:t xml:space="preserve">Nu trebuie să fie mărită doza într-un punct ci numărul de staţii în funcţie de gradul de infestare. </w:t>
            </w:r>
            <w:r w:rsidRPr="002305E6">
              <w:rPr>
                <w:lang w:val="ro-RO"/>
              </w:rPr>
              <w:t xml:space="preserve">Momeala trebuie să fie asigurată astfel ca să nu poată fi trasă departe de staţia de momeli. Pentru ca momeala să fie uşor acceptată, trebuie să fie îndepărtate alimentele uşor accesibile pentru rozătoare, boabe vărsate sau deşeurile alimentare, dar nu trebuie să fie curăţată zona infestată chiar înainte de amplasarea momelii, pentru a nu tulbura populaţia de rozătoare. </w:t>
            </w:r>
            <w:r w:rsidRPr="002305E6">
              <w:rPr>
                <w:lang w:val="fr-FR"/>
              </w:rPr>
              <w:t xml:space="preserve">Între aplicaţii nu se spală staţiile de momeală cu apă. Nu se va aplica direct </w:t>
            </w:r>
            <w:r w:rsidRPr="002305E6">
              <w:rPr>
                <w:lang w:val="ro-RO"/>
              </w:rPr>
              <w:t xml:space="preserve">în vizuini. </w:t>
            </w:r>
          </w:p>
          <w:p w:rsidR="0051661B" w:rsidRPr="002305E6" w:rsidRDefault="0051661B" w:rsidP="002305E6">
            <w:pPr>
              <w:pStyle w:val="NoSpacing"/>
              <w:rPr>
                <w:lang w:val="ro-RO"/>
              </w:rPr>
            </w:pPr>
            <w:r w:rsidRPr="002305E6">
              <w:rPr>
                <w:lang w:val="ro-RO"/>
              </w:rPr>
              <w:t xml:space="preserve">Datorită modului de acţiune întârziat, rodenticidele anticoagulante au nevoie de 4 până la 10 zile după consumul de momeală pentru a fi eficiente. Utilizarea acestui produs ar trebui să elimine rozătoarele în termen de 35 de zile, altfel se va solicita un serviciu de control al dăunătorilor. Momeala nu se foloseşte permanent. Nu se va utiliza în arii unde se suspectează rezistenţa la substanţa activă. În caz de rezistenţă, se va lua în considerare folosirea unui alt rodenticid non-anticoagulant sau un anticoagulant mai eficient, sau utilizarea capcanelor ca măsură de control alternativă. </w:t>
            </w:r>
          </w:p>
          <w:p w:rsidR="00393522" w:rsidRPr="002305E6" w:rsidRDefault="0051661B" w:rsidP="002305E6">
            <w:pPr>
              <w:pStyle w:val="NoSpacing"/>
              <w:rPr>
                <w:lang w:val="ro-RO"/>
              </w:rPr>
            </w:pPr>
            <w:r w:rsidRPr="002305E6">
              <w:rPr>
                <w:lang w:val="ro-RO"/>
              </w:rPr>
              <w:t>Valabilitatea produsului</w:t>
            </w:r>
            <w:r w:rsidRPr="002305E6">
              <w:rPr>
                <w:lang w:val="fr-FR"/>
              </w:rPr>
              <w:t xml:space="preserve">: 2 ani, </w:t>
            </w:r>
            <w:r w:rsidRPr="002305E6">
              <w:rPr>
                <w:lang w:val="ro-RO"/>
              </w:rPr>
              <w:t xml:space="preserve">în condiţii de umiditate </w:t>
            </w:r>
            <w:r w:rsidRPr="002305E6">
              <w:rPr>
                <w:lang w:val="fr-FR"/>
              </w:rPr>
              <w:t>şi</w:t>
            </w:r>
            <w:r w:rsidRPr="002305E6">
              <w:rPr>
                <w:lang w:val="ro-RO"/>
              </w:rPr>
              <w:t xml:space="preserve"> de temperatur</w:t>
            </w:r>
            <w:r w:rsidRPr="002305E6">
              <w:rPr>
                <w:lang w:val="fr-FR"/>
              </w:rPr>
              <w:t xml:space="preserve">ă </w:t>
            </w:r>
            <w:r w:rsidRPr="002305E6">
              <w:rPr>
                <w:lang w:val="ro-RO"/>
              </w:rPr>
              <w:t>normale.</w:t>
            </w:r>
          </w:p>
        </w:tc>
      </w:tr>
    </w:tbl>
    <w:p w:rsidR="00FF3D0E" w:rsidRPr="002305E6" w:rsidRDefault="00FF3D0E" w:rsidP="002305E6">
      <w:pPr>
        <w:pStyle w:val="NoSpacing"/>
        <w:rPr>
          <w:b/>
          <w:lang w:val="ro-RO"/>
        </w:rPr>
      </w:pPr>
    </w:p>
    <w:p w:rsidR="00B66405" w:rsidRPr="002305E6" w:rsidRDefault="00B66405" w:rsidP="002305E6">
      <w:pPr>
        <w:pStyle w:val="NoSpacing"/>
        <w:rPr>
          <w:b/>
          <w:lang w:val="ro-RO"/>
        </w:rPr>
      </w:pPr>
      <w:r w:rsidRPr="002305E6">
        <w:rPr>
          <w:b/>
          <w:lang w:val="ro-RO"/>
        </w:rPr>
        <w:t>XV. INSTRUC</w:t>
      </w:r>
      <w:r w:rsidR="00EF1059" w:rsidRPr="002305E6">
        <w:rPr>
          <w:b/>
          <w:lang w:val="ro-RO"/>
        </w:rPr>
        <w:t>T</w:t>
      </w:r>
      <w:r w:rsidRPr="002305E6">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2305E6" w:rsidTr="006B235A">
        <w:tc>
          <w:tcPr>
            <w:tcW w:w="9923" w:type="dxa"/>
          </w:tcPr>
          <w:p w:rsidR="0008689C" w:rsidRPr="002305E6" w:rsidRDefault="0008689C" w:rsidP="002305E6">
            <w:pPr>
              <w:pStyle w:val="NoSpacing"/>
            </w:pPr>
            <w:r w:rsidRPr="002305E6">
              <w:t xml:space="preserve">OCHII: clătiți ochii cu lichidul de clătit ochii sau cu apă, păstrați pleoapa ochilor deschiși cel puțin 10 minute. PIELEA: Scoateți îmbrăcămintea contaminată. Spălați pielea cu apă și apoi cu apă și săpun. INGESTIE: clătiți gura cu grijă cu apă. Nu dați niciodată nimic pe cale orală persoanei </w:t>
            </w:r>
            <w:r w:rsidRPr="002305E6">
              <w:lastRenderedPageBreak/>
              <w:t>inconștiente. Nu provocați vărsături. În caz de înghițire, consultați imediat medicul și arătați recipientul sau eticheta produsului. Contactați un chirurg veterinar în caz de ingestie de către un animal de companie.</w:t>
            </w:r>
          </w:p>
          <w:p w:rsidR="0008689C" w:rsidRPr="002305E6" w:rsidRDefault="0008689C" w:rsidP="002305E6">
            <w:pPr>
              <w:pStyle w:val="NoSpacing"/>
            </w:pPr>
            <w:r w:rsidRPr="002305E6">
              <w:t xml:space="preserve"> INHALARE: Cereţi imediat sfatul medicului / Atenție! Scoateți victima la aer curat, departe de locul accidentului. Dacă subiectului i se oprește respirația, administrați respirația artificială. Luați măsuri de precauție adecvate pentru lucrătorii care salvează.</w:t>
            </w:r>
          </w:p>
          <w:p w:rsidR="0008689C" w:rsidRPr="002305E6" w:rsidRDefault="0008689C" w:rsidP="002305E6">
            <w:pPr>
              <w:pStyle w:val="NoSpacing"/>
            </w:pPr>
            <w:r w:rsidRPr="002305E6">
              <w:rPr>
                <w:bCs/>
              </w:rPr>
              <w:t xml:space="preserve">Indicații privind orice fel de asistență medicală imediată și tratamentele speciale necesare </w:t>
            </w:r>
          </w:p>
          <w:p w:rsidR="0008689C" w:rsidRPr="002305E6" w:rsidRDefault="0008689C" w:rsidP="002305E6">
            <w:pPr>
              <w:pStyle w:val="NoSpacing"/>
            </w:pPr>
            <w:r w:rsidRPr="002305E6">
              <w:t xml:space="preserve">Recomandări generale: În caz de dubii sau în cazul simptomelor persistente, apelați la un medic și arătați-i informațiile de pe etichetă prezente în fișa cu date de securitate. În caz de accident, primul ajutor trebuie asigurat de personal calificat pentru a evita complicațiile ulterioare. </w:t>
            </w:r>
          </w:p>
          <w:p w:rsidR="0008689C" w:rsidRPr="002305E6" w:rsidRDefault="0008689C" w:rsidP="002305E6">
            <w:pPr>
              <w:pStyle w:val="NoSpacing"/>
            </w:pPr>
            <w:r w:rsidRPr="002305E6">
              <w:t xml:space="preserve">Notă pentru medic: </w:t>
            </w:r>
          </w:p>
          <w:p w:rsidR="0008689C" w:rsidRPr="002305E6" w:rsidRDefault="0008689C" w:rsidP="002305E6">
            <w:pPr>
              <w:pStyle w:val="NoSpacing"/>
            </w:pPr>
            <w:r w:rsidRPr="002305E6">
              <w:t xml:space="preserve">Anticoagulanții rodenticizi, precum Brodifacoum acționează prin blocarea regenerării 2,3-epoxidului de vitamină K în hidrochinonă a vitaminei K prin inhibarea acțiunii epoxidului reductazei de vitamină K. Vitamina K este necesară pentru sinteza proteinelor importante cum ar fi protrombina, proteine esențiale pentru procesul de coagulare a sângelui. Deci scăderea progresivă a vitaminei K cauzează o creștere a probabilității de sângerare fatală. </w:t>
            </w:r>
          </w:p>
          <w:p w:rsidR="0008689C" w:rsidRPr="002305E6" w:rsidRDefault="0008689C" w:rsidP="002305E6">
            <w:pPr>
              <w:pStyle w:val="NoSpacing"/>
            </w:pPr>
            <w:r w:rsidRPr="002305E6">
              <w:t xml:space="preserve">1. Verificați activitatea de protrombină de mai multe ori, chiar și după câteva zile, în special dacă cantitatea ingerată este ridicată. Diagnostic: modificări ale timpului de protrombină (simptome și teste de coagulare) </w:t>
            </w:r>
          </w:p>
          <w:p w:rsidR="007E7969" w:rsidRPr="002305E6" w:rsidRDefault="0008689C" w:rsidP="002305E6">
            <w:pPr>
              <w:pStyle w:val="NoSpacing"/>
            </w:pPr>
            <w:r w:rsidRPr="002305E6">
              <w:t xml:space="preserve">2. Tratament: Vitamina K1. </w:t>
            </w:r>
          </w:p>
        </w:tc>
      </w:tr>
    </w:tbl>
    <w:p w:rsidR="00393522" w:rsidRPr="002305E6" w:rsidRDefault="00393522" w:rsidP="002305E6">
      <w:pPr>
        <w:pStyle w:val="NoSpacing"/>
        <w:rPr>
          <w:b/>
          <w:lang w:val="ro-RO"/>
        </w:rPr>
      </w:pPr>
    </w:p>
    <w:p w:rsidR="00B66405" w:rsidRPr="002305E6" w:rsidRDefault="00B66405" w:rsidP="002305E6">
      <w:pPr>
        <w:pStyle w:val="NoSpacing"/>
        <w:rPr>
          <w:b/>
          <w:lang w:val="ro-RO"/>
        </w:rPr>
      </w:pPr>
      <w:r w:rsidRPr="002305E6">
        <w:rPr>
          <w:b/>
          <w:lang w:val="ro-RO"/>
        </w:rPr>
        <w:t>XVI. MĂSURI PENTRU PROTEC</w:t>
      </w:r>
      <w:r w:rsidR="00400263" w:rsidRPr="002305E6">
        <w:rPr>
          <w:b/>
          <w:lang w:val="ro-RO"/>
        </w:rPr>
        <w:t>T</w:t>
      </w:r>
      <w:r w:rsidRPr="002305E6">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2305E6" w:rsidTr="006B235A">
        <w:tc>
          <w:tcPr>
            <w:tcW w:w="9923" w:type="dxa"/>
          </w:tcPr>
          <w:p w:rsidR="00B66405" w:rsidRPr="002305E6" w:rsidRDefault="007577BB" w:rsidP="002305E6">
            <w:pPr>
              <w:pStyle w:val="NoSpacing"/>
              <w:rPr>
                <w:u w:val="single"/>
                <w:lang w:val="ro-RO"/>
              </w:rPr>
            </w:pPr>
            <w:r w:rsidRPr="002305E6">
              <w:rPr>
                <w:u w:val="single"/>
                <w:lang w:val="ro-RO"/>
              </w:rPr>
              <w:t>Restrictii pentru utilizarea produsului biocid</w:t>
            </w:r>
          </w:p>
          <w:p w:rsidR="007577BB" w:rsidRPr="002305E6" w:rsidRDefault="007577BB" w:rsidP="002305E6">
            <w:pPr>
              <w:pStyle w:val="NoSpacing"/>
              <w:rPr>
                <w:lang w:val="ro-RO"/>
              </w:rPr>
            </w:pPr>
            <w:r w:rsidRPr="002305E6">
              <w:rPr>
                <w:lang w:val="ro-RO"/>
              </w:rPr>
              <w:t>Produsul nu trebuie sa patrunda in sistemul de canalizare sau sa intre in contact cu apa de suprafata sau cu apa subterana .</w:t>
            </w:r>
            <w:r w:rsidR="009958D2" w:rsidRPr="002305E6">
              <w:rPr>
                <w:lang w:val="ro-RO"/>
              </w:rPr>
              <w:t>Evitati scurgerea produsului in mediul inconjurator. Atunci cand amplasati capcanele in apropierea apelor de suprafata (rauri, iazuri, canale navigabile, diguri, canale de irigatii) sau a sistemelor de scurgere a apei, asigurati-va ca momeala nu intra in contact cu apa. Amplasati produsul in locuri inaccesibile pentru copii, pasari, animale de companie, animale de ferma si alte animale nevizata. Periculos pentru animalele salbatice .</w:t>
            </w:r>
          </w:p>
          <w:p w:rsidR="009958D2" w:rsidRPr="002305E6" w:rsidRDefault="009958D2" w:rsidP="002305E6">
            <w:pPr>
              <w:pStyle w:val="NoSpacing"/>
              <w:rPr>
                <w:lang w:val="ro-RO"/>
              </w:rPr>
            </w:pPr>
            <w:r w:rsidRPr="002305E6">
              <w:rPr>
                <w:u w:val="single"/>
                <w:lang w:val="ro-RO"/>
              </w:rPr>
              <w:t>Masuri in caz de dispersie accidentala</w:t>
            </w:r>
            <w:r w:rsidRPr="002305E6">
              <w:rPr>
                <w:lang w:val="ro-RO"/>
              </w:rPr>
              <w:t xml:space="preserve"> :</w:t>
            </w:r>
          </w:p>
          <w:p w:rsidR="009958D2" w:rsidRPr="002305E6" w:rsidRDefault="009958D2" w:rsidP="002305E6">
            <w:pPr>
              <w:pStyle w:val="NoSpacing"/>
              <w:rPr>
                <w:lang w:val="ro-RO"/>
              </w:rPr>
            </w:pPr>
            <w:r w:rsidRPr="002305E6">
              <w:rPr>
                <w:lang w:val="ro-RO"/>
              </w:rPr>
              <w:t>Colectati produsul scurs intr-un recipient adecvat. La sfarsitul perioadei de tratament, eliminati momeala neconsumata si ambalajul in conformitate cu cerintele locale . Momeala lichida: in caz de varsare accidentala a lichidului, eliminati capcanele ca pe un deseu periculos.</w:t>
            </w:r>
          </w:p>
          <w:p w:rsidR="009958D2" w:rsidRPr="002305E6" w:rsidRDefault="009958D2" w:rsidP="002305E6">
            <w:pPr>
              <w:pStyle w:val="NoSpacing"/>
              <w:rPr>
                <w:u w:val="single"/>
                <w:lang w:val="ro-RO"/>
              </w:rPr>
            </w:pPr>
            <w:r w:rsidRPr="002305E6">
              <w:rPr>
                <w:u w:val="single"/>
                <w:lang w:val="ro-RO"/>
              </w:rPr>
              <w:t>Metode de decontaminare :</w:t>
            </w:r>
          </w:p>
          <w:p w:rsidR="009958D2" w:rsidRPr="002305E6" w:rsidRDefault="009958D2" w:rsidP="002305E6">
            <w:pPr>
              <w:pStyle w:val="NoSpacing"/>
              <w:rPr>
                <w:lang w:val="ro-RO"/>
              </w:rPr>
            </w:pPr>
            <w:r w:rsidRPr="002305E6">
              <w:rPr>
                <w:lang w:val="ro-RO"/>
              </w:rPr>
              <w:t>Capcanele de inspecteaza cel putin la 2-3 zile pentru soareci sau 5-7 zile pentru sobolani, la inceperea tratamentului si cel putin saptamanal ulterior, pentru  a verifica daca momeala este acceptata si daca se mentine integritatea capcanelor, precum si pentru a indeparta rozatoarele moarte. Strangeti materialul in recipiente adecvate. Absorbiti  restul  cu un material absorbant inert. Spalati zona contaminata cu o solutie de sapun : colectati apele reziduale pentru tratare.</w:t>
            </w:r>
          </w:p>
        </w:tc>
      </w:tr>
    </w:tbl>
    <w:p w:rsidR="00FF3D0E" w:rsidRPr="002305E6" w:rsidRDefault="00FF3D0E" w:rsidP="002305E6">
      <w:pPr>
        <w:pStyle w:val="NoSpacing"/>
        <w:rPr>
          <w:b/>
          <w:lang w:val="fr-FR"/>
        </w:rPr>
      </w:pPr>
    </w:p>
    <w:p w:rsidR="00B66405" w:rsidRPr="002305E6" w:rsidRDefault="00B66405" w:rsidP="002305E6">
      <w:pPr>
        <w:pStyle w:val="NoSpacing"/>
        <w:rPr>
          <w:b/>
          <w:lang w:val="fr-FR"/>
        </w:rPr>
      </w:pPr>
      <w:r w:rsidRPr="002305E6">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2305E6" w:rsidTr="00393522">
        <w:tc>
          <w:tcPr>
            <w:tcW w:w="9923" w:type="dxa"/>
          </w:tcPr>
          <w:p w:rsidR="00D46C2A" w:rsidRPr="002305E6" w:rsidRDefault="00D46C2A" w:rsidP="002305E6">
            <w:pPr>
              <w:pStyle w:val="NoSpacing"/>
              <w:rPr>
                <w:lang w:val="fr-CA"/>
              </w:rPr>
            </w:pPr>
            <w:r w:rsidRPr="002305E6">
              <w:rPr>
                <w:lang w:val="fr-CA"/>
              </w:rPr>
              <w:t xml:space="preserve">Înainte de utilizare, citiți și respectați indicațiile înscrise pe ambalajul produsului dar și informațiile </w:t>
            </w:r>
            <w:r w:rsidRPr="002305E6">
              <w:rPr>
                <w:lang w:val="fr-CA"/>
              </w:rPr>
              <w:lastRenderedPageBreak/>
              <w:t xml:space="preserve">care însoțesc produsul sau care sunt furnizate la punctul de vânzare. </w:t>
            </w:r>
          </w:p>
          <w:p w:rsidR="00D46C2A" w:rsidRPr="002305E6" w:rsidRDefault="00D46C2A" w:rsidP="002305E6">
            <w:pPr>
              <w:pStyle w:val="NoSpacing"/>
              <w:rPr>
                <w:lang w:val="fr-CA"/>
              </w:rPr>
            </w:pPr>
            <w:r w:rsidRPr="002305E6">
              <w:rPr>
                <w:lang w:val="fr-CA"/>
              </w:rPr>
              <w:t>Înainte de a poziționa momelile, se recomandă vizitarea locației în vederea evaluării in situ și identificarea speciilor de rozătoare prezente, cât și locurile unde se desfășoară activitatea și stabilirea cauzelor probabile cât și a gradului de infestare cu dăunători.</w:t>
            </w:r>
          </w:p>
          <w:p w:rsidR="00D46C2A" w:rsidRPr="002305E6" w:rsidRDefault="00D46C2A" w:rsidP="002305E6">
            <w:pPr>
              <w:pStyle w:val="NoSpacing"/>
              <w:rPr>
                <w:lang w:val="fr-CA"/>
              </w:rPr>
            </w:pPr>
            <w:r w:rsidRPr="002305E6">
              <w:rPr>
                <w:lang w:val="fr-CA"/>
              </w:rPr>
              <w:t>Se îndepărtează sursele de hrană la care rozătoarele ajung cu ușurință (spre exemplu cereale căzute pe jos sau resturi de mâncare). În plus, zona se va curăța chiar înainte de a aplica tratamentul, pentru a nu tulbura populația de rozătoare și pentru ca acestea să accepte rapid momelile aplicate.</w:t>
            </w:r>
          </w:p>
          <w:p w:rsidR="00D46C2A" w:rsidRPr="002305E6" w:rsidRDefault="00D46C2A" w:rsidP="002305E6">
            <w:pPr>
              <w:pStyle w:val="NoSpacing"/>
              <w:rPr>
                <w:lang w:val="fr-CA"/>
              </w:rPr>
            </w:pPr>
            <w:r w:rsidRPr="002305E6">
              <w:rPr>
                <w:lang w:val="fr-CA"/>
              </w:rPr>
              <w:t>Produsul se utilizează exclusiv în cadrul unui sistem intern de management integrat împotriva infestațiilor (IPM), care include, printre altele, și măsuri de igienă și, după caz, metode fizice de control.</w:t>
            </w:r>
          </w:p>
          <w:p w:rsidR="00D46C2A" w:rsidRPr="002305E6" w:rsidRDefault="00D46C2A" w:rsidP="002305E6">
            <w:pPr>
              <w:pStyle w:val="NoSpacing"/>
              <w:rPr>
                <w:lang w:val="fr-CA"/>
              </w:rPr>
            </w:pPr>
            <w:r w:rsidRPr="002305E6">
              <w:rPr>
                <w:lang w:val="fr-CA"/>
              </w:rPr>
              <w:t>Trebuie luate în considerare și măsurile preventive de control (de ex.: acoperirea găurilor, îndepărtarea, pe cât posibil, a tuturor surselor de mâncare și apă), astfel încât să se poate controla cantitatea de produs consumată și pentru a reduce posibilitatea reinfestării.</w:t>
            </w:r>
          </w:p>
          <w:p w:rsidR="00D46C2A" w:rsidRPr="002305E6" w:rsidRDefault="00D46C2A" w:rsidP="002305E6">
            <w:pPr>
              <w:pStyle w:val="NoSpacing"/>
              <w:rPr>
                <w:lang w:val="fr-CA"/>
              </w:rPr>
            </w:pPr>
            <w:r w:rsidRPr="002305E6">
              <w:rPr>
                <w:lang w:val="fr-CA"/>
              </w:rPr>
              <w:t>Recipientele cu momeli vor fi poziționate în imediata apropiere a locurilor în care activitatea rozătoarelor a fost verificată anterior (de exemplu trasee, cuiburi, gurile de intrare pentru animale, deschizături, vizuini etc.).</w:t>
            </w:r>
          </w:p>
          <w:p w:rsidR="00D46C2A" w:rsidRPr="002305E6" w:rsidRDefault="00D46C2A" w:rsidP="002305E6">
            <w:pPr>
              <w:pStyle w:val="NoSpacing"/>
              <w:rPr>
                <w:lang w:val="fr-CA"/>
              </w:rPr>
            </w:pPr>
            <w:r w:rsidRPr="002305E6">
              <w:rPr>
                <w:lang w:val="fr-CA"/>
              </w:rPr>
              <w:t xml:space="preserve">Atunci când este posibil, fixați pliculețele de momeală pe sol sau pe alte structuri. </w:t>
            </w:r>
          </w:p>
          <w:p w:rsidR="00D46C2A" w:rsidRPr="002305E6" w:rsidRDefault="00D46C2A" w:rsidP="002305E6">
            <w:pPr>
              <w:pStyle w:val="NoSpacing"/>
              <w:rPr>
                <w:lang w:val="fr-CA"/>
              </w:rPr>
            </w:pPr>
            <w:r w:rsidRPr="002305E6">
              <w:rPr>
                <w:lang w:val="fr-CA"/>
              </w:rPr>
              <w:t>Recipientele pentru momeli vor fi clar etichetate făcându-se mențiunea că acestea conțin rodenticide și că nu trebuie aruncate sau deschise.</w:t>
            </w:r>
          </w:p>
          <w:p w:rsidR="00D46C2A" w:rsidRPr="002305E6" w:rsidRDefault="00D46C2A" w:rsidP="002305E6">
            <w:pPr>
              <w:pStyle w:val="NoSpacing"/>
              <w:rPr>
                <w:lang w:val="fr-CA"/>
              </w:rPr>
            </w:pPr>
            <w:r w:rsidRPr="002305E6">
              <w:rPr>
                <w:lang w:val="fr-CA"/>
              </w:rPr>
              <w:t>În situația în care produsul este folosit în spații publice, zonele tratate vor fi semnalizate adecvat pe durata tratamentului. În dreptul momelilor, se va indica printr-un anunț riscul de otrăvire primară și secundară din cauza anticoagulantului, cât și măsurile de prim-ajutor ce trebuie luate în caz de otrăvire.</w:t>
            </w:r>
          </w:p>
          <w:p w:rsidR="00D46C2A" w:rsidRPr="002305E6" w:rsidRDefault="00D46C2A" w:rsidP="002305E6">
            <w:pPr>
              <w:pStyle w:val="NoSpacing"/>
              <w:rPr>
                <w:lang w:val="fr-CA"/>
              </w:rPr>
            </w:pPr>
            <w:r w:rsidRPr="002305E6">
              <w:rPr>
                <w:lang w:val="fr-CA"/>
              </w:rPr>
              <w:t>Momeala va fi astfel poziționată încât să nu poată fi trasă afară din recipientul pentru momeli.</w:t>
            </w:r>
          </w:p>
          <w:p w:rsidR="00D46C2A" w:rsidRPr="002305E6" w:rsidRDefault="00D46C2A" w:rsidP="002305E6">
            <w:pPr>
              <w:pStyle w:val="NoSpacing"/>
              <w:rPr>
                <w:lang w:val="fr-CA"/>
              </w:rPr>
            </w:pPr>
            <w:r w:rsidRPr="002305E6">
              <w:rPr>
                <w:lang w:val="fr-CA"/>
              </w:rPr>
              <w:t xml:space="preserve">Produsul va fi astfel amplasat încât să nu poată fi ajuns de copii, păsări, animalele domestice, animalele de fermă și alte animale care nu fac parte din grupul țintă. </w:t>
            </w:r>
          </w:p>
          <w:p w:rsidR="00D46C2A" w:rsidRPr="002305E6" w:rsidRDefault="00D46C2A" w:rsidP="002305E6">
            <w:pPr>
              <w:pStyle w:val="NoSpacing"/>
              <w:rPr>
                <w:lang w:val="fr-CA"/>
              </w:rPr>
            </w:pPr>
            <w:r w:rsidRPr="002305E6">
              <w:rPr>
                <w:lang w:val="fr-CA"/>
              </w:rPr>
              <w:t>Produsul va fi amplasat departe de produsele alimentare, băuturi și hrana pentru animale, precum și de ustensile sau suprafețele ce pot intra în contact cu produsul.</w:t>
            </w:r>
          </w:p>
          <w:p w:rsidR="00D46C2A" w:rsidRPr="002305E6" w:rsidRDefault="00D46C2A" w:rsidP="002305E6">
            <w:pPr>
              <w:pStyle w:val="NoSpacing"/>
              <w:rPr>
                <w:lang w:val="fr-CA"/>
              </w:rPr>
            </w:pPr>
            <w:r w:rsidRPr="002305E6">
              <w:rPr>
                <w:lang w:val="fr-CA"/>
              </w:rPr>
              <w:t>În faza de manipulare a produsului, se vor purta mănuși de protecție rezistente la substanțe chimice.</w:t>
            </w:r>
          </w:p>
          <w:p w:rsidR="00D46C2A" w:rsidRPr="002305E6" w:rsidRDefault="00D46C2A" w:rsidP="002305E6">
            <w:pPr>
              <w:pStyle w:val="NoSpacing"/>
              <w:rPr>
                <w:lang w:val="fr-CA"/>
              </w:rPr>
            </w:pPr>
            <w:r w:rsidRPr="002305E6">
              <w:rPr>
                <w:lang w:val="fr-CA"/>
              </w:rPr>
              <w:t xml:space="preserve">Nu se va consuma mâncare, băutură și nu se va fuma în timpul utilizării produsului. Spălați-vă mâinile și pielea direct expusă după folosirea produsului. </w:t>
            </w:r>
          </w:p>
          <w:p w:rsidR="00D46C2A" w:rsidRPr="002305E6" w:rsidRDefault="00D46C2A" w:rsidP="002305E6">
            <w:pPr>
              <w:pStyle w:val="NoSpacing"/>
              <w:rPr>
                <w:lang w:val="fr-CA"/>
              </w:rPr>
            </w:pPr>
            <w:r w:rsidRPr="002305E6">
              <w:rPr>
                <w:lang w:val="fr-CA"/>
              </w:rPr>
              <w:t>În cazul în care consumul de momeală este scăzut în raport cu gradul evident de infestare, se va lua în considerare repoziționarea momelilor în alte locuri dar și posibilitatea schimbării tipului de momeală.</w:t>
            </w:r>
          </w:p>
          <w:p w:rsidR="00D46C2A" w:rsidRPr="002305E6" w:rsidRDefault="00D46C2A" w:rsidP="002305E6">
            <w:pPr>
              <w:pStyle w:val="NoSpacing"/>
              <w:rPr>
                <w:lang w:val="fr-CA"/>
              </w:rPr>
            </w:pPr>
            <w:r w:rsidRPr="002305E6">
              <w:rPr>
                <w:lang w:val="fr-CA"/>
              </w:rPr>
              <w:t>Dacă, odată încheiată perioada de tratament de 35 de zile, momelile sunt consumate în continuare dar fără a se observa o reducere a numărului de rozătoare, se impune stabilirea motivului pentru care se întâmplă acest lucru. În situația în care au fost eliminate celelalte cauze, este vorba probabil de rozătoare rezistente la produs, de aceea, dacă este posibil, se impune utilizarea unui rodenticid neanticoagulant sau a unui rodenticid anticoagulant mai eficient. Se va lua în considerare, în plus, utilizarea de capcane ca măsură alternativă de control.</w:t>
            </w:r>
          </w:p>
          <w:p w:rsidR="00393522" w:rsidRPr="002305E6" w:rsidRDefault="00D46C2A" w:rsidP="002305E6">
            <w:pPr>
              <w:pStyle w:val="NoSpacing"/>
              <w:rPr>
                <w:lang w:val="fr-CA"/>
              </w:rPr>
            </w:pPr>
            <w:r w:rsidRPr="002305E6">
              <w:rPr>
                <w:lang w:val="fr-CA"/>
              </w:rPr>
              <w:t>La încheierea perioadei de tratament, se vor îndepărta momelile rămase sau recipientele cu momeli. Nu deschideți pliculețele ce conțin momeala.</w:t>
            </w:r>
          </w:p>
        </w:tc>
      </w:tr>
    </w:tbl>
    <w:p w:rsidR="00B66405" w:rsidRPr="002305E6" w:rsidRDefault="00B66405" w:rsidP="002305E6">
      <w:pPr>
        <w:pStyle w:val="NoSpacing"/>
        <w:rPr>
          <w:b/>
          <w:lang w:val="ro-RO"/>
        </w:rPr>
      </w:pPr>
      <w:r w:rsidRPr="002305E6">
        <w:rPr>
          <w:b/>
          <w:lang w:val="ro-RO"/>
        </w:rPr>
        <w:lastRenderedPageBreak/>
        <w:t>XVIII.</w:t>
      </w:r>
      <w:r w:rsidR="00EF1059" w:rsidRPr="002305E6">
        <w:rPr>
          <w:b/>
          <w:lang w:val="ro-RO"/>
        </w:rPr>
        <w:t xml:space="preserve"> INSTRUCT</w:t>
      </w:r>
      <w:r w:rsidRPr="002305E6">
        <w:rPr>
          <w:b/>
          <w:lang w:val="ro-RO"/>
        </w:rPr>
        <w:t>IUNI PENTRU ELIMINAREA ÎN SIGURAN</w:t>
      </w:r>
      <w:r w:rsidR="00EF1059" w:rsidRPr="002305E6">
        <w:rPr>
          <w:b/>
          <w:lang w:val="ro-RO"/>
        </w:rPr>
        <w:t>T</w:t>
      </w:r>
      <w:r w:rsidRPr="002305E6">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2305E6" w:rsidTr="000E2EF7">
        <w:tc>
          <w:tcPr>
            <w:tcW w:w="9923" w:type="dxa"/>
          </w:tcPr>
          <w:p w:rsidR="007707AC" w:rsidRPr="002305E6" w:rsidRDefault="003B38F7" w:rsidP="002305E6">
            <w:pPr>
              <w:pStyle w:val="NoSpacing"/>
              <w:rPr>
                <w:lang w:val="ro-RO"/>
              </w:rPr>
            </w:pPr>
            <w:r w:rsidRPr="002305E6">
              <w:rPr>
                <w:lang w:val="ro-RO"/>
              </w:rPr>
              <w:t>Eliminarea resurselor de produse si a ambalajelor acestora se face in conformitate cu prevederile Legii 211/2011 privind regimul deseurilor, de catre operatorii  autorizati.</w:t>
            </w:r>
            <w:r w:rsidR="009958D2" w:rsidRPr="002305E6">
              <w:rPr>
                <w:lang w:val="ro-RO"/>
              </w:rPr>
              <w:t xml:space="preserve">Eliminati rozatoarele moarte in conformitate cu cerintele locale . Produsul nu este destinat utilizarii permanente (durata maxima de 35 zile ). </w:t>
            </w:r>
          </w:p>
        </w:tc>
      </w:tr>
      <w:tr w:rsidR="007707AC" w:rsidRPr="002305E6" w:rsidTr="000E2EF7">
        <w:tc>
          <w:tcPr>
            <w:tcW w:w="9923" w:type="dxa"/>
          </w:tcPr>
          <w:p w:rsidR="007707AC" w:rsidRPr="002305E6" w:rsidRDefault="007707AC" w:rsidP="002305E6">
            <w:pPr>
              <w:pStyle w:val="NoSpacing"/>
              <w:rPr>
                <w:lang w:val="ro-RO"/>
              </w:rPr>
            </w:pPr>
            <w:r w:rsidRPr="002305E6">
              <w:rPr>
                <w:lang w:val="ro-RO"/>
              </w:rPr>
              <w:t>Ambalaj:</w:t>
            </w:r>
            <w:r w:rsidRPr="002305E6">
              <w:rPr>
                <w:i/>
                <w:lang w:val="ro-RO"/>
              </w:rPr>
              <w:t xml:space="preserve"> </w:t>
            </w:r>
            <w:r w:rsidRPr="002305E6">
              <w:rPr>
                <w:lang w:val="ro-RO"/>
              </w:rPr>
              <w:t>Nu se reutilizează ambalajul și nu se eliberează în mediu produsul biocid</w:t>
            </w:r>
            <w:r w:rsidR="008341A5" w:rsidRPr="002305E6">
              <w:rPr>
                <w:lang w:val="ro-RO"/>
              </w:rPr>
              <w:t>. La sfarsitul perioadei de tratament, eliminati momeala neconsumata si ambalajul in conformitate cu cerintele locale. Se recomanda utilizarea de manusi.</w:t>
            </w:r>
          </w:p>
        </w:tc>
      </w:tr>
    </w:tbl>
    <w:p w:rsidR="00FF3D0E" w:rsidRPr="002305E6" w:rsidRDefault="00FF3D0E" w:rsidP="002305E6">
      <w:pPr>
        <w:rPr>
          <w:b/>
          <w:color w:val="000000"/>
          <w:lang w:val="ro-RO"/>
        </w:rPr>
      </w:pPr>
    </w:p>
    <w:p w:rsidR="00EA12B3" w:rsidRPr="002305E6" w:rsidRDefault="00B66405" w:rsidP="002305E6">
      <w:pPr>
        <w:rPr>
          <w:rFonts w:eastAsiaTheme="minorHAnsi"/>
        </w:rPr>
      </w:pPr>
      <w:r w:rsidRPr="002305E6">
        <w:rPr>
          <w:b/>
          <w:color w:val="000000"/>
          <w:lang w:val="ro-RO"/>
        </w:rPr>
        <w:t>XIX.</w:t>
      </w:r>
      <w:r w:rsidRPr="002305E6">
        <w:rPr>
          <w:color w:val="000000"/>
          <w:lang w:val="ro-RO"/>
        </w:rPr>
        <w:t xml:space="preserve"> </w:t>
      </w:r>
      <w:r w:rsidRPr="002305E6">
        <w:rPr>
          <w:b/>
          <w:color w:val="000000"/>
          <w:lang w:val="ro-RO"/>
        </w:rPr>
        <w:t>CONDI</w:t>
      </w:r>
      <w:r w:rsidR="00EF1059" w:rsidRPr="002305E6">
        <w:rPr>
          <w:b/>
          <w:color w:val="000000"/>
          <w:lang w:val="ro-RO"/>
        </w:rPr>
        <w:t>T</w:t>
      </w:r>
      <w:r w:rsidRPr="002305E6">
        <w:rPr>
          <w:b/>
          <w:color w:val="000000"/>
          <w:lang w:val="ro-RO"/>
        </w:rPr>
        <w:t>IILE DE DEPOZITARE</w:t>
      </w:r>
      <w:r w:rsidRPr="002305E6">
        <w:rPr>
          <w:color w:val="000000"/>
          <w:lang w:val="ro-RO"/>
        </w:rPr>
        <w:t xml:space="preserve"> </w:t>
      </w:r>
      <w:r w:rsidR="006E4D8B" w:rsidRPr="002305E6">
        <w:rPr>
          <w:color w:val="000000"/>
          <w:lang w:val="ro-RO"/>
        </w:rPr>
        <w:t>:</w:t>
      </w:r>
      <w:r w:rsidR="006E4D8B" w:rsidRPr="002305E6">
        <w:rPr>
          <w:color w:val="000000"/>
          <w:lang w:val="it-IT"/>
        </w:rPr>
        <w:t>.</w:t>
      </w:r>
      <w:r w:rsidR="00847CDB" w:rsidRPr="002305E6">
        <w:rPr>
          <w:rFonts w:eastAsiaTheme="minorHAnsi"/>
        </w:rPr>
        <w:t xml:space="preserve"> </w:t>
      </w:r>
    </w:p>
    <w:p w:rsidR="008341A5" w:rsidRPr="002305E6" w:rsidRDefault="00B66405" w:rsidP="002305E6">
      <w:pPr>
        <w:rPr>
          <w:b/>
          <w:lang w:val="ro-RO"/>
        </w:rPr>
      </w:pPr>
      <w:r w:rsidRPr="002305E6">
        <w:rPr>
          <w:lang w:val="ro-RO"/>
        </w:rPr>
        <w:t>DURATA DE CONSERVARE A PRODUSELOR BIOCIDE ÎN CONDI</w:t>
      </w:r>
      <w:r w:rsidR="00EF1059" w:rsidRPr="002305E6">
        <w:rPr>
          <w:lang w:val="ro-RO"/>
        </w:rPr>
        <w:t>T</w:t>
      </w:r>
      <w:r w:rsidRPr="002305E6">
        <w:rPr>
          <w:lang w:val="ro-RO"/>
        </w:rPr>
        <w:t xml:space="preserve">II NORMALE DE DEPOZITARE </w:t>
      </w:r>
      <w:r w:rsidR="007406C6" w:rsidRPr="002305E6">
        <w:rPr>
          <w:b/>
          <w:lang w:val="ro-RO"/>
        </w:rPr>
        <w:t xml:space="preserve">: </w:t>
      </w:r>
      <w:r w:rsidR="008341A5" w:rsidRPr="002305E6">
        <w:rPr>
          <w:b/>
          <w:lang w:val="ro-RO"/>
        </w:rPr>
        <w:t>24 luni</w:t>
      </w:r>
    </w:p>
    <w:p w:rsidR="001D43BA" w:rsidRPr="002305E6" w:rsidRDefault="008341A5" w:rsidP="002305E6">
      <w:pPr>
        <w:rPr>
          <w:lang w:val="ro-RO"/>
        </w:rPr>
      </w:pPr>
      <w:r w:rsidRPr="002305E6">
        <w:rPr>
          <w:lang w:val="ro-RO"/>
        </w:rPr>
        <w:t>Depozitati numai in recipientul original. Depozitati recipientele sigilate departe de lumina directa a soarelui. Nu lasati la indemana copiilor si animalelor de companie.Pastrati departe de alimente, bauturi si hrana pentru animale</w:t>
      </w:r>
    </w:p>
    <w:p w:rsidR="000F5914" w:rsidRPr="002305E6" w:rsidRDefault="000F5914" w:rsidP="002305E6">
      <w:pPr>
        <w:pStyle w:val="NoSpacing"/>
        <w:rPr>
          <w:b/>
          <w:lang w:val="ro-RO"/>
        </w:rPr>
      </w:pPr>
    </w:p>
    <w:p w:rsidR="005D779E" w:rsidRPr="002305E6" w:rsidRDefault="0003534F" w:rsidP="002305E6">
      <w:pPr>
        <w:pStyle w:val="NoSpacing"/>
        <w:rPr>
          <w:lang w:val="ro-RO"/>
        </w:rPr>
      </w:pPr>
      <w:r w:rsidRPr="002305E6">
        <w:rPr>
          <w:b/>
          <w:lang w:val="ro-RO"/>
        </w:rPr>
        <w:t>XX.</w:t>
      </w:r>
      <w:r w:rsidR="00D60970" w:rsidRPr="002305E6">
        <w:rPr>
          <w:b/>
          <w:lang w:val="ro-RO"/>
        </w:rPr>
        <w:t xml:space="preserve"> </w:t>
      </w:r>
      <w:r w:rsidR="00B66405" w:rsidRPr="002305E6">
        <w:rPr>
          <w:b/>
          <w:lang w:val="ro-RO"/>
        </w:rPr>
        <w:t>ALTE INFORMA</w:t>
      </w:r>
      <w:r w:rsidR="00EF1059" w:rsidRPr="002305E6">
        <w:rPr>
          <w:b/>
          <w:lang w:val="ro-RO"/>
        </w:rPr>
        <w:t>T</w:t>
      </w:r>
      <w:r w:rsidR="004D1157" w:rsidRPr="002305E6">
        <w:rPr>
          <w:b/>
          <w:lang w:val="ro-RO"/>
        </w:rPr>
        <w:t xml:space="preserve">II: </w:t>
      </w:r>
      <w:r w:rsidR="005D779E" w:rsidRPr="002305E6">
        <w:rPr>
          <w:lang w:val="ro-RO"/>
        </w:rPr>
        <w:t>Datorită modului lor de acţiune intarziat, rodenticidele anticoagulante pot necesita de la 4  până la 10 zile după ingerare pentru a fi eficiente.</w:t>
      </w:r>
      <w:r w:rsidR="008C2537" w:rsidRPr="002305E6">
        <w:rPr>
          <w:lang w:val="ro-RO"/>
        </w:rPr>
        <w:t xml:space="preserve"> </w:t>
      </w:r>
      <w:r w:rsidR="005D779E" w:rsidRPr="002305E6">
        <w:rPr>
          <w:lang w:val="ro-RO"/>
        </w:rPr>
        <w:t>Rozătoarele pot fi purtătoare de boli. Nu manipulaţi rozătoarele moarte cu mâinile goale: pentru indepărtare, utilizaţi  mă</w:t>
      </w:r>
      <w:r w:rsidR="008C2537" w:rsidRPr="002305E6">
        <w:rPr>
          <w:lang w:val="ro-RO"/>
        </w:rPr>
        <w:t>nuși sau unelte precum cleștii.</w:t>
      </w:r>
    </w:p>
    <w:p w:rsidR="005D779E" w:rsidRPr="002305E6" w:rsidRDefault="005D779E" w:rsidP="002305E6">
      <w:pPr>
        <w:pStyle w:val="NoSpacing"/>
        <w:rPr>
          <w:lang w:val="ro-RO"/>
        </w:rPr>
      </w:pPr>
      <w:r w:rsidRPr="002305E6">
        <w:rPr>
          <w:lang w:val="ro-RO"/>
        </w:rPr>
        <w:t>Acest produs conține un agent cu gust amar și o colorant.</w:t>
      </w:r>
    </w:p>
    <w:p w:rsidR="00C15D60" w:rsidRPr="002305E6" w:rsidRDefault="00C15D60" w:rsidP="002305E6">
      <w:pPr>
        <w:pStyle w:val="NoSpacing"/>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2305E6" w:rsidTr="006B235A">
        <w:tc>
          <w:tcPr>
            <w:tcW w:w="9923" w:type="dxa"/>
          </w:tcPr>
          <w:p w:rsidR="00B66405" w:rsidRPr="002305E6" w:rsidRDefault="00B66405" w:rsidP="002305E6">
            <w:pPr>
              <w:pStyle w:val="NoSpacing"/>
              <w:rPr>
                <w:lang w:val="ro-RO"/>
              </w:rPr>
            </w:pPr>
            <w:r w:rsidRPr="002305E6">
              <w:rPr>
                <w:lang w:val="ro-RO"/>
              </w:rPr>
              <w:t>Prezenta autoriza</w:t>
            </w:r>
            <w:r w:rsidR="007707AC" w:rsidRPr="002305E6">
              <w:rPr>
                <w:lang w:val="ro-RO"/>
              </w:rPr>
              <w:t>t</w:t>
            </w:r>
            <w:r w:rsidRPr="002305E6">
              <w:rPr>
                <w:lang w:val="ro-RO"/>
              </w:rPr>
              <w:t>ie este înso</w:t>
            </w:r>
            <w:r w:rsidR="007707AC" w:rsidRPr="002305E6">
              <w:rPr>
                <w:lang w:val="ro-RO"/>
              </w:rPr>
              <w:t>t</w:t>
            </w:r>
            <w:r w:rsidRPr="002305E6">
              <w:rPr>
                <w:lang w:val="ro-RO"/>
              </w:rPr>
              <w:t>ită de următoarele documente :</w:t>
            </w:r>
          </w:p>
          <w:p w:rsidR="00B66405" w:rsidRPr="002305E6" w:rsidRDefault="0089407B" w:rsidP="002305E6">
            <w:pPr>
              <w:pStyle w:val="NoSpacing"/>
              <w:rPr>
                <w:lang w:val="ro-RO"/>
              </w:rPr>
            </w:pPr>
            <w:r w:rsidRPr="002305E6">
              <w:rPr>
                <w:lang w:val="ro-RO"/>
              </w:rPr>
              <w:t>-</w:t>
            </w:r>
            <w:r w:rsidR="00B66405" w:rsidRPr="002305E6">
              <w:rPr>
                <w:lang w:val="ro-RO"/>
              </w:rPr>
              <w:t>proiect de etichetă a produsului biocid</w:t>
            </w:r>
          </w:p>
          <w:p w:rsidR="00B66405" w:rsidRPr="002305E6" w:rsidRDefault="0089407B" w:rsidP="002305E6">
            <w:pPr>
              <w:pStyle w:val="NoSpacing"/>
              <w:rPr>
                <w:lang w:val="ro-RO"/>
              </w:rPr>
            </w:pPr>
            <w:r w:rsidRPr="002305E6">
              <w:rPr>
                <w:lang w:val="ro-RO"/>
              </w:rPr>
              <w:t>-</w:t>
            </w:r>
            <w:r w:rsidR="00B66405" w:rsidRPr="002305E6">
              <w:rPr>
                <w:lang w:val="ro-RO"/>
              </w:rPr>
              <w:t>fi</w:t>
            </w:r>
            <w:r w:rsidR="007707AC" w:rsidRPr="002305E6">
              <w:rPr>
                <w:lang w:val="ro-RO"/>
              </w:rPr>
              <w:t>s</w:t>
            </w:r>
            <w:r w:rsidR="00B66405" w:rsidRPr="002305E6">
              <w:rPr>
                <w:lang w:val="ro-RO"/>
              </w:rPr>
              <w:t>a cu date de securitate a produsului biocid</w:t>
            </w:r>
          </w:p>
          <w:p w:rsidR="00B66405" w:rsidRPr="002305E6" w:rsidRDefault="0089407B" w:rsidP="002305E6">
            <w:pPr>
              <w:pStyle w:val="NoSpacing"/>
              <w:rPr>
                <w:lang w:val="ro-RO"/>
              </w:rPr>
            </w:pPr>
            <w:r w:rsidRPr="002305E6">
              <w:rPr>
                <w:lang w:val="ro-RO"/>
              </w:rPr>
              <w:t>-</w:t>
            </w:r>
            <w:r w:rsidR="00B66405" w:rsidRPr="002305E6">
              <w:rPr>
                <w:lang w:val="ro-RO"/>
              </w:rPr>
              <w:t xml:space="preserve">rezumatul caracteristicilor produsului biocid </w:t>
            </w:r>
          </w:p>
        </w:tc>
      </w:tr>
    </w:tbl>
    <w:p w:rsidR="00B66405" w:rsidRPr="002305E6" w:rsidRDefault="00B66405" w:rsidP="002305E6">
      <w:pPr>
        <w:numPr>
          <w:ilvl w:val="0"/>
          <w:numId w:val="7"/>
        </w:numPr>
        <w:ind w:left="709"/>
        <w:rPr>
          <w:lang w:val="ro-RO"/>
        </w:rPr>
      </w:pPr>
      <w:r w:rsidRPr="002305E6">
        <w:rPr>
          <w:lang w:val="ro-RO"/>
        </w:rPr>
        <w:t>Este obligatorie transmiterea de către de</w:t>
      </w:r>
      <w:r w:rsidR="007707AC" w:rsidRPr="002305E6">
        <w:rPr>
          <w:lang w:val="ro-RO"/>
        </w:rPr>
        <w:t>tinătorul autorizatiei a fis</w:t>
      </w:r>
      <w:r w:rsidRPr="002305E6">
        <w:rPr>
          <w:lang w:val="ro-RO"/>
        </w:rPr>
        <w:t>ei cu date de</w:t>
      </w:r>
      <w:r w:rsidR="007707AC" w:rsidRPr="002305E6">
        <w:rPr>
          <w:lang w:val="ro-RO"/>
        </w:rPr>
        <w:t xml:space="preserve"> securitate către Institutul Nat</w:t>
      </w:r>
      <w:r w:rsidRPr="002305E6">
        <w:rPr>
          <w:lang w:val="ro-RO"/>
        </w:rPr>
        <w:t xml:space="preserve">ional de Sănătate Publică </w:t>
      </w:r>
      <w:r w:rsidR="007707AC" w:rsidRPr="002305E6">
        <w:rPr>
          <w:lang w:val="ro-RO"/>
        </w:rPr>
        <w:t>– Biroul RSI s</w:t>
      </w:r>
      <w:r w:rsidRPr="002305E6">
        <w:rPr>
          <w:lang w:val="ro-RO"/>
        </w:rPr>
        <w:t>i Informare Toxicologică</w:t>
      </w:r>
    </w:p>
    <w:p w:rsidR="00B66405" w:rsidRPr="002305E6" w:rsidRDefault="00B66405" w:rsidP="002305E6">
      <w:pPr>
        <w:numPr>
          <w:ilvl w:val="0"/>
          <w:numId w:val="7"/>
        </w:numPr>
        <w:ind w:left="709"/>
        <w:rPr>
          <w:lang w:val="ro-RO"/>
        </w:rPr>
      </w:pPr>
      <w:r w:rsidRPr="002305E6">
        <w:rPr>
          <w:lang w:val="ro-RO"/>
        </w:rPr>
        <w:t>P</w:t>
      </w:r>
      <w:r w:rsidR="007707AC" w:rsidRPr="002305E6">
        <w:rPr>
          <w:lang w:val="ro-RO"/>
        </w:rPr>
        <w:t>rezentul document poate fi însot</w:t>
      </w:r>
      <w:r w:rsidRPr="002305E6">
        <w:rPr>
          <w:lang w:val="ro-RO"/>
        </w:rPr>
        <w:t>it de anexă în cazul modificărilor administrative</w:t>
      </w:r>
    </w:p>
    <w:p w:rsidR="00B66405" w:rsidRPr="002305E6" w:rsidRDefault="00B66405" w:rsidP="002305E6">
      <w:pPr>
        <w:rPr>
          <w:lang w:val="ro-RO"/>
        </w:rPr>
      </w:pPr>
    </w:p>
    <w:p w:rsidR="00322FFE" w:rsidRPr="002305E6" w:rsidRDefault="00B66405" w:rsidP="002305E6">
      <w:pPr>
        <w:pStyle w:val="NoSpacing"/>
        <w:rPr>
          <w:lang w:val="ro-RO"/>
        </w:rPr>
      </w:pPr>
      <w:r w:rsidRPr="002305E6">
        <w:rPr>
          <w:color w:val="FF0000"/>
          <w:lang w:val="ro-RO"/>
        </w:rPr>
        <w:tab/>
      </w:r>
      <w:r w:rsidRPr="002305E6">
        <w:rPr>
          <w:color w:val="FF0000"/>
          <w:lang w:val="ro-RO"/>
        </w:rPr>
        <w:tab/>
      </w:r>
      <w:r w:rsidRPr="002305E6">
        <w:rPr>
          <w:color w:val="FF0000"/>
          <w:lang w:val="ro-RO"/>
        </w:rPr>
        <w:tab/>
      </w:r>
      <w:r w:rsidRPr="002305E6">
        <w:rPr>
          <w:color w:val="FF0000"/>
          <w:lang w:val="ro-RO"/>
        </w:rPr>
        <w:tab/>
      </w:r>
      <w:r w:rsidRPr="002305E6">
        <w:rPr>
          <w:color w:val="FF0000"/>
          <w:lang w:val="ro-RO"/>
        </w:rPr>
        <w:tab/>
      </w:r>
      <w:r w:rsidRPr="002305E6">
        <w:rPr>
          <w:color w:val="FF0000"/>
          <w:lang w:val="ro-RO"/>
        </w:rPr>
        <w:tab/>
      </w:r>
      <w:r w:rsidRPr="002305E6">
        <w:rPr>
          <w:color w:val="FF0000"/>
          <w:lang w:val="ro-RO"/>
        </w:rPr>
        <w:tab/>
      </w:r>
      <w:r w:rsidRPr="002305E6">
        <w:rPr>
          <w:color w:val="FF0000"/>
          <w:lang w:val="ro-RO"/>
        </w:rPr>
        <w:tab/>
      </w:r>
      <w:r w:rsidRPr="002305E6">
        <w:rPr>
          <w:lang w:val="ro-RO"/>
        </w:rPr>
        <w:t>PRE</w:t>
      </w:r>
      <w:r w:rsidR="00A616BE" w:rsidRPr="002305E6">
        <w:rPr>
          <w:lang w:val="ro-RO"/>
        </w:rPr>
        <w:t>S</w:t>
      </w:r>
      <w:r w:rsidRPr="002305E6">
        <w:rPr>
          <w:lang w:val="ro-RO"/>
        </w:rPr>
        <w:t>EDINTE,</w:t>
      </w:r>
    </w:p>
    <w:p w:rsidR="00016938" w:rsidRPr="002305E6" w:rsidRDefault="00A04268" w:rsidP="002305E6">
      <w:pPr>
        <w:pStyle w:val="NoSpacing"/>
      </w:pPr>
      <w:r w:rsidRPr="002305E6">
        <w:rPr>
          <w:lang w:val="ro-RO"/>
        </w:rPr>
        <w:tab/>
      </w:r>
      <w:r w:rsidRPr="002305E6">
        <w:rPr>
          <w:lang w:val="ro-RO"/>
        </w:rPr>
        <w:tab/>
      </w:r>
      <w:r w:rsidRPr="002305E6">
        <w:rPr>
          <w:lang w:val="ro-RO"/>
        </w:rPr>
        <w:tab/>
      </w:r>
      <w:r w:rsidRPr="002305E6">
        <w:rPr>
          <w:lang w:val="ro-RO"/>
        </w:rPr>
        <w:tab/>
      </w:r>
      <w:r w:rsidRPr="002305E6">
        <w:rPr>
          <w:lang w:val="ro-RO"/>
        </w:rPr>
        <w:tab/>
      </w:r>
      <w:r w:rsidRPr="002305E6">
        <w:rPr>
          <w:lang w:val="ro-RO"/>
        </w:rPr>
        <w:tab/>
      </w:r>
      <w:r w:rsidRPr="002305E6">
        <w:rPr>
          <w:lang w:val="ro-RO"/>
        </w:rPr>
        <w:tab/>
      </w:r>
      <w:r w:rsidRPr="002305E6">
        <w:rPr>
          <w:lang w:val="ro-RO"/>
        </w:rPr>
        <w:tab/>
        <w:t>Dr. Chim. Gabriela Cilinca</w:t>
      </w:r>
    </w:p>
    <w:sectPr w:rsidR="00016938" w:rsidRPr="002305E6"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09" w:rsidRDefault="00D64909">
      <w:r>
        <w:separator/>
      </w:r>
    </w:p>
  </w:endnote>
  <w:endnote w:type="continuationSeparator" w:id="0">
    <w:p w:rsidR="00D64909" w:rsidRDefault="00D6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MS Gothic"/>
    <w:panose1 w:val="00000000000000000000"/>
    <w:charset w:val="80"/>
    <w:family w:val="swiss"/>
    <w:notTrueType/>
    <w:pitch w:val="default"/>
    <w:sig w:usb0="00000000" w:usb1="08070000" w:usb2="00000010" w:usb3="00000000" w:csb0="0002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DC451B">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DC451B">
            <w:rPr>
              <w:rFonts w:ascii="Arial" w:hAnsi="Arial"/>
              <w:noProof/>
              <w:sz w:val="18"/>
            </w:rPr>
            <w:t>9</w:t>
          </w:r>
          <w:r w:rsidRPr="00EA2CC9">
            <w:rPr>
              <w:rFonts w:ascii="Arial" w:hAnsi="Arial"/>
              <w:sz w:val="18"/>
            </w:rPr>
            <w:fldChar w:fldCharType="end"/>
          </w:r>
        </w:p>
      </w:tc>
      <w:tc>
        <w:tcPr>
          <w:tcW w:w="8222" w:type="dxa"/>
          <w:shd w:val="clear" w:color="auto" w:fill="auto"/>
        </w:tcPr>
        <w:p w:rsidR="00C42415" w:rsidRPr="007A1CBD" w:rsidRDefault="00D64909" w:rsidP="007716CC">
          <w:pPr>
            <w:pStyle w:val="Header"/>
            <w:jc w:val="center"/>
            <w:rPr>
              <w:rFonts w:ascii="Arial" w:hAnsi="Arial"/>
              <w:sz w:val="6"/>
            </w:rPr>
          </w:pPr>
        </w:p>
        <w:p w:rsidR="00C42415" w:rsidRPr="002305E6" w:rsidRDefault="00A50DBB" w:rsidP="00B253E0">
          <w:pPr>
            <w:pStyle w:val="Header"/>
          </w:pPr>
          <w:r>
            <w:t xml:space="preserve">            </w:t>
          </w:r>
          <w:r w:rsidR="00B66405" w:rsidRPr="002305E6">
            <w:t>Autorizatie nr.</w:t>
          </w:r>
          <w:r w:rsidRPr="002305E6">
            <w:rPr>
              <w:lang w:val="it-IT"/>
            </w:rPr>
            <w:t xml:space="preserve"> </w:t>
          </w:r>
          <w:r w:rsidR="002305E6" w:rsidRPr="002305E6">
            <w:rPr>
              <w:lang w:val="it-IT"/>
            </w:rPr>
            <w:t>RO/2019/0252/MRA/IT/2014/00208/AUT</w:t>
          </w:r>
        </w:p>
      </w:tc>
    </w:tr>
  </w:tbl>
  <w:p w:rsidR="00C42415" w:rsidRDefault="00D64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09" w:rsidRDefault="00D64909">
      <w:r>
        <w:separator/>
      </w:r>
    </w:p>
  </w:footnote>
  <w:footnote w:type="continuationSeparator" w:id="0">
    <w:p w:rsidR="00D64909" w:rsidRDefault="00D6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D64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01B38"/>
    <w:multiLevelType w:val="hybridMultilevel"/>
    <w:tmpl w:val="6874C4FA"/>
    <w:lvl w:ilvl="0" w:tplc="3F6EB5C2">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1"/>
  </w:num>
  <w:num w:numId="4">
    <w:abstractNumId w:val="24"/>
  </w:num>
  <w:num w:numId="5">
    <w:abstractNumId w:val="0"/>
  </w:num>
  <w:num w:numId="6">
    <w:abstractNumId w:val="30"/>
  </w:num>
  <w:num w:numId="7">
    <w:abstractNumId w:val="7"/>
  </w:num>
  <w:num w:numId="8">
    <w:abstractNumId w:val="35"/>
  </w:num>
  <w:num w:numId="9">
    <w:abstractNumId w:val="25"/>
  </w:num>
  <w:num w:numId="10">
    <w:abstractNumId w:val="15"/>
  </w:num>
  <w:num w:numId="11">
    <w:abstractNumId w:val="34"/>
  </w:num>
  <w:num w:numId="12">
    <w:abstractNumId w:val="28"/>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2"/>
  </w:num>
  <w:num w:numId="21">
    <w:abstractNumId w:val="14"/>
  </w:num>
  <w:num w:numId="22">
    <w:abstractNumId w:val="5"/>
  </w:num>
  <w:num w:numId="23">
    <w:abstractNumId w:val="8"/>
  </w:num>
  <w:num w:numId="24">
    <w:abstractNumId w:val="3"/>
  </w:num>
  <w:num w:numId="25">
    <w:abstractNumId w:val="36"/>
  </w:num>
  <w:num w:numId="26">
    <w:abstractNumId w:val="18"/>
  </w:num>
  <w:num w:numId="27">
    <w:abstractNumId w:val="17"/>
  </w:num>
  <w:num w:numId="28">
    <w:abstractNumId w:val="29"/>
  </w:num>
  <w:num w:numId="29">
    <w:abstractNumId w:val="10"/>
  </w:num>
  <w:num w:numId="30">
    <w:abstractNumId w:val="26"/>
  </w:num>
  <w:num w:numId="31">
    <w:abstractNumId w:val="12"/>
  </w:num>
  <w:num w:numId="32">
    <w:abstractNumId w:val="22"/>
  </w:num>
  <w:num w:numId="33">
    <w:abstractNumId w:val="21"/>
  </w:num>
  <w:num w:numId="34">
    <w:abstractNumId w:val="27"/>
  </w:num>
  <w:num w:numId="35">
    <w:abstractNumId w:val="33"/>
  </w:num>
  <w:num w:numId="36">
    <w:abstractNumId w:val="2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07C8"/>
    <w:rsid w:val="00031285"/>
    <w:rsid w:val="0003534F"/>
    <w:rsid w:val="00037CA8"/>
    <w:rsid w:val="00041494"/>
    <w:rsid w:val="00044538"/>
    <w:rsid w:val="0004550C"/>
    <w:rsid w:val="00050B00"/>
    <w:rsid w:val="00056AD7"/>
    <w:rsid w:val="00056E50"/>
    <w:rsid w:val="000624BD"/>
    <w:rsid w:val="000752A2"/>
    <w:rsid w:val="00076880"/>
    <w:rsid w:val="000863C7"/>
    <w:rsid w:val="0008689C"/>
    <w:rsid w:val="00094ED4"/>
    <w:rsid w:val="000E652C"/>
    <w:rsid w:val="000F0086"/>
    <w:rsid w:val="000F5914"/>
    <w:rsid w:val="00111292"/>
    <w:rsid w:val="00111DB4"/>
    <w:rsid w:val="00113112"/>
    <w:rsid w:val="001247DF"/>
    <w:rsid w:val="001416A2"/>
    <w:rsid w:val="00141EB5"/>
    <w:rsid w:val="001546AC"/>
    <w:rsid w:val="00160E12"/>
    <w:rsid w:val="00161F7B"/>
    <w:rsid w:val="00173022"/>
    <w:rsid w:val="001801D2"/>
    <w:rsid w:val="001859C3"/>
    <w:rsid w:val="00193653"/>
    <w:rsid w:val="00196CB8"/>
    <w:rsid w:val="001A096C"/>
    <w:rsid w:val="001A29C7"/>
    <w:rsid w:val="001A55AF"/>
    <w:rsid w:val="001B1762"/>
    <w:rsid w:val="001B1AC4"/>
    <w:rsid w:val="001B2EA8"/>
    <w:rsid w:val="001C5D0F"/>
    <w:rsid w:val="001D43BA"/>
    <w:rsid w:val="001D551C"/>
    <w:rsid w:val="001E1025"/>
    <w:rsid w:val="001E1B75"/>
    <w:rsid w:val="001F7047"/>
    <w:rsid w:val="00201651"/>
    <w:rsid w:val="00203F73"/>
    <w:rsid w:val="00205548"/>
    <w:rsid w:val="002069AB"/>
    <w:rsid w:val="002069D8"/>
    <w:rsid w:val="00207796"/>
    <w:rsid w:val="002155D9"/>
    <w:rsid w:val="002305E6"/>
    <w:rsid w:val="00232E95"/>
    <w:rsid w:val="00236B13"/>
    <w:rsid w:val="002610E0"/>
    <w:rsid w:val="00261BB3"/>
    <w:rsid w:val="00262400"/>
    <w:rsid w:val="00267338"/>
    <w:rsid w:val="00267B5C"/>
    <w:rsid w:val="00270F95"/>
    <w:rsid w:val="00276845"/>
    <w:rsid w:val="00285749"/>
    <w:rsid w:val="002877F4"/>
    <w:rsid w:val="00293EA8"/>
    <w:rsid w:val="00294AB3"/>
    <w:rsid w:val="002A6BEB"/>
    <w:rsid w:val="002B09E0"/>
    <w:rsid w:val="002C1F65"/>
    <w:rsid w:val="002D3684"/>
    <w:rsid w:val="002D65DA"/>
    <w:rsid w:val="002E67AA"/>
    <w:rsid w:val="002F1B9A"/>
    <w:rsid w:val="002F2D46"/>
    <w:rsid w:val="002F6B33"/>
    <w:rsid w:val="002F6F5D"/>
    <w:rsid w:val="00306482"/>
    <w:rsid w:val="00312270"/>
    <w:rsid w:val="0031250E"/>
    <w:rsid w:val="003141DD"/>
    <w:rsid w:val="00315635"/>
    <w:rsid w:val="00322856"/>
    <w:rsid w:val="00326B6A"/>
    <w:rsid w:val="00340FC3"/>
    <w:rsid w:val="00343AE3"/>
    <w:rsid w:val="00346AEE"/>
    <w:rsid w:val="00353583"/>
    <w:rsid w:val="003557F8"/>
    <w:rsid w:val="003711FA"/>
    <w:rsid w:val="00385365"/>
    <w:rsid w:val="0039240C"/>
    <w:rsid w:val="00393522"/>
    <w:rsid w:val="003A21DF"/>
    <w:rsid w:val="003A3556"/>
    <w:rsid w:val="003A4CA3"/>
    <w:rsid w:val="003B38F7"/>
    <w:rsid w:val="003C4685"/>
    <w:rsid w:val="003C57BD"/>
    <w:rsid w:val="003E0582"/>
    <w:rsid w:val="003E25B6"/>
    <w:rsid w:val="003E4CCE"/>
    <w:rsid w:val="003E5741"/>
    <w:rsid w:val="003F01C7"/>
    <w:rsid w:val="00400263"/>
    <w:rsid w:val="004020CE"/>
    <w:rsid w:val="004058F7"/>
    <w:rsid w:val="00407CD5"/>
    <w:rsid w:val="00410C1A"/>
    <w:rsid w:val="00414655"/>
    <w:rsid w:val="00420EED"/>
    <w:rsid w:val="00427601"/>
    <w:rsid w:val="004473D1"/>
    <w:rsid w:val="004531A3"/>
    <w:rsid w:val="0045414D"/>
    <w:rsid w:val="004678F9"/>
    <w:rsid w:val="00467F1E"/>
    <w:rsid w:val="00475130"/>
    <w:rsid w:val="004878B2"/>
    <w:rsid w:val="00491026"/>
    <w:rsid w:val="004A208E"/>
    <w:rsid w:val="004A7633"/>
    <w:rsid w:val="004D1157"/>
    <w:rsid w:val="004D276B"/>
    <w:rsid w:val="004E17C7"/>
    <w:rsid w:val="004E26F2"/>
    <w:rsid w:val="004F11D6"/>
    <w:rsid w:val="004F30E7"/>
    <w:rsid w:val="004F60DD"/>
    <w:rsid w:val="005118EB"/>
    <w:rsid w:val="00513FBB"/>
    <w:rsid w:val="0051661B"/>
    <w:rsid w:val="00523724"/>
    <w:rsid w:val="0054192A"/>
    <w:rsid w:val="0054365D"/>
    <w:rsid w:val="00556592"/>
    <w:rsid w:val="0055665A"/>
    <w:rsid w:val="005603AD"/>
    <w:rsid w:val="00561B6F"/>
    <w:rsid w:val="00563B04"/>
    <w:rsid w:val="00564DC0"/>
    <w:rsid w:val="00565D4E"/>
    <w:rsid w:val="00571122"/>
    <w:rsid w:val="00586D5F"/>
    <w:rsid w:val="00591001"/>
    <w:rsid w:val="0059478D"/>
    <w:rsid w:val="00595C61"/>
    <w:rsid w:val="00597215"/>
    <w:rsid w:val="005A2AC9"/>
    <w:rsid w:val="005B7030"/>
    <w:rsid w:val="005C2BCF"/>
    <w:rsid w:val="005D143E"/>
    <w:rsid w:val="005D1DDF"/>
    <w:rsid w:val="005D755B"/>
    <w:rsid w:val="005D7610"/>
    <w:rsid w:val="005D779E"/>
    <w:rsid w:val="005F17DF"/>
    <w:rsid w:val="006034D2"/>
    <w:rsid w:val="0060460B"/>
    <w:rsid w:val="00616F38"/>
    <w:rsid w:val="006172D3"/>
    <w:rsid w:val="00631E8B"/>
    <w:rsid w:val="00640A10"/>
    <w:rsid w:val="00645617"/>
    <w:rsid w:val="00656221"/>
    <w:rsid w:val="0066180E"/>
    <w:rsid w:val="00665A11"/>
    <w:rsid w:val="006746BB"/>
    <w:rsid w:val="006747E6"/>
    <w:rsid w:val="0068059F"/>
    <w:rsid w:val="0068479C"/>
    <w:rsid w:val="00687379"/>
    <w:rsid w:val="00687B1A"/>
    <w:rsid w:val="006905CF"/>
    <w:rsid w:val="006927E4"/>
    <w:rsid w:val="00697846"/>
    <w:rsid w:val="006A185A"/>
    <w:rsid w:val="006A3624"/>
    <w:rsid w:val="006A485C"/>
    <w:rsid w:val="006A6021"/>
    <w:rsid w:val="006B1D76"/>
    <w:rsid w:val="006C4927"/>
    <w:rsid w:val="006C6B0C"/>
    <w:rsid w:val="006C74DF"/>
    <w:rsid w:val="006E2498"/>
    <w:rsid w:val="006E4D8B"/>
    <w:rsid w:val="006E6A04"/>
    <w:rsid w:val="006F18CA"/>
    <w:rsid w:val="00703B00"/>
    <w:rsid w:val="00712714"/>
    <w:rsid w:val="0072471C"/>
    <w:rsid w:val="00725906"/>
    <w:rsid w:val="00726A7F"/>
    <w:rsid w:val="007406C6"/>
    <w:rsid w:val="0074080B"/>
    <w:rsid w:val="007577BB"/>
    <w:rsid w:val="00761B4C"/>
    <w:rsid w:val="00764CB3"/>
    <w:rsid w:val="00764EC2"/>
    <w:rsid w:val="007677C7"/>
    <w:rsid w:val="007707AC"/>
    <w:rsid w:val="00774E2B"/>
    <w:rsid w:val="007831EA"/>
    <w:rsid w:val="007847BD"/>
    <w:rsid w:val="007909E4"/>
    <w:rsid w:val="00793687"/>
    <w:rsid w:val="00795524"/>
    <w:rsid w:val="007A05A1"/>
    <w:rsid w:val="007A5F68"/>
    <w:rsid w:val="007B3C7D"/>
    <w:rsid w:val="007B7E80"/>
    <w:rsid w:val="007D4F10"/>
    <w:rsid w:val="007D7B63"/>
    <w:rsid w:val="007E0A6D"/>
    <w:rsid w:val="007E5F0B"/>
    <w:rsid w:val="007E7969"/>
    <w:rsid w:val="007E7C3C"/>
    <w:rsid w:val="0080257F"/>
    <w:rsid w:val="008050E7"/>
    <w:rsid w:val="00810522"/>
    <w:rsid w:val="00816917"/>
    <w:rsid w:val="008272C5"/>
    <w:rsid w:val="008341A5"/>
    <w:rsid w:val="00834908"/>
    <w:rsid w:val="00837C46"/>
    <w:rsid w:val="008414AB"/>
    <w:rsid w:val="00841BA1"/>
    <w:rsid w:val="0084654A"/>
    <w:rsid w:val="00847CDB"/>
    <w:rsid w:val="00863B06"/>
    <w:rsid w:val="00864E48"/>
    <w:rsid w:val="00873739"/>
    <w:rsid w:val="00877A9A"/>
    <w:rsid w:val="00884803"/>
    <w:rsid w:val="0089407B"/>
    <w:rsid w:val="008A59A7"/>
    <w:rsid w:val="008B278F"/>
    <w:rsid w:val="008B2B1D"/>
    <w:rsid w:val="008B76F1"/>
    <w:rsid w:val="008C0E3D"/>
    <w:rsid w:val="008C1CAA"/>
    <w:rsid w:val="008C2537"/>
    <w:rsid w:val="008C5688"/>
    <w:rsid w:val="008D09E1"/>
    <w:rsid w:val="008E57E0"/>
    <w:rsid w:val="008F17F8"/>
    <w:rsid w:val="008F2A5C"/>
    <w:rsid w:val="008F7FF0"/>
    <w:rsid w:val="00904C82"/>
    <w:rsid w:val="009172F1"/>
    <w:rsid w:val="0093642C"/>
    <w:rsid w:val="0094744F"/>
    <w:rsid w:val="00950AA5"/>
    <w:rsid w:val="00952E7F"/>
    <w:rsid w:val="00953C09"/>
    <w:rsid w:val="00954B28"/>
    <w:rsid w:val="00956949"/>
    <w:rsid w:val="00960C98"/>
    <w:rsid w:val="0097595E"/>
    <w:rsid w:val="0097717D"/>
    <w:rsid w:val="009847DB"/>
    <w:rsid w:val="00986B8D"/>
    <w:rsid w:val="009958C8"/>
    <w:rsid w:val="009958D2"/>
    <w:rsid w:val="009A4B6F"/>
    <w:rsid w:val="009A6C9D"/>
    <w:rsid w:val="009A76C1"/>
    <w:rsid w:val="009B1754"/>
    <w:rsid w:val="009B2B05"/>
    <w:rsid w:val="009B471E"/>
    <w:rsid w:val="009B7F38"/>
    <w:rsid w:val="009C4090"/>
    <w:rsid w:val="009C6F3A"/>
    <w:rsid w:val="009D3AAA"/>
    <w:rsid w:val="009D3F40"/>
    <w:rsid w:val="009E0B2A"/>
    <w:rsid w:val="009E5502"/>
    <w:rsid w:val="009E5DDE"/>
    <w:rsid w:val="00A04268"/>
    <w:rsid w:val="00A0615A"/>
    <w:rsid w:val="00A14B5E"/>
    <w:rsid w:val="00A15604"/>
    <w:rsid w:val="00A2139A"/>
    <w:rsid w:val="00A24682"/>
    <w:rsid w:val="00A33127"/>
    <w:rsid w:val="00A376F3"/>
    <w:rsid w:val="00A50DBB"/>
    <w:rsid w:val="00A54726"/>
    <w:rsid w:val="00A56AB3"/>
    <w:rsid w:val="00A56AE6"/>
    <w:rsid w:val="00A57FC5"/>
    <w:rsid w:val="00A616BE"/>
    <w:rsid w:val="00A64BFA"/>
    <w:rsid w:val="00A67E22"/>
    <w:rsid w:val="00A8548D"/>
    <w:rsid w:val="00A9153B"/>
    <w:rsid w:val="00A95A75"/>
    <w:rsid w:val="00AA29A6"/>
    <w:rsid w:val="00AA5493"/>
    <w:rsid w:val="00AA7DB0"/>
    <w:rsid w:val="00AB2496"/>
    <w:rsid w:val="00AB6076"/>
    <w:rsid w:val="00AC7CA9"/>
    <w:rsid w:val="00AD1399"/>
    <w:rsid w:val="00AD58C1"/>
    <w:rsid w:val="00AE2645"/>
    <w:rsid w:val="00AF0B6E"/>
    <w:rsid w:val="00AF0C71"/>
    <w:rsid w:val="00B01816"/>
    <w:rsid w:val="00B03652"/>
    <w:rsid w:val="00B12538"/>
    <w:rsid w:val="00B253E0"/>
    <w:rsid w:val="00B260D2"/>
    <w:rsid w:val="00B27767"/>
    <w:rsid w:val="00B34D0B"/>
    <w:rsid w:val="00B434F4"/>
    <w:rsid w:val="00B46210"/>
    <w:rsid w:val="00B47EFD"/>
    <w:rsid w:val="00B5490B"/>
    <w:rsid w:val="00B60E65"/>
    <w:rsid w:val="00B62212"/>
    <w:rsid w:val="00B6475A"/>
    <w:rsid w:val="00B66405"/>
    <w:rsid w:val="00B66929"/>
    <w:rsid w:val="00B7542D"/>
    <w:rsid w:val="00B75A0D"/>
    <w:rsid w:val="00B91E9D"/>
    <w:rsid w:val="00BB062A"/>
    <w:rsid w:val="00BB10E8"/>
    <w:rsid w:val="00BB139A"/>
    <w:rsid w:val="00BD1D48"/>
    <w:rsid w:val="00BD5D56"/>
    <w:rsid w:val="00BE2CE9"/>
    <w:rsid w:val="00BF0448"/>
    <w:rsid w:val="00C02372"/>
    <w:rsid w:val="00C0568B"/>
    <w:rsid w:val="00C15379"/>
    <w:rsid w:val="00C15D4A"/>
    <w:rsid w:val="00C15D60"/>
    <w:rsid w:val="00C17EAF"/>
    <w:rsid w:val="00C40F69"/>
    <w:rsid w:val="00C43A97"/>
    <w:rsid w:val="00C44986"/>
    <w:rsid w:val="00C521B8"/>
    <w:rsid w:val="00C5247F"/>
    <w:rsid w:val="00C531B2"/>
    <w:rsid w:val="00C548E1"/>
    <w:rsid w:val="00C56F91"/>
    <w:rsid w:val="00C64228"/>
    <w:rsid w:val="00C7109B"/>
    <w:rsid w:val="00C81370"/>
    <w:rsid w:val="00CA160E"/>
    <w:rsid w:val="00CA3BC4"/>
    <w:rsid w:val="00CD094E"/>
    <w:rsid w:val="00CD1608"/>
    <w:rsid w:val="00CD47B0"/>
    <w:rsid w:val="00CE2819"/>
    <w:rsid w:val="00CE47C0"/>
    <w:rsid w:val="00CE4F92"/>
    <w:rsid w:val="00CE732B"/>
    <w:rsid w:val="00CF3B18"/>
    <w:rsid w:val="00CF4C68"/>
    <w:rsid w:val="00D0182F"/>
    <w:rsid w:val="00D06D68"/>
    <w:rsid w:val="00D143A7"/>
    <w:rsid w:val="00D21BA6"/>
    <w:rsid w:val="00D27580"/>
    <w:rsid w:val="00D27C2C"/>
    <w:rsid w:val="00D30533"/>
    <w:rsid w:val="00D35682"/>
    <w:rsid w:val="00D421CF"/>
    <w:rsid w:val="00D46C2A"/>
    <w:rsid w:val="00D51815"/>
    <w:rsid w:val="00D52338"/>
    <w:rsid w:val="00D56D02"/>
    <w:rsid w:val="00D60970"/>
    <w:rsid w:val="00D61AFE"/>
    <w:rsid w:val="00D64909"/>
    <w:rsid w:val="00D87EFC"/>
    <w:rsid w:val="00D925BC"/>
    <w:rsid w:val="00DA6D2A"/>
    <w:rsid w:val="00DA7192"/>
    <w:rsid w:val="00DB46C9"/>
    <w:rsid w:val="00DB4F8D"/>
    <w:rsid w:val="00DB5D89"/>
    <w:rsid w:val="00DC2451"/>
    <w:rsid w:val="00DC451B"/>
    <w:rsid w:val="00DC79DE"/>
    <w:rsid w:val="00DD76ED"/>
    <w:rsid w:val="00DE1A54"/>
    <w:rsid w:val="00DE5738"/>
    <w:rsid w:val="00DE67DB"/>
    <w:rsid w:val="00DF7DF2"/>
    <w:rsid w:val="00E061E6"/>
    <w:rsid w:val="00E10648"/>
    <w:rsid w:val="00E212A3"/>
    <w:rsid w:val="00E23831"/>
    <w:rsid w:val="00E301E6"/>
    <w:rsid w:val="00E30465"/>
    <w:rsid w:val="00E443E2"/>
    <w:rsid w:val="00E45F51"/>
    <w:rsid w:val="00E57330"/>
    <w:rsid w:val="00E61B4D"/>
    <w:rsid w:val="00E6478C"/>
    <w:rsid w:val="00E64EE3"/>
    <w:rsid w:val="00E81B0E"/>
    <w:rsid w:val="00E906CC"/>
    <w:rsid w:val="00E95131"/>
    <w:rsid w:val="00E95505"/>
    <w:rsid w:val="00EA12B3"/>
    <w:rsid w:val="00EA18ED"/>
    <w:rsid w:val="00EB3F6A"/>
    <w:rsid w:val="00EC299A"/>
    <w:rsid w:val="00EC4992"/>
    <w:rsid w:val="00ED4708"/>
    <w:rsid w:val="00EE55ED"/>
    <w:rsid w:val="00EF1059"/>
    <w:rsid w:val="00EF6AEA"/>
    <w:rsid w:val="00EF6F11"/>
    <w:rsid w:val="00F0527E"/>
    <w:rsid w:val="00F07B10"/>
    <w:rsid w:val="00F10393"/>
    <w:rsid w:val="00F1361B"/>
    <w:rsid w:val="00F20DAC"/>
    <w:rsid w:val="00F235BB"/>
    <w:rsid w:val="00F46279"/>
    <w:rsid w:val="00F5743E"/>
    <w:rsid w:val="00F65548"/>
    <w:rsid w:val="00F65CFA"/>
    <w:rsid w:val="00F91279"/>
    <w:rsid w:val="00F95FA0"/>
    <w:rsid w:val="00F9731B"/>
    <w:rsid w:val="00FA2FAC"/>
    <w:rsid w:val="00FC2AEA"/>
    <w:rsid w:val="00FC6C07"/>
    <w:rsid w:val="00FD60FC"/>
    <w:rsid w:val="00FE05AC"/>
    <w:rsid w:val="00FE0923"/>
    <w:rsid w:val="00FE1D07"/>
    <w:rsid w:val="00FF16C2"/>
    <w:rsid w:val="00FF3D0E"/>
    <w:rsid w:val="00FF3D10"/>
    <w:rsid w:val="00FF6B16"/>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D456F3-7DC8-486E-B7A3-5E5175A4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9</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297</cp:revision>
  <cp:lastPrinted>2019-07-29T07:02:00Z</cp:lastPrinted>
  <dcterms:created xsi:type="dcterms:W3CDTF">2014-10-24T09:12:00Z</dcterms:created>
  <dcterms:modified xsi:type="dcterms:W3CDTF">2019-07-29T07:02:00Z</dcterms:modified>
</cp:coreProperties>
</file>